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Pre-Flight Decisions – v24.3 (Update: News-Whitelist)</w:t>
      </w:r>
    </w:p>
    <w:p>
      <w:pPr>
        <w:jc w:val="left"/>
      </w:pPr>
      <w:r>
        <w:t>Stand: 2025-08-21 08:40 UTC</w:t>
        <w:br/>
        <w:t>Autor: Dein Coach</w:t>
      </w:r>
    </w:p>
    <w:p>
      <w:pPr>
        <w:pStyle w:val="Heading1"/>
      </w:pPr>
      <w:r>
        <w:t>News-Whitelist (mit Vertrauensgewichten)</w:t>
      </w:r>
    </w:p>
    <w:p>
      <w:r>
        <w:t>Wir nutzen Domain-Gewichte (0–1). Ab 0,75 gelten Quellen als signalfähig; darunter nur Kontext.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Gewicht (0–1)</w:t>
            </w:r>
          </w:p>
        </w:tc>
        <w:tc>
          <w:tcPr>
            <w:tcW w:type="dxa" w:w="2880"/>
          </w:tcPr>
          <w:p>
            <w:r>
              <w:t>Anmerkung</w:t>
            </w:r>
          </w:p>
        </w:tc>
      </w:tr>
      <w:tr>
        <w:tc>
          <w:tcPr>
            <w:tcW w:type="dxa" w:w="2880"/>
          </w:tcPr>
          <w:p>
            <w:r>
              <w:t>reuters.com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  <w:tc>
          <w:tcPr>
            <w:tcW w:type="dxa" w:w="2880"/>
          </w:tcPr>
          <w:p>
            <w:r>
              <w:t>Top wire, schnell &amp; verlässlich</w:t>
            </w:r>
          </w:p>
        </w:tc>
      </w:tr>
      <w:tr>
        <w:tc>
          <w:tcPr>
            <w:tcW w:type="dxa" w:w="2880"/>
          </w:tcPr>
          <w:p>
            <w:r>
              <w:t>bloomberg.com</w:t>
            </w:r>
          </w:p>
        </w:tc>
        <w:tc>
          <w:tcPr>
            <w:tcW w:type="dxa" w:w="2880"/>
          </w:tcPr>
          <w:p>
            <w:r>
              <w:t>0.96</w:t>
            </w:r>
          </w:p>
        </w:tc>
        <w:tc>
          <w:tcPr>
            <w:tcW w:type="dxa" w:w="2880"/>
          </w:tcPr>
          <w:p>
            <w:r>
              <w:t>Sehr hohe Qualität</w:t>
            </w:r>
          </w:p>
        </w:tc>
      </w:tr>
      <w:tr>
        <w:tc>
          <w:tcPr>
            <w:tcW w:type="dxa" w:w="2880"/>
          </w:tcPr>
          <w:p>
            <w:r>
              <w:t>ft.com</w:t>
            </w:r>
          </w:p>
        </w:tc>
        <w:tc>
          <w:tcPr>
            <w:tcW w:type="dxa" w:w="2880"/>
          </w:tcPr>
          <w:p>
            <w:r>
              <w:t>0.95</w:t>
            </w:r>
          </w:p>
        </w:tc>
        <w:tc>
          <w:tcPr>
            <w:tcW w:type="dxa" w:w="2880"/>
          </w:tcPr>
          <w:p>
            <w:r>
              <w:t>Financial Times</w:t>
            </w:r>
          </w:p>
        </w:tc>
      </w:tr>
      <w:tr>
        <w:tc>
          <w:tcPr>
            <w:tcW w:type="dxa" w:w="2880"/>
          </w:tcPr>
          <w:p>
            <w:r>
              <w:t>wsj.com</w:t>
            </w:r>
          </w:p>
        </w:tc>
        <w:tc>
          <w:tcPr>
            <w:tcW w:type="dxa" w:w="2880"/>
          </w:tcPr>
          <w:p>
            <w:r>
              <w:t>0.93</w:t>
            </w:r>
          </w:p>
        </w:tc>
        <w:tc>
          <w:tcPr>
            <w:tcW w:type="dxa" w:w="2880"/>
          </w:tcPr>
          <w:p>
            <w:r>
              <w:t>Wall Street Journal</w:t>
            </w:r>
          </w:p>
        </w:tc>
      </w:tr>
      <w:tr>
        <w:tc>
          <w:tcPr>
            <w:tcW w:type="dxa" w:w="2880"/>
          </w:tcPr>
          <w:p>
            <w:r>
              <w:t>cnbc.com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  <w:tc>
          <w:tcPr>
            <w:tcW w:type="dxa" w:w="2880"/>
          </w:tcPr>
          <w:p>
            <w:r>
              <w:t>Breite Abdeckung</w:t>
            </w:r>
          </w:p>
        </w:tc>
      </w:tr>
      <w:tr>
        <w:tc>
          <w:tcPr>
            <w:tcW w:type="dxa" w:w="2880"/>
          </w:tcPr>
          <w:p>
            <w:r>
              <w:t>apnews.com</w:t>
            </w:r>
          </w:p>
        </w:tc>
        <w:tc>
          <w:tcPr>
            <w:tcW w:type="dxa" w:w="2880"/>
          </w:tcPr>
          <w:p>
            <w:r>
              <w:t>0.93</w:t>
            </w:r>
          </w:p>
        </w:tc>
        <w:tc>
          <w:tcPr>
            <w:tcW w:type="dxa" w:w="2880"/>
          </w:tcPr>
          <w:p>
            <w:r>
              <w:t>Associated Press</w:t>
            </w:r>
          </w:p>
        </w:tc>
      </w:tr>
      <w:tr>
        <w:tc>
          <w:tcPr>
            <w:tcW w:type="dxa" w:w="2880"/>
          </w:tcPr>
          <w:p>
            <w:r>
              <w:t>barrons.com</w:t>
            </w:r>
          </w:p>
        </w:tc>
        <w:tc>
          <w:tcPr>
            <w:tcW w:type="dxa" w:w="2880"/>
          </w:tcPr>
          <w:p>
            <w:r>
              <w:t>0.90</w:t>
            </w:r>
          </w:p>
        </w:tc>
        <w:tc>
          <w:tcPr>
            <w:tcW w:type="dxa" w:w="2880"/>
          </w:tcPr>
          <w:p>
            <w:r>
              <w:t>Langjährige Marktberichterstattung</w:t>
            </w:r>
          </w:p>
        </w:tc>
      </w:tr>
      <w:tr>
        <w:tc>
          <w:tcPr>
            <w:tcW w:type="dxa" w:w="2880"/>
          </w:tcPr>
          <w:p>
            <w:r>
              <w:t>marketwatch.com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  <w:tc>
          <w:tcPr>
            <w:tcW w:type="dxa" w:w="2880"/>
          </w:tcPr>
          <w:p>
            <w:r>
              <w:t>Gut, teils schnelles Tempo</w:t>
            </w:r>
          </w:p>
        </w:tc>
      </w:tr>
      <w:tr>
        <w:tc>
          <w:tcPr>
            <w:tcW w:type="dxa" w:w="2880"/>
          </w:tcPr>
          <w:p>
            <w:r>
              <w:t>handelsblatt.com</w:t>
            </w:r>
          </w:p>
        </w:tc>
        <w:tc>
          <w:tcPr>
            <w:tcW w:type="dxa" w:w="2880"/>
          </w:tcPr>
          <w:p>
            <w:r>
              <w:t>0.88</w:t>
            </w:r>
          </w:p>
        </w:tc>
        <w:tc>
          <w:tcPr>
            <w:tcW w:type="dxa" w:w="2880"/>
          </w:tcPr>
          <w:p>
            <w:r>
              <w:t>DE Leitmedium Wirtschaft</w:t>
            </w:r>
          </w:p>
        </w:tc>
      </w:tr>
      <w:tr>
        <w:tc>
          <w:tcPr>
            <w:tcW w:type="dxa" w:w="2880"/>
          </w:tcPr>
          <w:p>
            <w:r>
              <w:t>faz.net</w:t>
            </w:r>
          </w:p>
        </w:tc>
        <w:tc>
          <w:tcPr>
            <w:tcW w:type="dxa" w:w="2880"/>
          </w:tcPr>
          <w:p>
            <w:r>
              <w:t>0.88</w:t>
            </w:r>
          </w:p>
        </w:tc>
        <w:tc>
          <w:tcPr>
            <w:tcW w:type="dxa" w:w="2880"/>
          </w:tcPr>
          <w:p>
            <w:r>
              <w:t>DE Leitmedium</w:t>
            </w:r>
          </w:p>
        </w:tc>
      </w:tr>
      <w:tr>
        <w:tc>
          <w:tcPr>
            <w:tcW w:type="dxa" w:w="2880"/>
          </w:tcPr>
          <w:p>
            <w:r>
              <w:t>boersen-zeitung.de</w:t>
            </w:r>
          </w:p>
        </w:tc>
        <w:tc>
          <w:tcPr>
            <w:tcW w:type="dxa" w:w="2880"/>
          </w:tcPr>
          <w:p>
            <w:r>
              <w:t>0.90</w:t>
            </w:r>
          </w:p>
        </w:tc>
        <w:tc>
          <w:tcPr>
            <w:tcW w:type="dxa" w:w="2880"/>
          </w:tcPr>
          <w:p>
            <w:r>
              <w:t>DE Finanz-Fach</w:t>
            </w:r>
          </w:p>
        </w:tc>
      </w:tr>
      <w:tr>
        <w:tc>
          <w:tcPr>
            <w:tcW w:type="dxa" w:w="2880"/>
          </w:tcPr>
          <w:p>
            <w:r>
              <w:t>businesswire.com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  <w:tc>
          <w:tcPr>
            <w:tcW w:type="dxa" w:w="2880"/>
          </w:tcPr>
          <w:p>
            <w:r>
              <w:t>Offizielle Meldungen</w:t>
            </w:r>
          </w:p>
        </w:tc>
      </w:tr>
      <w:tr>
        <w:tc>
          <w:tcPr>
            <w:tcW w:type="dxa" w:w="2880"/>
          </w:tcPr>
          <w:p>
            <w:r>
              <w:t>globenewswire.com</w:t>
            </w:r>
          </w:p>
        </w:tc>
        <w:tc>
          <w:tcPr>
            <w:tcW w:type="dxa" w:w="2880"/>
          </w:tcPr>
          <w:p>
            <w:r>
              <w:t>0.83</w:t>
            </w:r>
          </w:p>
        </w:tc>
        <w:tc>
          <w:tcPr>
            <w:tcW w:type="dxa" w:w="2880"/>
          </w:tcPr>
          <w:p>
            <w:r>
              <w:t>Offizielle Meldungen</w:t>
            </w:r>
          </w:p>
        </w:tc>
      </w:tr>
      <w:tr>
        <w:tc>
          <w:tcPr>
            <w:tcW w:type="dxa" w:w="2880"/>
          </w:tcPr>
          <w:p>
            <w:r>
              <w:t>irpages.de</w:t>
            </w:r>
          </w:p>
        </w:tc>
        <w:tc>
          <w:tcPr>
            <w:tcW w:type="dxa" w:w="2880"/>
          </w:tcPr>
          <w:p>
            <w:r>
              <w:t>0.90</w:t>
            </w:r>
          </w:p>
        </w:tc>
        <w:tc>
          <w:tcPr>
            <w:tcW w:type="dxa" w:w="2880"/>
          </w:tcPr>
          <w:p>
            <w:r>
              <w:t>Company IR (Beispielplatzhalter)</w:t>
            </w:r>
          </w:p>
        </w:tc>
      </w:tr>
      <w:tr>
        <w:tc>
          <w:tcPr>
            <w:tcW w:type="dxa" w:w="2880"/>
          </w:tcPr>
          <w:p>
            <w:r>
              <w:t>deraktionaer.de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  <w:tc>
          <w:tcPr>
            <w:tcW w:type="dxa" w:w="2880"/>
          </w:tcPr>
          <w:p>
            <w:r>
              <w:t>Neu aufgenommen: mittel–hoch, redaktionell</w:t>
            </w:r>
          </w:p>
        </w:tc>
      </w:tr>
    </w:tbl>
    <w:p>
      <w:pPr>
        <w:pStyle w:val="Heading1"/>
      </w:pPr>
      <w:r>
        <w:t>Blacklist/Low-Trust (kein Signalsourcing)</w:t>
      </w:r>
    </w:p>
    <w:p>
      <w:r>
        <w:t>reddit.com, stocktwits.com, anonyme Foren, klicklastige Promo-Blogs. Diese werden für Sentiment höchstens als Kontext geloggt, aber nicht zur Signalentscheidung herangezogen.</w:t>
      </w:r>
    </w:p>
    <w:p>
      <w:pPr>
        <w:pStyle w:val="Heading1"/>
      </w:pPr>
      <w:r>
        <w:t>Konfiguration – Schwellen</w:t>
      </w:r>
    </w:p>
    <w:p>
      <w:r>
        <w:t>• Signal-Schwellwert für Newsquellen: ≥ 0,75</w:t>
        <w:br/>
        <w:t>• Downweight bei Konflikt (News + Kursreaktion entgegengesetzt): -0,10 auf News-Score</w:t>
        <w:br/>
        <w:t>• Dedupe aktiv, Near-Duplicate (Cosine ≥ 0,90) → beste Quelle behalten</w:t>
      </w:r>
    </w:p>
    <w:p>
      <w:pPr>
        <w:pStyle w:val="Heading1"/>
      </w:pPr>
      <w:r>
        <w:t>Hinweis</w:t>
      </w:r>
    </w:p>
    <w:p>
      <w:r>
        <w:t>„Der Aktionär“ ist in DE relevant. Wir führen ihn mit Gewicht 0,80 (mittel–hoch). Bei festgestellter Übersensationalisierung wird das Gewicht automatisch reduziert (Source-Drift-Monitor).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