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Repriorisierte Gesamtübersicht – 80 Punkte (Sprints 1–4)</w:t>
      </w:r>
    </w:p>
    <w:p>
      <w:pPr>
        <w:jc w:val="left"/>
      </w:pPr>
      <w:r>
        <w:t>Stand: 2025-08-21 08:21 UTC</w:t>
        <w:br/>
        <w:t>Autor: Dein Coach</w:t>
      </w:r>
    </w:p>
    <w:p>
      <w:r>
        <w:t>Ziel dieser Repriorisierung: so schnell wie möglich ein präzises, profit-orientiertes MVP mit robusten Daten, realistischem Kostenmodell, verlässlichen Signalen und Backtests. News-Qualität (Dedupe/Whitelist) ist bereits in Sprint 1 verankert.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Nr.</w:t>
            </w:r>
          </w:p>
        </w:tc>
        <w:tc>
          <w:tcPr>
            <w:tcW w:type="dxa" w:w="1080"/>
          </w:tcPr>
          <w:p>
            <w:r>
              <w:t>Kategorie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Beschreibung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Owner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Zweitquelle Preise</w:t>
            </w:r>
          </w:p>
        </w:tc>
        <w:tc>
          <w:tcPr>
            <w:tcW w:type="dxa" w:w="1080"/>
          </w:tcPr>
          <w:p>
            <w:r>
              <w:t>Fallback (AV/Finnhub) + Auto-Umschaltung bei Ausfällen.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Corporate-Actions-Log</w:t>
            </w:r>
          </w:p>
        </w:tc>
        <w:tc>
          <w:tcPr>
            <w:tcW w:type="dxa" w:w="1080"/>
          </w:tcPr>
          <w:p>
            <w:r>
              <w:t>Splits/Dividenden mit Hash-Check speichern.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Börsenkalender</w:t>
            </w:r>
          </w:p>
        </w:tc>
        <w:tc>
          <w:tcPr>
            <w:tcW w:type="dxa" w:w="1080"/>
          </w:tcPr>
          <w:p>
            <w:r>
              <w:t>Feiertage/Handelskalender je Börse; korrektes EOD-Alignment.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Sommer-/Winterzeit</w:t>
            </w:r>
          </w:p>
        </w:tc>
        <w:tc>
          <w:tcPr>
            <w:tcW w:type="dxa" w:w="1080"/>
          </w:tcPr>
          <w:p>
            <w:r>
              <w:t>Timezone-Normalisierung Europe/Berlin für Intraday.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Ausreißer-Klassifikation</w:t>
            </w:r>
          </w:p>
        </w:tc>
        <w:tc>
          <w:tcPr>
            <w:tcW w:type="dxa" w:w="1080"/>
          </w:tcPr>
          <w:p>
            <w:r>
              <w:t>Statistische vs. Event-getriebene Outlier unterscheiden.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Volume-Sanity</w:t>
            </w:r>
          </w:p>
        </w:tc>
        <w:tc>
          <w:tcPr>
            <w:tcW w:type="dxa" w:w="1080"/>
          </w:tcPr>
          <w:p>
            <w:r>
              <w:t>Null-Volumen-Tage markieren; spread_proxy hochsetzen/No-Trade.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Währungs-Mapping</w:t>
            </w:r>
          </w:p>
        </w:tc>
        <w:tc>
          <w:tcPr>
            <w:tcW w:type="dxa" w:w="1080"/>
          </w:tcPr>
          <w:p>
            <w:r>
              <w:t>Quellwährung je Ticker; Reporting konsistent in EUR.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Benchmarks/ETFs</w:t>
            </w:r>
          </w:p>
        </w:tc>
        <w:tc>
          <w:tcPr>
            <w:tcW w:type="dxa" w:w="1080"/>
          </w:tcPr>
          <w:p>
            <w:r>
              <w:t>Region-/Sektor-ETFs für RS &amp; Regimeanalyse.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Delisting-Policy</w:t>
            </w:r>
          </w:p>
        </w:tc>
        <w:tc>
          <w:tcPr>
            <w:tcW w:type="dxa" w:w="1080"/>
          </w:tcPr>
          <w:p>
            <w:r>
              <w:t>Gültige Handelszeiträume, Survivorship Bias minimieren.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Datenqualität</w:t>
            </w:r>
          </w:p>
        </w:tc>
        <w:tc>
          <w:tcPr>
            <w:tcW w:type="dxa" w:w="1080"/>
          </w:tcPr>
          <w:p>
            <w:r>
              <w:t>Daten-Diff-Store</w:t>
            </w:r>
          </w:p>
        </w:tc>
        <w:tc>
          <w:tcPr>
            <w:tcW w:type="dxa" w:w="1080"/>
          </w:tcPr>
          <w:p>
            <w:r>
              <w:t>Tägliche Deltas für schnellen Rebuild/Restore.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Mehr Volatilitätsmaße</w:t>
            </w:r>
          </w:p>
        </w:tc>
        <w:tc>
          <w:tcPr>
            <w:tcW w:type="dxa" w:w="1080"/>
          </w:tcPr>
          <w:p>
            <w:r>
              <w:t>Rogers–Satchell, Yang–Zhang; regimespezifisch wählen.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Trend-Stabilität</w:t>
            </w:r>
          </w:p>
        </w:tc>
        <w:tc>
          <w:tcPr>
            <w:tcW w:type="dxa" w:w="1080"/>
          </w:tcPr>
          <w:p>
            <w:r>
              <w:t>Lineare Trend-R², Hurst-Exponent als Zusatzfilter.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Mean-Reversion-Score</w:t>
            </w:r>
          </w:p>
        </w:tc>
        <w:tc>
          <w:tcPr>
            <w:tcW w:type="dxa" w:w="1080"/>
          </w:tcPr>
          <w:p>
            <w:r>
              <w:t>Z-Score auf Returns; Halbwertszeit schätzen.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Liquiditätsklassen</w:t>
            </w:r>
          </w:p>
        </w:tc>
        <w:tc>
          <w:tcPr>
            <w:tcW w:type="dxa" w:w="1080"/>
          </w:tcPr>
          <w:p>
            <w:r>
              <w:t>ADV in EUR, Vol/Spread-Heat; Klassifikation pro Ticker.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Gap-Attribution</w:t>
            </w:r>
          </w:p>
        </w:tc>
        <w:tc>
          <w:tcPr>
            <w:tcW w:type="dxa" w:w="1080"/>
          </w:tcPr>
          <w:p>
            <w:r>
              <w:t>Overnight vs. Intraday-Return-Anteil.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Volatility Squeeze+</w:t>
            </w:r>
          </w:p>
        </w:tc>
        <w:tc>
          <w:tcPr>
            <w:tcW w:type="dxa" w:w="1080"/>
          </w:tcPr>
          <w:p>
            <w:r>
              <w:t>BB/ATR-Verhältnis + Squeeze-Dauer als Breakout-Prädiktor.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Event-Fahnen</w:t>
            </w:r>
          </w:p>
        </w:tc>
        <w:tc>
          <w:tcPr>
            <w:tcW w:type="dxa" w:w="1080"/>
          </w:tcPr>
          <w:p>
            <w:r>
              <w:t>Earnings/Guidance/Dividenden; optional Blackout-Fenster.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Sektor-/Peer-RS</w:t>
            </w:r>
          </w:p>
        </w:tc>
        <w:tc>
          <w:tcPr>
            <w:tcW w:type="dxa" w:w="1080"/>
          </w:tcPr>
          <w:p>
            <w:r>
              <w:t>Ticker vs. Sektor-ETF/Peer-Buckets; Cross-sectional Momentum.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Rolling-Korrelationen</w:t>
            </w:r>
          </w:p>
        </w:tc>
        <w:tc>
          <w:tcPr>
            <w:tcW w:type="dxa" w:w="1080"/>
          </w:tcPr>
          <w:p>
            <w:r>
              <w:t>Ticker↔Benchmark zur Risiko- und Limit-Steuerung.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Features</w:t>
            </w:r>
          </w:p>
        </w:tc>
        <w:tc>
          <w:tcPr>
            <w:tcW w:type="dxa" w:w="1080"/>
          </w:tcPr>
          <w:p>
            <w:r>
              <w:t>Regime-Label-Bibliothek</w:t>
            </w:r>
          </w:p>
        </w:tc>
        <w:tc>
          <w:tcPr>
            <w:tcW w:type="dxa" w:w="1080"/>
          </w:tcPr>
          <w:p>
            <w:r>
              <w:t>bull/bear/sideways, high/low vol – Score dynamisch gewichten.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Whitelist-Only-Modus</w:t>
            </w:r>
          </w:p>
        </w:tc>
        <w:tc>
          <w:tcPr>
            <w:tcW w:type="dxa" w:w="1080"/>
          </w:tcPr>
          <w:p>
            <w:r>
              <w:t>Nur seriöse Domains; harte Blacklist für Clickbait.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Dedupe v2</w:t>
            </w:r>
          </w:p>
        </w:tc>
        <w:tc>
          <w:tcPr>
            <w:tcW w:type="dxa" w:w="1080"/>
          </w:tcPr>
          <w:p>
            <w:r>
              <w:t>TF-IDF + Embedding-Cosine; beste Quelle wählen.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Velocity-Spikes</w:t>
            </w:r>
          </w:p>
        </w:tc>
        <w:tc>
          <w:tcPr>
            <w:tcW w:type="dxa" w:w="1080"/>
          </w:tcPr>
          <w:p>
            <w:r>
              <w:t>Meldungen pro Stunde; Cooldown-Regel bei Spikes.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Novelty-Score</w:t>
            </w:r>
          </w:p>
        </w:tc>
        <w:tc>
          <w:tcPr>
            <w:tcW w:type="dxa" w:w="1080"/>
          </w:tcPr>
          <w:p>
            <w:r>
              <w:t>Neue Info vs. Wiederholung erkennen.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Event-Typisierung</w:t>
            </w:r>
          </w:p>
        </w:tc>
        <w:tc>
          <w:tcPr>
            <w:tcW w:type="dxa" w:w="1080"/>
          </w:tcPr>
          <w:p>
            <w:r>
              <w:t>M&amp;A/Litigation/Guidance Heuristik-Labels.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Sentiment-Aggregation</w:t>
            </w:r>
          </w:p>
        </w:tc>
        <w:tc>
          <w:tcPr>
            <w:tcW w:type="dxa" w:w="1080"/>
          </w:tcPr>
          <w:p>
            <w:r>
              <w:t>Gewichtung nach Domain-Reputation &amp; Frische.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Konfliktprüfung</w:t>
            </w:r>
          </w:p>
        </w:tc>
        <w:tc>
          <w:tcPr>
            <w:tcW w:type="dxa" w:w="1080"/>
          </w:tcPr>
          <w:p>
            <w:r>
              <w:t>Positives Sentiment vs. negativer Kurs – Vertrauen senken.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Mehrsprachigkeit</w:t>
            </w:r>
          </w:p>
        </w:tc>
        <w:tc>
          <w:tcPr>
            <w:tcW w:type="dxa" w:w="1080"/>
          </w:tcPr>
          <w:p>
            <w:r>
              <w:t>DE/EN; Ticker-/Alias-Mapping verbessern.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Negations-/Sarkasmus-Filter</w:t>
            </w:r>
          </w:p>
        </w:tc>
        <w:tc>
          <w:tcPr>
            <w:tcW w:type="dxa" w:w="1080"/>
          </w:tcPr>
          <w:p>
            <w:r>
              <w:t>Regelbasiert; säubert Sentiment.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News</w:t>
            </w:r>
          </w:p>
        </w:tc>
        <w:tc>
          <w:tcPr>
            <w:tcW w:type="dxa" w:w="1080"/>
          </w:tcPr>
          <w:p>
            <w:r>
              <w:t>Source-Drift-Monitor</w:t>
            </w:r>
          </w:p>
        </w:tc>
        <w:tc>
          <w:tcPr>
            <w:tcW w:type="dxa" w:w="1080"/>
          </w:tcPr>
          <w:p>
            <w:r>
              <w:t>Quellen mit Auffälligkeiten automatisch abwerten.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Meta-Labeling</w:t>
            </w:r>
          </w:p>
        </w:tc>
        <w:tc>
          <w:tcPr>
            <w:tcW w:type="dxa" w:w="1080"/>
          </w:tcPr>
          <w:p>
            <w:r>
              <w:t>Lopez de Prado – Falschsignale reduzieren.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Zwei-Stufen-Modelle</w:t>
            </w:r>
          </w:p>
        </w:tc>
        <w:tc>
          <w:tcPr>
            <w:tcW w:type="dxa" w:w="1080"/>
          </w:tcPr>
          <w:p>
            <w:r>
              <w:t>a) Signal-Validation, b) Return-Size (Regressor).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PurgedKFold+Embargo</w:t>
            </w:r>
          </w:p>
        </w:tc>
        <w:tc>
          <w:tcPr>
            <w:tcW w:type="dxa" w:w="1080"/>
          </w:tcPr>
          <w:p>
            <w:r>
              <w:t>Embargo ≥ Label-Horizont; striktes CV ohne Leakage.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Walk-Forward-Plan</w:t>
            </w:r>
          </w:p>
        </w:tc>
        <w:tc>
          <w:tcPr>
            <w:tcW w:type="dxa" w:w="1080"/>
          </w:tcPr>
          <w:p>
            <w:r>
              <w:t>3y/1y rollend; Out-of-time-Test verpflichtend.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Regularisierung/ES</w:t>
            </w:r>
          </w:p>
        </w:tc>
        <w:tc>
          <w:tcPr>
            <w:tcW w:type="dxa" w:w="1080"/>
          </w:tcPr>
          <w:p>
            <w:r>
              <w:t>Early-Stopping, robuste Generalisierung.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SHAP-Stabilität</w:t>
            </w:r>
          </w:p>
        </w:tc>
        <w:tc>
          <w:tcPr>
            <w:tcW w:type="dxa" w:w="1080"/>
          </w:tcPr>
          <w:p>
            <w:r>
              <w:t>Feature-Importance-Varianz als Ship-Kriterium.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Drift-Monitor</w:t>
            </w:r>
          </w:p>
        </w:tc>
        <w:tc>
          <w:tcPr>
            <w:tcW w:type="dxa" w:w="1080"/>
          </w:tcPr>
          <w:p>
            <w:r>
              <w:t>Population/KS-Tests; degrade-to-rules bei Alarm.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Ensembling/Stacking</w:t>
            </w:r>
          </w:p>
        </w:tc>
        <w:tc>
          <w:tcPr>
            <w:tcW w:type="dxa" w:w="1080"/>
          </w:tcPr>
          <w:p>
            <w:r>
              <w:t>Kombination mehrerer Modelle.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Anomalie-Detektion</w:t>
            </w:r>
          </w:p>
        </w:tc>
        <w:tc>
          <w:tcPr>
            <w:tcW w:type="dxa" w:w="1080"/>
          </w:tcPr>
          <w:p>
            <w:r>
              <w:t>IsolationForest/Autoencoder gegen Fake-Moves/Datenfehler.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KI/ML</w:t>
            </w:r>
          </w:p>
        </w:tc>
        <w:tc>
          <w:tcPr>
            <w:tcW w:type="dxa" w:w="1080"/>
          </w:tcPr>
          <w:p>
            <w:r>
              <w:t>Kalibrierung</w:t>
            </w:r>
          </w:p>
        </w:tc>
        <w:tc>
          <w:tcPr>
            <w:tcW w:type="dxa" w:w="1080"/>
          </w:tcPr>
          <w:p>
            <w:r>
              <w:t>Platt/Isotonic für nutzbare ML-Probas.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Signale</w:t>
            </w:r>
          </w:p>
        </w:tc>
        <w:tc>
          <w:tcPr>
            <w:tcW w:type="dxa" w:w="1080"/>
          </w:tcPr>
          <w:p>
            <w:r>
              <w:t>Gating-Order fix</w:t>
            </w:r>
          </w:p>
        </w:tc>
        <w:tc>
          <w:tcPr>
            <w:tcW w:type="dxa" w:w="1080"/>
          </w:tcPr>
          <w:p>
            <w:r>
              <w:t>Filter → Signale → News → ML → Composite.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Signale</w:t>
            </w:r>
          </w:p>
        </w:tc>
        <w:tc>
          <w:tcPr>
            <w:tcW w:type="dxa" w:w="1080"/>
          </w:tcPr>
          <w:p>
            <w:r>
              <w:t>Hysterese</w:t>
            </w:r>
          </w:p>
        </w:tc>
        <w:tc>
          <w:tcPr>
            <w:tcW w:type="dxa" w:w="1080"/>
          </w:tcPr>
          <w:p>
            <w:r>
              <w:t>Entry ≥70, Exit &lt;55 zur Flatterreduktion.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Signale</w:t>
            </w:r>
          </w:p>
        </w:tc>
        <w:tc>
          <w:tcPr>
            <w:tcW w:type="dxa" w:w="1080"/>
          </w:tcPr>
          <w:p>
            <w:r>
              <w:t>Konfliktmatrix</w:t>
            </w:r>
          </w:p>
        </w:tc>
        <w:tc>
          <w:tcPr>
            <w:tcW w:type="dxa" w:w="1080"/>
          </w:tcPr>
          <w:p>
            <w:r>
              <w:t>Regel vs. ML vs. News – Konfliktauflösung/Blockierung.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Signale</w:t>
            </w:r>
          </w:p>
        </w:tc>
        <w:tc>
          <w:tcPr>
            <w:tcW w:type="dxa" w:w="1080"/>
          </w:tcPr>
          <w:p>
            <w:r>
              <w:t>Score-Smoothing</w:t>
            </w:r>
          </w:p>
        </w:tc>
        <w:tc>
          <w:tcPr>
            <w:tcW w:type="dxa" w:w="1080"/>
          </w:tcPr>
          <w:p>
            <w:r>
              <w:t>EMA auf Composite ohne Zukunftsinfo.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Signale</w:t>
            </w:r>
          </w:p>
        </w:tc>
        <w:tc>
          <w:tcPr>
            <w:tcW w:type="dxa" w:w="1080"/>
          </w:tcPr>
          <w:p>
            <w:r>
              <w:t>Setup-Typisierung</w:t>
            </w:r>
          </w:p>
        </w:tc>
        <w:tc>
          <w:tcPr>
            <w:tcW w:type="dxa" w:w="1080"/>
          </w:tcPr>
          <w:p>
            <w:r>
              <w:t>Trend/Breakout/Reversal → unterschiedliche Exits.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Signale</w:t>
            </w:r>
          </w:p>
        </w:tc>
        <w:tc>
          <w:tcPr>
            <w:tcW w:type="dxa" w:w="1080"/>
          </w:tcPr>
          <w:p>
            <w:r>
              <w:t>Horizont-Profile</w:t>
            </w:r>
          </w:p>
        </w:tc>
        <w:tc>
          <w:tcPr>
            <w:tcW w:type="dxa" w:w="1080"/>
          </w:tcPr>
          <w:p>
            <w:r>
              <w:t>Kurz/Mittel/Lang getrennte Schwellen &amp; Stops.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Fee-Gate dynamisch</w:t>
            </w:r>
          </w:p>
        </w:tc>
        <w:tc>
          <w:tcPr>
            <w:tcW w:type="dxa" w:w="1080"/>
          </w:tcPr>
          <w:p>
            <w:r>
              <w:t>Abhängig von Vola &amp; erwarteter Haltedauer.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Volatility-Budget</w:t>
            </w:r>
          </w:p>
        </w:tc>
        <w:tc>
          <w:tcPr>
            <w:tcW w:type="dxa" w:w="1080"/>
          </w:tcPr>
          <w:p>
            <w:r>
              <w:t>1/ATR + Mindestnotional; Caps für Sektor/Korrelation.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Spread-Proxy dynamisch</w:t>
            </w:r>
          </w:p>
        </w:tc>
        <w:tc>
          <w:tcPr>
            <w:tcW w:type="dxa" w:w="1080"/>
          </w:tcPr>
          <w:p>
            <w:r>
              <w:t>Perzentile über N Tage; illiquide abwerten.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ATR-SL &amp; Chandelier</w:t>
            </w:r>
          </w:p>
        </w:tc>
        <w:tc>
          <w:tcPr>
            <w:tcW w:type="dxa" w:w="1080"/>
          </w:tcPr>
          <w:p>
            <w:r>
              <w:t>Initial SL=2×ATR; Trail=3×ATR; Break-even ab 1.2R.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TP-Leitern</w:t>
            </w:r>
          </w:p>
        </w:tc>
        <w:tc>
          <w:tcPr>
            <w:tcW w:type="dxa" w:w="1080"/>
          </w:tcPr>
          <w:p>
            <w:r>
              <w:t>1.5R/2R + Rest trailen lassen.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Exposure/Loss-Limits</w:t>
            </w:r>
          </w:p>
        </w:tc>
        <w:tc>
          <w:tcPr>
            <w:tcW w:type="dxa" w:w="1080"/>
          </w:tcPr>
          <w:p>
            <w:r>
              <w:t>Max-Exposure, Tages-/Wochenverlust-Limits.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Rebalance-Regeln</w:t>
            </w:r>
          </w:p>
        </w:tc>
        <w:tc>
          <w:tcPr>
            <w:tcW w:type="dxa" w:w="1080"/>
          </w:tcPr>
          <w:p>
            <w:r>
              <w:t>Zeit- oder Score-Delta-basiert.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EUR-Reporting</w:t>
            </w:r>
          </w:p>
        </w:tc>
        <w:tc>
          <w:tcPr>
            <w:tcW w:type="dxa" w:w="1080"/>
          </w:tcPr>
          <w:p>
            <w:r>
              <w:t>Konsistente EUR-Auswertung inkl. FX-Hinweis.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Portfolio</w:t>
            </w:r>
          </w:p>
        </w:tc>
        <w:tc>
          <w:tcPr>
            <w:tcW w:type="dxa" w:w="1080"/>
          </w:tcPr>
          <w:p>
            <w:r>
              <w:t>Batching</w:t>
            </w:r>
          </w:p>
        </w:tc>
        <w:tc>
          <w:tcPr>
            <w:tcW w:type="dxa" w:w="1080"/>
          </w:tcPr>
          <w:p>
            <w:r>
              <w:t>Transaktionen bündeln statt Bursts.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Backtests</w:t>
            </w:r>
          </w:p>
        </w:tc>
        <w:tc>
          <w:tcPr>
            <w:tcW w:type="dxa" w:w="1080"/>
          </w:tcPr>
          <w:p>
            <w:r>
              <w:t>vectorbt + backtesting.py</w:t>
            </w:r>
          </w:p>
        </w:tc>
        <w:tc>
          <w:tcPr>
            <w:tcW w:type="dxa" w:w="1080"/>
          </w:tcPr>
          <w:p>
            <w:r>
              <w:t>Portfolio &amp; Einzeltitel – komplementär.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Backtests</w:t>
            </w:r>
          </w:p>
        </w:tc>
        <w:tc>
          <w:tcPr>
            <w:tcW w:type="dxa" w:w="1080"/>
          </w:tcPr>
          <w:p>
            <w:r>
              <w:t>Parameter-Stress</w:t>
            </w:r>
          </w:p>
        </w:tc>
        <w:tc>
          <w:tcPr>
            <w:tcW w:type="dxa" w:w="1080"/>
          </w:tcPr>
          <w:p>
            <w:r>
              <w:t>Grid/Random; Plateau-Analyse.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Backtests</w:t>
            </w:r>
          </w:p>
        </w:tc>
        <w:tc>
          <w:tcPr>
            <w:tcW w:type="dxa" w:w="1080"/>
          </w:tcPr>
          <w:p>
            <w:r>
              <w:t>Monte-Carlo</w:t>
            </w:r>
          </w:p>
        </w:tc>
        <w:tc>
          <w:tcPr>
            <w:tcW w:type="dxa" w:w="1080"/>
          </w:tcPr>
          <w:p>
            <w:r>
              <w:t>Block-Resample 20–60 Tage für Tail-Risiken.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Backtests</w:t>
            </w:r>
          </w:p>
        </w:tc>
        <w:tc>
          <w:tcPr>
            <w:tcW w:type="dxa" w:w="1080"/>
          </w:tcPr>
          <w:p>
            <w:r>
              <w:t>Survivorship-Check</w:t>
            </w:r>
          </w:p>
        </w:tc>
        <w:tc>
          <w:tcPr>
            <w:tcW w:type="dxa" w:w="1080"/>
          </w:tcPr>
          <w:p>
            <w:r>
              <w:t>‚Lebende‘ vs. ‚alle jemals‘ – beides testen.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Backtests</w:t>
            </w:r>
          </w:p>
        </w:tc>
        <w:tc>
          <w:tcPr>
            <w:tcW w:type="dxa" w:w="1080"/>
          </w:tcPr>
          <w:p>
            <w:r>
              <w:t>Kosten immer aktiv</w:t>
            </w:r>
          </w:p>
        </w:tc>
        <w:tc>
          <w:tcPr>
            <w:tcW w:type="dxa" w:w="1080"/>
          </w:tcPr>
          <w:p>
            <w:r>
              <w:t>1 € Order, bps, Spread/Latenz-Proxy.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Backtests</w:t>
            </w:r>
          </w:p>
        </w:tc>
        <w:tc>
          <w:tcPr>
            <w:tcW w:type="dxa" w:w="1080"/>
          </w:tcPr>
          <w:p>
            <w:r>
              <w:t>Berichtsset</w:t>
            </w:r>
          </w:p>
        </w:tc>
        <w:tc>
          <w:tcPr>
            <w:tcW w:type="dxa" w:w="1080"/>
          </w:tcPr>
          <w:p>
            <w:r>
              <w:t>CAGR, Sharpe/Sortino, MaxDD, PF, Win-Rate, Rolling.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Backtests</w:t>
            </w:r>
          </w:p>
        </w:tc>
        <w:tc>
          <w:tcPr>
            <w:tcW w:type="dxa" w:w="1080"/>
          </w:tcPr>
          <w:p>
            <w:r>
              <w:t>Promotion-Kriterien</w:t>
            </w:r>
          </w:p>
        </w:tc>
        <w:tc>
          <w:tcPr>
            <w:tcW w:type="dxa" w:w="1080"/>
          </w:tcPr>
          <w:p>
            <w:r>
              <w:t>PF≥1.3, Sharpe≥0.9, Stable OOT – sonst No-Ship.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UI/UX</w:t>
            </w:r>
          </w:p>
        </w:tc>
        <w:tc>
          <w:tcPr>
            <w:tcW w:type="dxa" w:w="1080"/>
          </w:tcPr>
          <w:p>
            <w:r>
              <w:t>Dark-Theme &amp; Badges</w:t>
            </w:r>
          </w:p>
        </w:tc>
        <w:tc>
          <w:tcPr>
            <w:tcW w:type="dxa" w:w="1080"/>
          </w:tcPr>
          <w:p>
            <w:r>
              <w:t>Score/Regime-Badges; klare Farbsemantik.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UI/UX</w:t>
            </w:r>
          </w:p>
        </w:tc>
        <w:tc>
          <w:tcPr>
            <w:tcW w:type="dxa" w:w="1080"/>
          </w:tcPr>
          <w:p>
            <w:r>
              <w:t>Heatmap Drill-down</w:t>
            </w:r>
          </w:p>
        </w:tc>
        <w:tc>
          <w:tcPr>
            <w:tcW w:type="dxa" w:w="1080"/>
          </w:tcPr>
          <w:p>
            <w:r>
              <w:t>Detail-‚Warum‘ (Regeln + SHAP).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UI/UX</w:t>
            </w:r>
          </w:p>
        </w:tc>
        <w:tc>
          <w:tcPr>
            <w:tcW w:type="dxa" w:w="1080"/>
          </w:tcPr>
          <w:p>
            <w:r>
              <w:t>Top-Listen</w:t>
            </w:r>
          </w:p>
        </w:tc>
        <w:tc>
          <w:tcPr>
            <w:tcW w:type="dxa" w:w="1080"/>
          </w:tcPr>
          <w:p>
            <w:r>
              <w:t>Tag/Woche/Monat; Top-15; Duplikate vermeiden.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UI/UX</w:t>
            </w:r>
          </w:p>
        </w:tc>
        <w:tc>
          <w:tcPr>
            <w:tcW w:type="dxa" w:w="1080"/>
          </w:tcPr>
          <w:p>
            <w:r>
              <w:t>Guardrails Settings</w:t>
            </w:r>
          </w:p>
        </w:tc>
        <w:tc>
          <w:tcPr>
            <w:tcW w:type="dxa" w:w="1080"/>
          </w:tcPr>
          <w:p>
            <w:r>
              <w:t>Limits, Defaults, Tooltips, Reset.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UI/UX</w:t>
            </w:r>
          </w:p>
        </w:tc>
        <w:tc>
          <w:tcPr>
            <w:tcW w:type="dxa" w:w="1080"/>
          </w:tcPr>
          <w:p>
            <w:r>
              <w:t>Warnbanner Fee-Gate</w:t>
            </w:r>
          </w:p>
        </w:tc>
        <w:tc>
          <w:tcPr>
            <w:tcW w:type="dxa" w:w="1080"/>
          </w:tcPr>
          <w:p>
            <w:r>
              <w:t>Hinweis bei zu kleinen Orders.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UI/UX</w:t>
            </w:r>
          </w:p>
        </w:tc>
        <w:tc>
          <w:tcPr>
            <w:tcW w:type="dxa" w:w="1080"/>
          </w:tcPr>
          <w:p>
            <w:r>
              <w:t>Journal Analytics</w:t>
            </w:r>
          </w:p>
        </w:tc>
        <w:tc>
          <w:tcPr>
            <w:tcW w:type="dxa" w:w="1080"/>
          </w:tcPr>
          <w:p>
            <w:r>
              <w:t>TR-CSV, P&amp;L, Setup-Performance.</w:t>
            </w:r>
          </w:p>
        </w:tc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Sprint 2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Betrieb</w:t>
            </w:r>
          </w:p>
        </w:tc>
        <w:tc>
          <w:tcPr>
            <w:tcW w:type="dxa" w:w="1080"/>
          </w:tcPr>
          <w:p>
            <w:r>
              <w:t>APScheduler</w:t>
            </w:r>
          </w:p>
        </w:tc>
        <w:tc>
          <w:tcPr>
            <w:tcW w:type="dxa" w:w="1080"/>
          </w:tcPr>
          <w:p>
            <w:r>
              <w:t>EOD 22:00 CET; Intraday 10 min; Jobstore, Locks, Retry.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Betrieb</w:t>
            </w:r>
          </w:p>
        </w:tc>
        <w:tc>
          <w:tcPr>
            <w:tcW w:type="dxa" w:w="1080"/>
          </w:tcPr>
          <w:p>
            <w:r>
              <w:t>Idempotenz</w:t>
            </w:r>
          </w:p>
        </w:tc>
        <w:tc>
          <w:tcPr>
            <w:tcW w:type="dxa" w:w="1080"/>
          </w:tcPr>
          <w:p>
            <w:r>
              <w:t>Checkpointing; Hashes; wiederholbare Läufe.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Sprint 1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Betrieb</w:t>
            </w:r>
          </w:p>
        </w:tc>
        <w:tc>
          <w:tcPr>
            <w:tcW w:type="dxa" w:w="1080"/>
          </w:tcPr>
          <w:p>
            <w:r>
              <w:t>Logging</w:t>
            </w:r>
          </w:p>
        </w:tc>
        <w:tc>
          <w:tcPr>
            <w:tcW w:type="dxa" w:w="1080"/>
          </w:tcPr>
          <w:p>
            <w:r>
              <w:t>Rotierende &amp; JSON-Logs; Korrelations-ID je Lauf.</w:t>
            </w:r>
          </w:p>
        </w:tc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Sprint 3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Betrieb</w:t>
            </w:r>
          </w:p>
        </w:tc>
        <w:tc>
          <w:tcPr>
            <w:tcW w:type="dxa" w:w="1080"/>
          </w:tcPr>
          <w:p>
            <w:r>
              <w:t>Self-Test-Seite</w:t>
            </w:r>
          </w:p>
        </w:tc>
        <w:tc>
          <w:tcPr>
            <w:tcW w:type="dxa" w:w="1080"/>
          </w:tcPr>
          <w:p>
            <w:r>
              <w:t>Ampel: Daten/Features/Modelle/FX frisch?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Betrieb</w:t>
            </w:r>
          </w:p>
        </w:tc>
        <w:tc>
          <w:tcPr>
            <w:tcW w:type="dxa" w:w="1080"/>
          </w:tcPr>
          <w:p>
            <w:r>
              <w:t>Ressourcen-Management</w:t>
            </w:r>
          </w:p>
        </w:tc>
        <w:tc>
          <w:tcPr>
            <w:tcW w:type="dxa" w:w="1080"/>
          </w:tcPr>
          <w:p>
            <w:r>
              <w:t>Batching bei großen Watchlists.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Governance</w:t>
            </w:r>
          </w:p>
        </w:tc>
        <w:tc>
          <w:tcPr>
            <w:tcW w:type="dxa" w:w="1080"/>
          </w:tcPr>
          <w:p>
            <w:r>
              <w:t>Secrets in .env</w:t>
            </w:r>
          </w:p>
        </w:tc>
        <w:tc>
          <w:tcPr>
            <w:tcW w:type="dxa" w:w="1080"/>
          </w:tcPr>
          <w:p>
            <w:r>
              <w:t>Nie im Code; Rate-Limits beachten.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Governance</w:t>
            </w:r>
          </w:p>
        </w:tc>
        <w:tc>
          <w:tcPr>
            <w:tcW w:type="dxa" w:w="1080"/>
          </w:tcPr>
          <w:p>
            <w:r>
              <w:t>Rechtemodell</w:t>
            </w:r>
          </w:p>
        </w:tc>
        <w:tc>
          <w:tcPr>
            <w:tcW w:type="dxa" w:w="1080"/>
          </w:tcPr>
          <w:p>
            <w:r>
              <w:t>Bei Serverbetrieb Nutzerrollen definieren.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Governance</w:t>
            </w:r>
          </w:p>
        </w:tc>
        <w:tc>
          <w:tcPr>
            <w:tcW w:type="dxa" w:w="1080"/>
          </w:tcPr>
          <w:p>
            <w:r>
              <w:t>Disclaimer &amp; Paper</w:t>
            </w:r>
          </w:p>
        </w:tc>
        <w:tc>
          <w:tcPr>
            <w:tcW w:type="dxa" w:w="1080"/>
          </w:tcPr>
          <w:p>
            <w:r>
              <w:t>Paper-Trading als Default; Hinweise sichtbar.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Governance</w:t>
            </w:r>
          </w:p>
        </w:tc>
        <w:tc>
          <w:tcPr>
            <w:tcW w:type="dxa" w:w="1080"/>
          </w:tcPr>
          <w:p>
            <w:r>
              <w:t>Konfig-Hash</w:t>
            </w:r>
          </w:p>
        </w:tc>
        <w:tc>
          <w:tcPr>
            <w:tcW w:type="dxa" w:w="1080"/>
          </w:tcPr>
          <w:p>
            <w:r>
              <w:t>Reports enthalten Config- und Git-Hash.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Governance</w:t>
            </w:r>
          </w:p>
        </w:tc>
        <w:tc>
          <w:tcPr>
            <w:tcW w:type="dxa" w:w="1080"/>
          </w:tcPr>
          <w:p>
            <w:r>
              <w:t>Aufbewahrung</w:t>
            </w:r>
          </w:p>
        </w:tc>
        <w:tc>
          <w:tcPr>
            <w:tcW w:type="dxa" w:w="1080"/>
          </w:tcPr>
          <w:p>
            <w:r>
              <w:t>Logs/Reports mit Rotationspolicy.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Qualität</w:t>
            </w:r>
          </w:p>
        </w:tc>
        <w:tc>
          <w:tcPr>
            <w:tcW w:type="dxa" w:w="1080"/>
          </w:tcPr>
          <w:p>
            <w:r>
              <w:t>Unit-Tests</w:t>
            </w:r>
          </w:p>
        </w:tc>
        <w:tc>
          <w:tcPr>
            <w:tcW w:type="dxa" w:w="1080"/>
          </w:tcPr>
          <w:p>
            <w:r>
              <w:t>Indikatoren/Fees/P&amp;L/FX/Score – Referenzabgleich.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Qualität</w:t>
            </w:r>
          </w:p>
        </w:tc>
        <w:tc>
          <w:tcPr>
            <w:tcW w:type="dxa" w:w="1080"/>
          </w:tcPr>
          <w:p>
            <w:r>
              <w:t>Integration/Load/Edge</w:t>
            </w:r>
          </w:p>
        </w:tc>
        <w:tc>
          <w:tcPr>
            <w:tcW w:type="dxa" w:w="1080"/>
          </w:tcPr>
          <w:p>
            <w:r>
              <w:t>End-to-End Pipeline; Last; Delisting/Splits/Zeitzonen.</w:t>
            </w:r>
          </w:p>
        </w:tc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Sprint 4+ / Backlog</w:t>
            </w:r>
          </w:p>
        </w:tc>
        <w:tc>
          <w:tcPr>
            <w:tcW w:type="dxa" w:w="1080"/>
          </w:tcPr>
          <w:p>
            <w:r>
              <w:t>TODO</w:t>
            </w:r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