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Systemanalyse &amp; Korrekturen – Trading-System (Python v24.1)</w:t>
      </w:r>
    </w:p>
    <w:p>
      <w:pPr>
        <w:jc w:val="left"/>
      </w:pPr>
      <w:r>
        <w:t>Stand: 2025-08-21 07:51 UTC</w:t>
        <w:br/>
        <w:t>Autor: Dein Coach</w:t>
      </w:r>
    </w:p>
    <w:p>
      <w:pPr>
        <w:pStyle w:val="Heading1"/>
      </w:pPr>
      <w:r>
        <w:t>Executive Summary</w:t>
      </w:r>
    </w:p>
    <w:p>
      <w:r>
        <w:t>Dieses Dokument prüft und korrigiert den Masterplan. Ziel: robuste 90–95 % Abdeckung, klare Guardrails gegen Überanpassung, saubere Datenflüsse, reproduzierbare Backtests inkl. Gebührenmodell (1 € pro Order) und eine fehlerarme Ausführung.</w:t>
      </w:r>
    </w:p>
    <w:p>
      <w:pPr>
        <w:pStyle w:val="Heading1"/>
      </w:pPr>
      <w:r>
        <w:t>Top-Risiken &amp; Sofort-Korrekturen</w:t>
      </w:r>
    </w:p>
    <w:p>
      <w:r>
        <w:t>• Datenqualität &amp; Leaks: Korrektur: strikte Idempotenz, Ausreißer-/NaN-Checks, Uhrzeit-/Zeitzonen-Normalisierung, keine rückblickenden Merkmale (no future leakage), Label-Shift-Kontrollen.</w:t>
      </w:r>
    </w:p>
    <w:p>
      <w:r>
        <w:t>• Kostenmodell unterschätzt: Korrektur: Fee-Gate-Formel und Mindestordergröße: min_notional_eur = 1 € / max_fee_per_side. Bei 0,15 % pro Seite → 1 / 0,0015 ≈ 667 € (auf 700–800 € runden).</w:t>
      </w:r>
    </w:p>
    <w:p>
      <w:r>
        <w:t>• Survivorship Bias: Korrektur: Delistete Ticker werden markiert/geladen; Filter für gültige Handelszeiträume.</w:t>
      </w:r>
    </w:p>
    <w:p>
      <w:r>
        <w:t>• Regime-Mischung: Korrektur: Regime-aware Gewichte (Score) + Strategie-Switch per Regime.</w:t>
      </w:r>
    </w:p>
    <w:p>
      <w:r>
        <w:t>• News-Noise/Clickbait: Korrektur: Whitelist/Blacklist, Domain-Reputation, Dedupe (Hash), Velocity + Novelty-Score.</w:t>
      </w:r>
    </w:p>
    <w:p>
      <w:r>
        <w:t>• CV-Leakage bei ML: Korrektur: PurgedKFold mit Embargo = Label-Horizont; Walk-Forward-Splits; Feature-Lags prüfen.</w:t>
      </w:r>
    </w:p>
    <w:p>
      <w:r>
        <w:t>• Slippage/Spread zu optimistisch: Korrektur: dynamischer Spread-Proxy (Volatilität×Volumen), bps per Tickerklasse.</w:t>
      </w:r>
    </w:p>
    <w:p>
      <w:r>
        <w:t>• Währungsrisiko: Korrektur: EUR-Konvertierung via EZB-FX, konsistente Performance in EUR.</w:t>
      </w:r>
    </w:p>
    <w:p>
      <w:r>
        <w:t>• Scheduler/Concurency: Korrektur: Jobstore, Locks (pro Ticker), Backoff/Retry, Deadline-Timeouts, Idempotenz.</w:t>
      </w:r>
    </w:p>
    <w:p>
      <w:r>
        <w:t>• UI-Fehlbedienung: Korrektur: Defaults sicher (z. B. Score ≥ 70), Warnungen bei kleinen Orders, Tooltips/Checks.</w:t>
      </w:r>
    </w:p>
    <w:p>
      <w:pPr>
        <w:pStyle w:val="Heading1"/>
      </w:pPr>
      <w:r>
        <w:t>Architektur – Korrekturen &amp; Entscheidungen</w:t>
      </w:r>
    </w:p>
    <w:p>
      <w:r>
        <w:t>• Trennung von ETL, Features, Signals, ML, Portfolio, Backtests, UI.</w:t>
        <w:br/>
        <w:t>• Feature-Store: Parquet + DuckDB (Schema-Versionierung, Migrationsskripte).</w:t>
        <w:br/>
        <w:t>• Konfiguration: config.yaml + .env (Keys nie im Code, Secrets aus Umgebung).</w:t>
        <w:br/>
        <w:t>• Logging: Rotating-Logs, strukturierte JSON-Logs optional.</w:t>
        <w:br/>
        <w:t>• Tests: Unit (Formeln, Gebühren, P&amp;L), Integration (ETL→Features→Backtest), Golden-Files.</w:t>
      </w:r>
    </w:p>
    <w:p>
      <w:pPr>
        <w:pStyle w:val="Heading1"/>
      </w:pPr>
      <w:r>
        <w:t>Daten – Ingestion, Validierung, Historie</w:t>
      </w:r>
    </w:p>
    <w:p>
      <w:r>
        <w:t>• Preise: Yahoo (20+ Jahre) als Basis; Umschaltbar auf Finnhub/Alpha Vantage.</w:t>
        <w:br/>
        <w:t>• Intraday optional (15m), Handelstage/Feiertage via Calendar; Timezone: Europe/Berlin.</w:t>
        <w:br/>
        <w:t>• Corporate Actions: auto_adjust; Splits/Dividenden protokollieren.</w:t>
        <w:br/>
        <w:t>• Validierung: fehlende Tage erkennen, NaNs schließen (forward-fill begrenzt), Ausreißer-Clipping.</w:t>
        <w:br/>
        <w:t>• Währung: EZB-FX Cache; alle Auswertungen in EUR.</w:t>
      </w:r>
    </w:p>
    <w:p>
      <w:pPr>
        <w:pStyle w:val="Heading1"/>
      </w:pPr>
      <w:r>
        <w:t>Features &amp; Indikatoren – Präzisierung</w:t>
      </w:r>
    </w:p>
    <w:p>
      <w:r>
        <w:t>• Indikatoren: SMA/EMA(20/50/200), RSI14, MACD(12/26/9), StochRSI, ATR14, ADX, Bollinger, Keltner, Donchian, OBV, SuperTrend – Formeln per pandas_ta geprüft.</w:t>
        <w:br/>
        <w:t>• Struktur-Features: Momentum(20/60/120d), Rolling-Vol (Parkinson/Garman–Klass), Squeeze-Score, Trend-Age, Gap-Stats, Liquidity/Spread-Proxy.</w:t>
        <w:br/>
        <w:t>• Regime: Vola-Regime (Quantile), HMM/Change-Points; Risk-On/Off-Proxy.</w:t>
        <w:br/>
        <w:t>• Feature Hygiene: alle Features strikt gelaggt (t-0 nur auf vergangenen Daten).</w:t>
      </w:r>
    </w:p>
    <w:p>
      <w:pPr>
        <w:pStyle w:val="Heading1"/>
      </w:pPr>
      <w:r>
        <w:t>Signale &amp; Scoring – Korrekturen</w:t>
      </w:r>
    </w:p>
    <w:p>
      <w:r>
        <w:t>• Filter zuerst (Liquidität/Spread/Regime), dann Signale (Trend/Breakout/Reversal).</w:t>
        <w:br/>
        <w:t>• Composite-Score (0–100): 40 % Regel, 40 % ML, 20 % News; Regime-aware Regewichtung (Trendregime: Trend-Signale höher gewichten; Mean-Revert-Regime: Reversal höher).</w:t>
        <w:br/>
        <w:t>• Top-Listen definieren: Tag/Woche/Monat basierend auf Composite und Stabilität (Vol, Drawdown).</w:t>
      </w:r>
    </w:p>
    <w:p>
      <w:pPr>
        <w:pStyle w:val="Heading1"/>
      </w:pPr>
      <w:r>
        <w:t>KI/ML – Pipeline &amp; Guardrails</w:t>
      </w:r>
    </w:p>
    <w:p>
      <w:r>
        <w:t>• Labeling: t+N Returns (10/20 Tage) mit Meta-Labeling (Lopez de Prado) zur FP-Reduktion.</w:t>
        <w:br/>
        <w:t>• CV: PurgedKFold (k=5) mit Embargo &gt;= Label-Horizont; Walk-Forward (3y train / 1y test rollend).</w:t>
        <w:br/>
        <w:t>• Modelle: LightGBM/CatBoost/XGBoost; Hyperparameter via Optuna (begrenzte Suchräume).</w:t>
        <w:br/>
        <w:t>• Explainability: SHAP (global/lokal) in der Detail-Ansicht; Drift-Checks mit Alarm.</w:t>
        <w:br/>
        <w:t>• Anomalie-Detektion: IsolationForest für Outliers; optional Autoencoder.</w:t>
        <w:br/>
        <w:t>• News-RAG/Embeddings: nur Whitelist-Domains, Dedupe, Velocity/Novelty; Embeddings offline cache.</w:t>
        <w:br/>
        <w:t>• Anti-Overfitting: Early stopping, Regularisierung, Parameter-Budgets, Out-of-time Tests.</w:t>
      </w:r>
    </w:p>
    <w:p>
      <w:pPr>
        <w:pStyle w:val="Heading1"/>
      </w:pPr>
      <w:r>
        <w:t>Portfolio, Risiko &amp; Kosten – Korrekturen</w:t>
      </w:r>
    </w:p>
    <w:p>
      <w:r>
        <w:t>• 1 € Ordergebühr pro Transaktion; Slippage (7 bps default); Spread-Proxy dynamisch.</w:t>
        <w:br/>
        <w:t>• Fee-Gate: min_notional_eur = 1 / max_fee_per_side. Beispiel 0,15 % → 667 €, runde auf 700–800 €.</w:t>
        <w:br/>
        <w:t>• Positionsgrößen: Volatility-Budget (1/ATR), Max 10–20 % je Position, Exposure-Cap, Sektor-Cap 40 %.</w:t>
        <w:br/>
        <w:t>• SL/TP: Initial SL = 2×ATR; Chandelier = 3×ATR; TP-Leiter 1.5R/2R; Break-even bei 1.2R.</w:t>
        <w:br/>
        <w:t>• Horizonte: Kurz/Mittel/Lang – unterschiedliche Time-Filter und Exit-Logiken.</w:t>
        <w:br/>
        <w:t>• Korrelation: Korb-Ähnlichkeit (ρ&gt;0.8) begrenzt parallele Positionen.</w:t>
      </w:r>
    </w:p>
    <w:p>
      <w:pPr>
        <w:pStyle w:val="Heading1"/>
      </w:pPr>
      <w:r>
        <w:t>Backtesting – Realismus &amp; Reproduzierbarkeit</w:t>
      </w:r>
    </w:p>
    <w:p>
      <w:r>
        <w:t>• Engines: backtesting.py (Einzeltitel) + vectorbt (Portfolio); konsistente Kosten.</w:t>
        <w:br/>
        <w:t>• Walk-Forward mit festen Fenstern; PurgedKFold + Embargo = Label-Horizont.</w:t>
        <w:br/>
        <w:t>• Monte-Carlo (1000 Läufe) – Block-Resampling; Parameter-Stress.</w:t>
        <w:br/>
        <w:t>• Reports: Equity, Rolling Sharpe, Drawdowns, Confusion/Precision-Recall (ML-Setups).</w:t>
      </w:r>
    </w:p>
    <w:p>
      <w:pPr>
        <w:pStyle w:val="Heading1"/>
      </w:pPr>
      <w:r>
        <w:t>News &amp; Sentiment – Qualität &amp; Robustheit</w:t>
      </w:r>
    </w:p>
    <w:p>
      <w:r>
        <w:t>• Whitelist-Only für Signale; Blacklist hart; Dedupe per Hash, Near-Duplicate via Cosine.</w:t>
        <w:br/>
        <w:t>• Velocity (Events pro Zeit), Novelty (neue Info) einbeziehen; Ereignis-Tags (Earnings/M&amp;A).</w:t>
        <w:br/>
        <w:t>• Mehrsprachigkeit: Deutsch/Englisch; Ticker-Mapping konsistent.</w:t>
        <w:br/>
        <w:t>• UI: Quellen anzeigen, Sentiment-Score mit Vertrauensindikator.</w:t>
      </w:r>
    </w:p>
    <w:p>
      <w:pPr>
        <w:pStyle w:val="Heading1"/>
      </w:pPr>
      <w:r>
        <w:t>UI &amp; Bedienung – Konsistenz &amp; Schutz</w:t>
      </w:r>
    </w:p>
    <w:p>
      <w:r>
        <w:t>• Dark-Theme, klare Filter-Defaults, Warnungen bei Order &lt; Fee-Gate.</w:t>
        <w:br/>
        <w:t>• Heatmap mit Drill-down; Detail-Sheet: Chart + Indikatoren + SHAP + News.</w:t>
        <w:br/>
        <w:t>• Settings: alles konfigurierbar; Reset-zu-Defaults; Tooltips.</w:t>
        <w:br/>
        <w:t>• QA-Seite: Ampel für Daten/Features/Modelle/FX.</w:t>
      </w:r>
    </w:p>
    <w:p>
      <w:pPr>
        <w:pStyle w:val="Heading1"/>
      </w:pPr>
      <w:r>
        <w:t>Orchestrierung &amp; Zuverlässigkeit</w:t>
      </w:r>
    </w:p>
    <w:p>
      <w:r>
        <w:t>• APScheduler: EOD 22:00 CET; Intraday alle 10 min (Handelszeiten beachten).</w:t>
        <w:br/>
        <w:t>• Jobstore (SQLite), Locks, Backoff/Retry, Timeouts; Idempotente Jobs.</w:t>
        <w:br/>
        <w:t>• Monitoring: Log-Rotation, Fehlerklassen, Self-Test-Tasks.</w:t>
        <w:br/>
        <w:t>• Environments: dev/prod Profile, reproduzierbare Seeds.</w:t>
      </w:r>
    </w:p>
    <w:p>
      <w:pPr>
        <w:pStyle w:val="Heading1"/>
      </w:pPr>
      <w:r>
        <w:t>QA-Plan &amp; Tests (Checklisten)</w:t>
      </w:r>
    </w:p>
    <w:p>
      <w:r>
        <w:t>Unit-Tests: Indikatorwerte, Gebühren, P&amp;L, FX-Kurse, Score-Berechnung.</w:t>
        <w:br/>
        <w:t>Integrations-Tests: ETL→Features→Signals→Backtest Pipeline.</w:t>
        <w:br/>
        <w:t>Akzeptanz-Tests: Top-Listen korrekt, Fee-Gate greift, UI-Filter stabil.</w:t>
        <w:br/>
        <w:t>Last-Tests: große Watchlist (100+), 20+ Jahre; Speichern/Lesen DuckDB/Parquet.</w:t>
        <w:br/>
        <w:t>Edge-Cases: Delistings, Splits, Null-Volumen-Tage, Zeitzonenwechsel (Sommer/Winter).</w:t>
      </w:r>
    </w:p>
    <w:p>
      <w:pPr>
        <w:pStyle w:val="Heading1"/>
      </w:pPr>
      <w:r>
        <w:t>Build-Plan (v24 → v28) – Aufgaben &amp; DoD</w:t>
      </w:r>
    </w:p>
    <w:p>
      <w:r>
        <w:t>v24: Datenzugriff (20y), Feature-Store, Screener, Backtests (1 €/Slippage), UI (Dark), Journal, QA.</w:t>
        <w:br/>
        <w:t>v25: News/Sentiment voll, Composite-Score, Alerts.</w:t>
        <w:br/>
        <w:t>v26: ML-Training, Walk-Forward, SHAP, Drift-Monitoring.</w:t>
        <w:br/>
        <w:t>v27: Portfolio-Backtests, Monte-Carlo, Reporting.</w:t>
        <w:br/>
        <w:t>v28: Docker/Installer, Polish, Performance.</w:t>
      </w:r>
    </w:p>
    <w:p>
      <w:pPr>
        <w:pStyle w:val="Heading1"/>
      </w:pPr>
      <w:r>
        <w:t>Diagramm – Systemarchitektur</w:t>
      </w:r>
    </w:p>
    <w:p>
      <w:r>
        <w:drawing>
          <wp:inline xmlns:a="http://schemas.openxmlformats.org/drawingml/2006/main" xmlns:pic="http://schemas.openxmlformats.org/drawingml/2006/picture">
            <wp:extent cx="5943600" cy="3542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_v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Diagramm – ML-Trainings-/Scoring-Flow</w:t>
      </w:r>
    </w:p>
    <w:p>
      <w:r>
        <w:drawing>
          <wp:inline xmlns:a="http://schemas.openxmlformats.org/drawingml/2006/main" xmlns:pic="http://schemas.openxmlformats.org/drawingml/2006/picture">
            <wp:extent cx="5943600" cy="2941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low_v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7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