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4E79"/>
          <w:sz w:val="40"/>
          <w:szCs w:val="40"/>
        </w:rPr>
        <w:t xml:space="preserve">Telecom Customer Churn Analysis</w:t>
      </w:r>
    </w:p>
    <w:p>
      <w:pPr>
        <w:spacing w:after="80" w:before="0"/>
        <w:jc w:val="center"/>
      </w:pPr>
      <w:r>
        <w:rPr>
          <w:rFonts w:ascii="Arial" w:cs="Arial" w:eastAsia="Arial" w:hAnsi="Arial"/>
          <w:color w:val="5A5A5A"/>
          <w:sz w:val="26"/>
          <w:szCs w:val="26"/>
        </w:rPr>
        <w:t xml:space="preserve">Executive Summary Report</w:t>
      </w:r>
    </w:p>
    <w:p>
      <w:pPr>
        <w:spacing w:after="200" w:before="0"/>
        <w:jc w:val="center"/>
      </w:pPr>
      <w:r>
        <w:rPr>
          <w:rFonts w:ascii="Arial" w:cs="Arial" w:eastAsia="Arial" w:hAnsi="Arial"/>
          <w:color w:val="888888"/>
          <w:sz w:val="20"/>
          <w:szCs w:val="20"/>
        </w:rPr>
        <w:t xml:space="preserve">Dataset: Customer_churn.csv  |  Total Records: 7,043  |  Features: 21</w:t>
      </w:r>
    </w:p>
    <w:p>
      <w:pPr>
        <w:pBdr>
          <w:bottom w:val="single" w:color="2E75B6" w:sz="4" w:space="1"/>
        </w:pBdr>
        <w:spacing w:after="100" w:before="100"/>
      </w:pPr>
    </w:p>
    <w:p>
      <w:pPr>
        <w:pStyle w:val="Heading1"/>
        <w:spacing w:after="120" w:before="300"/>
      </w:pPr>
      <w:r>
        <w:rPr>
          <w:rFonts w:ascii="Arial" w:cs="Arial" w:eastAsia="Arial" w:hAnsi="Arial"/>
          <w:b/>
          <w:bCs/>
          <w:color w:val="2E75B6"/>
          <w:sz w:val="28"/>
          <w:szCs w:val="28"/>
        </w:rPr>
        <w:t xml:space="preserve">1. Overview</w:t>
      </w:r>
    </w:p>
    <w:p>
      <w:pPr>
        <w:spacing w:after="80" w:before="80"/>
      </w:pPr>
      <w:r>
        <w:rPr>
          <w:rFonts w:ascii="Arial" w:cs="Arial" w:eastAsia="Arial" w:hAnsi="Arial"/>
          <w:sz w:val="22"/>
          <w:szCs w:val="22"/>
        </w:rPr>
        <w:t xml:space="preserve">This analysis explores customer churn behaviour in a telecom company using a dataset of 7,043 customers across 21 features. The objective was to identify key drivers of churn and uncover actionable insights through exploratory data analysis (EDA) and visualisation.</w:t>
      </w:r>
    </w:p>
    <w:p>
      <w:pPr>
        <w:spacing w:after="80" w:before="80"/>
      </w:pPr>
      <w:r>
        <w:rPr>
          <w:rFonts w:ascii="Arial" w:cs="Arial" w:eastAsia="Arial" w:hAnsi="Arial"/>
          <w:sz w:val="22"/>
          <w:szCs w:val="22"/>
        </w:rPr>
        <w:t xml:space="preserve">Data cleaning steps included converting TotalCharges from string to float (replacing blank values with 0 for new customers with zero tenure), and converting the SeniorCitizen column from binary (0/1) to readable labels (Yes/No) for easier interpretation.</w:t>
      </w:r>
    </w:p>
    <w:p>
      <w:pPr>
        <w:spacing w:before="100"/>
      </w:pPr>
    </w:p>
    <w:p>
      <w:pPr>
        <w:pStyle w:val="Heading1"/>
        <w:spacing w:after="120" w:before="300"/>
      </w:pPr>
      <w:r>
        <w:rPr>
          <w:rFonts w:ascii="Arial" w:cs="Arial" w:eastAsia="Arial" w:hAnsi="Arial"/>
          <w:b/>
          <w:bCs/>
          <w:color w:val="2E75B6"/>
          <w:sz w:val="28"/>
          <w:szCs w:val="28"/>
        </w:rPr>
        <w:t xml:space="preserve">2. 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7,043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Churned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1,869 (26.54%)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Retained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5,174 (73.46%)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Average Tenure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 months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 Charges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$18.25 – $118.75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Missing 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Duplicate Customer IDs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bl>
    <w:p>
      <w:pPr>
        <w:spacing w:before="160"/>
      </w:pPr>
    </w:p>
    <w:p>
      <w:pPr>
        <w:pStyle w:val="Heading1"/>
        <w:spacing w:after="120" w:before="300"/>
      </w:pPr>
      <w:r>
        <w:rPr>
          <w:rFonts w:ascii="Arial" w:cs="Arial" w:eastAsia="Arial" w:hAnsi="Arial"/>
          <w:b/>
          <w:bCs/>
          <w:color w:val="2E75B6"/>
          <w:sz w:val="28"/>
          <w:szCs w:val="28"/>
        </w:rPr>
        <w:t xml:space="preserve">3. Churn Overview</w:t>
      </w:r>
    </w:p>
    <w:p>
      <w:pPr>
        <w:spacing w:after="80" w:before="80"/>
      </w:pPr>
      <w:r>
        <w:rPr>
          <w:rFonts w:ascii="Arial" w:cs="Arial" w:eastAsia="Arial" w:hAnsi="Arial"/>
          <w:sz w:val="22"/>
          <w:szCs w:val="22"/>
        </w:rPr>
        <w:t xml:space="preserve">The pie chart and countplot revealed that 26.54% of customers have churned, indicating a significant retention problem. Nearly 1 in 4 customers is leaving, which warrants deep investigation into the underlying causes.</w:t>
      </w:r>
    </w:p>
    <w:p>
      <w:pPr>
        <w:spacing w:before="100"/>
      </w:pPr>
    </w:p>
    <w:p>
      <w:pPr>
        <w:pStyle w:val="Heading1"/>
        <w:spacing w:after="120" w:before="300"/>
      </w:pPr>
      <w:r>
        <w:rPr>
          <w:rFonts w:ascii="Arial" w:cs="Arial" w:eastAsia="Arial" w:hAnsi="Arial"/>
          <w:b/>
          <w:bCs/>
          <w:color w:val="2E75B6"/>
          <w:sz w:val="28"/>
          <w:szCs w:val="28"/>
        </w:rPr>
        <w:t xml:space="preserve">4. Demographic Analysis</w:t>
      </w:r>
    </w:p>
    <w:p>
      <w:pPr>
        <w:pStyle w:val="Heading2"/>
        <w:spacing w:after="100" w:before="200"/>
      </w:pPr>
      <w:r>
        <w:rPr>
          <w:rFonts w:ascii="Arial" w:cs="Arial" w:eastAsia="Arial" w:hAnsi="Arial"/>
          <w:b/>
          <w:bCs/>
          <w:color w:val="404040"/>
          <w:sz w:val="24"/>
          <w:szCs w:val="24"/>
        </w:rPr>
        <w:t xml:space="preserve">4.1 Gender</w:t>
      </w:r>
    </w:p>
    <w:p>
      <w:pPr>
        <w:spacing w:after="80" w:before="80"/>
      </w:pPr>
      <w:r>
        <w:rPr>
          <w:rFonts w:ascii="Arial" w:cs="Arial" w:eastAsia="Arial" w:hAnsi="Arial"/>
          <w:sz w:val="22"/>
          <w:szCs w:val="22"/>
        </w:rPr>
        <w:t xml:space="preserve">The churn-by-gender countplot showed that churn rates are nearly identical across male and female customers. Gender does not appear to be a significant predictor of churn, with both groups showing similar proportions of churned vs. retained customers.</w:t>
      </w:r>
    </w:p>
    <w:p>
      <w:pPr>
        <w:pStyle w:val="Heading2"/>
        <w:spacing w:after="100" w:before="200"/>
      </w:pPr>
      <w:r>
        <w:rPr>
          <w:rFonts w:ascii="Arial" w:cs="Arial" w:eastAsia="Arial" w:hAnsi="Arial"/>
          <w:b/>
          <w:bCs/>
          <w:color w:val="404040"/>
          <w:sz w:val="24"/>
          <w:szCs w:val="24"/>
        </w:rPr>
        <w:t xml:space="preserve">4.2 Senior Citizens</w:t>
      </w:r>
    </w:p>
    <w:p>
      <w:pPr>
        <w:spacing w:after="80" w:before="80"/>
      </w:pPr>
      <w:r>
        <w:rPr>
          <w:rFonts w:ascii="Arial" w:cs="Arial" w:eastAsia="Arial" w:hAnsi="Arial"/>
          <w:sz w:val="22"/>
          <w:szCs w:val="22"/>
        </w:rPr>
        <w:t xml:space="preserve">Although senior citizens make up only ~16% of the customer base, they churn at a disproportionately higher rate compared to non-senior customers. The stacked bar chart clearly showed that a greater percentage of senior citizens have churned, making this demographic a high-risk group.</w:t>
      </w:r>
    </w:p>
    <w:p>
      <w:pPr>
        <w:spacing w:before="100"/>
      </w:pPr>
    </w:p>
    <w:p>
      <w:pPr>
        <w:pStyle w:val="Heading1"/>
        <w:spacing w:after="120" w:before="300"/>
      </w:pPr>
      <w:r>
        <w:rPr>
          <w:rFonts w:ascii="Arial" w:cs="Arial" w:eastAsia="Arial" w:hAnsi="Arial"/>
          <w:b/>
          <w:bCs/>
          <w:color w:val="2E75B6"/>
          <w:sz w:val="28"/>
          <w:szCs w:val="28"/>
        </w:rPr>
        <w:t xml:space="preserve">5. Tenure Analysis</w:t>
      </w:r>
    </w:p>
    <w:p>
      <w:pPr>
        <w:spacing w:after="80" w:before="80"/>
      </w:pPr>
      <w:r>
        <w:rPr>
          <w:rFonts w:ascii="Arial" w:cs="Arial" w:eastAsia="Arial" w:hAnsi="Arial"/>
          <w:sz w:val="22"/>
          <w:szCs w:val="22"/>
        </w:rPr>
        <w:t xml:space="preserve">The tenure histogram with churn overlay revealed a clear pattern:</w:t>
      </w:r>
    </w:p>
    <w:p>
      <w:pPr>
        <w:pStyle w:val="ListParagraph"/>
        <w:numPr>
          <w:ilvl w:val="0"/>
          <w:numId w:val="2"/>
        </w:numPr>
        <w:spacing w:after="60" w:before="60"/>
      </w:pPr>
      <w:r>
        <w:rPr>
          <w:rFonts w:ascii="Arial" w:cs="Arial" w:eastAsia="Arial" w:hAnsi="Arial"/>
          <w:sz w:val="22"/>
          <w:szCs w:val="22"/>
        </w:rPr>
        <w:t xml:space="preserve">Customers in their first 1–2 months are highly likely to churn — indicating poor early engagement or onboarding experience.</w:t>
      </w:r>
    </w:p>
    <w:p>
      <w:pPr>
        <w:pStyle w:val="ListParagraph"/>
        <w:numPr>
          <w:ilvl w:val="0"/>
          <w:numId w:val="2"/>
        </w:numPr>
        <w:spacing w:after="60" w:before="60"/>
      </w:pPr>
      <w:r>
        <w:rPr>
          <w:rFonts w:ascii="Arial" w:cs="Arial" w:eastAsia="Arial" w:hAnsi="Arial"/>
          <w:sz w:val="22"/>
          <w:szCs w:val="22"/>
        </w:rPr>
        <w:t xml:space="preserve">Long-tenure customers (2+ years) have significantly lower churn rates, suggesting that loyalty builds over time.</w:t>
      </w:r>
    </w:p>
    <w:p>
      <w:pPr>
        <w:pStyle w:val="ListParagraph"/>
        <w:numPr>
          <w:ilvl w:val="0"/>
          <w:numId w:val="2"/>
        </w:numPr>
        <w:spacing w:after="60" w:before="60"/>
      </w:pPr>
      <w:r>
        <w:rPr>
          <w:rFonts w:ascii="Arial" w:cs="Arial" w:eastAsia="Arial" w:hAnsi="Arial"/>
          <w:sz w:val="22"/>
          <w:szCs w:val="22"/>
        </w:rPr>
        <w:t xml:space="preserve">Retaining customers through the critical early months should be a priority.</w:t>
      </w:r>
    </w:p>
    <w:p>
      <w:pPr>
        <w:spacing w:before="100"/>
      </w:pPr>
    </w:p>
    <w:p>
      <w:pPr>
        <w:pStyle w:val="Heading1"/>
        <w:spacing w:after="120" w:before="300"/>
      </w:pPr>
      <w:r>
        <w:rPr>
          <w:rFonts w:ascii="Arial" w:cs="Arial" w:eastAsia="Arial" w:hAnsi="Arial"/>
          <w:b/>
          <w:bCs/>
          <w:color w:val="2E75B6"/>
          <w:sz w:val="28"/>
          <w:szCs w:val="28"/>
        </w:rPr>
        <w:t xml:space="preserve">6. Contract Type Analysis</w:t>
      </w:r>
    </w:p>
    <w:p>
      <w:pPr>
        <w:spacing w:after="80" w:before="80"/>
      </w:pPr>
      <w:r>
        <w:rPr>
          <w:rFonts w:ascii="Arial" w:cs="Arial" w:eastAsia="Arial" w:hAnsi="Arial"/>
          <w:sz w:val="22"/>
          <w:szCs w:val="22"/>
        </w:rPr>
        <w:t xml:space="preserve">The contract countplot with churn hue highlighted a strong relationship between contract type and churn:</w:t>
      </w:r>
    </w:p>
    <w:p>
      <w:pPr>
        <w:pStyle w:val="ListParagraph"/>
        <w:numPr>
          <w:ilvl w:val="0"/>
          <w:numId w:val="2"/>
        </w:numPr>
        <w:spacing w:after="60" w:before="60"/>
      </w:pPr>
      <w:r>
        <w:rPr>
          <w:rFonts w:ascii="Arial" w:cs="Arial" w:eastAsia="Arial" w:hAnsi="Arial"/>
          <w:sz w:val="22"/>
          <w:szCs w:val="22"/>
        </w:rPr>
        <w:t xml:space="preserve">Month-to-month customers churn at the highest rate — they have low commitment and can leave anytime.</w:t>
      </w:r>
    </w:p>
    <w:p>
      <w:pPr>
        <w:pStyle w:val="ListParagraph"/>
        <w:numPr>
          <w:ilvl w:val="0"/>
          <w:numId w:val="2"/>
        </w:numPr>
        <w:spacing w:after="60" w:before="60"/>
      </w:pPr>
      <w:r>
        <w:rPr>
          <w:rFonts w:ascii="Arial" w:cs="Arial" w:eastAsia="Arial" w:hAnsi="Arial"/>
          <w:sz w:val="22"/>
          <w:szCs w:val="22"/>
        </w:rPr>
        <w:t xml:space="preserve">One-year and two-year contract holders churn far less, showing that long-term contracts significantly improve retention.</w:t>
      </w:r>
    </w:p>
    <w:p>
      <w:pPr>
        <w:spacing w:after="80" w:before="80"/>
      </w:pPr>
      <w:r>
        <w:rPr>
          <w:rFonts w:ascii="Arial" w:cs="Arial" w:eastAsia="Arial" w:hAnsi="Arial"/>
          <w:sz w:val="22"/>
          <w:szCs w:val="22"/>
        </w:rPr>
        <w:t xml:space="preserve">Encouraging customers to switch from month-to-month to annual contracts could be one of the most effective retention strategies.</w:t>
      </w:r>
    </w:p>
    <w:p>
      <w:pPr>
        <w:spacing w:before="100"/>
      </w:pPr>
    </w:p>
    <w:p>
      <w:pPr>
        <w:pStyle w:val="Heading1"/>
        <w:spacing w:after="120" w:before="300"/>
      </w:pPr>
      <w:r>
        <w:rPr>
          <w:rFonts w:ascii="Arial" w:cs="Arial" w:eastAsia="Arial" w:hAnsi="Arial"/>
          <w:b/>
          <w:bCs/>
          <w:color w:val="2E75B6"/>
          <w:sz w:val="28"/>
          <w:szCs w:val="28"/>
        </w:rPr>
        <w:t xml:space="preserve">7. Service Feature Analysis (3x3 Subplots)</w:t>
      </w:r>
    </w:p>
    <w:p>
      <w:pPr>
        <w:spacing w:after="80" w:before="80"/>
      </w:pPr>
      <w:r>
        <w:rPr>
          <w:rFonts w:ascii="Arial" w:cs="Arial" w:eastAsia="Arial" w:hAnsi="Arial"/>
          <w:sz w:val="22"/>
          <w:szCs w:val="22"/>
        </w:rPr>
        <w:t xml:space="preserve">A 3×3 grid of countplots was created for the following service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Observation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PhoneService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of customers subscribe — very high adoption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MultipleLines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Roughly split between Yes / No / No phone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InternetService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Fiber optic leads (44%), DSL (34%), No internet (22%)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OnlineSecurity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Majority do NOT have it — upsell opportunity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OnlineBackup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Slightly more customers lack it than have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DeviceProtection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Similar split as OnlineBackup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TechSupport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Majority do NOT have it — upsell opportunity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StreamingTV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Nearly 50-50 split among internet users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StreamingMovies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Nearly 50-50 split among internet users</w:t>
            </w:r>
          </w:p>
        </w:tc>
      </w:tr>
    </w:tbl>
    <w:p>
      <w:pPr>
        <w:spacing w:before="120"/>
      </w:pPr>
    </w:p>
    <w:p>
      <w:pPr>
        <w:spacing w:after="80" w:before="80"/>
      </w:pPr>
      <w:r>
        <w:rPr>
          <w:rFonts w:ascii="Arial" w:cs="Arial" w:eastAsia="Arial" w:hAnsi="Arial"/>
          <w:sz w:val="22"/>
          <w:szCs w:val="22"/>
        </w:rPr>
        <w:t xml:space="preserve">The 1,526 customers with no internet service consistently appear across 6 columns as 'No internet service', which is expected and confirms data consistency.</w:t>
      </w:r>
    </w:p>
    <w:p>
      <w:pPr>
        <w:spacing w:before="100"/>
      </w:pPr>
    </w:p>
    <w:p>
      <w:pPr>
        <w:pStyle w:val="Heading1"/>
        <w:spacing w:after="120" w:before="300"/>
      </w:pPr>
      <w:r>
        <w:rPr>
          <w:rFonts w:ascii="Arial" w:cs="Arial" w:eastAsia="Arial" w:hAnsi="Arial"/>
          <w:b/>
          <w:bCs/>
          <w:color w:val="2E75B6"/>
          <w:sz w:val="28"/>
          <w:szCs w:val="28"/>
        </w:rPr>
        <w:t xml:space="preserve">8. Payment Method Analysis</w:t>
      </w:r>
    </w:p>
    <w:p>
      <w:pPr>
        <w:spacing w:after="80" w:before="80"/>
      </w:pPr>
      <w:r>
        <w:rPr>
          <w:rFonts w:ascii="Arial" w:cs="Arial" w:eastAsia="Arial" w:hAnsi="Arial"/>
          <w:sz w:val="22"/>
          <w:szCs w:val="22"/>
        </w:rPr>
        <w:t xml:space="preserve">The payment method countplot with churn hue revealed that customers paying via Electronic Check are significantly more likely to churn compared to those using automatic payment methods (bank transfer or credit card).</w:t>
      </w:r>
    </w:p>
    <w:p>
      <w:pPr>
        <w:pStyle w:val="ListParagraph"/>
        <w:numPr>
          <w:ilvl w:val="0"/>
          <w:numId w:val="2"/>
        </w:numPr>
        <w:spacing w:after="60" w:before="60"/>
      </w:pPr>
      <w:r>
        <w:rPr>
          <w:rFonts w:ascii="Arial" w:cs="Arial" w:eastAsia="Arial" w:hAnsi="Arial"/>
          <w:sz w:val="22"/>
          <w:szCs w:val="22"/>
        </w:rPr>
        <w:t xml:space="preserve">Electronic Check: Highest churn — customers may be less committed or have payment friction.</w:t>
      </w:r>
    </w:p>
    <w:p>
      <w:pPr>
        <w:pStyle w:val="ListParagraph"/>
        <w:numPr>
          <w:ilvl w:val="0"/>
          <w:numId w:val="2"/>
        </w:numPr>
        <w:spacing w:after="60" w:before="60"/>
      </w:pPr>
      <w:r>
        <w:rPr>
          <w:rFonts w:ascii="Arial" w:cs="Arial" w:eastAsia="Arial" w:hAnsi="Arial"/>
          <w:sz w:val="22"/>
          <w:szCs w:val="22"/>
        </w:rPr>
        <w:t xml:space="preserve">Automatic payments (bank transfer / credit card): Lower churn — auto-pay correlates with higher retention.</w:t>
      </w:r>
    </w:p>
    <w:p>
      <w:pPr>
        <w:spacing w:after="80" w:before="80"/>
      </w:pPr>
      <w:r>
        <w:rPr>
          <w:rFonts w:ascii="Arial" w:cs="Arial" w:eastAsia="Arial" w:hAnsi="Arial"/>
          <w:sz w:val="22"/>
          <w:szCs w:val="22"/>
        </w:rPr>
        <w:t xml:space="preserve">Promoting automatic payment options could help reduce churn among at-risk customers.</w:t>
      </w:r>
    </w:p>
    <w:p>
      <w:pPr>
        <w:spacing w:before="100"/>
      </w:pPr>
    </w:p>
    <w:p>
      <w:pPr>
        <w:pBdr>
          <w:bottom w:val="single" w:color="2E75B6" w:sz="4" w:space="1"/>
        </w:pBdr>
        <w:spacing w:after="100" w:before="100"/>
      </w:pPr>
    </w:p>
    <w:p>
      <w:pPr>
        <w:pStyle w:val="Heading1"/>
        <w:spacing w:after="120" w:before="300"/>
      </w:pPr>
      <w:r>
        <w:rPr>
          <w:rFonts w:ascii="Arial" w:cs="Arial" w:eastAsia="Arial" w:hAnsi="Arial"/>
          <w:b/>
          <w:bCs/>
          <w:color w:val="2E75B6"/>
          <w:sz w:val="28"/>
          <w:szCs w:val="28"/>
        </w:rPr>
        <w:t xml:space="preserve">9. Key Conclusions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Finding</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Recommendation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26.54% churn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proactive retention campaigns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Senior citizens churn more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Offer senior-specific plans or support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Early-tenure customers churn most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 onboarding experience in first 2 months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Month-to-month contracts churn most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Incentivise customers to switch to annual contracts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Electronic check = high churn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Encourage auto-pay enrollment with discounts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OnlineSecurity &amp; TechSupport adoption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Bundle these as upsell opportunities to improve stickiness</w:t>
            </w:r>
          </w:p>
        </w:tc>
      </w:tr>
    </w:tbl>
    <w:p>
      <w:pPr>
        <w:spacing w:before="200"/>
      </w:pPr>
    </w:p>
    <w:p>
      <w:pPr>
        <w:jc w:val="center"/>
      </w:pPr>
      <w:r>
        <w:rPr>
          <w:rFonts w:ascii="Arial" w:cs="Arial" w:eastAsia="Arial" w:hAnsi="Arial"/>
          <w:i/>
          <w:iCs/>
          <w:color w:val="AAAAAA"/>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2026-04-14T08:21:13.630Z</dcterms:created>
  <dcterms:modified xsi:type="dcterms:W3CDTF">2026-04-14T08:21:13.632Z</dcterms:modified>
</cp:coreProperties>
</file>

<file path=docProps/custom.xml><?xml version="1.0" encoding="utf-8"?>
<Properties xmlns="http://schemas.openxmlformats.org/officeDocument/2006/custom-properties" xmlns:vt="http://schemas.openxmlformats.org/officeDocument/2006/docPropsVTypes"/>
</file>