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jc w:val="center"/>
      </w:pPr>
      <w:r>
        <w:rPr>
          <w:rFonts w:ascii="Times New Roman" w:hAnsi="Times New Roman" w:eastAsia="Times New Roman"/>
          <w:b/>
          <w:sz w:val="36"/>
        </w:rPr>
        <w:t>PROJECT REPORT</w:t>
      </w:r>
    </w:p>
    <w:p>
      <w:pPr>
        <w:spacing w:after="80" w:line="240" w:lineRule="auto"/>
        <w:jc w:val="center"/>
      </w:pPr>
      <w:r>
        <w:rPr>
          <w:rFonts w:ascii="Times New Roman" w:hAnsi="Times New Roman" w:eastAsia="Times New Roman"/>
          <w:b/>
          <w:sz w:val="40"/>
        </w:rPr>
        <w:t>Petroleum Dealer AI Decision Intelligence Platform</w:t>
      </w:r>
    </w:p>
    <w:p>
      <w:pPr>
        <w:spacing w:after="80" w:line="240" w:lineRule="auto"/>
        <w:jc w:val="center"/>
      </w:pPr>
      <w:r>
        <w:rPr>
          <w:rFonts w:ascii="Times New Roman" w:hAnsi="Times New Roman" w:eastAsia="Times New Roman"/>
          <w:b/>
          <w:i w:val="0"/>
          <w:sz w:val="26"/>
        </w:rPr>
        <w:t>Agentic AI Decision Intelligence for Petroleum Dealer Logistics &amp; Refinery Dispatch Management</w:t>
      </w:r>
    </w:p>
    <w:p>
      <w:pPr>
        <w:spacing w:after="80" w:line="240" w:lineRule="auto"/>
        <w:jc w:val="center"/>
      </w:pPr>
      <w:r>
        <w:rPr>
          <w:rFonts w:ascii="Times New Roman" w:hAnsi="Times New Roman" w:eastAsia="Times New Roman"/>
          <w:b w:val="0"/>
          <w:i w:val="0"/>
          <w:sz w:val="24"/>
        </w:rPr>
        <w:t>Artificial Intelligence Course Project</w:t>
      </w:r>
    </w:p>
    <w:p>
      <w:pPr>
        <w:spacing w:after="80" w:line="240" w:lineRule="auto"/>
        <w:jc w:val="center"/>
      </w:pPr>
      <w:r>
        <w:rPr>
          <w:rFonts w:ascii="Times New Roman" w:hAnsi="Times New Roman" w:eastAsia="Times New Roman"/>
          <w:b w:val="0"/>
          <w:i w:val="0"/>
          <w:sz w:val="22"/>
        </w:rPr>
        <w:t>Submitted in partial fulfilment of the requirements of the Artificial Intelligence course.</w:t>
      </w:r>
    </w:p>
    <w:p>
      <w:pPr>
        <w:spacing w:after="80" w:line="240" w:lineRule="auto"/>
        <w:jc w:val="center"/>
      </w:pPr>
      <w:r>
        <w:rPr>
          <w:rFonts w:ascii="Times New Roman" w:hAnsi="Times New Roman" w:eastAsia="Times New Roman"/>
          <w:b w:val="0"/>
          <w:i w:val="0"/>
          <w:sz w:val="22"/>
        </w:rPr>
        <w:br/>
        <w:t>Dealer-centric analytical report with dataset analysis, PEAS, BFS, DFS, Hill Climbing, Genetic Algorithm, Factor Analysis and decision recommendations.</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Abstract</w:t>
      </w:r>
    </w:p>
    <w:p>
      <w:pPr>
        <w:spacing w:after="80" w:line="240" w:lineRule="auto"/>
      </w:pPr>
      <w:r>
        <w:rPr>
          <w:rFonts w:ascii="Times New Roman" w:hAnsi="Times New Roman" w:eastAsia="Times New Roman"/>
          <w:b w:val="0"/>
          <w:i w:val="0"/>
        </w:rPr>
        <w:t>Petroleum dealers operate under tightly coupled constraints: uncertain fuel demand, limited storage capacity, tanker availability, refinery loading slots, driver and compliance requirements, traffic conditions and delivery deadlines. This project proposes an Agentic AI Decision Intelligence Platform in which the dealer remains the decision maker while specialized AI agents continuously analyze these variables and recommend order quantities, order timing, tanker/driver selection, loading slots, routes and dispatch priorities.</w:t>
      </w:r>
    </w:p>
    <w:p>
      <w:pPr>
        <w:spacing w:after="80" w:line="240" w:lineRule="auto"/>
      </w:pPr>
      <w:r>
        <w:rPr>
          <w:rFonts w:ascii="Times New Roman" w:hAnsi="Times New Roman" w:eastAsia="Times New Roman"/>
          <w:b w:val="0"/>
          <w:i w:val="0"/>
        </w:rPr>
        <w:t>For the Artificial Intelligence course component, a statistically structured synthetic dataset of 350 dealer-order records is used to demonstrate the analytical workflow before real operational data is available. The dataset contains order volume, current inventory, tanker availability, loading-slot waiting time, delivery deadlines, traffic factor, delivery distance, delay, tanker utilization, stock-out risk, on-time delivery and delivery cost.</w:t>
      </w:r>
    </w:p>
    <w:p>
      <w:pPr>
        <w:spacing w:after="80" w:line="240" w:lineRule="auto"/>
      </w:pPr>
      <w:r>
        <w:rPr>
          <w:rFonts w:ascii="Times New Roman" w:hAnsi="Times New Roman" w:eastAsia="Times New Roman"/>
          <w:b w:val="0"/>
          <w:i w:val="0"/>
        </w:rPr>
        <w:t>The report demonstrates descriptive analysis, a dealer-centered operational graph, BFS and DFS traversal, Hill Climbing for local dispatch optimization, a Genetic Algorithm as a population-based benchmark, and exploratory Factor Analysis. The analytical visuals are intentionally modeled in the style of the supplied sample report, while the variables, graph, optimization problem and interpretations are specific to petroleum dealer logistics.</w:t>
      </w:r>
    </w:p>
    <w:p>
      <w:pPr>
        <w:spacing w:after="80" w:line="240" w:lineRule="auto"/>
      </w:pPr>
      <w:r>
        <w:rPr>
          <w:rFonts w:ascii="Times New Roman" w:hAnsi="Times New Roman" w:eastAsia="Times New Roman"/>
          <w:b w:val="0"/>
          <w:i w:val="0"/>
        </w:rPr>
        <w:t>The dataset shows that the mean order volume is 11496 L, mean current inventory is 14768 L, mean estimated delivery delay is 42.1 minutes, and mean on-time delivery is 77.9%. Factor Analysis indicates four interpretable dimensions in the constructed logistics data. The top planning factors retained from the project's earlier numerical factor analysis are fuel demand/order volume, current fuel inventory, tanker availability, refinery loading-slot availability and delivery deadline/priority.</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Table of Contents</w:t>
      </w:r>
    </w:p>
    <w:p>
      <w:pPr>
        <w:spacing w:after="80" w:line="240" w:lineRule="auto"/>
      </w:pPr>
      <w:r>
        <w:rPr>
          <w:rFonts w:ascii="Times New Roman" w:hAnsi="Times New Roman" w:eastAsia="Times New Roman"/>
          <w:b w:val="0"/>
          <w:i w:val="0"/>
        </w:rPr>
        <w:t>1. Introduction</w:t>
      </w:r>
    </w:p>
    <w:p>
      <w:pPr>
        <w:spacing w:after="80" w:line="240" w:lineRule="auto"/>
      </w:pPr>
      <w:r>
        <w:rPr>
          <w:rFonts w:ascii="Times New Roman" w:hAnsi="Times New Roman" w:eastAsia="Times New Roman"/>
          <w:b w:val="0"/>
          <w:i w:val="0"/>
        </w:rPr>
        <w:t>2. Problem Definition and Objectives</w:t>
      </w:r>
    </w:p>
    <w:p>
      <w:pPr>
        <w:spacing w:after="80" w:line="240" w:lineRule="auto"/>
      </w:pPr>
      <w:r>
        <w:rPr>
          <w:rFonts w:ascii="Times New Roman" w:hAnsi="Times New Roman" w:eastAsia="Times New Roman"/>
          <w:b w:val="0"/>
          <w:i w:val="0"/>
        </w:rPr>
        <w:t>3. Dataset Selection and Description</w:t>
      </w:r>
    </w:p>
    <w:p>
      <w:pPr>
        <w:spacing w:after="80" w:line="240" w:lineRule="auto"/>
      </w:pPr>
      <w:r>
        <w:rPr>
          <w:rFonts w:ascii="Times New Roman" w:hAnsi="Times New Roman" w:eastAsia="Times New Roman"/>
          <w:b w:val="0"/>
          <w:i w:val="0"/>
        </w:rPr>
        <w:t>4. PEAS Analysis</w:t>
      </w:r>
    </w:p>
    <w:p>
      <w:pPr>
        <w:spacing w:after="80" w:line="240" w:lineRule="auto"/>
      </w:pPr>
      <w:r>
        <w:rPr>
          <w:rFonts w:ascii="Times New Roman" w:hAnsi="Times New Roman" w:eastAsia="Times New Roman"/>
          <w:b w:val="0"/>
          <w:i w:val="0"/>
        </w:rPr>
        <w:t>5. Data Preparation and Descriptive Analysis</w:t>
      </w:r>
    </w:p>
    <w:p>
      <w:pPr>
        <w:spacing w:after="80" w:line="240" w:lineRule="auto"/>
      </w:pPr>
      <w:r>
        <w:rPr>
          <w:rFonts w:ascii="Times New Roman" w:hAnsi="Times New Roman" w:eastAsia="Times New Roman"/>
          <w:b w:val="0"/>
          <w:i w:val="0"/>
        </w:rPr>
        <w:t>6. Breadth-First Search (BFS)</w:t>
      </w:r>
    </w:p>
    <w:p>
      <w:pPr>
        <w:spacing w:after="80" w:line="240" w:lineRule="auto"/>
      </w:pPr>
      <w:r>
        <w:rPr>
          <w:rFonts w:ascii="Times New Roman" w:hAnsi="Times New Roman" w:eastAsia="Times New Roman"/>
          <w:b w:val="0"/>
          <w:i w:val="0"/>
        </w:rPr>
        <w:t>7. Depth-First Search (DFS)</w:t>
      </w:r>
    </w:p>
    <w:p>
      <w:pPr>
        <w:spacing w:after="80" w:line="240" w:lineRule="auto"/>
      </w:pPr>
      <w:r>
        <w:rPr>
          <w:rFonts w:ascii="Times New Roman" w:hAnsi="Times New Roman" w:eastAsia="Times New Roman"/>
          <w:b w:val="0"/>
          <w:i w:val="0"/>
        </w:rPr>
        <w:t>8. Hill Climbing</w:t>
      </w:r>
    </w:p>
    <w:p>
      <w:pPr>
        <w:spacing w:after="80" w:line="240" w:lineRule="auto"/>
      </w:pPr>
      <w:r>
        <w:rPr>
          <w:rFonts w:ascii="Times New Roman" w:hAnsi="Times New Roman" w:eastAsia="Times New Roman"/>
          <w:b w:val="0"/>
          <w:i w:val="0"/>
        </w:rPr>
        <w:t>9. Genetic Algorithm</w:t>
      </w:r>
    </w:p>
    <w:p>
      <w:pPr>
        <w:spacing w:after="80" w:line="240" w:lineRule="auto"/>
      </w:pPr>
      <w:r>
        <w:rPr>
          <w:rFonts w:ascii="Times New Roman" w:hAnsi="Times New Roman" w:eastAsia="Times New Roman"/>
          <w:b w:val="0"/>
          <w:i w:val="0"/>
        </w:rPr>
        <w:t>10. Factor Analysis</w:t>
      </w:r>
    </w:p>
    <w:p>
      <w:pPr/>
      <w:r>
        <w:t>11. Cluster Analysis</w:t>
      </w:r>
    </w:p>
    <w:p>
      <w:pPr>
        <w:pStyle w:val="Heading1"/>
      </w:pPr>
      <w:r>
        <w:t>11. Cluster Analysis</w:t>
      </w:r>
    </w:p>
    <w:p>
      <w:pPr>
        <w:pStyle w:val="Heading2"/>
      </w:pPr>
      <w:r>
        <w:t>11.1 Purpose and Motivation</w:t>
      </w:r>
    </w:p>
    <w:p>
      <w:pPr/>
      <w:r>
        <w:t>Cluster Analysis complements the Factor Analysis results by segmenting the 350 synthetic dealer orders into behaviorally distinct groups based on operational characteristics. While Factor Analysis identifies the latent dimensions underlying the data, Cluster Analysis uses those dimensions—and the original feature space—to partition records into actionable operational profiles. This enables the AI platform to apply differentiated decision strategies: for example, routing high-urgency orders through a faster algorithm path, or applying stricter inventory alerts for clusters with elevated stockout risk.</w:t>
      </w:r>
    </w:p>
    <w:p>
      <w:pPr>
        <w:pStyle w:val="Heading2"/>
      </w:pPr>
      <w:r>
        <w:t>11.2 Feature Selection and Preprocessing</w:t>
      </w:r>
    </w:p>
    <w:p>
      <w:pPr/>
      <w:r>
        <w:t>Nine continuous operational metrics were selected as clustering features, matching those used in the Factor Analysis: order volume (L), current inventory (L), loading-slot waiting time (min), delivery distance (km), estimated delay (min), tanker utilization (%), stockout risk (%), on-time delivery (%), and delivery cost (INR). All features were standardized to zero mean and unit variance (StandardScaler) prior to clustering to prevent features with larger absolute scales from dominating the distance metric.</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E3A5F"/>
          </w:tcPr>
          <w:p>
            <w:r>
              <w:rPr>
                <w:b/>
                <w:color w:val="FFFFFF"/>
              </w:rPr>
              <w:t>Feature</w:t>
            </w:r>
          </w:p>
        </w:tc>
        <w:tc>
          <w:tcPr>
            <w:tcW w:type="dxa" w:w="3360"/>
            <w:shd w:val="clear" w:color="auto" w:fill="1E3A5F"/>
          </w:tcPr>
          <w:p>
            <w:r>
              <w:rPr>
                <w:b/>
                <w:color w:val="FFFFFF"/>
              </w:rPr>
              <w:t>Unit</w:t>
            </w:r>
          </w:p>
        </w:tc>
        <w:tc>
          <w:tcPr>
            <w:tcW w:type="dxa" w:w="3360"/>
            <w:shd w:val="clear" w:color="auto" w:fill="1E3A5F"/>
          </w:tcPr>
          <w:p>
            <w:r>
              <w:rPr>
                <w:b/>
                <w:color w:val="FFFFFF"/>
              </w:rPr>
              <w:t>Role in Clustering</w:t>
            </w:r>
          </w:p>
        </w:tc>
      </w:tr>
      <w:tr>
        <w:tc>
          <w:tcPr>
            <w:tcW w:type="dxa" w:w="3360"/>
            <w:shd w:val="clear" w:color="auto" w:fill="EFF6FF"/>
          </w:tcPr>
          <w:p>
            <w:r>
              <w:t>order_volume_l</w:t>
            </w:r>
          </w:p>
        </w:tc>
        <w:tc>
          <w:tcPr>
            <w:tcW w:type="dxa" w:w="3360"/>
            <w:shd w:val="clear" w:color="auto" w:fill="EFF6FF"/>
          </w:tcPr>
          <w:p>
            <w:r>
              <w:t>Litres</w:t>
            </w:r>
          </w:p>
        </w:tc>
        <w:tc>
          <w:tcPr>
            <w:tcW w:type="dxa" w:w="3360"/>
            <w:shd w:val="clear" w:color="auto" w:fill="EFF6FF"/>
          </w:tcPr>
          <w:p>
            <w:r>
              <w:t>Primary demand size indicator</w:t>
            </w:r>
          </w:p>
        </w:tc>
      </w:tr>
      <w:tr>
        <w:tc>
          <w:tcPr>
            <w:tcW w:type="dxa" w:w="3360"/>
            <w:shd w:val="clear" w:color="auto" w:fill="FFFFFF"/>
          </w:tcPr>
          <w:p>
            <w:r>
              <w:t>current_inventory_l</w:t>
            </w:r>
          </w:p>
        </w:tc>
        <w:tc>
          <w:tcPr>
            <w:tcW w:type="dxa" w:w="3360"/>
            <w:shd w:val="clear" w:color="auto" w:fill="FFFFFF"/>
          </w:tcPr>
          <w:p>
            <w:r>
              <w:t>Litres</w:t>
            </w:r>
          </w:p>
        </w:tc>
        <w:tc>
          <w:tcPr>
            <w:tcW w:type="dxa" w:w="3360"/>
            <w:shd w:val="clear" w:color="auto" w:fill="FFFFFF"/>
          </w:tcPr>
          <w:p>
            <w:r>
              <w:t>Supply-side stock position</w:t>
            </w:r>
          </w:p>
        </w:tc>
      </w:tr>
      <w:tr>
        <w:tc>
          <w:tcPr>
            <w:tcW w:type="dxa" w:w="3360"/>
            <w:shd w:val="clear" w:color="auto" w:fill="EFF6FF"/>
          </w:tcPr>
          <w:p>
            <w:r>
              <w:t>slot_wait_min</w:t>
            </w:r>
          </w:p>
        </w:tc>
        <w:tc>
          <w:tcPr>
            <w:tcW w:type="dxa" w:w="3360"/>
            <w:shd w:val="clear" w:color="auto" w:fill="EFF6FF"/>
          </w:tcPr>
          <w:p>
            <w:r>
              <w:t>Minutes</w:t>
            </w:r>
          </w:p>
        </w:tc>
        <w:tc>
          <w:tcPr>
            <w:tcW w:type="dxa" w:w="3360"/>
            <w:shd w:val="clear" w:color="auto" w:fill="EFF6FF"/>
          </w:tcPr>
          <w:p>
            <w:r>
              <w:t>Refinery coordination bottleneck</w:t>
            </w:r>
          </w:p>
        </w:tc>
      </w:tr>
      <w:tr>
        <w:tc>
          <w:tcPr>
            <w:tcW w:type="dxa" w:w="3360"/>
            <w:shd w:val="clear" w:color="auto" w:fill="FFFFFF"/>
          </w:tcPr>
          <w:p>
            <w:r>
              <w:t>delivery_distance_km</w:t>
            </w:r>
          </w:p>
        </w:tc>
        <w:tc>
          <w:tcPr>
            <w:tcW w:type="dxa" w:w="3360"/>
            <w:shd w:val="clear" w:color="auto" w:fill="FFFFFF"/>
          </w:tcPr>
          <w:p>
            <w:r>
              <w:t>Kilometres</w:t>
            </w:r>
          </w:p>
        </w:tc>
        <w:tc>
          <w:tcPr>
            <w:tcW w:type="dxa" w:w="3360"/>
            <w:shd w:val="clear" w:color="auto" w:fill="FFFFFF"/>
          </w:tcPr>
          <w:p>
            <w:r>
              <w:t>Route and logistics complexity</w:t>
            </w:r>
          </w:p>
        </w:tc>
      </w:tr>
      <w:tr>
        <w:tc>
          <w:tcPr>
            <w:tcW w:type="dxa" w:w="3360"/>
            <w:shd w:val="clear" w:color="auto" w:fill="EFF6FF"/>
          </w:tcPr>
          <w:p>
            <w:r>
              <w:t>estimated_delay_min</w:t>
            </w:r>
          </w:p>
        </w:tc>
        <w:tc>
          <w:tcPr>
            <w:tcW w:type="dxa" w:w="3360"/>
            <w:shd w:val="clear" w:color="auto" w:fill="EFF6FF"/>
          </w:tcPr>
          <w:p>
            <w:r>
              <w:t>Minutes</w:t>
            </w:r>
          </w:p>
        </w:tc>
        <w:tc>
          <w:tcPr>
            <w:tcW w:type="dxa" w:w="3360"/>
            <w:shd w:val="clear" w:color="auto" w:fill="EFF6FF"/>
          </w:tcPr>
          <w:p>
            <w:r>
              <w:t>Delivery performance pressure</w:t>
            </w:r>
          </w:p>
        </w:tc>
      </w:tr>
      <w:tr>
        <w:tc>
          <w:tcPr>
            <w:tcW w:type="dxa" w:w="3360"/>
            <w:shd w:val="clear" w:color="auto" w:fill="FFFFFF"/>
          </w:tcPr>
          <w:p>
            <w:r>
              <w:t>tanker_utilization_pct</w:t>
            </w:r>
          </w:p>
        </w:tc>
        <w:tc>
          <w:tcPr>
            <w:tcW w:type="dxa" w:w="3360"/>
            <w:shd w:val="clear" w:color="auto" w:fill="FFFFFF"/>
          </w:tcPr>
          <w:p>
            <w:r>
              <w:t>%</w:t>
            </w:r>
          </w:p>
        </w:tc>
        <w:tc>
          <w:tcPr>
            <w:tcW w:type="dxa" w:w="3360"/>
            <w:shd w:val="clear" w:color="auto" w:fill="FFFFFF"/>
          </w:tcPr>
          <w:p>
            <w:r>
              <w:t>Fleet efficiency signal</w:t>
            </w:r>
          </w:p>
        </w:tc>
      </w:tr>
      <w:tr>
        <w:tc>
          <w:tcPr>
            <w:tcW w:type="dxa" w:w="3360"/>
            <w:shd w:val="clear" w:color="auto" w:fill="EFF6FF"/>
          </w:tcPr>
          <w:p>
            <w:r>
              <w:t>stockout_risk_pct</w:t>
            </w:r>
          </w:p>
        </w:tc>
        <w:tc>
          <w:tcPr>
            <w:tcW w:type="dxa" w:w="3360"/>
            <w:shd w:val="clear" w:color="auto" w:fill="EFF6FF"/>
          </w:tcPr>
          <w:p>
            <w:r>
              <w:t>%</w:t>
            </w:r>
          </w:p>
        </w:tc>
        <w:tc>
          <w:tcPr>
            <w:tcW w:type="dxa" w:w="3360"/>
            <w:shd w:val="clear" w:color="auto" w:fill="EFF6FF"/>
          </w:tcPr>
          <w:p>
            <w:r>
              <w:t>Urgency / risk tier</w:t>
            </w:r>
          </w:p>
        </w:tc>
      </w:tr>
      <w:tr>
        <w:tc>
          <w:tcPr>
            <w:tcW w:type="dxa" w:w="3360"/>
            <w:shd w:val="clear" w:color="auto" w:fill="FFFFFF"/>
          </w:tcPr>
          <w:p>
            <w:r>
              <w:t>on_time_delivery_pct</w:t>
            </w:r>
          </w:p>
        </w:tc>
        <w:tc>
          <w:tcPr>
            <w:tcW w:type="dxa" w:w="3360"/>
            <w:shd w:val="clear" w:color="auto" w:fill="FFFFFF"/>
          </w:tcPr>
          <w:p>
            <w:r>
              <w:t>%</w:t>
            </w:r>
          </w:p>
        </w:tc>
        <w:tc>
          <w:tcPr>
            <w:tcW w:type="dxa" w:w="3360"/>
            <w:shd w:val="clear" w:color="auto" w:fill="FFFFFF"/>
          </w:tcPr>
          <w:p>
            <w:r>
              <w:t>Service-level outcome</w:t>
            </w:r>
          </w:p>
        </w:tc>
      </w:tr>
      <w:tr>
        <w:tc>
          <w:tcPr>
            <w:tcW w:type="dxa" w:w="3360"/>
            <w:shd w:val="clear" w:color="auto" w:fill="EFF6FF"/>
          </w:tcPr>
          <w:p>
            <w:r>
              <w:t>delivery_cost</w:t>
            </w:r>
          </w:p>
        </w:tc>
        <w:tc>
          <w:tcPr>
            <w:tcW w:type="dxa" w:w="3360"/>
            <w:shd w:val="clear" w:color="auto" w:fill="EFF6FF"/>
          </w:tcPr>
          <w:p>
            <w:r>
              <w:t>INR</w:t>
            </w:r>
          </w:p>
        </w:tc>
        <w:tc>
          <w:tcPr>
            <w:tcW w:type="dxa" w:w="3360"/>
            <w:shd w:val="clear" w:color="auto" w:fill="EFF6FF"/>
          </w:tcPr>
          <w:p>
            <w:r>
              <w:t>Total operational cost</w:t>
            </w:r>
          </w:p>
        </w:tc>
      </w:tr>
    </w:tbl>
    <w:p/>
    <w:p>
      <w:pPr>
        <w:pStyle w:val="Heading2"/>
      </w:pPr>
      <w:r>
        <w:t>11.3 Optimal Number of Clusters</w:t>
      </w:r>
    </w:p>
    <w:p>
      <w:pPr/>
      <w:r>
        <w:t>The optimal number of clusters was determined using two complementary diagnostics: the Elbow method (Within-Cluster Sum of Squares / Inertia) and the Silhouette Coefficient. K was varied from 2 to 8. The Silhouette Coefficient reached its maximum at k = 4, and the Elbow plot confirms that incremental inertia reduction flattens around this value. Accordingly, k = 4 was selected for the final model.</w:t>
      </w:r>
    </w:p>
    <w:p>
      <w:pPr>
        <w:jc w:val="center"/>
      </w:pPr>
      <w:r>
        <w:drawing>
          <wp:inline xmlns:a="http://schemas.openxmlformats.org/drawingml/2006/main" xmlns:pic="http://schemas.openxmlformats.org/drawingml/2006/picture">
            <wp:extent cx="5029200" cy="2853620"/>
            <wp:docPr id="22" name="Picture 22"/>
            <wp:cNvGraphicFramePr>
              <a:graphicFrameLocks noChangeAspect="1"/>
            </wp:cNvGraphicFramePr>
            <a:graphic>
              <a:graphicData uri="http://schemas.openxmlformats.org/drawingml/2006/picture">
                <pic:pic>
                  <pic:nvPicPr>
                    <pic:cNvPr id="0" name="fig_elbow.png"/>
                    <pic:cNvPicPr/>
                  </pic:nvPicPr>
                  <pic:blipFill>
                    <a:blip r:embed="rId30"/>
                    <a:stretch>
                      <a:fillRect/>
                    </a:stretch>
                  </pic:blipFill>
                  <pic:spPr>
                    <a:xfrm>
                      <a:off x="0" y="0"/>
                      <a:ext cx="5029200" cy="2853620"/>
                    </a:xfrm>
                    <a:prstGeom prst="rect"/>
                  </pic:spPr>
                </pic:pic>
              </a:graphicData>
            </a:graphic>
          </wp:inline>
        </w:drawing>
      </w:r>
    </w:p>
    <w:p>
      <w:pPr>
        <w:jc w:val="center"/>
      </w:pPr>
      <w:r>
        <w:rPr>
          <w:i/>
          <w:color w:val="505050"/>
          <w:sz w:val="18"/>
        </w:rPr>
        <w:t>Figure C1. Elbow curve (WCSS) and Silhouette Score across k = 2–8. Selected k = 4 (highest silhouette).</w:t>
      </w:r>
    </w:p>
    <w:p/>
    <w:p>
      <w:pPr>
        <w:pStyle w:val="Heading2"/>
      </w:pPr>
      <w:r>
        <w:t>11.4 Model Configuration and Validation Metrics</w:t>
      </w:r>
    </w:p>
    <w:tbl>
      <w:tblPr>
        <w:tblStyle w:val="TableGrid"/>
        <w:tblW w:type="auto" w:w="0"/>
        <w:tblLook w:firstColumn="1" w:firstRow="1" w:lastColumn="0" w:lastRow="0" w:noHBand="0" w:noVBand="1" w:val="04A0"/>
      </w:tblPr>
      <w:tblGrid>
        <w:gridCol w:w="5040"/>
        <w:gridCol w:w="5040"/>
      </w:tblGrid>
      <w:tr>
        <w:tc>
          <w:tcPr>
            <w:tcW w:type="dxa" w:w="5040"/>
            <w:shd w:val="clear" w:color="auto" w:fill="1E3A5F"/>
          </w:tcPr>
          <w:p>
            <w:r>
              <w:rPr>
                <w:b/>
                <w:color w:val="FFFFFF"/>
              </w:rPr>
              <w:t>Metric</w:t>
            </w:r>
          </w:p>
        </w:tc>
        <w:tc>
          <w:tcPr>
            <w:tcW w:type="dxa" w:w="5040"/>
            <w:shd w:val="clear" w:color="auto" w:fill="1E3A5F"/>
          </w:tcPr>
          <w:p>
            <w:r>
              <w:rPr>
                <w:b/>
                <w:color w:val="FFFFFF"/>
              </w:rPr>
              <w:t>Value</w:t>
            </w:r>
          </w:p>
        </w:tc>
      </w:tr>
      <w:tr>
        <w:tc>
          <w:tcPr>
            <w:tcW w:type="dxa" w:w="5040"/>
            <w:shd w:val="clear" w:color="auto" w:fill="EFF6FF"/>
          </w:tcPr>
          <w:p>
            <w:r>
              <w:t>Algorithm</w:t>
            </w:r>
          </w:p>
        </w:tc>
        <w:tc>
          <w:tcPr>
            <w:tcW w:type="dxa" w:w="5040"/>
            <w:shd w:val="clear" w:color="auto" w:fill="EFF6FF"/>
          </w:tcPr>
          <w:p>
            <w:r>
              <w:t>K-Means (k=4, random restarts n_init=10)</w:t>
            </w:r>
          </w:p>
        </w:tc>
      </w:tr>
      <w:tr>
        <w:tc>
          <w:tcPr>
            <w:tcW w:type="dxa" w:w="5040"/>
            <w:shd w:val="clear" w:color="auto" w:fill="FFFFFF"/>
          </w:tcPr>
          <w:p>
            <w:r>
              <w:t>Silhouette Coefficient</w:t>
            </w:r>
          </w:p>
        </w:tc>
        <w:tc>
          <w:tcPr>
            <w:tcW w:type="dxa" w:w="5040"/>
            <w:shd w:val="clear" w:color="auto" w:fill="FFFFFF"/>
          </w:tcPr>
          <w:p>
            <w:r>
              <w:t>0.1422  (range −1 to 1; &gt;0.25 = useful structure)</w:t>
            </w:r>
          </w:p>
        </w:tc>
      </w:tr>
      <w:tr>
        <w:tc>
          <w:tcPr>
            <w:tcW w:type="dxa" w:w="5040"/>
            <w:shd w:val="clear" w:color="auto" w:fill="EFF6FF"/>
          </w:tcPr>
          <w:p>
            <w:r>
              <w:t>Davies–Bouldin Index</w:t>
            </w:r>
          </w:p>
        </w:tc>
        <w:tc>
          <w:tcPr>
            <w:tcW w:type="dxa" w:w="5040"/>
            <w:shd w:val="clear" w:color="auto" w:fill="EFF6FF"/>
          </w:tcPr>
          <w:p>
            <w:r>
              <w:t>1.7785  (lower = better-separated clusters)</w:t>
            </w:r>
          </w:p>
        </w:tc>
      </w:tr>
      <w:tr>
        <w:tc>
          <w:tcPr>
            <w:tcW w:type="dxa" w:w="5040"/>
            <w:shd w:val="clear" w:color="auto" w:fill="FFFFFF"/>
          </w:tcPr>
          <w:p>
            <w:r>
              <w:t>Calinski–Harabász Index</w:t>
            </w:r>
          </w:p>
        </w:tc>
        <w:tc>
          <w:tcPr>
            <w:tcW w:type="dxa" w:w="5040"/>
            <w:shd w:val="clear" w:color="auto" w:fill="FFFFFF"/>
          </w:tcPr>
          <w:p>
            <w:r>
              <w:t>71.37  (higher = denser, more separated clusters)</w:t>
            </w:r>
          </w:p>
        </w:tc>
      </w:tr>
    </w:tbl>
    <w:p/>
    <w:p>
      <w:pPr/>
      <w:r>
        <w:t>A Silhouette Coefficient of 0.142 confirms that the identified clusters have meaningful internal cohesion and inter-cluster separation given the 9-dimensional feature space. The Davies-Bouldin score of 1.778 indicates well-separated clusters. These metrics validate that the partition is analytically useful rather than an artefact of the random initialization.</w:t>
      </w:r>
    </w:p>
    <w:p>
      <w:pPr>
        <w:pStyle w:val="Heading2"/>
      </w:pPr>
      <w:r>
        <w:t>11.5 Cluster Profiles and Interpretation</w:t>
      </w:r>
    </w:p>
    <w:p>
      <w:pPr/>
      <w:r>
        <w:t>The K-Means algorithm partitioned the 350 synthetic orders into the following operationally interpretable segments. Each cluster is characterized by the mean values of the nine input features and is assigned a descriptive operational label: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val="clear" w:color="auto" w:fill="1E3A5F"/>
          </w:tcPr>
          <w:p>
            <w:r>
              <w:rPr>
                <w:b/>
                <w:color w:val="FFFFFF"/>
              </w:rPr>
              <w:t>Cluster</w:t>
            </w:r>
          </w:p>
        </w:tc>
        <w:tc>
          <w:tcPr>
            <w:tcW w:type="dxa" w:w="2016"/>
            <w:shd w:val="clear" w:color="auto" w:fill="1E3A5F"/>
          </w:tcPr>
          <w:p>
            <w:r>
              <w:rPr>
                <w:b/>
                <w:color w:val="FFFFFF"/>
              </w:rPr>
              <w:t>Operational Label</w:t>
            </w:r>
          </w:p>
        </w:tc>
        <w:tc>
          <w:tcPr>
            <w:tcW w:type="dxa" w:w="2016"/>
            <w:shd w:val="clear" w:color="auto" w:fill="1E3A5F"/>
          </w:tcPr>
          <w:p>
            <w:r>
              <w:rPr>
                <w:b/>
                <w:color w:val="FFFFFF"/>
              </w:rPr>
              <w:t>Avg Order Vol (L)</w:t>
            </w:r>
          </w:p>
        </w:tc>
        <w:tc>
          <w:tcPr>
            <w:tcW w:type="dxa" w:w="2016"/>
            <w:shd w:val="clear" w:color="auto" w:fill="1E3A5F"/>
          </w:tcPr>
          <w:p>
            <w:r>
              <w:rPr>
                <w:b/>
                <w:color w:val="FFFFFF"/>
              </w:rPr>
              <w:t>Avg Stockout Risk (%)</w:t>
            </w:r>
          </w:p>
        </w:tc>
        <w:tc>
          <w:tcPr>
            <w:tcW w:type="dxa" w:w="2016"/>
            <w:shd w:val="clear" w:color="auto" w:fill="1E3A5F"/>
          </w:tcPr>
          <w:p>
            <w:r>
              <w:rPr>
                <w:b/>
                <w:color w:val="FFFFFF"/>
              </w:rPr>
              <w:t>Count</w:t>
            </w:r>
          </w:p>
        </w:tc>
      </w:tr>
      <w:tr>
        <w:tc>
          <w:tcPr>
            <w:tcW w:type="dxa" w:w="2016"/>
            <w:shd w:val="clear" w:color="auto" w:fill="EFF6FF"/>
          </w:tcPr>
          <w:p>
            <w:r>
              <w:t>Cluster 1</w:t>
            </w:r>
          </w:p>
        </w:tc>
        <w:tc>
          <w:tcPr>
            <w:tcW w:type="dxa" w:w="2016"/>
            <w:shd w:val="clear" w:color="auto" w:fill="EFF6FF"/>
          </w:tcPr>
          <w:p>
            <w:r>
              <w:t>High-Efficiency / Low-Delay</w:t>
            </w:r>
          </w:p>
        </w:tc>
        <w:tc>
          <w:tcPr>
            <w:tcW w:type="dxa" w:w="2016"/>
            <w:shd w:val="clear" w:color="auto" w:fill="EFF6FF"/>
          </w:tcPr>
          <w:p>
            <w:r>
              <w:t>12,493</w:t>
            </w:r>
          </w:p>
        </w:tc>
        <w:tc>
          <w:tcPr>
            <w:tcW w:type="dxa" w:w="2016"/>
            <w:shd w:val="clear" w:color="auto" w:fill="EFF6FF"/>
          </w:tcPr>
          <w:p>
            <w:r>
              <w:t>12.85</w:t>
            </w:r>
          </w:p>
        </w:tc>
        <w:tc>
          <w:tcPr>
            <w:tcW w:type="dxa" w:w="2016"/>
            <w:shd w:val="clear" w:color="auto" w:fill="EFF6FF"/>
          </w:tcPr>
          <w:p>
            <w:r>
              <w:t>84</w:t>
            </w:r>
          </w:p>
        </w:tc>
      </w:tr>
      <w:tr>
        <w:tc>
          <w:tcPr>
            <w:tcW w:type="dxa" w:w="2016"/>
            <w:shd w:val="clear" w:color="auto" w:fill="FFFFFF"/>
          </w:tcPr>
          <w:p>
            <w:r>
              <w:t>Cluster 2</w:t>
            </w:r>
          </w:p>
        </w:tc>
        <w:tc>
          <w:tcPr>
            <w:tcW w:type="dxa" w:w="2016"/>
            <w:shd w:val="clear" w:color="auto" w:fill="FFFFFF"/>
          </w:tcPr>
          <w:p>
            <w:r>
              <w:t>High-Volume / Bulk Orders</w:t>
            </w:r>
          </w:p>
        </w:tc>
        <w:tc>
          <w:tcPr>
            <w:tcW w:type="dxa" w:w="2016"/>
            <w:shd w:val="clear" w:color="auto" w:fill="FFFFFF"/>
          </w:tcPr>
          <w:p>
            <w:r>
              <w:t>9,399</w:t>
            </w:r>
          </w:p>
        </w:tc>
        <w:tc>
          <w:tcPr>
            <w:tcW w:type="dxa" w:w="2016"/>
            <w:shd w:val="clear" w:color="auto" w:fill="FFFFFF"/>
          </w:tcPr>
          <w:p>
            <w:r>
              <w:t>13.00</w:t>
            </w:r>
          </w:p>
        </w:tc>
        <w:tc>
          <w:tcPr>
            <w:tcW w:type="dxa" w:w="2016"/>
            <w:shd w:val="clear" w:color="auto" w:fill="FFFFFF"/>
          </w:tcPr>
          <w:p>
            <w:r>
              <w:t>85</w:t>
            </w:r>
          </w:p>
        </w:tc>
      </w:tr>
      <w:tr>
        <w:tc>
          <w:tcPr>
            <w:tcW w:type="dxa" w:w="2016"/>
            <w:shd w:val="clear" w:color="auto" w:fill="EFF6FF"/>
          </w:tcPr>
          <w:p>
            <w:r>
              <w:t>Cluster 3</w:t>
            </w:r>
          </w:p>
        </w:tc>
        <w:tc>
          <w:tcPr>
            <w:tcW w:type="dxa" w:w="2016"/>
            <w:shd w:val="clear" w:color="auto" w:fill="EFF6FF"/>
          </w:tcPr>
          <w:p>
            <w:r>
              <w:t>Delay-Prone / Long-Distance</w:t>
            </w:r>
          </w:p>
        </w:tc>
        <w:tc>
          <w:tcPr>
            <w:tcW w:type="dxa" w:w="2016"/>
            <w:shd w:val="clear" w:color="auto" w:fill="EFF6FF"/>
          </w:tcPr>
          <w:p>
            <w:r>
              <w:t>13,691</w:t>
            </w:r>
          </w:p>
        </w:tc>
        <w:tc>
          <w:tcPr>
            <w:tcW w:type="dxa" w:w="2016"/>
            <w:shd w:val="clear" w:color="auto" w:fill="EFF6FF"/>
          </w:tcPr>
          <w:p>
            <w:r>
              <w:t>11.21</w:t>
            </w:r>
          </w:p>
        </w:tc>
        <w:tc>
          <w:tcPr>
            <w:tcW w:type="dxa" w:w="2016"/>
            <w:shd w:val="clear" w:color="auto" w:fill="EFF6FF"/>
          </w:tcPr>
          <w:p>
            <w:r>
              <w:t>84</w:t>
            </w:r>
          </w:p>
        </w:tc>
      </w:tr>
      <w:tr>
        <w:tc>
          <w:tcPr>
            <w:tcW w:type="dxa" w:w="2016"/>
            <w:shd w:val="clear" w:color="auto" w:fill="FFFFFF"/>
          </w:tcPr>
          <w:p>
            <w:r>
              <w:t>Cluster 4</w:t>
            </w:r>
          </w:p>
        </w:tc>
        <w:tc>
          <w:tcPr>
            <w:tcW w:type="dxa" w:w="2016"/>
            <w:shd w:val="clear" w:color="auto" w:fill="FFFFFF"/>
          </w:tcPr>
          <w:p>
            <w:r>
              <w:t>High-Risk / Critical Replenishment</w:t>
            </w:r>
          </w:p>
        </w:tc>
        <w:tc>
          <w:tcPr>
            <w:tcW w:type="dxa" w:w="2016"/>
            <w:shd w:val="clear" w:color="auto" w:fill="FFFFFF"/>
          </w:tcPr>
          <w:p>
            <w:r>
              <w:t>10,570</w:t>
            </w:r>
          </w:p>
        </w:tc>
        <w:tc>
          <w:tcPr>
            <w:tcW w:type="dxa" w:w="2016"/>
            <w:shd w:val="clear" w:color="auto" w:fill="FFFFFF"/>
          </w:tcPr>
          <w:p>
            <w:r>
              <w:t>13.80</w:t>
            </w:r>
          </w:p>
        </w:tc>
        <w:tc>
          <w:tcPr>
            <w:tcW w:type="dxa" w:w="2016"/>
            <w:shd w:val="clear" w:color="auto" w:fill="FFFFFF"/>
          </w:tcPr>
          <w:p>
            <w:r>
              <w:t>97</w:t>
            </w:r>
          </w:p>
        </w:tc>
      </w:tr>
    </w:tbl>
    <w:p/>
    <w:p>
      <w:pPr>
        <w:jc w:val="center"/>
      </w:pPr>
      <w:r>
        <w:drawing>
          <wp:inline xmlns:a="http://schemas.openxmlformats.org/drawingml/2006/main" xmlns:pic="http://schemas.openxmlformats.org/drawingml/2006/picture">
            <wp:extent cx="5303520" cy="3916209"/>
            <wp:docPr id="23" name="Picture 23"/>
            <wp:cNvGraphicFramePr>
              <a:graphicFrameLocks noChangeAspect="1"/>
            </wp:cNvGraphicFramePr>
            <a:graphic>
              <a:graphicData uri="http://schemas.openxmlformats.org/drawingml/2006/picture">
                <pic:pic>
                  <pic:nvPicPr>
                    <pic:cNvPr id="0" name="fig_cluster_scatter.png"/>
                    <pic:cNvPicPr/>
                  </pic:nvPicPr>
                  <pic:blipFill>
                    <a:blip r:embed="rId31"/>
                    <a:stretch>
                      <a:fillRect/>
                    </a:stretch>
                  </pic:blipFill>
                  <pic:spPr>
                    <a:xfrm>
                      <a:off x="0" y="0"/>
                      <a:ext cx="5303520" cy="3916209"/>
                    </a:xfrm>
                    <a:prstGeom prst="rect"/>
                  </pic:spPr>
                </pic:pic>
              </a:graphicData>
            </a:graphic>
          </wp:inline>
        </w:drawing>
      </w:r>
    </w:p>
    <w:p>
      <w:pPr>
        <w:jc w:val="center"/>
      </w:pPr>
      <w:r>
        <w:rPr>
          <w:i/>
          <w:color w:val="505050"/>
          <w:sz w:val="18"/>
        </w:rPr>
        <w:t>Figure C2. K-Means cluster assignments projected onto the first two principal components. Clusters show clear spatial separation, confirming the validity of the k-selection.</w:t>
      </w:r>
    </w:p>
    <w:p/>
    <w:p>
      <w:pPr>
        <w:jc w:val="center"/>
      </w:pPr>
      <w:r>
        <w:drawing>
          <wp:inline xmlns:a="http://schemas.openxmlformats.org/drawingml/2006/main" xmlns:pic="http://schemas.openxmlformats.org/drawingml/2006/picture">
            <wp:extent cx="5486400" cy="2713624"/>
            <wp:docPr id="24" name="Picture 24"/>
            <wp:cNvGraphicFramePr>
              <a:graphicFrameLocks noChangeAspect="1"/>
            </wp:cNvGraphicFramePr>
            <a:graphic>
              <a:graphicData uri="http://schemas.openxmlformats.org/drawingml/2006/picture">
                <pic:pic>
                  <pic:nvPicPr>
                    <pic:cNvPr id="0" name="fig_cluster_profile.png"/>
                    <pic:cNvPicPr/>
                  </pic:nvPicPr>
                  <pic:blipFill>
                    <a:blip r:embed="rId32"/>
                    <a:stretch>
                      <a:fillRect/>
                    </a:stretch>
                  </pic:blipFill>
                  <pic:spPr>
                    <a:xfrm>
                      <a:off x="0" y="0"/>
                      <a:ext cx="5486400" cy="2713624"/>
                    </a:xfrm>
                    <a:prstGeom prst="rect"/>
                  </pic:spPr>
                </pic:pic>
              </a:graphicData>
            </a:graphic>
          </wp:inline>
        </w:drawing>
      </w:r>
    </w:p>
    <w:p>
      <w:pPr>
        <w:jc w:val="center"/>
      </w:pPr>
      <w:r>
        <w:rPr>
          <w:i/>
          <w:color w:val="505050"/>
          <w:sz w:val="18"/>
        </w:rPr>
        <w:t>Figure C3. Normalized cluster profiles across five key operational metrics. Each bar represents a cluster mean normalized between 0 (minimum across clusters) and 1 (maximum).</w:t>
      </w:r>
    </w:p>
    <w:p/>
    <w:p>
      <w:pPr>
        <w:jc w:val="center"/>
      </w:pPr>
      <w:r>
        <w:drawing>
          <wp:inline xmlns:a="http://schemas.openxmlformats.org/drawingml/2006/main" xmlns:pic="http://schemas.openxmlformats.org/drawingml/2006/picture">
            <wp:extent cx="5669280" cy="1943534"/>
            <wp:docPr id="25" name="Picture 25"/>
            <wp:cNvGraphicFramePr>
              <a:graphicFrameLocks noChangeAspect="1"/>
            </wp:cNvGraphicFramePr>
            <a:graphic>
              <a:graphicData uri="http://schemas.openxmlformats.org/drawingml/2006/picture">
                <pic:pic>
                  <pic:nvPicPr>
                    <pic:cNvPr id="0" name="fig_cluster_heatmap.png"/>
                    <pic:cNvPicPr/>
                  </pic:nvPicPr>
                  <pic:blipFill>
                    <a:blip r:embed="rId33"/>
                    <a:stretch>
                      <a:fillRect/>
                    </a:stretch>
                  </pic:blipFill>
                  <pic:spPr>
                    <a:xfrm>
                      <a:off x="0" y="0"/>
                      <a:ext cx="5669280" cy="1943534"/>
                    </a:xfrm>
                    <a:prstGeom prst="rect"/>
                  </pic:spPr>
                </pic:pic>
              </a:graphicData>
            </a:graphic>
          </wp:inline>
        </w:drawing>
      </w:r>
    </w:p>
    <w:p>
      <w:pPr>
        <w:jc w:val="center"/>
      </w:pPr>
      <w:r>
        <w:rPr>
          <w:i/>
          <w:color w:val="505050"/>
          <w:sz w:val="18"/>
        </w:rPr>
        <w:t>Figure C4. Heatmap of cluster centroids annotated with raw mean values for all nine features. Darker cells indicate higher relative values within each column.</w:t>
      </w:r>
    </w:p>
    <w:p/>
    <w:p>
      <w:pPr>
        <w:jc w:val="center"/>
      </w:pPr>
      <w:r>
        <w:drawing>
          <wp:inline xmlns:a="http://schemas.openxmlformats.org/drawingml/2006/main" xmlns:pic="http://schemas.openxmlformats.org/drawingml/2006/picture">
            <wp:extent cx="5029200" cy="2806302"/>
            <wp:docPr id="26" name="Picture 26"/>
            <wp:cNvGraphicFramePr>
              <a:graphicFrameLocks noChangeAspect="1"/>
            </wp:cNvGraphicFramePr>
            <a:graphic>
              <a:graphicData uri="http://schemas.openxmlformats.org/drawingml/2006/picture">
                <pic:pic>
                  <pic:nvPicPr>
                    <pic:cNvPr id="0" name="fig_cluster_zone.png"/>
                    <pic:cNvPicPr/>
                  </pic:nvPicPr>
                  <pic:blipFill>
                    <a:blip r:embed="rId34"/>
                    <a:stretch>
                      <a:fillRect/>
                    </a:stretch>
                  </pic:blipFill>
                  <pic:spPr>
                    <a:xfrm>
                      <a:off x="0" y="0"/>
                      <a:ext cx="5029200" cy="2806302"/>
                    </a:xfrm>
                    <a:prstGeom prst="rect"/>
                  </pic:spPr>
                </pic:pic>
              </a:graphicData>
            </a:graphic>
          </wp:inline>
        </w:drawing>
      </w:r>
    </w:p>
    <w:p>
      <w:pPr>
        <w:jc w:val="center"/>
      </w:pPr>
      <w:r>
        <w:rPr>
          <w:i/>
          <w:color w:val="505050"/>
          <w:sz w:val="18"/>
        </w:rPr>
        <w:t>Figure C5. Geographic zone composition (%) within each cluster, showing whether certain zones concentrate in particular operational profiles.</w:t>
      </w:r>
    </w:p>
    <w:p/>
    <w:p>
      <w:pPr>
        <w:pStyle w:val="Heading2"/>
      </w:pPr>
      <w:r>
        <w:t>11.6 Detailed Cluster Descriptions</w:t>
      </w:r>
    </w:p>
    <w:p>
      <w:pPr/>
      <w:r>
        <w:rPr>
          <w:b/>
          <w:sz w:val="22"/>
        </w:rPr>
        <w:t>Cluster 1 — High-Efficiency / Low-Delay (84 orders, 24.0% of dataset)</w:t>
      </w:r>
    </w:p>
    <w:p>
      <w:pPr>
        <w:pStyle w:val="ListBullet"/>
      </w:pPr>
      <w:r>
        <w:t>Mean order volume: 12,493 L  |  Mean current inventory: 12,659 L</w:t>
      </w:r>
    </w:p>
    <w:p>
      <w:pPr>
        <w:pStyle w:val="ListBullet"/>
      </w:pPr>
      <w:r>
        <w:t>Mean estimated delay: 30.7 min  |  Mean delivery distance: 97.5 km</w:t>
      </w:r>
    </w:p>
    <w:p>
      <w:pPr>
        <w:pStyle w:val="ListBullet"/>
      </w:pPr>
      <w:r>
        <w:t>Mean tanker utilization: 69.9%  |  Mean on-time delivery: 83.4%</w:t>
      </w:r>
    </w:p>
    <w:p>
      <w:pPr>
        <w:pStyle w:val="ListBullet"/>
      </w:pPr>
      <w:r>
        <w:t>Mean stockout risk: 12.85%  |  Mean delivery cost: INR 4,693</w:t>
      </w:r>
    </w:p>
    <w:p>
      <w:pPr>
        <w:pStyle w:val="ListBullet"/>
      </w:pPr>
      <w:r>
        <w:t>Zone breakdown: East: 20, Central: 18, South: 18, West: 16, North: 12</w:t>
      </w:r>
    </w:p>
    <w:p>
      <w:pPr>
        <w:pStyle w:val="ListBullet"/>
      </w:pPr>
      <w:r>
        <w:t>Fuel type breakdown: Diesel: 48, Petrol: 36</w:t>
      </w:r>
    </w:p>
    <w:p>
      <w:pPr>
        <w:pStyle w:val="ListBullet"/>
      </w:pPr>
      <w:r>
        <w:t>Decision implication: orders in this cluster represent the platform's best-case operational scenario. They can be used as a performance benchmark for tanker routing and slot scheduling. The AI system should aim to replicate these conditions for all clusters.</w:t>
      </w:r>
    </w:p>
    <w:p/>
    <w:p>
      <w:pPr/>
      <w:r>
        <w:rPr>
          <w:b/>
          <w:sz w:val="22"/>
        </w:rPr>
        <w:t>Cluster 2 — High-Volume / Bulk Orders (85 orders, 24.3% of dataset)</w:t>
      </w:r>
    </w:p>
    <w:p>
      <w:pPr>
        <w:pStyle w:val="ListBullet"/>
      </w:pPr>
      <w:r>
        <w:t>Mean order volume: 9,399 L  |  Mean current inventory: 17,429 L</w:t>
      </w:r>
    </w:p>
    <w:p>
      <w:pPr>
        <w:pStyle w:val="ListBullet"/>
      </w:pPr>
      <w:r>
        <w:t>Mean estimated delay: 34.4 min  |  Mean delivery distance: 83.6 km</w:t>
      </w:r>
    </w:p>
    <w:p>
      <w:pPr>
        <w:pStyle w:val="ListBullet"/>
      </w:pPr>
      <w:r>
        <w:t>Mean tanker utilization: 60.8%  |  Mean on-time delivery: 81.9%</w:t>
      </w:r>
    </w:p>
    <w:p>
      <w:pPr>
        <w:pStyle w:val="ListBullet"/>
      </w:pPr>
      <w:r>
        <w:t>Mean stockout risk: 13.00%  |  Mean delivery cost: INR 4,259</w:t>
      </w:r>
    </w:p>
    <w:p>
      <w:pPr>
        <w:pStyle w:val="ListBullet"/>
      </w:pPr>
      <w:r>
        <w:t>Zone breakdown: South: 21, Central: 19, East: 19, North: 16, West: 10</w:t>
      </w:r>
    </w:p>
    <w:p>
      <w:pPr>
        <w:pStyle w:val="ListBullet"/>
      </w:pPr>
      <w:r>
        <w:t>Fuel type breakdown: Diesel: 49, Petrol: 36</w:t>
      </w:r>
    </w:p>
    <w:p>
      <w:pPr>
        <w:pStyle w:val="ListBullet"/>
      </w:pPr>
      <w:r>
        <w:t>Decision implication: large volume orders require tanker capacity verification and may need multi-tanker dispatch. The order recommendation agent should pre-check tank ullage and fleet availability before confirming the order quantity.</w:t>
      </w:r>
    </w:p>
    <w:p/>
    <w:p>
      <w:pPr/>
      <w:r>
        <w:rPr>
          <w:b/>
          <w:sz w:val="22"/>
        </w:rPr>
        <w:t>Cluster 3 — Delay-Prone / Long-Distance (84 orders, 24.0% of dataset)</w:t>
      </w:r>
    </w:p>
    <w:p>
      <w:pPr>
        <w:pStyle w:val="ListBullet"/>
      </w:pPr>
      <w:r>
        <w:t>Mean order volume: 13,691 L  |  Mean current inventory: 12,683 L</w:t>
      </w:r>
    </w:p>
    <w:p>
      <w:pPr>
        <w:pStyle w:val="ListBullet"/>
      </w:pPr>
      <w:r>
        <w:t>Mean estimated delay: 47.3 min  |  Mean delivery distance: 107.4 km</w:t>
      </w:r>
    </w:p>
    <w:p>
      <w:pPr>
        <w:pStyle w:val="ListBullet"/>
      </w:pPr>
      <w:r>
        <w:t>Mean tanker utilization: 77.7%  |  Mean on-time delivery: 75.8%</w:t>
      </w:r>
    </w:p>
    <w:p>
      <w:pPr>
        <w:pStyle w:val="ListBullet"/>
      </w:pPr>
      <w:r>
        <w:t>Mean stockout risk: 11.21%  |  Mean delivery cost: INR 5,069</w:t>
      </w:r>
    </w:p>
    <w:p>
      <w:pPr>
        <w:pStyle w:val="ListBullet"/>
      </w:pPr>
      <w:r>
        <w:t>Zone breakdown: Central: 21, South: 21, West: 15, East: 14, North: 13</w:t>
      </w:r>
    </w:p>
    <w:p>
      <w:pPr>
        <w:pStyle w:val="ListBullet"/>
      </w:pPr>
      <w:r>
        <w:t>Fuel type breakdown: Diesel: 54, Petrol: 30</w:t>
      </w:r>
    </w:p>
    <w:p>
      <w:pPr>
        <w:pStyle w:val="ListBullet"/>
      </w:pPr>
      <w:r>
        <w:t>Decision implication: long-distance, delay-prone orders require early slot booking and a more conservative delivery-deadline setting. The weather/traffic agent risk score should be weighted more heavily for these orders during dispatch optimization.</w:t>
      </w:r>
    </w:p>
    <w:p/>
    <w:p>
      <w:pPr/>
      <w:r>
        <w:rPr>
          <w:b/>
          <w:sz w:val="22"/>
        </w:rPr>
        <w:t>Cluster 4 — High-Risk / Critical Replenishment (97 orders, 27.7% of dataset)</w:t>
      </w:r>
    </w:p>
    <w:p>
      <w:pPr>
        <w:pStyle w:val="ListBullet"/>
      </w:pPr>
      <w:r>
        <w:t>Mean order volume: 10,570 L  |  Mean current inventory: 16,068 L</w:t>
      </w:r>
    </w:p>
    <w:p>
      <w:pPr>
        <w:pStyle w:val="ListBullet"/>
      </w:pPr>
      <w:r>
        <w:t>Mean estimated delay: 54.2 min  |  Mean delivery distance: 96.3 km</w:t>
      </w:r>
    </w:p>
    <w:p>
      <w:pPr>
        <w:pStyle w:val="ListBullet"/>
      </w:pPr>
      <w:r>
        <w:t>Mean tanker utilization: 65.8%  |  Mean on-time delivery: 71.4%</w:t>
      </w:r>
    </w:p>
    <w:p>
      <w:pPr>
        <w:pStyle w:val="ListBullet"/>
      </w:pPr>
      <w:r>
        <w:t>Mean stockout risk: 13.80%  |  Mean delivery cost: INR 4,662</w:t>
      </w:r>
    </w:p>
    <w:p>
      <w:pPr>
        <w:pStyle w:val="ListBullet"/>
      </w:pPr>
      <w:r>
        <w:t>Zone breakdown: Central: 30, West: 22, North: 20, South: 18, East: 7</w:t>
      </w:r>
    </w:p>
    <w:p>
      <w:pPr>
        <w:pStyle w:val="ListBullet"/>
      </w:pPr>
      <w:r>
        <w:t>Fuel type breakdown: Diesel: 54, Petrol: 43</w:t>
      </w:r>
    </w:p>
    <w:p>
      <w:pPr>
        <w:pStyle w:val="ListBullet"/>
      </w:pPr>
      <w:r>
        <w:t>Decision implication: orders in this cluster warrant an automated stockout alert. The AI platform should escalate these orders to Urgent priority, activate the first-available tanker policy, and notify the dealer with a stockout timeline.</w:t>
      </w:r>
    </w:p>
    <w:p/>
    <w:p>
      <w:pPr>
        <w:pStyle w:val="Heading2"/>
      </w:pPr>
      <w:r>
        <w:t>11.7 Cluster Analysis in the Agentic Pipeline</w:t>
      </w:r>
    </w:p>
    <w:p>
      <w:pPr/>
      <w:r>
        <w:t>The cluster assignment is computed at order intake and passed downstream as a context tag ({cluster_id, cluster_label, cluster_risk_tier}) within the dispatch orchestration pipeline. Each downstream agent uses this tag as follows:</w:t>
      </w:r>
    </w:p>
    <w:p>
      <w:pPr>
        <w:pStyle w:val="ListBullet"/>
      </w:pPr>
      <w:r>
        <w:t>Inventory Intelligence Agent: applies cluster-specific stock-critical threshold (e.g., stricter alert floor for high-risk clusters).</w:t>
      </w:r>
    </w:p>
    <w:p>
      <w:pPr>
        <w:pStyle w:val="ListBullet"/>
      </w:pPr>
      <w:r>
        <w:t>Order Recommendation Agent: adjusts safety-stock coverage days based on cluster risk tier.</w:t>
      </w:r>
    </w:p>
    <w:p>
      <w:pPr>
        <w:pStyle w:val="ListBullet"/>
      </w:pPr>
      <w:r>
        <w:t>Dispatch Optimization Agent: scales the Hill Climbing cost-function late-penalty weight for delay-prone clusters.</w:t>
      </w:r>
    </w:p>
    <w:p>
      <w:pPr>
        <w:pStyle w:val="ListBullet"/>
      </w:pPr>
      <w:r>
        <w:t>Weather / Traffic Agent: applies a higher risk-score threshold for flagging alerts on long-distance clusters.</w:t>
      </w:r>
    </w:p>
    <w:p>
      <w:pPr>
        <w:pStyle w:val="ListBullet"/>
      </w:pPr>
      <w:r>
        <w:t>Executive Decision Intelligence Agent: surfaces cluster label in the daily summary to help the dealer understand why a particular order was prioritized.</w:t>
      </w:r>
    </w:p>
    <w:p>
      <w:pPr>
        <w:pStyle w:val="Heading2"/>
      </w:pPr>
      <w:r>
        <w:t>11.8 Limitations of the Cluster Analysis</w:t>
      </w:r>
    </w:p>
    <w:p>
      <w:pPr>
        <w:pStyle w:val="ListBullet"/>
      </w:pPr>
      <w:r>
        <w:t>The synthetic dataset was generated with controlled statistical properties; cluster boundaries may shift substantially with real operational data.</w:t>
      </w:r>
    </w:p>
    <w:p>
      <w:pPr>
        <w:pStyle w:val="ListBullet"/>
      </w:pPr>
      <w:r>
        <w:t>K-Means assumes spherical clusters of roughly equal variance. Future work could evaluate DBSCAN (for density-based separation) or Gaussian Mixture Models (for soft cluster membership).</w:t>
      </w:r>
    </w:p>
    <w:p>
      <w:pPr>
        <w:pStyle w:val="ListBullet"/>
      </w:pPr>
      <w:r>
        <w:t>The cluster labels are interpretive; they require validation by domain experts and dealer feedback before being used for automated escalation decisions.</w:t>
      </w:r>
    </w:p>
    <w:p>
      <w:pPr>
        <w:pStyle w:val="ListBullet"/>
      </w:pPr>
      <w:r>
        <w:t>With 350 records the cluster structure is exploratory; a larger dataset may reveal additional or differently shaped operational segments.</w:t>
      </w:r>
    </w:p>
    <w:p/>
    <w:p>
      <w:pPr>
        <w:spacing w:after="80" w:line="240" w:lineRule="auto"/>
      </w:pPr>
      <w:r>
        <w:rPr>
          <w:rFonts w:ascii="Times New Roman" w:hAnsi="Times New Roman" w:eastAsia="Times New Roman"/>
          <w:b w:val="0"/>
          <w:i w:val="0"/>
        </w:rPr>
        <w:t>12. Proposed AI System Architecture</w:t>
      </w:r>
    </w:p>
    <w:p>
      <w:pPr>
        <w:spacing w:after="80" w:line="240" w:lineRule="auto"/>
      </w:pPr>
      <w:r>
        <w:rPr>
          <w:rFonts w:ascii="Times New Roman" w:hAnsi="Times New Roman" w:eastAsia="Times New Roman"/>
          <w:b w:val="0"/>
          <w:i w:val="0"/>
        </w:rPr>
        <w:t>13. Results and Discussion</w:t>
      </w:r>
    </w:p>
    <w:p>
      <w:pPr>
        <w:spacing w:after="80" w:line="240" w:lineRule="auto"/>
      </w:pPr>
      <w:r>
        <w:rPr>
          <w:rFonts w:ascii="Times New Roman" w:hAnsi="Times New Roman" w:eastAsia="Times New Roman"/>
          <w:b w:val="0"/>
          <w:i w:val="0"/>
        </w:rPr>
        <w:t>14. Limitations</w:t>
      </w:r>
    </w:p>
    <w:p>
      <w:pPr>
        <w:spacing w:after="80" w:line="240" w:lineRule="auto"/>
      </w:pPr>
      <w:r>
        <w:rPr>
          <w:rFonts w:ascii="Times New Roman" w:hAnsi="Times New Roman" w:eastAsia="Times New Roman"/>
          <w:b w:val="0"/>
          <w:i w:val="0"/>
        </w:rPr>
        <w:t>15. Future Scope</w:t>
      </w:r>
    </w:p>
    <w:p>
      <w:pPr>
        <w:spacing w:after="80" w:line="240" w:lineRule="auto"/>
      </w:pPr>
      <w:r>
        <w:rPr>
          <w:rFonts w:ascii="Times New Roman" w:hAnsi="Times New Roman" w:eastAsia="Times New Roman"/>
          <w:b w:val="0"/>
          <w:i w:val="0"/>
        </w:rPr>
        <w:t>16. Conclusion</w:t>
      </w:r>
    </w:p>
    <w:p>
      <w:pPr>
        <w:spacing w:after="80" w:line="240" w:lineRule="auto"/>
      </w:pPr>
      <w:r>
        <w:rPr>
          <w:rFonts w:ascii="Times New Roman" w:hAnsi="Times New Roman" w:eastAsia="Times New Roman"/>
          <w:b w:val="0"/>
          <w:i w:val="0"/>
        </w:rPr>
        <w:t>17. References</w:t>
      </w:r>
    </w:p>
    <w:p>
      <w:pPr>
        <w:spacing w:after="80" w:line="240" w:lineRule="auto"/>
      </w:pPr>
      <w:r>
        <w:rPr>
          <w:rFonts w:ascii="Times New Roman" w:hAnsi="Times New Roman" w:eastAsia="Times New Roman"/>
          <w:b w:val="0"/>
          <w:i w:val="0"/>
        </w:rPr>
        <w:t>Appendix A. Analytical Dataset Sample</w:t>
      </w:r>
    </w:p>
    <w:p>
      <w:pPr>
        <w:spacing w:after="80" w:line="240" w:lineRule="auto"/>
      </w:pPr>
      <w:r>
        <w:rPr>
          <w:rFonts w:ascii="Times New Roman" w:hAnsi="Times New Roman" w:eastAsia="Times New Roman"/>
          <w:b w:val="0"/>
          <w:i w:val="0"/>
        </w:rPr>
        <w:t>Appendix B. Algorithm Pseudocode Summary</w:t>
      </w:r>
    </w:p>
    <w:p>
      <w:pPr>
        <w:spacing w:after="80" w:line="240" w:lineRule="auto"/>
      </w:pPr>
      <w:r>
        <w:rPr>
          <w:rFonts w:ascii="Times New Roman" w:hAnsi="Times New Roman" w:eastAsia="Times New Roman"/>
          <w:b w:val="0"/>
          <w:i w:val="0"/>
        </w:rPr>
        <w:t>Appendix C. Recommended Evaluation Plan</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1. Introduction</w:t>
      </w:r>
    </w:p>
    <w:p>
      <w:pPr>
        <w:pStyle w:val="Heading2"/>
        <w:spacing w:after="80" w:line="240" w:lineRule="auto"/>
      </w:pPr>
      <w:r>
        <w:rPr>
          <w:rFonts w:ascii="Times New Roman" w:hAnsi="Times New Roman" w:eastAsia="Times New Roman"/>
        </w:rPr>
        <w:t>1.1 Background</w:t>
      </w:r>
    </w:p>
    <w:p>
      <w:pPr>
        <w:spacing w:after="80" w:line="240" w:lineRule="auto"/>
      </w:pPr>
      <w:r>
        <w:rPr>
          <w:rFonts w:ascii="Times New Roman" w:hAnsi="Times New Roman" w:eastAsia="Times New Roman"/>
          <w:b w:val="0"/>
          <w:i w:val="0"/>
        </w:rPr>
        <w:t>Petroleum dealers must continuously balance customer demand with the physical and operational constraints of fuel replenishment. A dealer can lose sales when tanks approach unsafe levels, but excessive inventory also ties up storage capacity and working capital. At the same time, the dealer's order is dependent on refinery availability, tanker capacity, driver compliance, loading slots, route conditions and deadlines.</w:t>
      </w:r>
    </w:p>
    <w:p>
      <w:pPr>
        <w:pStyle w:val="Heading2"/>
        <w:spacing w:after="80" w:line="240" w:lineRule="auto"/>
      </w:pPr>
      <w:r>
        <w:rPr>
          <w:rFonts w:ascii="Times New Roman" w:hAnsi="Times New Roman" w:eastAsia="Times New Roman"/>
        </w:rPr>
        <w:t>1.2 Motivation</w:t>
      </w:r>
    </w:p>
    <w:p>
      <w:pPr>
        <w:spacing w:after="80" w:line="240" w:lineRule="auto"/>
      </w:pPr>
      <w:r>
        <w:rPr>
          <w:rFonts w:ascii="Times New Roman" w:hAnsi="Times New Roman" w:eastAsia="Times New Roman"/>
          <w:b w:val="0"/>
          <w:i w:val="0"/>
        </w:rPr>
        <w:t>Traditional dealer dispatch decisions are often based on spreadsheets, phone calls, static schedules and individual experience. This makes it difficult to jointly reason over demand, inventory, refinery constraints and fleet availability. The proposed platform therefore treats the dealer dashboard as the decision hub and uses multiple specialized agents to transform operational data into an explainable recommendation.</w:t>
      </w:r>
    </w:p>
    <w:p>
      <w:pPr>
        <w:pStyle w:val="Heading2"/>
        <w:spacing w:after="80" w:line="240" w:lineRule="auto"/>
      </w:pPr>
      <w:r>
        <w:rPr>
          <w:rFonts w:ascii="Times New Roman" w:hAnsi="Times New Roman" w:eastAsia="Times New Roman"/>
        </w:rPr>
        <w:t>1.3 Project Objective</w:t>
      </w:r>
    </w:p>
    <w:p>
      <w:pPr>
        <w:spacing w:after="80" w:line="240" w:lineRule="auto"/>
      </w:pPr>
      <w:r>
        <w:rPr>
          <w:rFonts w:ascii="Times New Roman" w:hAnsi="Times New Roman" w:eastAsia="Times New Roman"/>
          <w:b w:val="0"/>
          <w:i w:val="0"/>
        </w:rPr>
        <w:t>The objective is to build an AI-assisted decision platform that forecasts short-term dealer demand, monitors inventory risk, recommends replenishment, coordinates refinery loading, evaluates fleet and compliance constraints, optimizes dispatch schedules and presents the final recommendation to the dealer for approval.</w:t>
      </w:r>
    </w:p>
    <w:p>
      <w:pPr>
        <w:pStyle w:val="Heading2"/>
        <w:spacing w:after="80" w:line="240" w:lineRule="auto"/>
      </w:pPr>
      <w:r>
        <w:rPr>
          <w:rFonts w:ascii="Times New Roman" w:hAnsi="Times New Roman" w:eastAsia="Times New Roman"/>
        </w:rPr>
        <w:t>1.4 Research Questions</w:t>
      </w:r>
    </w:p>
    <w:p>
      <w:pPr>
        <w:pStyle w:val="ListBullet"/>
        <w:spacing w:after="80" w:line="240" w:lineRule="auto"/>
      </w:pPr>
      <w:r>
        <w:rPr>
          <w:rFonts w:ascii="Times New Roman" w:hAnsi="Times New Roman" w:eastAsia="Times New Roman"/>
        </w:rPr>
        <w:t>Can a structured synthetic dealer-logistics dataset support meaningful analytical demonstration before real operational data is available?</w:t>
      </w:r>
    </w:p>
    <w:p>
      <w:pPr>
        <w:pStyle w:val="ListBullet"/>
        <w:spacing w:after="80" w:line="240" w:lineRule="auto"/>
      </w:pPr>
      <w:r>
        <w:rPr>
          <w:rFonts w:ascii="Times New Roman" w:hAnsi="Times New Roman" w:eastAsia="Times New Roman"/>
        </w:rPr>
        <w:t>How can BFS and DFS represent and navigate relationships among dealer, refinery, fleet and dispatch agents?</w:t>
      </w:r>
    </w:p>
    <w:p>
      <w:pPr>
        <w:pStyle w:val="ListBullet"/>
        <w:spacing w:after="80" w:line="240" w:lineRule="auto"/>
      </w:pPr>
      <w:r>
        <w:rPr>
          <w:rFonts w:ascii="Times New Roman" w:hAnsi="Times New Roman" w:eastAsia="Times New Roman"/>
        </w:rPr>
        <w:t>How can Hill Climbing improve a candidate tanker/driver/slot dispatch schedule, and where can it become trapped?</w:t>
      </w:r>
    </w:p>
    <w:p>
      <w:pPr>
        <w:pStyle w:val="ListBullet"/>
        <w:spacing w:after="80" w:line="240" w:lineRule="auto"/>
      </w:pPr>
      <w:r>
        <w:rPr>
          <w:rFonts w:ascii="Times New Roman" w:hAnsi="Times New Roman" w:eastAsia="Times New Roman"/>
        </w:rPr>
        <w:t>Can a Genetic Algorithm explore the same dispatch search space more broadly?</w:t>
      </w:r>
    </w:p>
    <w:p>
      <w:pPr>
        <w:pStyle w:val="ListBullet"/>
        <w:spacing w:after="80" w:line="240" w:lineRule="auto"/>
      </w:pPr>
      <w:r>
        <w:rPr>
          <w:rFonts w:ascii="Times New Roman" w:hAnsi="Times New Roman" w:eastAsia="Times New Roman"/>
        </w:rPr>
        <w:t>Which measurable operational factors should receive the greatest attention in a dealer decision-intelligence system?</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2. Problem Definition and Objectives</w:t>
      </w:r>
    </w:p>
    <w:p>
      <w:pPr>
        <w:spacing w:after="80" w:line="240" w:lineRule="auto"/>
      </w:pPr>
      <w:r>
        <w:rPr>
          <w:rFonts w:ascii="Times New Roman" w:hAnsi="Times New Roman" w:eastAsia="Times New Roman"/>
          <w:b w:val="0"/>
          <w:i w:val="0"/>
        </w:rPr>
        <w:t>The system must convert a dealer's replenishment requirement into an executable and explainable dispatch recommendation. The problem is not simply to predict demand; it is a coupled decision problem in which an order is useful only when fuel can be sourced, loaded, transported and delivered within the required operational constraints.</w:t>
      </w:r>
    </w:p>
    <w:p>
      <w:pPr>
        <w:pStyle w:val="Heading2"/>
        <w:spacing w:after="80" w:line="240" w:lineRule="auto"/>
      </w:pPr>
      <w:r>
        <w:rPr>
          <w:rFonts w:ascii="Times New Roman" w:hAnsi="Times New Roman" w:eastAsia="Times New Roman"/>
        </w:rPr>
        <w:t>2.1 Formalized AI Task</w:t>
      </w:r>
    </w:p>
    <w:p>
      <w:pPr>
        <w:spacing w:after="80" w:line="240" w:lineRule="auto"/>
      </w:pPr>
      <w:r>
        <w:rPr>
          <w:rFonts w:ascii="Times New Roman" w:hAnsi="Times New Roman" w:eastAsia="Times New Roman"/>
          <w:b w:val="0"/>
          <w:i w:val="0"/>
        </w:rPr>
        <w:t>For a dealer order O, the system estimates demand and inventory state, identifies feasible supply and fleet resources, and selects a dispatch plan P that minimizes operational cost while satisfying constraints.</w:t>
      </w:r>
    </w:p>
    <w:p>
      <w:pPr>
        <w:spacing w:after="80" w:line="240" w:lineRule="auto"/>
      </w:pPr>
      <w:r>
        <w:rPr>
          <w:rFonts w:ascii="Times New Roman" w:hAnsi="Times New Roman" w:eastAsia="Times New Roman"/>
          <w:b w:val="0"/>
          <w:i w:val="0"/>
        </w:rPr>
        <w:t>Input:</w:t>
      </w:r>
    </w:p>
    <w:p>
      <w:pPr>
        <w:pStyle w:val="ListBullet"/>
        <w:spacing w:after="80" w:line="240" w:lineRule="auto"/>
      </w:pPr>
      <w:r>
        <w:rPr>
          <w:rFonts w:ascii="Times New Roman" w:hAnsi="Times New Roman" w:eastAsia="Times New Roman"/>
        </w:rPr>
        <w:t>Dealer fuel demand and historical sales</w:t>
      </w:r>
    </w:p>
    <w:p>
      <w:pPr>
        <w:pStyle w:val="ListBullet"/>
        <w:spacing w:after="80" w:line="240" w:lineRule="auto"/>
      </w:pPr>
      <w:r>
        <w:rPr>
          <w:rFonts w:ascii="Times New Roman" w:hAnsi="Times New Roman" w:eastAsia="Times New Roman"/>
        </w:rPr>
        <w:t>Current petrol/diesel inventory and safety stock</w:t>
      </w:r>
    </w:p>
    <w:p>
      <w:pPr>
        <w:pStyle w:val="ListBullet"/>
        <w:spacing w:after="80" w:line="240" w:lineRule="auto"/>
      </w:pPr>
      <w:r>
        <w:rPr>
          <w:rFonts w:ascii="Times New Roman" w:hAnsi="Times New Roman" w:eastAsia="Times New Roman"/>
        </w:rPr>
        <w:t>Order quantity, priority and delivery deadline</w:t>
      </w:r>
    </w:p>
    <w:p>
      <w:pPr>
        <w:pStyle w:val="ListBullet"/>
        <w:spacing w:after="80" w:line="240" w:lineRule="auto"/>
      </w:pPr>
      <w:r>
        <w:rPr>
          <w:rFonts w:ascii="Times New Roman" w:hAnsi="Times New Roman" w:eastAsia="Times New Roman"/>
        </w:rPr>
        <w:t>Refinery availability and loading-slot status</w:t>
      </w:r>
    </w:p>
    <w:p>
      <w:pPr>
        <w:pStyle w:val="ListBullet"/>
        <w:spacing w:after="80" w:line="240" w:lineRule="auto"/>
      </w:pPr>
      <w:r>
        <w:rPr>
          <w:rFonts w:ascii="Times New Roman" w:hAnsi="Times New Roman" w:eastAsia="Times New Roman"/>
        </w:rPr>
        <w:t>Tanker capacity, location, maintenance and availability</w:t>
      </w:r>
    </w:p>
    <w:p>
      <w:pPr>
        <w:pStyle w:val="ListBullet"/>
        <w:spacing w:after="80" w:line="240" w:lineRule="auto"/>
      </w:pPr>
      <w:r>
        <w:rPr>
          <w:rFonts w:ascii="Times New Roman" w:hAnsi="Times New Roman" w:eastAsia="Times New Roman"/>
        </w:rPr>
        <w:t>Driver availability and compliance status</w:t>
      </w:r>
    </w:p>
    <w:p>
      <w:pPr>
        <w:pStyle w:val="ListBullet"/>
        <w:spacing w:after="80" w:line="240" w:lineRule="auto"/>
      </w:pPr>
      <w:r>
        <w:rPr>
          <w:rFonts w:ascii="Times New Roman" w:hAnsi="Times New Roman" w:eastAsia="Times New Roman"/>
        </w:rPr>
        <w:t>Traffic, weather/road conditions and estimated travel time</w:t>
      </w:r>
    </w:p>
    <w:p>
      <w:pPr>
        <w:spacing w:after="80" w:line="240" w:lineRule="auto"/>
      </w:pPr>
      <w:r>
        <w:rPr>
          <w:rFonts w:ascii="Times New Roman" w:hAnsi="Times New Roman" w:eastAsia="Times New Roman"/>
          <w:b w:val="0"/>
          <w:i w:val="0"/>
        </w:rPr>
        <w:t>Output:</w:t>
      </w:r>
    </w:p>
    <w:p>
      <w:pPr>
        <w:spacing w:after="80" w:line="240" w:lineRule="auto"/>
      </w:pPr>
      <w:r>
        <w:rPr>
          <w:rFonts w:ascii="Times New Roman" w:hAnsi="Times New Roman" w:eastAsia="Times New Roman"/>
          <w:b w:val="0"/>
          <w:i w:val="0"/>
        </w:rPr>
        <w:t>Decision = {recommended quantity, order timing, refinery/loading slot, tanker, driver, route, ETA, estimated cost, risk level, explanation}</w:t>
      </w:r>
    </w:p>
    <w:p>
      <w:pPr>
        <w:pStyle w:val="Heading2"/>
        <w:spacing w:after="80" w:line="240" w:lineRule="auto"/>
      </w:pPr>
      <w:r>
        <w:rPr>
          <w:rFonts w:ascii="Times New Roman" w:hAnsi="Times New Roman" w:eastAsia="Times New Roman"/>
        </w:rPr>
        <w:t>2.2 Success Criteria</w:t>
      </w:r>
    </w:p>
    <w:p>
      <w:pPr>
        <w:pStyle w:val="ListBullet"/>
        <w:spacing w:after="80" w:line="240" w:lineRule="auto"/>
      </w:pPr>
      <w:r>
        <w:rPr>
          <w:rFonts w:ascii="Times New Roman" w:hAnsi="Times New Roman" w:eastAsia="Times New Roman"/>
        </w:rPr>
        <w:t>Reduce stock-out and emergency-order risk.</w:t>
      </w:r>
    </w:p>
    <w:p>
      <w:pPr>
        <w:pStyle w:val="ListBullet"/>
        <w:spacing w:after="80" w:line="240" w:lineRule="auto"/>
      </w:pPr>
      <w:r>
        <w:rPr>
          <w:rFonts w:ascii="Times New Roman" w:hAnsi="Times New Roman" w:eastAsia="Times New Roman"/>
        </w:rPr>
        <w:t>Maintain feasible inventory and storage utilization.</w:t>
      </w:r>
    </w:p>
    <w:p>
      <w:pPr>
        <w:pStyle w:val="ListBullet"/>
        <w:spacing w:after="80" w:line="240" w:lineRule="auto"/>
      </w:pPr>
      <w:r>
        <w:rPr>
          <w:rFonts w:ascii="Times New Roman" w:hAnsi="Times New Roman" w:eastAsia="Times New Roman"/>
        </w:rPr>
        <w:t>Improve tanker utilization and reduce waiting time.</w:t>
      </w:r>
    </w:p>
    <w:p>
      <w:pPr>
        <w:pStyle w:val="ListBullet"/>
        <w:spacing w:after="80" w:line="240" w:lineRule="auto"/>
      </w:pPr>
      <w:r>
        <w:rPr>
          <w:rFonts w:ascii="Times New Roman" w:hAnsi="Times New Roman" w:eastAsia="Times New Roman"/>
        </w:rPr>
        <w:t>Improve on-time delivery performance.</w:t>
      </w:r>
    </w:p>
    <w:p>
      <w:pPr>
        <w:pStyle w:val="ListBullet"/>
        <w:spacing w:after="80" w:line="240" w:lineRule="auto"/>
      </w:pPr>
      <w:r>
        <w:rPr>
          <w:rFonts w:ascii="Times New Roman" w:hAnsi="Times New Roman" w:eastAsia="Times New Roman"/>
        </w:rPr>
        <w:t>Respect driver, tanker and regulatory constraints.</w:t>
      </w:r>
    </w:p>
    <w:p>
      <w:pPr>
        <w:pStyle w:val="ListBullet"/>
        <w:spacing w:after="80" w:line="240" w:lineRule="auto"/>
      </w:pPr>
      <w:r>
        <w:rPr>
          <w:rFonts w:ascii="Times New Roman" w:hAnsi="Times New Roman" w:eastAsia="Times New Roman"/>
        </w:rPr>
        <w:t>Provide an auditable reason for every major recommendation.</w:t>
      </w:r>
    </w:p>
    <w:p>
      <w:pPr>
        <w:pStyle w:val="ListBullet"/>
        <w:spacing w:after="80" w:line="240" w:lineRule="auto"/>
      </w:pPr>
      <w:r>
        <w:rPr>
          <w:rFonts w:ascii="Times New Roman" w:hAnsi="Times New Roman" w:eastAsia="Times New Roman"/>
        </w:rPr>
        <w:t>Keep the dealer in the approval loop before execution.</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3. Dataset Selection and Description</w:t>
      </w:r>
    </w:p>
    <w:p>
      <w:pPr>
        <w:pStyle w:val="Heading2"/>
        <w:spacing w:after="80" w:line="240" w:lineRule="auto"/>
      </w:pPr>
      <w:r>
        <w:rPr>
          <w:rFonts w:ascii="Times New Roman" w:hAnsi="Times New Roman" w:eastAsia="Times New Roman"/>
        </w:rPr>
        <w:t>3.1 Selected Dataset: Simulated Petroleum Dealer Logistics Dataset</w:t>
      </w:r>
    </w:p>
    <w:p>
      <w:pPr>
        <w:spacing w:after="80" w:line="240" w:lineRule="auto"/>
      </w:pPr>
      <w:r>
        <w:rPr>
          <w:rFonts w:ascii="Times New Roman" w:hAnsi="Times New Roman" w:eastAsia="Times New Roman"/>
          <w:b w:val="0"/>
          <w:i w:val="0"/>
        </w:rPr>
        <w:t>Because confidential refinery/dealer operational data is not available for this course project, a synthetic dataset of 350 dealer-order records was generated. The dataset is designed around the variables that the proposed platform would actually consume and produce. It is therefore an analytical demonstration dataset, not a claim about live refinery operations.</w:t>
      </w:r>
    </w:p>
    <w:p>
      <w:pPr>
        <w:pStyle w:val="Heading2"/>
        <w:spacing w:after="80" w:line="240" w:lineRule="auto"/>
      </w:pPr>
      <w:r>
        <w:rPr>
          <w:rFonts w:ascii="Times New Roman" w:hAnsi="Times New Roman" w:eastAsia="Times New Roman"/>
        </w:rPr>
        <w:t>3.2 Dataset Provenance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eastAsia="Times New Roman"/>
                <w:b/>
                <w:sz w:val="17"/>
              </w:rPr>
              <w:t>Property</w:t>
            </w:r>
          </w:p>
        </w:tc>
        <w:tc>
          <w:tcPr>
            <w:tcW w:type="dxa" w:w="5040"/>
            <w:vAlign w:val="center"/>
          </w:tcPr>
          <w:p>
            <w:r>
              <w:rPr>
                <w:rFonts w:ascii="Times New Roman" w:hAnsi="Times New Roman" w:eastAsia="Times New Roman"/>
                <w:b/>
                <w:sz w:val="17"/>
              </w:rPr>
              <w:t>Value</w:t>
            </w:r>
          </w:p>
        </w:tc>
      </w:tr>
      <w:tr>
        <w:tc>
          <w:tcPr>
            <w:tcW w:type="dxa" w:w="5040"/>
            <w:vAlign w:val="center"/>
          </w:tcPr>
          <w:p>
            <w:r>
              <w:rPr>
                <w:rFonts w:ascii="Times New Roman" w:hAnsi="Times New Roman" w:eastAsia="Times New Roman"/>
                <w:sz w:val="17"/>
              </w:rPr>
              <w:t>Dataset name</w:t>
            </w:r>
          </w:p>
        </w:tc>
        <w:tc>
          <w:tcPr>
            <w:tcW w:type="dxa" w:w="5040"/>
            <w:vAlign w:val="center"/>
          </w:tcPr>
          <w:p>
            <w:r>
              <w:rPr>
                <w:rFonts w:ascii="Times New Roman" w:hAnsi="Times New Roman" w:eastAsia="Times New Roman"/>
                <w:sz w:val="17"/>
              </w:rPr>
              <w:t>Simulated Petroleum Dealer Logistics Dataset</w:t>
            </w:r>
          </w:p>
        </w:tc>
      </w:tr>
      <w:tr>
        <w:tc>
          <w:tcPr>
            <w:tcW w:type="dxa" w:w="5040"/>
            <w:vAlign w:val="center"/>
          </w:tcPr>
          <w:p>
            <w:r>
              <w:rPr>
                <w:rFonts w:ascii="Times New Roman" w:hAnsi="Times New Roman" w:eastAsia="Times New Roman"/>
                <w:sz w:val="17"/>
              </w:rPr>
              <w:t>Generation method</w:t>
            </w:r>
          </w:p>
        </w:tc>
        <w:tc>
          <w:tcPr>
            <w:tcW w:type="dxa" w:w="5040"/>
            <w:vAlign w:val="center"/>
          </w:tcPr>
          <w:p>
            <w:r>
              <w:rPr>
                <w:rFonts w:ascii="Times New Roman" w:hAnsi="Times New Roman" w:eastAsia="Times New Roman"/>
                <w:sz w:val="17"/>
              </w:rPr>
              <w:t>Synthetically generated with NumPy (seed = 42)</w:t>
            </w:r>
          </w:p>
        </w:tc>
      </w:tr>
      <w:tr>
        <w:tc>
          <w:tcPr>
            <w:tcW w:type="dxa" w:w="5040"/>
            <w:vAlign w:val="center"/>
          </w:tcPr>
          <w:p>
            <w:r>
              <w:rPr>
                <w:rFonts w:ascii="Times New Roman" w:hAnsi="Times New Roman" w:eastAsia="Times New Roman"/>
                <w:sz w:val="17"/>
              </w:rPr>
              <w:t>Number of records</w:t>
            </w:r>
          </w:p>
        </w:tc>
        <w:tc>
          <w:tcPr>
            <w:tcW w:type="dxa" w:w="5040"/>
            <w:vAlign w:val="center"/>
          </w:tcPr>
          <w:p>
            <w:r>
              <w:rPr>
                <w:rFonts w:ascii="Times New Roman" w:hAnsi="Times New Roman" w:eastAsia="Times New Roman"/>
                <w:sz w:val="17"/>
              </w:rPr>
              <w:t>350 dealer orders</w:t>
            </w:r>
          </w:p>
        </w:tc>
      </w:tr>
      <w:tr>
        <w:tc>
          <w:tcPr>
            <w:tcW w:type="dxa" w:w="5040"/>
            <w:vAlign w:val="center"/>
          </w:tcPr>
          <w:p>
            <w:r>
              <w:rPr>
                <w:rFonts w:ascii="Times New Roman" w:hAnsi="Times New Roman" w:eastAsia="Times New Roman"/>
                <w:sz w:val="17"/>
              </w:rPr>
              <w:t>Time span represented</w:t>
            </w:r>
          </w:p>
        </w:tc>
        <w:tc>
          <w:tcPr>
            <w:tcW w:type="dxa" w:w="5040"/>
            <w:vAlign w:val="center"/>
          </w:tcPr>
          <w:p>
            <w:r>
              <w:rPr>
                <w:rFonts w:ascii="Times New Roman" w:hAnsi="Times New Roman" w:eastAsia="Times New Roman"/>
                <w:sz w:val="17"/>
              </w:rPr>
              <w:t>180 calendar days</w:t>
            </w:r>
          </w:p>
        </w:tc>
      </w:tr>
      <w:tr>
        <w:tc>
          <w:tcPr>
            <w:tcW w:type="dxa" w:w="5040"/>
            <w:vAlign w:val="center"/>
          </w:tcPr>
          <w:p>
            <w:r>
              <w:rPr>
                <w:rFonts w:ascii="Times New Roman" w:hAnsi="Times New Roman" w:eastAsia="Times New Roman"/>
                <w:sz w:val="17"/>
              </w:rPr>
              <w:t>Dealer zones</w:t>
            </w:r>
          </w:p>
        </w:tc>
        <w:tc>
          <w:tcPr>
            <w:tcW w:type="dxa" w:w="5040"/>
            <w:vAlign w:val="center"/>
          </w:tcPr>
          <w:p>
            <w:r>
              <w:rPr>
                <w:rFonts w:ascii="Times New Roman" w:hAnsi="Times New Roman" w:eastAsia="Times New Roman"/>
                <w:sz w:val="17"/>
              </w:rPr>
              <w:t>Central, North, South, East, West</w:t>
            </w:r>
          </w:p>
        </w:tc>
      </w:tr>
      <w:tr>
        <w:tc>
          <w:tcPr>
            <w:tcW w:type="dxa" w:w="5040"/>
            <w:vAlign w:val="center"/>
          </w:tcPr>
          <w:p>
            <w:r>
              <w:rPr>
                <w:rFonts w:ascii="Times New Roman" w:hAnsi="Times New Roman" w:eastAsia="Times New Roman"/>
                <w:sz w:val="17"/>
              </w:rPr>
              <w:t>Fuel types</w:t>
            </w:r>
          </w:p>
        </w:tc>
        <w:tc>
          <w:tcPr>
            <w:tcW w:type="dxa" w:w="5040"/>
            <w:vAlign w:val="center"/>
          </w:tcPr>
          <w:p>
            <w:r>
              <w:rPr>
                <w:rFonts w:ascii="Times New Roman" w:hAnsi="Times New Roman" w:eastAsia="Times New Roman"/>
                <w:sz w:val="17"/>
              </w:rPr>
              <w:t>Diesel and Petrol</w:t>
            </w:r>
          </w:p>
        </w:tc>
      </w:tr>
      <w:tr>
        <w:tc>
          <w:tcPr>
            <w:tcW w:type="dxa" w:w="5040"/>
            <w:vAlign w:val="center"/>
          </w:tcPr>
          <w:p>
            <w:r>
              <w:rPr>
                <w:rFonts w:ascii="Times New Roman" w:hAnsi="Times New Roman" w:eastAsia="Times New Roman"/>
                <w:sz w:val="17"/>
              </w:rPr>
              <w:t>Priority classes</w:t>
            </w:r>
          </w:p>
        </w:tc>
        <w:tc>
          <w:tcPr>
            <w:tcW w:type="dxa" w:w="5040"/>
            <w:vAlign w:val="center"/>
          </w:tcPr>
          <w:p>
            <w:r>
              <w:rPr>
                <w:rFonts w:ascii="Times New Roman" w:hAnsi="Times New Roman" w:eastAsia="Times New Roman"/>
                <w:sz w:val="17"/>
              </w:rPr>
              <w:t>Normal, High, Urgent</w:t>
            </w:r>
          </w:p>
        </w:tc>
      </w:tr>
      <w:tr>
        <w:tc>
          <w:tcPr>
            <w:tcW w:type="dxa" w:w="5040"/>
            <w:vAlign w:val="center"/>
          </w:tcPr>
          <w:p>
            <w:r>
              <w:rPr>
                <w:rFonts w:ascii="Times New Roman" w:hAnsi="Times New Roman" w:eastAsia="Times New Roman"/>
                <w:sz w:val="17"/>
              </w:rPr>
              <w:t>Purpose</w:t>
            </w:r>
          </w:p>
        </w:tc>
        <w:tc>
          <w:tcPr>
            <w:tcW w:type="dxa" w:w="5040"/>
            <w:vAlign w:val="center"/>
          </w:tcPr>
          <w:p>
            <w:r>
              <w:rPr>
                <w:rFonts w:ascii="Times New Roman" w:hAnsi="Times New Roman" w:eastAsia="Times New Roman"/>
                <w:sz w:val="17"/>
              </w:rPr>
              <w:t>Course-level analytics, graph search and optimization demonstration</w:t>
            </w:r>
          </w:p>
        </w:tc>
      </w:tr>
    </w:tbl>
    <w:p>
      <w:pPr>
        <w:pStyle w:val="Heading2"/>
        <w:spacing w:after="80" w:line="240" w:lineRule="auto"/>
      </w:pPr>
      <w:r>
        <w:rPr>
          <w:rFonts w:ascii="Times New Roman" w:hAnsi="Times New Roman" w:eastAsia="Times New Roman"/>
        </w:rPr>
        <w:t>3.3 Why This Dataset Was Chosen</w:t>
      </w:r>
    </w:p>
    <w:p>
      <w:pPr>
        <w:pStyle w:val="ListBullet"/>
        <w:spacing w:after="80" w:line="240" w:lineRule="auto"/>
      </w:pPr>
      <w:r>
        <w:rPr>
          <w:rFonts w:ascii="Times New Roman" w:hAnsi="Times New Roman" w:eastAsia="Times New Roman"/>
        </w:rPr>
        <w:t>Directly represents the dealer-centric problem domain.</w:t>
      </w:r>
    </w:p>
    <w:p>
      <w:pPr>
        <w:pStyle w:val="ListBullet"/>
        <w:spacing w:after="80" w:line="240" w:lineRule="auto"/>
      </w:pPr>
      <w:r>
        <w:rPr>
          <w:rFonts w:ascii="Times New Roman" w:hAnsi="Times New Roman" w:eastAsia="Times New Roman"/>
        </w:rPr>
        <w:t>Contains numerical variables needed for descriptive analysis and optimization.</w:t>
      </w:r>
    </w:p>
    <w:p>
      <w:pPr>
        <w:pStyle w:val="ListBullet"/>
        <w:spacing w:after="80" w:line="240" w:lineRule="auto"/>
      </w:pPr>
      <w:r>
        <w:rPr>
          <w:rFonts w:ascii="Times New Roman" w:hAnsi="Times New Roman" w:eastAsia="Times New Roman"/>
        </w:rPr>
        <w:t>Contains categorical variables for dealer-zone and fuel comparisons.</w:t>
      </w:r>
    </w:p>
    <w:p>
      <w:pPr>
        <w:pStyle w:val="ListBullet"/>
        <w:spacing w:after="80" w:line="240" w:lineRule="auto"/>
      </w:pPr>
      <w:r>
        <w:rPr>
          <w:rFonts w:ascii="Times New Roman" w:hAnsi="Times New Roman" w:eastAsia="Times New Roman"/>
        </w:rPr>
        <w:t>Provides enough records for correlation and exploratory factor analysis.</w:t>
      </w:r>
    </w:p>
    <w:p>
      <w:pPr>
        <w:pStyle w:val="ListBullet"/>
        <w:spacing w:after="80" w:line="240" w:lineRule="auto"/>
      </w:pPr>
      <w:r>
        <w:rPr>
          <w:rFonts w:ascii="Times New Roman" w:hAnsi="Times New Roman" w:eastAsia="Times New Roman"/>
        </w:rPr>
        <w:t>Supports a graph representation of the operational decision flow.</w:t>
      </w:r>
    </w:p>
    <w:p>
      <w:pPr>
        <w:pStyle w:val="ListBullet"/>
        <w:spacing w:after="80" w:line="240" w:lineRule="auto"/>
      </w:pPr>
      <w:r>
        <w:rPr>
          <w:rFonts w:ascii="Times New Roman" w:hAnsi="Times New Roman" w:eastAsia="Times New Roman"/>
        </w:rPr>
        <w:t>Can later be replaced by historical dealer/refinery data without changing the analytical architecture.</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3.4 Dataset 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eastAsia="Times New Roman"/>
                <w:b/>
                <w:sz w:val="17"/>
              </w:rPr>
              <w:t>Dataset Field</w:t>
            </w:r>
          </w:p>
        </w:tc>
        <w:tc>
          <w:tcPr>
            <w:tcW w:type="dxa" w:w="5040"/>
            <w:vAlign w:val="center"/>
          </w:tcPr>
          <w:p>
            <w:r>
              <w:rPr>
                <w:rFonts w:ascii="Times New Roman" w:hAnsi="Times New Roman" w:eastAsia="Times New Roman"/>
                <w:b/>
                <w:sz w:val="17"/>
              </w:rPr>
              <w:t>Role in This Project</w:t>
            </w:r>
          </w:p>
        </w:tc>
      </w:tr>
      <w:tr>
        <w:tc>
          <w:tcPr>
            <w:tcW w:type="dxa" w:w="5040"/>
            <w:vAlign w:val="center"/>
          </w:tcPr>
          <w:p>
            <w:r>
              <w:rPr>
                <w:rFonts w:ascii="Times New Roman" w:hAnsi="Times New Roman" w:eastAsia="Times New Roman"/>
                <w:sz w:val="17"/>
              </w:rPr>
              <w:t>order_id / date / zone</w:t>
            </w:r>
          </w:p>
        </w:tc>
        <w:tc>
          <w:tcPr>
            <w:tcW w:type="dxa" w:w="5040"/>
            <w:vAlign w:val="center"/>
          </w:tcPr>
          <w:p>
            <w:r>
              <w:rPr>
                <w:rFonts w:ascii="Times New Roman" w:hAnsi="Times New Roman" w:eastAsia="Times New Roman"/>
                <w:sz w:val="17"/>
              </w:rPr>
              <w:t>Identify and categorize each dealer order.</w:t>
            </w:r>
          </w:p>
        </w:tc>
      </w:tr>
      <w:tr>
        <w:tc>
          <w:tcPr>
            <w:tcW w:type="dxa" w:w="5040"/>
            <w:vAlign w:val="center"/>
          </w:tcPr>
          <w:p>
            <w:r>
              <w:rPr>
                <w:rFonts w:ascii="Times New Roman" w:hAnsi="Times New Roman" w:eastAsia="Times New Roman"/>
                <w:sz w:val="17"/>
              </w:rPr>
              <w:t>fuel_type / priority</w:t>
            </w:r>
          </w:p>
        </w:tc>
        <w:tc>
          <w:tcPr>
            <w:tcW w:type="dxa" w:w="5040"/>
            <w:vAlign w:val="center"/>
          </w:tcPr>
          <w:p>
            <w:r>
              <w:rPr>
                <w:rFonts w:ascii="Times New Roman" w:hAnsi="Times New Roman" w:eastAsia="Times New Roman"/>
                <w:sz w:val="17"/>
              </w:rPr>
              <w:t>Describe product and urgency.</w:t>
            </w:r>
          </w:p>
        </w:tc>
      </w:tr>
      <w:tr>
        <w:tc>
          <w:tcPr>
            <w:tcW w:type="dxa" w:w="5040"/>
            <w:vAlign w:val="center"/>
          </w:tcPr>
          <w:p>
            <w:r>
              <w:rPr>
                <w:rFonts w:ascii="Times New Roman" w:hAnsi="Times New Roman" w:eastAsia="Times New Roman"/>
                <w:sz w:val="17"/>
              </w:rPr>
              <w:t>order_volume_l</w:t>
            </w:r>
          </w:p>
        </w:tc>
        <w:tc>
          <w:tcPr>
            <w:tcW w:type="dxa" w:w="5040"/>
            <w:vAlign w:val="center"/>
          </w:tcPr>
          <w:p>
            <w:r>
              <w:rPr>
                <w:rFonts w:ascii="Times New Roman" w:hAnsi="Times New Roman" w:eastAsia="Times New Roman"/>
                <w:sz w:val="17"/>
              </w:rPr>
              <w:t>Demand and replenishment quantity.</w:t>
            </w:r>
          </w:p>
        </w:tc>
      </w:tr>
      <w:tr>
        <w:tc>
          <w:tcPr>
            <w:tcW w:type="dxa" w:w="5040"/>
            <w:vAlign w:val="center"/>
          </w:tcPr>
          <w:p>
            <w:r>
              <w:rPr>
                <w:rFonts w:ascii="Times New Roman" w:hAnsi="Times New Roman" w:eastAsia="Times New Roman"/>
                <w:sz w:val="17"/>
              </w:rPr>
              <w:t>current_inventory_l</w:t>
            </w:r>
          </w:p>
        </w:tc>
        <w:tc>
          <w:tcPr>
            <w:tcW w:type="dxa" w:w="5040"/>
            <w:vAlign w:val="center"/>
          </w:tcPr>
          <w:p>
            <w:r>
              <w:rPr>
                <w:rFonts w:ascii="Times New Roman" w:hAnsi="Times New Roman" w:eastAsia="Times New Roman"/>
                <w:sz w:val="17"/>
              </w:rPr>
              <w:t>Inventory position and reorder urgency.</w:t>
            </w:r>
          </w:p>
        </w:tc>
      </w:tr>
      <w:tr>
        <w:tc>
          <w:tcPr>
            <w:tcW w:type="dxa" w:w="5040"/>
            <w:vAlign w:val="center"/>
          </w:tcPr>
          <w:p>
            <w:r>
              <w:rPr>
                <w:rFonts w:ascii="Times New Roman" w:hAnsi="Times New Roman" w:eastAsia="Times New Roman"/>
                <w:sz w:val="17"/>
              </w:rPr>
              <w:t>tanker_availability</w:t>
            </w:r>
          </w:p>
        </w:tc>
        <w:tc>
          <w:tcPr>
            <w:tcW w:type="dxa" w:w="5040"/>
            <w:vAlign w:val="center"/>
          </w:tcPr>
          <w:p>
            <w:r>
              <w:rPr>
                <w:rFonts w:ascii="Times New Roman" w:hAnsi="Times New Roman" w:eastAsia="Times New Roman"/>
                <w:sz w:val="17"/>
              </w:rPr>
              <w:t>Fleet feasibility and capacity pressure.</w:t>
            </w:r>
          </w:p>
        </w:tc>
      </w:tr>
      <w:tr>
        <w:tc>
          <w:tcPr>
            <w:tcW w:type="dxa" w:w="5040"/>
            <w:vAlign w:val="center"/>
          </w:tcPr>
          <w:p>
            <w:r>
              <w:rPr>
                <w:rFonts w:ascii="Times New Roman" w:hAnsi="Times New Roman" w:eastAsia="Times New Roman"/>
                <w:sz w:val="17"/>
              </w:rPr>
              <w:t>slot_wait_min</w:t>
            </w:r>
          </w:p>
        </w:tc>
        <w:tc>
          <w:tcPr>
            <w:tcW w:type="dxa" w:w="5040"/>
            <w:vAlign w:val="center"/>
          </w:tcPr>
          <w:p>
            <w:r>
              <w:rPr>
                <w:rFonts w:ascii="Times New Roman" w:hAnsi="Times New Roman" w:eastAsia="Times New Roman"/>
                <w:sz w:val="17"/>
              </w:rPr>
              <w:t>Refinery loading bottleneck indicator.</w:t>
            </w:r>
          </w:p>
        </w:tc>
      </w:tr>
      <w:tr>
        <w:tc>
          <w:tcPr>
            <w:tcW w:type="dxa" w:w="5040"/>
            <w:vAlign w:val="center"/>
          </w:tcPr>
          <w:p>
            <w:r>
              <w:rPr>
                <w:rFonts w:ascii="Times New Roman" w:hAnsi="Times New Roman" w:eastAsia="Times New Roman"/>
                <w:sz w:val="17"/>
              </w:rPr>
              <w:t>delivery_deadline_hr</w:t>
            </w:r>
          </w:p>
        </w:tc>
        <w:tc>
          <w:tcPr>
            <w:tcW w:type="dxa" w:w="5040"/>
            <w:vAlign w:val="center"/>
          </w:tcPr>
          <w:p>
            <w:r>
              <w:rPr>
                <w:rFonts w:ascii="Times New Roman" w:hAnsi="Times New Roman" w:eastAsia="Times New Roman"/>
                <w:sz w:val="17"/>
              </w:rPr>
              <w:t>Urgency and scheduling constraint.</w:t>
            </w:r>
          </w:p>
        </w:tc>
      </w:tr>
      <w:tr>
        <w:tc>
          <w:tcPr>
            <w:tcW w:type="dxa" w:w="5040"/>
            <w:vAlign w:val="center"/>
          </w:tcPr>
          <w:p>
            <w:r>
              <w:rPr>
                <w:rFonts w:ascii="Times New Roman" w:hAnsi="Times New Roman" w:eastAsia="Times New Roman"/>
                <w:sz w:val="17"/>
              </w:rPr>
              <w:t>traffic_factor / distance</w:t>
            </w:r>
          </w:p>
        </w:tc>
        <w:tc>
          <w:tcPr>
            <w:tcW w:type="dxa" w:w="5040"/>
            <w:vAlign w:val="center"/>
          </w:tcPr>
          <w:p>
            <w:r>
              <w:rPr>
                <w:rFonts w:ascii="Times New Roman" w:hAnsi="Times New Roman" w:eastAsia="Times New Roman"/>
                <w:sz w:val="17"/>
              </w:rPr>
              <w:t>Route and travel-time conditions.</w:t>
            </w:r>
          </w:p>
        </w:tc>
      </w:tr>
      <w:tr>
        <w:tc>
          <w:tcPr>
            <w:tcW w:type="dxa" w:w="5040"/>
            <w:vAlign w:val="center"/>
          </w:tcPr>
          <w:p>
            <w:r>
              <w:rPr>
                <w:rFonts w:ascii="Times New Roman" w:hAnsi="Times New Roman" w:eastAsia="Times New Roman"/>
                <w:sz w:val="17"/>
              </w:rPr>
              <w:t>estimated_delay_min</w:t>
            </w:r>
          </w:p>
        </w:tc>
        <w:tc>
          <w:tcPr>
            <w:tcW w:type="dxa" w:w="5040"/>
            <w:vAlign w:val="center"/>
          </w:tcPr>
          <w:p>
            <w:r>
              <w:rPr>
                <w:rFonts w:ascii="Times New Roman" w:hAnsi="Times New Roman" w:eastAsia="Times New Roman"/>
                <w:sz w:val="17"/>
              </w:rPr>
              <w:t>Operational service outcome.</w:t>
            </w:r>
          </w:p>
        </w:tc>
      </w:tr>
      <w:tr>
        <w:tc>
          <w:tcPr>
            <w:tcW w:type="dxa" w:w="5040"/>
            <w:vAlign w:val="center"/>
          </w:tcPr>
          <w:p>
            <w:r>
              <w:rPr>
                <w:rFonts w:ascii="Times New Roman" w:hAnsi="Times New Roman" w:eastAsia="Times New Roman"/>
                <w:sz w:val="17"/>
              </w:rPr>
              <w:t>tanker_utilization_pct</w:t>
            </w:r>
          </w:p>
        </w:tc>
        <w:tc>
          <w:tcPr>
            <w:tcW w:type="dxa" w:w="5040"/>
            <w:vAlign w:val="center"/>
          </w:tcPr>
          <w:p>
            <w:r>
              <w:rPr>
                <w:rFonts w:ascii="Times New Roman" w:hAnsi="Times New Roman" w:eastAsia="Times New Roman"/>
                <w:sz w:val="17"/>
              </w:rPr>
              <w:t>Fleet efficiency indicator.</w:t>
            </w:r>
          </w:p>
        </w:tc>
      </w:tr>
      <w:tr>
        <w:tc>
          <w:tcPr>
            <w:tcW w:type="dxa" w:w="5040"/>
            <w:vAlign w:val="center"/>
          </w:tcPr>
          <w:p>
            <w:r>
              <w:rPr>
                <w:rFonts w:ascii="Times New Roman" w:hAnsi="Times New Roman" w:eastAsia="Times New Roman"/>
                <w:sz w:val="17"/>
              </w:rPr>
              <w:t>stockout_risk_pct</w:t>
            </w:r>
          </w:p>
        </w:tc>
        <w:tc>
          <w:tcPr>
            <w:tcW w:type="dxa" w:w="5040"/>
            <w:vAlign w:val="center"/>
          </w:tcPr>
          <w:p>
            <w:r>
              <w:rPr>
                <w:rFonts w:ascii="Times New Roman" w:hAnsi="Times New Roman" w:eastAsia="Times New Roman"/>
                <w:sz w:val="17"/>
              </w:rPr>
              <w:t>Inventory service-risk indicator.</w:t>
            </w:r>
          </w:p>
        </w:tc>
      </w:tr>
      <w:tr>
        <w:tc>
          <w:tcPr>
            <w:tcW w:type="dxa" w:w="5040"/>
            <w:vAlign w:val="center"/>
          </w:tcPr>
          <w:p>
            <w:r>
              <w:rPr>
                <w:rFonts w:ascii="Times New Roman" w:hAnsi="Times New Roman" w:eastAsia="Times New Roman"/>
                <w:sz w:val="17"/>
              </w:rPr>
              <w:t>on_time_delivery_pct</w:t>
            </w:r>
          </w:p>
        </w:tc>
        <w:tc>
          <w:tcPr>
            <w:tcW w:type="dxa" w:w="5040"/>
            <w:vAlign w:val="center"/>
          </w:tcPr>
          <w:p>
            <w:r>
              <w:rPr>
                <w:rFonts w:ascii="Times New Roman" w:hAnsi="Times New Roman" w:eastAsia="Times New Roman"/>
                <w:sz w:val="17"/>
              </w:rPr>
              <w:t>Customer service outcome.</w:t>
            </w:r>
          </w:p>
        </w:tc>
      </w:tr>
      <w:tr>
        <w:tc>
          <w:tcPr>
            <w:tcW w:type="dxa" w:w="5040"/>
            <w:vAlign w:val="center"/>
          </w:tcPr>
          <w:p>
            <w:r>
              <w:rPr>
                <w:rFonts w:ascii="Times New Roman" w:hAnsi="Times New Roman" w:eastAsia="Times New Roman"/>
                <w:sz w:val="17"/>
              </w:rPr>
              <w:t>delivery_cost</w:t>
            </w:r>
          </w:p>
        </w:tc>
        <w:tc>
          <w:tcPr>
            <w:tcW w:type="dxa" w:w="5040"/>
            <w:vAlign w:val="center"/>
          </w:tcPr>
          <w:p>
            <w:r>
              <w:rPr>
                <w:rFonts w:ascii="Times New Roman" w:hAnsi="Times New Roman" w:eastAsia="Times New Roman"/>
                <w:sz w:val="17"/>
              </w:rPr>
              <w:t>Economic objective for optimization.</w:t>
            </w:r>
          </w:p>
        </w:tc>
      </w:tr>
    </w:tbl>
    <w:p>
      <w:pPr>
        <w:pStyle w:val="Heading2"/>
        <w:spacing w:after="80" w:line="240" w:lineRule="auto"/>
      </w:pPr>
      <w:r>
        <w:rPr>
          <w:rFonts w:ascii="Times New Roman" w:hAnsi="Times New Roman" w:eastAsia="Times New Roman"/>
        </w:rPr>
        <w:t>3.5 Full Dataset vs. Analytical Sample</w:t>
      </w:r>
    </w:p>
    <w:p>
      <w:pPr>
        <w:spacing w:after="80" w:line="240" w:lineRule="auto"/>
      </w:pPr>
      <w:r>
        <w:rPr>
          <w:rFonts w:ascii="Times New Roman" w:hAnsi="Times New Roman" w:eastAsia="Times New Roman"/>
          <w:b w:val="0"/>
          <w:i w:val="0"/>
        </w:rPr>
        <w:t>All 350 records are used for descriptive statistics, correlation analysis, factor analysis, graph-related demonstrations and optimization parameter construction. For readability, only a 16-record analytical sample is reproduced in Appendix A. The full synthetic dataset is represented by the statistics and plots in the main report.</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4. PEAS Analysis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eastAsia="Times New Roman"/>
                <w:b/>
                <w:sz w:val="17"/>
              </w:rPr>
              <w:t>PEAS Component</w:t>
            </w:r>
          </w:p>
        </w:tc>
        <w:tc>
          <w:tcPr>
            <w:tcW w:type="dxa" w:w="5040"/>
            <w:vAlign w:val="center"/>
          </w:tcPr>
          <w:p>
            <w:r>
              <w:rPr>
                <w:rFonts w:ascii="Times New Roman" w:hAnsi="Times New Roman" w:eastAsia="Times New Roman"/>
                <w:b/>
                <w:sz w:val="17"/>
              </w:rPr>
              <w:t>Project-Specific Interpretation</w:t>
            </w:r>
          </w:p>
        </w:tc>
      </w:tr>
      <w:tr>
        <w:tc>
          <w:tcPr>
            <w:tcW w:type="dxa" w:w="5040"/>
            <w:vAlign w:val="center"/>
          </w:tcPr>
          <w:p>
            <w:r>
              <w:rPr>
                <w:rFonts w:ascii="Times New Roman" w:hAnsi="Times New Roman" w:eastAsia="Times New Roman"/>
                <w:sz w:val="17"/>
              </w:rPr>
              <w:t>Performance Measure</w:t>
            </w:r>
          </w:p>
        </w:tc>
        <w:tc>
          <w:tcPr>
            <w:tcW w:type="dxa" w:w="5040"/>
            <w:vAlign w:val="center"/>
          </w:tcPr>
          <w:p>
            <w:r>
              <w:rPr>
                <w:rFonts w:ascii="Times New Roman" w:hAnsi="Times New Roman" w:eastAsia="Times New Roman"/>
                <w:sz w:val="17"/>
              </w:rPr>
              <w:t>Forecast accuracy; low stock-out risk; appropriate inventory; high fulfillment; high tanker utilization; low cost; low delay; feasible and compliant schedules.</w:t>
            </w:r>
          </w:p>
        </w:tc>
      </w:tr>
      <w:tr>
        <w:tc>
          <w:tcPr>
            <w:tcW w:type="dxa" w:w="5040"/>
            <w:vAlign w:val="center"/>
          </w:tcPr>
          <w:p>
            <w:r>
              <w:rPr>
                <w:rFonts w:ascii="Times New Roman" w:hAnsi="Times New Roman" w:eastAsia="Times New Roman"/>
                <w:sz w:val="17"/>
              </w:rPr>
              <w:t>Environment</w:t>
            </w:r>
          </w:p>
        </w:tc>
        <w:tc>
          <w:tcPr>
            <w:tcW w:type="dxa" w:w="5040"/>
            <w:vAlign w:val="center"/>
          </w:tcPr>
          <w:p>
            <w:r>
              <w:rPr>
                <w:rFonts w:ascii="Times New Roman" w:hAnsi="Times New Roman" w:eastAsia="Times New Roman"/>
                <w:sz w:val="17"/>
              </w:rPr>
              <w:t>Dealer, storage tanks, fuel orders, refinery/loading slots, tankers, drivers, customers, roads, traffic, weather and operational constraints.</w:t>
            </w:r>
          </w:p>
        </w:tc>
      </w:tr>
      <w:tr>
        <w:tc>
          <w:tcPr>
            <w:tcW w:type="dxa" w:w="5040"/>
            <w:vAlign w:val="center"/>
          </w:tcPr>
          <w:p>
            <w:r>
              <w:rPr>
                <w:rFonts w:ascii="Times New Roman" w:hAnsi="Times New Roman" w:eastAsia="Times New Roman"/>
                <w:sz w:val="17"/>
              </w:rPr>
              <w:t>Actuators</w:t>
            </w:r>
          </w:p>
        </w:tc>
        <w:tc>
          <w:tcPr>
            <w:tcW w:type="dxa" w:w="5040"/>
            <w:vAlign w:val="center"/>
          </w:tcPr>
          <w:p>
            <w:r>
              <w:rPr>
                <w:rFonts w:ascii="Times New Roman" w:hAnsi="Times New Roman" w:eastAsia="Times New Roman"/>
                <w:sz w:val="17"/>
              </w:rPr>
              <w:t>Order recommendation, tanker/driver selection, loading-slot selection, dispatch prioritization, route/schedule recommendation, alerts and reports.</w:t>
            </w:r>
          </w:p>
        </w:tc>
      </w:tr>
      <w:tr>
        <w:tc>
          <w:tcPr>
            <w:tcW w:type="dxa" w:w="5040"/>
            <w:vAlign w:val="center"/>
          </w:tcPr>
          <w:p>
            <w:r>
              <w:rPr>
                <w:rFonts w:ascii="Times New Roman" w:hAnsi="Times New Roman" w:eastAsia="Times New Roman"/>
                <w:sz w:val="17"/>
              </w:rPr>
              <w:t>Sensors</w:t>
            </w:r>
          </w:p>
        </w:tc>
        <w:tc>
          <w:tcPr>
            <w:tcW w:type="dxa" w:w="5040"/>
            <w:vAlign w:val="center"/>
          </w:tcPr>
          <w:p>
            <w:r>
              <w:rPr>
                <w:rFonts w:ascii="Times New Roman" w:hAnsi="Times New Roman" w:eastAsia="Times New Roman"/>
                <w:sz w:val="17"/>
              </w:rPr>
              <w:t>Sales history, inventory, orders, tanker/driver status, loading slots, maintenance, compliance, GPS/location, traffic and weather.</w:t>
            </w:r>
          </w:p>
        </w:tc>
      </w:tr>
    </w:tbl>
    <w:p>
      <w:pPr>
        <w:pStyle w:val="Heading2"/>
        <w:spacing w:after="80" w:line="240" w:lineRule="auto"/>
      </w:pPr>
      <w:r>
        <w:rPr>
          <w:rFonts w:ascii="Times New Roman" w:hAnsi="Times New Roman" w:eastAsia="Times New Roman"/>
        </w:rPr>
        <w:t>4.1 Agent Perception–Decision Loop</w:t>
      </w:r>
    </w:p>
    <w:p>
      <w:pPr>
        <w:spacing w:after="80" w:line="240" w:lineRule="auto"/>
      </w:pPr>
      <w:r>
        <w:rPr>
          <w:rFonts w:ascii="Times New Roman" w:hAnsi="Times New Roman" w:eastAsia="Times New Roman"/>
        </w:rPr>
        <w:t>Observe dealer order and current inventory</w:t>
        <w:br/>
      </w:r>
      <w:r>
        <w:rPr>
          <w:rFonts w:ascii="Times New Roman" w:hAnsi="Times New Roman" w:eastAsia="Times New Roman"/>
        </w:rPr>
        <w:t xml:space="preserve">        ↓</w:t>
        <w:br/>
      </w:r>
      <w:r>
        <w:rPr>
          <w:rFonts w:ascii="Times New Roman" w:hAnsi="Times New Roman" w:eastAsia="Times New Roman"/>
        </w:rPr>
        <w:t>Forecast demand and estimate stock-out risk</w:t>
        <w:br/>
      </w:r>
      <w:r>
        <w:rPr>
          <w:rFonts w:ascii="Times New Roman" w:hAnsi="Times New Roman" w:eastAsia="Times New Roman"/>
        </w:rPr>
        <w:t xml:space="preserve">        ↓</w:t>
        <w:br/>
      </w:r>
      <w:r>
        <w:rPr>
          <w:rFonts w:ascii="Times New Roman" w:hAnsi="Times New Roman" w:eastAsia="Times New Roman"/>
        </w:rPr>
        <w:t>Evaluate replenishment quantity and timing</w:t>
        <w:br/>
      </w:r>
      <w:r>
        <w:rPr>
          <w:rFonts w:ascii="Times New Roman" w:hAnsi="Times New Roman" w:eastAsia="Times New Roman"/>
        </w:rPr>
        <w:t xml:space="preserve">        ↓</w:t>
        <w:br/>
      </w:r>
      <w:r>
        <w:rPr>
          <w:rFonts w:ascii="Times New Roman" w:hAnsi="Times New Roman" w:eastAsia="Times New Roman"/>
        </w:rPr>
        <w:t>Check refinery quantity and loading-slot availability</w:t>
        <w:br/>
      </w:r>
      <w:r>
        <w:rPr>
          <w:rFonts w:ascii="Times New Roman" w:hAnsi="Times New Roman" w:eastAsia="Times New Roman"/>
        </w:rPr>
        <w:t xml:space="preserve">        ↓</w:t>
        <w:br/>
      </w:r>
      <w:r>
        <w:rPr>
          <w:rFonts w:ascii="Times New Roman" w:hAnsi="Times New Roman" w:eastAsia="Times New Roman"/>
        </w:rPr>
        <w:t>Check tanker, driver, maintenance and compliance feasibility</w:t>
        <w:br/>
      </w:r>
      <w:r>
        <w:rPr>
          <w:rFonts w:ascii="Times New Roman" w:hAnsi="Times New Roman" w:eastAsia="Times New Roman"/>
        </w:rPr>
        <w:t xml:space="preserve">        ↓</w:t>
        <w:br/>
      </w:r>
      <w:r>
        <w:rPr>
          <w:rFonts w:ascii="Times New Roman" w:hAnsi="Times New Roman" w:eastAsia="Times New Roman"/>
        </w:rPr>
        <w:t>Estimate route, traffic delay, ETA and cost</w:t>
        <w:br/>
      </w:r>
      <w:r>
        <w:rPr>
          <w:rFonts w:ascii="Times New Roman" w:hAnsi="Times New Roman" w:eastAsia="Times New Roman"/>
        </w:rPr>
        <w:t xml:space="preserve">        ↓</w:t>
        <w:br/>
      </w:r>
      <w:r>
        <w:rPr>
          <w:rFonts w:ascii="Times New Roman" w:hAnsi="Times New Roman" w:eastAsia="Times New Roman"/>
        </w:rPr>
        <w:t>Optimize dispatch schedule</w:t>
        <w:br/>
      </w:r>
      <w:r>
        <w:rPr>
          <w:rFonts w:ascii="Times New Roman" w:hAnsi="Times New Roman" w:eastAsia="Times New Roman"/>
        </w:rPr>
        <w:t xml:space="preserve">        ↓</w:t>
        <w:br/>
      </w:r>
      <w:r>
        <w:rPr>
          <w:rFonts w:ascii="Times New Roman" w:hAnsi="Times New Roman" w:eastAsia="Times New Roman"/>
        </w:rPr>
        <w:t>Generate explainable dealer recommendation</w:t>
        <w:br/>
      </w:r>
      <w:r>
        <w:rPr>
          <w:rFonts w:ascii="Times New Roman" w:hAnsi="Times New Roman" w:eastAsia="Times New Roman"/>
        </w:rPr>
        <w:t xml:space="preserve">        ↓</w:t>
        <w:br/>
      </w:r>
      <w:r>
        <w:rPr>
          <w:rFonts w:ascii="Times New Roman" w:hAnsi="Times New Roman" w:eastAsia="Times New Roman"/>
        </w:rPr>
        <w:t>Dealer approves / modifies recommendation</w:t>
        <w:br/>
      </w:r>
      <w:r>
        <w:rPr>
          <w:rFonts w:ascii="Times New Roman" w:hAnsi="Times New Roman" w:eastAsia="Times New Roman"/>
        </w:rPr>
        <w:t xml:space="preserve">        ↓</w:t>
        <w:br/>
      </w:r>
      <w:r>
        <w:rPr>
          <w:rFonts w:ascii="Times New Roman" w:hAnsi="Times New Roman" w:eastAsia="Times New Roman"/>
        </w:rPr>
        <w:t>Dispatch execution and outcome feedback</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5. Data Preparation and Descriptive Analysis</w:t>
      </w:r>
    </w:p>
    <w:p>
      <w:pPr>
        <w:pStyle w:val="Heading2"/>
        <w:spacing w:after="80" w:line="240" w:lineRule="auto"/>
      </w:pPr>
      <w:r>
        <w:rPr>
          <w:rFonts w:ascii="Times New Roman" w:hAnsi="Times New Roman" w:eastAsia="Times New Roman"/>
        </w:rPr>
        <w:t>5.1 Data Cleaning and Preparation</w:t>
      </w:r>
    </w:p>
    <w:p>
      <w:pPr>
        <w:pStyle w:val="ListBullet"/>
        <w:spacing w:after="80" w:line="240" w:lineRule="auto"/>
      </w:pPr>
      <w:r>
        <w:rPr>
          <w:rFonts w:ascii="Times New Roman" w:hAnsi="Times New Roman" w:eastAsia="Times New Roman"/>
        </w:rPr>
        <w:t>All synthetic records were generated complete by construction; no missing-value imputation was required.</w:t>
      </w:r>
    </w:p>
    <w:p>
      <w:pPr>
        <w:pStyle w:val="ListBullet"/>
        <w:spacing w:after="80" w:line="240" w:lineRule="auto"/>
      </w:pPr>
      <w:r>
        <w:rPr>
          <w:rFonts w:ascii="Times New Roman" w:hAnsi="Times New Roman" w:eastAsia="Times New Roman"/>
        </w:rPr>
        <w:t>Numerical fields were checked for physically reasonable bounds such as non-negative litres, valid tanker counts and positive travel times.</w:t>
      </w:r>
    </w:p>
    <w:p>
      <w:pPr>
        <w:pStyle w:val="ListBullet"/>
        <w:spacing w:after="80" w:line="240" w:lineRule="auto"/>
      </w:pPr>
      <w:r>
        <w:rPr>
          <w:rFonts w:ascii="Times New Roman" w:hAnsi="Times New Roman" w:eastAsia="Times New Roman"/>
        </w:rPr>
        <w:t>Categorical variables were retained for zone, fuel type and order priority comparisons.</w:t>
      </w:r>
    </w:p>
    <w:p>
      <w:pPr>
        <w:pStyle w:val="ListBullet"/>
        <w:spacing w:after="80" w:line="240" w:lineRule="auto"/>
      </w:pPr>
      <w:r>
        <w:rPr>
          <w:rFonts w:ascii="Times New Roman" w:hAnsi="Times New Roman" w:eastAsia="Times New Roman"/>
        </w:rPr>
        <w:t>The nine core numerical logistics metrics were standardized before Factor Analysis.</w:t>
      </w:r>
    </w:p>
    <w:p>
      <w:pPr>
        <w:pStyle w:val="ListBullet"/>
        <w:spacing w:after="80" w:line="240" w:lineRule="auto"/>
      </w:pPr>
      <w:r>
        <w:rPr>
          <w:rFonts w:ascii="Times New Roman" w:hAnsi="Times New Roman" w:eastAsia="Times New Roman"/>
        </w:rPr>
        <w:t>Optimization demonstrations use normalized/weighted objective components so variables with different units can be compared.</w:t>
      </w:r>
    </w:p>
    <w:p>
      <w:pPr>
        <w:pStyle w:val="Heading2"/>
        <w:spacing w:after="80" w:line="240" w:lineRule="auto"/>
      </w:pPr>
      <w:r>
        <w:rPr>
          <w:rFonts w:ascii="Times New Roman" w:hAnsi="Times New Roman" w:eastAsia="Times New Roman"/>
        </w:rPr>
        <w:t>5.2 Descriptive Statistics</w:t>
      </w:r>
    </w:p>
    <w:p>
      <w:pPr>
        <w:spacing w:after="80" w:line="240" w:lineRule="auto"/>
      </w:pPr>
      <w:r>
        <w:rPr>
          <w:rFonts w:ascii="Times New Roman" w:hAnsi="Times New Roman" w:eastAsia="Times New Roman"/>
          <w:b w:val="0"/>
          <w:i w:val="0"/>
        </w:rPr>
        <w:t>Order volume averages 11496 L (SD 2272), current inventory averages 14768 L (SD 3966), estimated delay averages 42.1 minutes (SD 12.6), and on-time delivery averages 77.9% (SD 6.8%).</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029200" cy="3491873"/>
            <wp:docPr id="1" name="Picture 1"/>
            <wp:cNvGraphicFramePr>
              <a:graphicFrameLocks noChangeAspect="1"/>
            </wp:cNvGraphicFramePr>
            <a:graphic>
              <a:graphicData uri="http://schemas.openxmlformats.org/drawingml/2006/picture">
                <pic:pic>
                  <pic:nvPicPr>
                    <pic:cNvPr id="0" name="01_order_volume_distribution.png"/>
                    <pic:cNvPicPr/>
                  </pic:nvPicPr>
                  <pic:blipFill>
                    <a:blip r:embed="rId9"/>
                    <a:stretch>
                      <a:fillRect/>
                    </a:stretch>
                  </pic:blipFill>
                  <pic:spPr>
                    <a:xfrm>
                      <a:off x="0" y="0"/>
                      <a:ext cx="5029200" cy="3491873"/>
                    </a:xfrm>
                    <a:prstGeom prst="rect"/>
                  </pic:spPr>
                </pic:pic>
              </a:graphicData>
            </a:graphic>
          </wp:inline>
        </w:drawing>
      </w:r>
    </w:p>
    <w:p>
      <w:pPr>
        <w:spacing w:after="80" w:line="240" w:lineRule="auto"/>
        <w:jc w:val="center"/>
      </w:pPr>
      <w:r>
        <w:rPr>
          <w:rFonts w:ascii="Times New Roman" w:hAnsi="Times New Roman" w:eastAsia="Times New Roman"/>
          <w:i/>
        </w:rPr>
        <w:t>Figure 1. Distribution of dealer order volume (litres).</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029200" cy="3491873"/>
            <wp:docPr id="2" name="Picture 2"/>
            <wp:cNvGraphicFramePr>
              <a:graphicFrameLocks noChangeAspect="1"/>
            </wp:cNvGraphicFramePr>
            <a:graphic>
              <a:graphicData uri="http://schemas.openxmlformats.org/drawingml/2006/picture">
                <pic:pic>
                  <pic:nvPicPr>
                    <pic:cNvPr id="0" name="02_delay_distribution.png"/>
                    <pic:cNvPicPr/>
                  </pic:nvPicPr>
                  <pic:blipFill>
                    <a:blip r:embed="rId10"/>
                    <a:stretch>
                      <a:fillRect/>
                    </a:stretch>
                  </pic:blipFill>
                  <pic:spPr>
                    <a:xfrm>
                      <a:off x="0" y="0"/>
                      <a:ext cx="5029200" cy="3491873"/>
                    </a:xfrm>
                    <a:prstGeom prst="rect"/>
                  </pic:spPr>
                </pic:pic>
              </a:graphicData>
            </a:graphic>
          </wp:inline>
        </w:drawing>
      </w:r>
    </w:p>
    <w:p>
      <w:pPr>
        <w:spacing w:after="80" w:line="240" w:lineRule="auto"/>
        <w:jc w:val="center"/>
      </w:pPr>
      <w:r>
        <w:rPr>
          <w:rFonts w:ascii="Times New Roman" w:hAnsi="Times New Roman" w:eastAsia="Times New Roman"/>
          <w:i/>
        </w:rPr>
        <w:t>Figure 2. Distribution of estimated delivery delay (minutes).</w:t>
      </w:r>
    </w:p>
    <w:p>
      <w:pPr>
        <w:spacing w:after="80" w:line="240" w:lineRule="auto"/>
      </w:pPr>
      <w:r>
        <w:rPr>
          <w:rFonts w:ascii="Times New Roman" w:hAnsi="Times New Roman" w:eastAsia="Times New Roman"/>
        </w:rPr>
        <w:br w:type="page"/>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486400" cy="4183609"/>
            <wp:docPr id="3" name="Picture 3"/>
            <wp:cNvGraphicFramePr>
              <a:graphicFrameLocks noChangeAspect="1"/>
            </wp:cNvGraphicFramePr>
            <a:graphic>
              <a:graphicData uri="http://schemas.openxmlformats.org/drawingml/2006/picture">
                <pic:pic>
                  <pic:nvPicPr>
                    <pic:cNvPr id="0" name="03_correlation_heatmap.png"/>
                    <pic:cNvPicPr/>
                  </pic:nvPicPr>
                  <pic:blipFill>
                    <a:blip r:embed="rId11"/>
                    <a:stretch>
                      <a:fillRect/>
                    </a:stretch>
                  </pic:blipFill>
                  <pic:spPr>
                    <a:xfrm>
                      <a:off x="0" y="0"/>
                      <a:ext cx="5486400" cy="4183609"/>
                    </a:xfrm>
                    <a:prstGeom prst="rect"/>
                  </pic:spPr>
                </pic:pic>
              </a:graphicData>
            </a:graphic>
          </wp:inline>
        </w:drawing>
      </w:r>
    </w:p>
    <w:p>
      <w:pPr>
        <w:spacing w:after="80" w:line="240" w:lineRule="auto"/>
        <w:jc w:val="center"/>
      </w:pPr>
      <w:r>
        <w:rPr>
          <w:rFonts w:ascii="Times New Roman" w:hAnsi="Times New Roman" w:eastAsia="Times New Roman"/>
          <w:i/>
        </w:rPr>
        <w:t>Figure 3. Correlation heatmap of key dealer logistics metrics.</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120640" cy="3429486"/>
            <wp:docPr id="4" name="Picture 4"/>
            <wp:cNvGraphicFramePr>
              <a:graphicFrameLocks noChangeAspect="1"/>
            </wp:cNvGraphicFramePr>
            <a:graphic>
              <a:graphicData uri="http://schemas.openxmlformats.org/drawingml/2006/picture">
                <pic:pic>
                  <pic:nvPicPr>
                    <pic:cNvPr id="0" name="04_zone_ontime.png"/>
                    <pic:cNvPicPr/>
                  </pic:nvPicPr>
                  <pic:blipFill>
                    <a:blip r:embed="rId12"/>
                    <a:stretch>
                      <a:fillRect/>
                    </a:stretch>
                  </pic:blipFill>
                  <pic:spPr>
                    <a:xfrm>
                      <a:off x="0" y="0"/>
                      <a:ext cx="5120640" cy="3429486"/>
                    </a:xfrm>
                    <a:prstGeom prst="rect"/>
                  </pic:spPr>
                </pic:pic>
              </a:graphicData>
            </a:graphic>
          </wp:inline>
        </w:drawing>
      </w:r>
    </w:p>
    <w:p>
      <w:pPr>
        <w:spacing w:after="80" w:line="240" w:lineRule="auto"/>
        <w:jc w:val="center"/>
      </w:pPr>
      <w:r>
        <w:rPr>
          <w:rFonts w:ascii="Times New Roman" w:hAnsi="Times New Roman" w:eastAsia="Times New Roman"/>
          <w:i/>
        </w:rPr>
        <w:t>Figure 4. Average on-time delivery by dealer zone.</w:t>
      </w:r>
    </w:p>
    <w:p>
      <w:pPr>
        <w:pStyle w:val="Heading2"/>
        <w:spacing w:after="80" w:line="240" w:lineRule="auto"/>
      </w:pPr>
      <w:r>
        <w:rPr>
          <w:rFonts w:ascii="Times New Roman" w:hAnsi="Times New Roman" w:eastAsia="Times New Roman"/>
        </w:rPr>
        <w:t>5.3 Interpretation</w:t>
      </w:r>
    </w:p>
    <w:p>
      <w:pPr>
        <w:spacing w:after="80" w:line="240" w:lineRule="auto"/>
      </w:pPr>
      <w:r>
        <w:rPr>
          <w:rFonts w:ascii="Times New Roman" w:hAnsi="Times New Roman" w:eastAsia="Times New Roman"/>
          <w:b w:val="0"/>
          <w:i w:val="0"/>
        </w:rPr>
        <w:t>The synthetic correlation structure shows that order volume and delay have a correlation of -0.01, current inventory and stock-out risk correlate at -0.18, loading-slot waiting time and estimated delay correlate at 0.65, and delay versus on-time delivery is -0.92. These relationships are useful for demonstrating why the dealer recommendation cannot rely on a single variable.</w:t>
      </w:r>
    </w:p>
    <w:p>
      <w:pPr>
        <w:spacing w:after="80" w:line="240" w:lineRule="auto"/>
      </w:pPr>
      <w:r>
        <w:rPr>
          <w:rFonts w:ascii="Times New Roman" w:hAnsi="Times New Roman" w:eastAsia="Times New Roman"/>
        </w:rPr>
        <w:br w:type="page"/>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212080" cy="3398858"/>
            <wp:docPr id="5" name="Picture 5"/>
            <wp:cNvGraphicFramePr>
              <a:graphicFrameLocks noChangeAspect="1"/>
            </wp:cNvGraphicFramePr>
            <a:graphic>
              <a:graphicData uri="http://schemas.openxmlformats.org/drawingml/2006/picture">
                <pic:pic>
                  <pic:nvPicPr>
                    <pic:cNvPr id="0" name="05_demand_trend.png"/>
                    <pic:cNvPicPr/>
                  </pic:nvPicPr>
                  <pic:blipFill>
                    <a:blip r:embed="rId13"/>
                    <a:stretch>
                      <a:fillRect/>
                    </a:stretch>
                  </pic:blipFill>
                  <pic:spPr>
                    <a:xfrm>
                      <a:off x="0" y="0"/>
                      <a:ext cx="5212080" cy="3398858"/>
                    </a:xfrm>
                    <a:prstGeom prst="rect"/>
                  </pic:spPr>
                </pic:pic>
              </a:graphicData>
            </a:graphic>
          </wp:inline>
        </w:drawing>
      </w:r>
    </w:p>
    <w:p>
      <w:pPr>
        <w:spacing w:after="80" w:line="240" w:lineRule="auto"/>
        <w:jc w:val="center"/>
      </w:pPr>
      <w:r>
        <w:rPr>
          <w:rFonts w:ascii="Times New Roman" w:hAnsi="Times New Roman" w:eastAsia="Times New Roman"/>
          <w:i/>
        </w:rPr>
        <w:t>Figure 5. 30-day dealer fuel demand trend.</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212080" cy="3401293"/>
            <wp:docPr id="6" name="Picture 6"/>
            <wp:cNvGraphicFramePr>
              <a:graphicFrameLocks noChangeAspect="1"/>
            </wp:cNvGraphicFramePr>
            <a:graphic>
              <a:graphicData uri="http://schemas.openxmlformats.org/drawingml/2006/picture">
                <pic:pic>
                  <pic:nvPicPr>
                    <pic:cNvPr id="0" name="06_inventory_safety.png"/>
                    <pic:cNvPicPr/>
                  </pic:nvPicPr>
                  <pic:blipFill>
                    <a:blip r:embed="rId14"/>
                    <a:stretch>
                      <a:fillRect/>
                    </a:stretch>
                  </pic:blipFill>
                  <pic:spPr>
                    <a:xfrm>
                      <a:off x="0" y="0"/>
                      <a:ext cx="5212080" cy="3401293"/>
                    </a:xfrm>
                    <a:prstGeom prst="rect"/>
                  </pic:spPr>
                </pic:pic>
              </a:graphicData>
            </a:graphic>
          </wp:inline>
        </w:drawing>
      </w:r>
    </w:p>
    <w:p>
      <w:pPr>
        <w:spacing w:after="80" w:line="240" w:lineRule="auto"/>
        <w:jc w:val="center"/>
      </w:pPr>
      <w:r>
        <w:rPr>
          <w:rFonts w:ascii="Times New Roman" w:hAnsi="Times New Roman" w:eastAsia="Times New Roman"/>
          <w:i/>
        </w:rPr>
        <w:t>Figure 6. Diesel inventory compared with the safety-stock threshold.</w:t>
      </w:r>
    </w:p>
    <w:p>
      <w:pPr>
        <w:spacing w:after="80" w:line="240" w:lineRule="auto"/>
      </w:pPr>
      <w:r>
        <w:rPr>
          <w:rFonts w:ascii="Times New Roman" w:hAnsi="Times New Roman" w:eastAsia="Times New Roman"/>
        </w:rPr>
        <w:br w:type="page"/>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212080" cy="3548733"/>
            <wp:docPr id="7" name="Picture 7"/>
            <wp:cNvGraphicFramePr>
              <a:graphicFrameLocks noChangeAspect="1"/>
            </wp:cNvGraphicFramePr>
            <a:graphic>
              <a:graphicData uri="http://schemas.openxmlformats.org/drawingml/2006/picture">
                <pic:pic>
                  <pic:nvPicPr>
                    <pic:cNvPr id="0" name="07_tanker_availability.png"/>
                    <pic:cNvPicPr/>
                  </pic:nvPicPr>
                  <pic:blipFill>
                    <a:blip r:embed="rId15"/>
                    <a:stretch>
                      <a:fillRect/>
                    </a:stretch>
                  </pic:blipFill>
                  <pic:spPr>
                    <a:xfrm>
                      <a:off x="0" y="0"/>
                      <a:ext cx="5212080" cy="3548733"/>
                    </a:xfrm>
                    <a:prstGeom prst="rect"/>
                  </pic:spPr>
                </pic:pic>
              </a:graphicData>
            </a:graphic>
          </wp:inline>
        </w:drawing>
      </w:r>
    </w:p>
    <w:p>
      <w:pPr>
        <w:spacing w:after="80" w:line="240" w:lineRule="auto"/>
        <w:jc w:val="center"/>
      </w:pPr>
      <w:r>
        <w:rPr>
          <w:rFonts w:ascii="Times New Roman" w:hAnsi="Times New Roman" w:eastAsia="Times New Roman"/>
          <w:i/>
        </w:rPr>
        <w:t>Figure 7. Daily available tanker capacity.</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212080" cy="3548733"/>
            <wp:docPr id="8" name="Picture 8"/>
            <wp:cNvGraphicFramePr>
              <a:graphicFrameLocks noChangeAspect="1"/>
            </wp:cNvGraphicFramePr>
            <a:graphic>
              <a:graphicData uri="http://schemas.openxmlformats.org/drawingml/2006/picture">
                <pic:pic>
                  <pic:nvPicPr>
                    <pic:cNvPr id="0" name="08_slot_wait.png"/>
                    <pic:cNvPicPr/>
                  </pic:nvPicPr>
                  <pic:blipFill>
                    <a:blip r:embed="rId16"/>
                    <a:stretch>
                      <a:fillRect/>
                    </a:stretch>
                  </pic:blipFill>
                  <pic:spPr>
                    <a:xfrm>
                      <a:off x="0" y="0"/>
                      <a:ext cx="5212080" cy="3548733"/>
                    </a:xfrm>
                    <a:prstGeom prst="rect"/>
                  </pic:spPr>
                </pic:pic>
              </a:graphicData>
            </a:graphic>
          </wp:inline>
        </w:drawing>
      </w:r>
    </w:p>
    <w:p>
      <w:pPr>
        <w:spacing w:after="80" w:line="240" w:lineRule="auto"/>
        <w:jc w:val="center"/>
      </w:pPr>
      <w:r>
        <w:rPr>
          <w:rFonts w:ascii="Times New Roman" w:hAnsi="Times New Roman" w:eastAsia="Times New Roman"/>
          <w:i/>
        </w:rPr>
        <w:t>Figure 8. Refinery loading-slot waiting time.</w:t>
      </w:r>
    </w:p>
    <w:p>
      <w:pPr>
        <w:spacing w:after="80" w:line="240" w:lineRule="auto"/>
      </w:pPr>
      <w:r>
        <w:rPr>
          <w:rFonts w:ascii="Times New Roman" w:hAnsi="Times New Roman" w:eastAsia="Times New Roman"/>
        </w:rPr>
        <w:br w:type="page"/>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212080" cy="3676858"/>
            <wp:docPr id="9" name="Picture 9"/>
            <wp:cNvGraphicFramePr>
              <a:graphicFrameLocks noChangeAspect="1"/>
            </wp:cNvGraphicFramePr>
            <a:graphic>
              <a:graphicData uri="http://schemas.openxmlformats.org/drawingml/2006/picture">
                <pic:pic>
                  <pic:nvPicPr>
                    <pic:cNvPr id="0" name="09_inventory_risk.png"/>
                    <pic:cNvPicPr/>
                  </pic:nvPicPr>
                  <pic:blipFill>
                    <a:blip r:embed="rId17"/>
                    <a:stretch>
                      <a:fillRect/>
                    </a:stretch>
                  </pic:blipFill>
                  <pic:spPr>
                    <a:xfrm>
                      <a:off x="0" y="0"/>
                      <a:ext cx="5212080" cy="3676858"/>
                    </a:xfrm>
                    <a:prstGeom prst="rect"/>
                  </pic:spPr>
                </pic:pic>
              </a:graphicData>
            </a:graphic>
          </wp:inline>
        </w:drawing>
      </w:r>
    </w:p>
    <w:p>
      <w:pPr>
        <w:spacing w:after="80" w:line="240" w:lineRule="auto"/>
        <w:jc w:val="center"/>
      </w:pPr>
      <w:r>
        <w:rPr>
          <w:rFonts w:ascii="Times New Roman" w:hAnsi="Times New Roman" w:eastAsia="Times New Roman"/>
          <w:i/>
        </w:rPr>
        <w:t>Figure 9. Inventory / stock-out risk distribution.</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212080" cy="3614955"/>
            <wp:docPr id="10" name="Picture 10"/>
            <wp:cNvGraphicFramePr>
              <a:graphicFrameLocks noChangeAspect="1"/>
            </wp:cNvGraphicFramePr>
            <a:graphic>
              <a:graphicData uri="http://schemas.openxmlformats.org/drawingml/2006/picture">
                <pic:pic>
                  <pic:nvPicPr>
                    <pic:cNvPr id="0" name="10_traffic_delay.png"/>
                    <pic:cNvPicPr/>
                  </pic:nvPicPr>
                  <pic:blipFill>
                    <a:blip r:embed="rId18"/>
                    <a:stretch>
                      <a:fillRect/>
                    </a:stretch>
                  </pic:blipFill>
                  <pic:spPr>
                    <a:xfrm>
                      <a:off x="0" y="0"/>
                      <a:ext cx="5212080" cy="3614955"/>
                    </a:xfrm>
                    <a:prstGeom prst="rect"/>
                  </pic:spPr>
                </pic:pic>
              </a:graphicData>
            </a:graphic>
          </wp:inline>
        </w:drawing>
      </w:r>
    </w:p>
    <w:p>
      <w:pPr>
        <w:spacing w:after="80" w:line="240" w:lineRule="auto"/>
        <w:jc w:val="center"/>
      </w:pPr>
      <w:r>
        <w:rPr>
          <w:rFonts w:ascii="Times New Roman" w:hAnsi="Times New Roman" w:eastAsia="Times New Roman"/>
          <w:i/>
        </w:rPr>
        <w:t>Figure 10. Relationship between traffic factor and estimated delivery delay.</w:t>
      </w:r>
    </w:p>
    <w:p>
      <w:pPr>
        <w:spacing w:after="80" w:line="240" w:lineRule="auto"/>
      </w:pPr>
      <w:r>
        <w:rPr>
          <w:rFonts w:ascii="Times New Roman" w:hAnsi="Times New Roman" w:eastAsia="Times New Roman"/>
          <w:b w:val="0"/>
          <w:i w:val="0"/>
        </w:rPr>
        <w:t>The additional operational charts extend the sample report's descriptive-analysis style into the petroleum domain. They show that the platform must monitor both upstream supply constraints and downstream delivery conditions.</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6. Breadth-First Search (BFS)</w:t>
      </w:r>
    </w:p>
    <w:p>
      <w:pPr>
        <w:pStyle w:val="Heading2"/>
        <w:spacing w:after="80" w:line="240" w:lineRule="auto"/>
      </w:pPr>
      <w:r>
        <w:rPr>
          <w:rFonts w:ascii="Times New Roman" w:hAnsi="Times New Roman" w:eastAsia="Times New Roman"/>
        </w:rPr>
        <w:t>6.1 Application to Dealer Operational Graph Traversal</w:t>
      </w:r>
    </w:p>
    <w:p>
      <w:pPr>
        <w:spacing w:after="80" w:line="240" w:lineRule="auto"/>
      </w:pPr>
      <w:r>
        <w:rPr>
          <w:rFonts w:ascii="Times New Roman" w:hAnsi="Times New Roman" w:eastAsia="Times New Roman"/>
          <w:b w:val="0"/>
          <w:i w:val="0"/>
        </w:rPr>
        <w:t>BFS is useful when the dealer decision environment is represented as a graph. A node represents an operational entity or AI agent, while a directed edge represents a dependency or information flow. BFS explores the graph level by level, making it appropriate when the platform needs the closest operational dependencies first.</w:t>
      </w:r>
    </w:p>
    <w:p>
      <w:pPr>
        <w:pStyle w:val="Heading2"/>
        <w:spacing w:after="80" w:line="240" w:lineRule="auto"/>
      </w:pPr>
      <w:r>
        <w:rPr>
          <w:rFonts w:ascii="Times New Roman" w:hAnsi="Times New Roman" w:eastAsia="Times New Roman"/>
        </w:rPr>
        <w:t>6.2 State Representation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eastAsia="Times New Roman"/>
                <w:b/>
                <w:sz w:val="17"/>
              </w:rPr>
              <w:t>State Variable</w:t>
            </w:r>
          </w:p>
        </w:tc>
        <w:tc>
          <w:tcPr>
            <w:tcW w:type="dxa" w:w="3360"/>
            <w:vAlign w:val="center"/>
          </w:tcPr>
          <w:p>
            <w:r>
              <w:rPr>
                <w:rFonts w:ascii="Times New Roman" w:hAnsi="Times New Roman" w:eastAsia="Times New Roman"/>
                <w:b/>
                <w:sz w:val="17"/>
              </w:rPr>
              <w:t>Meaning</w:t>
            </w:r>
          </w:p>
        </w:tc>
        <w:tc>
          <w:tcPr>
            <w:tcW w:type="dxa" w:w="3360"/>
            <w:vAlign w:val="center"/>
          </w:tcPr>
          <w:p>
            <w:r>
              <w:rPr>
                <w:rFonts w:ascii="Times New Roman" w:hAnsi="Times New Roman" w:eastAsia="Times New Roman"/>
                <w:b/>
                <w:sz w:val="17"/>
              </w:rPr>
              <w:t>Example</w:t>
            </w:r>
          </w:p>
        </w:tc>
      </w:tr>
      <w:tr>
        <w:tc>
          <w:tcPr>
            <w:tcW w:type="dxa" w:w="3360"/>
            <w:vAlign w:val="center"/>
          </w:tcPr>
          <w:p>
            <w:r>
              <w:rPr>
                <w:rFonts w:ascii="Times New Roman" w:hAnsi="Times New Roman" w:eastAsia="Times New Roman"/>
                <w:sz w:val="17"/>
              </w:rPr>
              <w:t>Node</w:t>
            </w:r>
          </w:p>
        </w:tc>
        <w:tc>
          <w:tcPr>
            <w:tcW w:type="dxa" w:w="3360"/>
            <w:vAlign w:val="center"/>
          </w:tcPr>
          <w:p>
            <w:r>
              <w:rPr>
                <w:rFonts w:ascii="Times New Roman" w:hAnsi="Times New Roman" w:eastAsia="Times New Roman"/>
                <w:sz w:val="17"/>
              </w:rPr>
              <w:t>Dealer, agent, refinery, resource or outcome</w:t>
            </w:r>
          </w:p>
        </w:tc>
        <w:tc>
          <w:tcPr>
            <w:tcW w:type="dxa" w:w="3360"/>
            <w:vAlign w:val="center"/>
          </w:tcPr>
          <w:p>
            <w:r>
              <w:rPr>
                <w:rFonts w:ascii="Times New Roman" w:hAnsi="Times New Roman" w:eastAsia="Times New Roman"/>
                <w:sz w:val="17"/>
              </w:rPr>
              <w:t>Dealer Dashboard</w:t>
            </w:r>
          </w:p>
        </w:tc>
      </w:tr>
      <w:tr>
        <w:tc>
          <w:tcPr>
            <w:tcW w:type="dxa" w:w="3360"/>
            <w:vAlign w:val="center"/>
          </w:tcPr>
          <w:p>
            <w:r>
              <w:rPr>
                <w:rFonts w:ascii="Times New Roman" w:hAnsi="Times New Roman" w:eastAsia="Times New Roman"/>
                <w:sz w:val="17"/>
              </w:rPr>
              <w:t>Edge</w:t>
            </w:r>
          </w:p>
        </w:tc>
        <w:tc>
          <w:tcPr>
            <w:tcW w:type="dxa" w:w="3360"/>
            <w:vAlign w:val="center"/>
          </w:tcPr>
          <w:p>
            <w:r>
              <w:rPr>
                <w:rFonts w:ascii="Times New Roman" w:hAnsi="Times New Roman" w:eastAsia="Times New Roman"/>
                <w:sz w:val="17"/>
              </w:rPr>
              <w:t>Information/dependency flow</w:t>
            </w:r>
          </w:p>
        </w:tc>
        <w:tc>
          <w:tcPr>
            <w:tcW w:type="dxa" w:w="3360"/>
            <w:vAlign w:val="center"/>
          </w:tcPr>
          <w:p>
            <w:r>
              <w:rPr>
                <w:rFonts w:ascii="Times New Roman" w:hAnsi="Times New Roman" w:eastAsia="Times New Roman"/>
                <w:sz w:val="17"/>
              </w:rPr>
              <w:t>Dashboard → Inventory Agent</w:t>
            </w:r>
          </w:p>
        </w:tc>
      </w:tr>
      <w:tr>
        <w:tc>
          <w:tcPr>
            <w:tcW w:type="dxa" w:w="3360"/>
            <w:vAlign w:val="center"/>
          </w:tcPr>
          <w:p>
            <w:r>
              <w:rPr>
                <w:rFonts w:ascii="Times New Roman" w:hAnsi="Times New Roman" w:eastAsia="Times New Roman"/>
                <w:sz w:val="17"/>
              </w:rPr>
              <w:t>Start</w:t>
            </w:r>
          </w:p>
        </w:tc>
        <w:tc>
          <w:tcPr>
            <w:tcW w:type="dxa" w:w="3360"/>
            <w:vAlign w:val="center"/>
          </w:tcPr>
          <w:p>
            <w:r>
              <w:rPr>
                <w:rFonts w:ascii="Times New Roman" w:hAnsi="Times New Roman" w:eastAsia="Times New Roman"/>
                <w:sz w:val="17"/>
              </w:rPr>
              <w:t>Dealer request / dealer node</w:t>
            </w:r>
          </w:p>
        </w:tc>
        <w:tc>
          <w:tcPr>
            <w:tcW w:type="dxa" w:w="3360"/>
            <w:vAlign w:val="center"/>
          </w:tcPr>
          <w:p>
            <w:r>
              <w:rPr>
                <w:rFonts w:ascii="Times New Roman" w:hAnsi="Times New Roman" w:eastAsia="Times New Roman"/>
                <w:sz w:val="17"/>
              </w:rPr>
              <w:t>Dealer</w:t>
            </w:r>
          </w:p>
        </w:tc>
      </w:tr>
      <w:tr>
        <w:tc>
          <w:tcPr>
            <w:tcW w:type="dxa" w:w="3360"/>
            <w:vAlign w:val="center"/>
          </w:tcPr>
          <w:p>
            <w:r>
              <w:rPr>
                <w:rFonts w:ascii="Times New Roman" w:hAnsi="Times New Roman" w:eastAsia="Times New Roman"/>
                <w:sz w:val="17"/>
              </w:rPr>
              <w:t>Goal</w:t>
            </w:r>
          </w:p>
        </w:tc>
        <w:tc>
          <w:tcPr>
            <w:tcW w:type="dxa" w:w="3360"/>
            <w:vAlign w:val="center"/>
          </w:tcPr>
          <w:p>
            <w:r>
              <w:rPr>
                <w:rFonts w:ascii="Times New Roman" w:hAnsi="Times New Roman" w:eastAsia="Times New Roman"/>
                <w:sz w:val="17"/>
              </w:rPr>
              <w:t>Reach relevant decision entities or cover graph</w:t>
            </w:r>
          </w:p>
        </w:tc>
        <w:tc>
          <w:tcPr>
            <w:tcW w:type="dxa" w:w="3360"/>
            <w:vAlign w:val="center"/>
          </w:tcPr>
          <w:p>
            <w:r>
              <w:rPr>
                <w:rFonts w:ascii="Times New Roman" w:hAnsi="Times New Roman" w:eastAsia="Times New Roman"/>
                <w:sz w:val="17"/>
              </w:rPr>
              <w:t>Full connected operational graph</w:t>
            </w:r>
          </w:p>
        </w:tc>
      </w:tr>
    </w:tbl>
    <w:p>
      <w:pPr>
        <w:pStyle w:val="Heading2"/>
        <w:spacing w:after="80" w:line="240" w:lineRule="auto"/>
      </w:pPr>
      <w:r>
        <w:rPr>
          <w:rFonts w:ascii="Times New Roman" w:hAnsi="Times New Roman" w:eastAsia="Times New Roman"/>
        </w:rPr>
        <w:t>6.3 BFS Algorithm</w:t>
      </w:r>
    </w:p>
    <w:p>
      <w:pPr>
        <w:spacing w:after="80" w:line="240" w:lineRule="auto"/>
      </w:pPr>
      <w:r>
        <w:rPr>
          <w:rFonts w:ascii="Times New Roman" w:hAnsi="Times New Roman" w:eastAsia="Times New Roman"/>
        </w:rPr>
        <w:t>BFS(G, start):</w:t>
        <w:br/>
      </w:r>
      <w:r>
        <w:rPr>
          <w:rFonts w:ascii="Times New Roman" w:hAnsi="Times New Roman" w:eastAsia="Times New Roman"/>
        </w:rPr>
        <w:t xml:space="preserve">    queue ← [start]</w:t>
        <w:br/>
      </w:r>
      <w:r>
        <w:rPr>
          <w:rFonts w:ascii="Times New Roman" w:hAnsi="Times New Roman" w:eastAsia="Times New Roman"/>
        </w:rPr>
        <w:t xml:space="preserve">    visited ← {start}</w:t>
        <w:br/>
      </w:r>
      <w:r>
        <w:rPr>
          <w:rFonts w:ascii="Times New Roman" w:hAnsi="Times New Roman" w:eastAsia="Times New Roman"/>
        </w:rPr>
        <w:t xml:space="preserve">    order ← []</w:t>
        <w:br/>
      </w:r>
      <w:r>
        <w:rPr>
          <w:rFonts w:ascii="Times New Roman" w:hAnsi="Times New Roman" w:eastAsia="Times New Roman"/>
        </w:rPr>
        <w:t xml:space="preserve">    while queue is not empty:</w:t>
        <w:br/>
      </w:r>
      <w:r>
        <w:rPr>
          <w:rFonts w:ascii="Times New Roman" w:hAnsi="Times New Roman" w:eastAsia="Times New Roman"/>
        </w:rPr>
        <w:t xml:space="preserve">        node ← pop_front(queue)</w:t>
        <w:br/>
      </w:r>
      <w:r>
        <w:rPr>
          <w:rFonts w:ascii="Times New Roman" w:hAnsi="Times New Roman" w:eastAsia="Times New Roman"/>
        </w:rPr>
        <w:t xml:space="preserve">        order.append(node)</w:t>
        <w:br/>
      </w:r>
      <w:r>
        <w:rPr>
          <w:rFonts w:ascii="Times New Roman" w:hAnsi="Times New Roman" w:eastAsia="Times New Roman"/>
        </w:rPr>
        <w:t xml:space="preserve">        for each neighbor of node:</w:t>
        <w:br/>
      </w:r>
      <w:r>
        <w:rPr>
          <w:rFonts w:ascii="Times New Roman" w:hAnsi="Times New Roman" w:eastAsia="Times New Roman"/>
        </w:rPr>
        <w:t xml:space="preserve">            if neighbor not in visited:</w:t>
        <w:br/>
      </w:r>
      <w:r>
        <w:rPr>
          <w:rFonts w:ascii="Times New Roman" w:hAnsi="Times New Roman" w:eastAsia="Times New Roman"/>
        </w:rPr>
        <w:t xml:space="preserve">                visited.add(neighbor)</w:t>
        <w:br/>
      </w:r>
      <w:r>
        <w:rPr>
          <w:rFonts w:ascii="Times New Roman" w:hAnsi="Times New Roman" w:eastAsia="Times New Roman"/>
        </w:rPr>
        <w:t xml:space="preserve">                queue.push_back(neighbor)</w:t>
        <w:br/>
      </w:r>
      <w:r>
        <w:rPr>
          <w:rFonts w:ascii="Times New Roman" w:hAnsi="Times New Roman" w:eastAsia="Times New Roman"/>
        </w:rPr>
        <w:t xml:space="preserve">    return order</w:t>
      </w:r>
    </w:p>
    <w:p>
      <w:pPr>
        <w:spacing w:after="80" w:line="240" w:lineRule="auto"/>
      </w:pPr>
      <w:r>
        <w:rPr>
          <w:rFonts w:ascii="Times New Roman" w:hAnsi="Times New Roman" w:eastAsia="Times New Roman"/>
          <w:b w:val="0"/>
          <w:i w:val="0"/>
        </w:rPr>
        <w:t>The project graph contains 15 vertices and 32 directed edges. BFS is used for structural exploration, not for the final numerical dispatch optimization.</w:t>
      </w:r>
    </w:p>
    <w:p>
      <w:pPr>
        <w:spacing w:after="80" w:line="240" w:lineRule="auto"/>
      </w:pPr>
      <w:r>
        <w:rPr>
          <w:rFonts w:ascii="Times New Roman" w:hAnsi="Times New Roman" w:eastAsia="Times New Roman"/>
        </w:rPr>
        <w:br w:type="page"/>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6400800" cy="3391903"/>
            <wp:docPr id="11" name="Picture 11"/>
            <wp:cNvGraphicFramePr>
              <a:graphicFrameLocks noChangeAspect="1"/>
            </wp:cNvGraphicFramePr>
            <a:graphic>
              <a:graphicData uri="http://schemas.openxmlformats.org/drawingml/2006/picture">
                <pic:pic>
                  <pic:nvPicPr>
                    <pic:cNvPr id="0" name="11_operational_graph.png"/>
                    <pic:cNvPicPr/>
                  </pic:nvPicPr>
                  <pic:blipFill>
                    <a:blip r:embed="rId19"/>
                    <a:stretch>
                      <a:fillRect/>
                    </a:stretch>
                  </pic:blipFill>
                  <pic:spPr>
                    <a:xfrm>
                      <a:off x="0" y="0"/>
                      <a:ext cx="6400800" cy="3391903"/>
                    </a:xfrm>
                    <a:prstGeom prst="rect"/>
                  </pic:spPr>
                </pic:pic>
              </a:graphicData>
            </a:graphic>
          </wp:inline>
        </w:drawing>
      </w:r>
    </w:p>
    <w:p>
      <w:pPr>
        <w:spacing w:after="80" w:line="240" w:lineRule="auto"/>
        <w:jc w:val="center"/>
      </w:pPr>
      <w:r>
        <w:rPr>
          <w:rFonts w:ascii="Times New Roman" w:hAnsi="Times New Roman" w:eastAsia="Times New Roman"/>
          <w:i/>
        </w:rPr>
        <w:t>Figure 11. Dealer-centric operational graph used for BFS and DFS.</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669280" cy="3977119"/>
            <wp:docPr id="12" name="Picture 12"/>
            <wp:cNvGraphicFramePr>
              <a:graphicFrameLocks noChangeAspect="1"/>
            </wp:cNvGraphicFramePr>
            <a:graphic>
              <a:graphicData uri="http://schemas.openxmlformats.org/drawingml/2006/picture">
                <pic:pic>
                  <pic:nvPicPr>
                    <pic:cNvPr id="0" name="12_bfs_tree.png"/>
                    <pic:cNvPicPr/>
                  </pic:nvPicPr>
                  <pic:blipFill>
                    <a:blip r:embed="rId20"/>
                    <a:stretch>
                      <a:fillRect/>
                    </a:stretch>
                  </pic:blipFill>
                  <pic:spPr>
                    <a:xfrm>
                      <a:off x="0" y="0"/>
                      <a:ext cx="5669280" cy="3977119"/>
                    </a:xfrm>
                    <a:prstGeom prst="rect"/>
                  </pic:spPr>
                </pic:pic>
              </a:graphicData>
            </a:graphic>
          </wp:inline>
        </w:drawing>
      </w:r>
    </w:p>
    <w:p>
      <w:pPr>
        <w:spacing w:after="80" w:line="240" w:lineRule="auto"/>
        <w:jc w:val="center"/>
      </w:pPr>
      <w:r>
        <w:rPr>
          <w:rFonts w:ascii="Times New Roman" w:hAnsi="Times New Roman" w:eastAsia="Times New Roman"/>
          <w:i/>
        </w:rPr>
        <w:t>Figure 12. BFS traversal tree from Dealer; labels show visitation order.</w:t>
      </w:r>
    </w:p>
    <w:p>
      <w:pPr>
        <w:spacing w:after="80" w:line="240" w:lineRule="auto"/>
      </w:pPr>
      <w:r>
        <w:rPr>
          <w:rFonts w:ascii="Times New Roman" w:hAnsi="Times New Roman" w:eastAsia="Times New Roman"/>
          <w:b w:val="0"/>
          <w:i w:val="0"/>
        </w:rPr>
        <w:t>Representative BFS visitation begins at Dealer, then expands through the Dealer Dashboard before reaching the demand, inventory, executive and order-recommendation layers.</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7. Depth-First Search (DFS)</w:t>
      </w:r>
    </w:p>
    <w:p>
      <w:pPr>
        <w:pStyle w:val="Heading2"/>
        <w:spacing w:after="80" w:line="240" w:lineRule="auto"/>
      </w:pPr>
      <w:r>
        <w:rPr>
          <w:rFonts w:ascii="Times New Roman" w:hAnsi="Times New Roman" w:eastAsia="Times New Roman"/>
        </w:rPr>
        <w:t>7.1 Application</w:t>
      </w:r>
    </w:p>
    <w:p>
      <w:pPr>
        <w:spacing w:after="80" w:line="240" w:lineRule="auto"/>
      </w:pPr>
      <w:r>
        <w:rPr>
          <w:rFonts w:ascii="Times New Roman" w:hAnsi="Times New Roman" w:eastAsia="Times New Roman"/>
          <w:b w:val="0"/>
          <w:i w:val="0"/>
        </w:rPr>
        <w:t>DFS follows one branch as deeply as possible before backtracking. In the petroleum dealer platform, this is useful when the system wants to trace one operational dependency chain end-to-end—for example, following a dealer order through order recommendation, refinery coordination, fleet checks, maintenance/compliance and dispatch.</w:t>
      </w:r>
    </w:p>
    <w:p>
      <w:pPr>
        <w:pStyle w:val="Heading2"/>
        <w:spacing w:after="80" w:line="240" w:lineRule="auto"/>
      </w:pPr>
      <w:r>
        <w:rPr>
          <w:rFonts w:ascii="Times New Roman" w:hAnsi="Times New Roman" w:eastAsia="Times New Roman"/>
        </w:rPr>
        <w:t>7.2 DFS Algorithm</w:t>
      </w:r>
    </w:p>
    <w:p>
      <w:pPr>
        <w:spacing w:after="80" w:line="240" w:lineRule="auto"/>
      </w:pPr>
      <w:r>
        <w:rPr>
          <w:rFonts w:ascii="Times New Roman" w:hAnsi="Times New Roman" w:eastAsia="Times New Roman"/>
        </w:rPr>
        <w:t>DFS(node, visited, order):</w:t>
        <w:br/>
      </w:r>
      <w:r>
        <w:rPr>
          <w:rFonts w:ascii="Times New Roman" w:hAnsi="Times New Roman" w:eastAsia="Times New Roman"/>
        </w:rPr>
        <w:t xml:space="preserve">    visited.add(node)</w:t>
        <w:br/>
      </w:r>
      <w:r>
        <w:rPr>
          <w:rFonts w:ascii="Times New Roman" w:hAnsi="Times New Roman" w:eastAsia="Times New Roman"/>
        </w:rPr>
        <w:t xml:space="preserve">    order.append(node)</w:t>
        <w:br/>
      </w:r>
      <w:r>
        <w:rPr>
          <w:rFonts w:ascii="Times New Roman" w:hAnsi="Times New Roman" w:eastAsia="Times New Roman"/>
        </w:rPr>
        <w:t xml:space="preserve">    for each neighbor of node:</w:t>
        <w:br/>
      </w:r>
      <w:r>
        <w:rPr>
          <w:rFonts w:ascii="Times New Roman" w:hAnsi="Times New Roman" w:eastAsia="Times New Roman"/>
        </w:rPr>
        <w:t xml:space="preserve">        if neighbor not in visited:</w:t>
        <w:br/>
      </w:r>
      <w:r>
        <w:rPr>
          <w:rFonts w:ascii="Times New Roman" w:hAnsi="Times New Roman" w:eastAsia="Times New Roman"/>
        </w:rPr>
        <w:t xml:space="preserve">            DFS(neighbor, visited, order)</w:t>
        <w:br/>
      </w:r>
      <w:r>
        <w:rPr>
          <w:rFonts w:ascii="Times New Roman" w:hAnsi="Times New Roman" w:eastAsia="Times New Roman"/>
        </w:rPr>
        <w:t xml:space="preserve">    return order</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760720" cy="4041266"/>
            <wp:docPr id="13" name="Picture 13"/>
            <wp:cNvGraphicFramePr>
              <a:graphicFrameLocks noChangeAspect="1"/>
            </wp:cNvGraphicFramePr>
            <a:graphic>
              <a:graphicData uri="http://schemas.openxmlformats.org/drawingml/2006/picture">
                <pic:pic>
                  <pic:nvPicPr>
                    <pic:cNvPr id="0" name="13_dfs_tree.png"/>
                    <pic:cNvPicPr/>
                  </pic:nvPicPr>
                  <pic:blipFill>
                    <a:blip r:embed="rId21"/>
                    <a:stretch>
                      <a:fillRect/>
                    </a:stretch>
                  </pic:blipFill>
                  <pic:spPr>
                    <a:xfrm>
                      <a:off x="0" y="0"/>
                      <a:ext cx="5760720" cy="4041266"/>
                    </a:xfrm>
                    <a:prstGeom prst="rect"/>
                  </pic:spPr>
                </pic:pic>
              </a:graphicData>
            </a:graphic>
          </wp:inline>
        </w:drawing>
      </w:r>
    </w:p>
    <w:p>
      <w:pPr>
        <w:spacing w:after="80" w:line="240" w:lineRule="auto"/>
        <w:jc w:val="center"/>
      </w:pPr>
      <w:r>
        <w:rPr>
          <w:rFonts w:ascii="Times New Roman" w:hAnsi="Times New Roman" w:eastAsia="Times New Roman"/>
          <w:i/>
        </w:rPr>
        <w:t>Figure 13. DFS traversal tree from Dealer; labels show visitation order.</w:t>
      </w:r>
    </w:p>
    <w:p>
      <w:pPr>
        <w:pStyle w:val="Heading2"/>
        <w:spacing w:after="80" w:line="240" w:lineRule="auto"/>
      </w:pPr>
      <w:r>
        <w:rPr>
          <w:rFonts w:ascii="Times New Roman" w:hAnsi="Times New Roman" w:eastAsia="Times New Roman"/>
        </w:rPr>
        <w:t>7.3 BFS vs. DFS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eastAsia="Times New Roman"/>
                <w:b/>
                <w:sz w:val="17"/>
              </w:rPr>
              <w:t>Criterion</w:t>
            </w:r>
          </w:p>
        </w:tc>
        <w:tc>
          <w:tcPr>
            <w:tcW w:type="dxa" w:w="3360"/>
            <w:vAlign w:val="center"/>
          </w:tcPr>
          <w:p>
            <w:r>
              <w:rPr>
                <w:rFonts w:ascii="Times New Roman" w:hAnsi="Times New Roman" w:eastAsia="Times New Roman"/>
                <w:b/>
                <w:sz w:val="17"/>
              </w:rPr>
              <w:t>BFS</w:t>
            </w:r>
          </w:p>
        </w:tc>
        <w:tc>
          <w:tcPr>
            <w:tcW w:type="dxa" w:w="3360"/>
            <w:vAlign w:val="center"/>
          </w:tcPr>
          <w:p>
            <w:r>
              <w:rPr>
                <w:rFonts w:ascii="Times New Roman" w:hAnsi="Times New Roman" w:eastAsia="Times New Roman"/>
                <w:b/>
                <w:sz w:val="17"/>
              </w:rPr>
              <w:t>DFS</w:t>
            </w:r>
          </w:p>
        </w:tc>
      </w:tr>
      <w:tr>
        <w:tc>
          <w:tcPr>
            <w:tcW w:type="dxa" w:w="3360"/>
            <w:vAlign w:val="center"/>
          </w:tcPr>
          <w:p>
            <w:r>
              <w:rPr>
                <w:rFonts w:ascii="Times New Roman" w:hAnsi="Times New Roman" w:eastAsia="Times New Roman"/>
                <w:sz w:val="17"/>
              </w:rPr>
              <w:t>Search strategy</w:t>
            </w:r>
          </w:p>
        </w:tc>
        <w:tc>
          <w:tcPr>
            <w:tcW w:type="dxa" w:w="3360"/>
            <w:vAlign w:val="center"/>
          </w:tcPr>
          <w:p>
            <w:r>
              <w:rPr>
                <w:rFonts w:ascii="Times New Roman" w:hAnsi="Times New Roman" w:eastAsia="Times New Roman"/>
                <w:sz w:val="17"/>
              </w:rPr>
              <w:t>Level by level</w:t>
            </w:r>
          </w:p>
        </w:tc>
        <w:tc>
          <w:tcPr>
            <w:tcW w:type="dxa" w:w="3360"/>
            <w:vAlign w:val="center"/>
          </w:tcPr>
          <w:p>
            <w:r>
              <w:rPr>
                <w:rFonts w:ascii="Times New Roman" w:hAnsi="Times New Roman" w:eastAsia="Times New Roman"/>
                <w:sz w:val="17"/>
              </w:rPr>
              <w:t>Depth first, then backtracking</w:t>
            </w:r>
          </w:p>
        </w:tc>
      </w:tr>
      <w:tr>
        <w:tc>
          <w:tcPr>
            <w:tcW w:type="dxa" w:w="3360"/>
            <w:vAlign w:val="center"/>
          </w:tcPr>
          <w:p>
            <w:r>
              <w:rPr>
                <w:rFonts w:ascii="Times New Roman" w:hAnsi="Times New Roman" w:eastAsia="Times New Roman"/>
                <w:sz w:val="17"/>
              </w:rPr>
              <w:t>Data structure</w:t>
            </w:r>
          </w:p>
        </w:tc>
        <w:tc>
          <w:tcPr>
            <w:tcW w:type="dxa" w:w="3360"/>
            <w:vAlign w:val="center"/>
          </w:tcPr>
          <w:p>
            <w:r>
              <w:rPr>
                <w:rFonts w:ascii="Times New Roman" w:hAnsi="Times New Roman" w:eastAsia="Times New Roman"/>
                <w:sz w:val="17"/>
              </w:rPr>
              <w:t>Queue (FIFO)</w:t>
            </w:r>
          </w:p>
        </w:tc>
        <w:tc>
          <w:tcPr>
            <w:tcW w:type="dxa" w:w="3360"/>
            <w:vAlign w:val="center"/>
          </w:tcPr>
          <w:p>
            <w:r>
              <w:rPr>
                <w:rFonts w:ascii="Times New Roman" w:hAnsi="Times New Roman" w:eastAsia="Times New Roman"/>
                <w:sz w:val="17"/>
              </w:rPr>
              <w:t>Stack / recursion (LIFO)</w:t>
            </w:r>
          </w:p>
        </w:tc>
      </w:tr>
      <w:tr>
        <w:tc>
          <w:tcPr>
            <w:tcW w:type="dxa" w:w="3360"/>
            <w:vAlign w:val="center"/>
          </w:tcPr>
          <w:p>
            <w:r>
              <w:rPr>
                <w:rFonts w:ascii="Times New Roman" w:hAnsi="Times New Roman" w:eastAsia="Times New Roman"/>
                <w:sz w:val="17"/>
              </w:rPr>
              <w:t>Best suited for</w:t>
            </w:r>
          </w:p>
        </w:tc>
        <w:tc>
          <w:tcPr>
            <w:tcW w:type="dxa" w:w="3360"/>
            <w:vAlign w:val="center"/>
          </w:tcPr>
          <w:p>
            <w:r>
              <w:rPr>
                <w:rFonts w:ascii="Times New Roman" w:hAnsi="Times New Roman" w:eastAsia="Times New Roman"/>
                <w:sz w:val="17"/>
              </w:rPr>
              <w:t>Closest operational dependencies first</w:t>
            </w:r>
          </w:p>
        </w:tc>
        <w:tc>
          <w:tcPr>
            <w:tcW w:type="dxa" w:w="3360"/>
            <w:vAlign w:val="center"/>
          </w:tcPr>
          <w:p>
            <w:r>
              <w:rPr>
                <w:rFonts w:ascii="Times New Roman" w:hAnsi="Times New Roman" w:eastAsia="Times New Roman"/>
                <w:sz w:val="17"/>
              </w:rPr>
              <w:t>Tracing a deep operational dependency chain</w:t>
            </w:r>
          </w:p>
        </w:tc>
      </w:tr>
      <w:tr>
        <w:tc>
          <w:tcPr>
            <w:tcW w:type="dxa" w:w="3360"/>
            <w:vAlign w:val="center"/>
          </w:tcPr>
          <w:p>
            <w:r>
              <w:rPr>
                <w:rFonts w:ascii="Times New Roman" w:hAnsi="Times New Roman" w:eastAsia="Times New Roman"/>
                <w:sz w:val="17"/>
              </w:rPr>
              <w:t>Project role</w:t>
            </w:r>
          </w:p>
        </w:tc>
        <w:tc>
          <w:tcPr>
            <w:tcW w:type="dxa" w:w="3360"/>
            <w:vAlign w:val="center"/>
          </w:tcPr>
          <w:p>
            <w:r>
              <w:rPr>
                <w:rFonts w:ascii="Times New Roman" w:hAnsi="Times New Roman" w:eastAsia="Times New Roman"/>
                <w:sz w:val="17"/>
              </w:rPr>
              <w:t>Broad dealer-network exploration</w:t>
            </w:r>
          </w:p>
        </w:tc>
        <w:tc>
          <w:tcPr>
            <w:tcW w:type="dxa" w:w="3360"/>
            <w:vAlign w:val="center"/>
          </w:tcPr>
          <w:p>
            <w:r>
              <w:rPr>
                <w:rFonts w:ascii="Times New Roman" w:hAnsi="Times New Roman" w:eastAsia="Times New Roman"/>
                <w:sz w:val="17"/>
              </w:rPr>
              <w:t>Dependency-path and relationship tracing</w:t>
            </w:r>
          </w:p>
        </w:tc>
      </w:tr>
      <w:tr>
        <w:tc>
          <w:tcPr>
            <w:tcW w:type="dxa" w:w="3360"/>
            <w:vAlign w:val="center"/>
          </w:tcPr>
          <w:p>
            <w:r>
              <w:rPr>
                <w:rFonts w:ascii="Times New Roman" w:hAnsi="Times New Roman" w:eastAsia="Times New Roman"/>
                <w:sz w:val="17"/>
              </w:rPr>
              <w:t>Optimization role</w:t>
            </w:r>
          </w:p>
        </w:tc>
        <w:tc>
          <w:tcPr>
            <w:tcW w:type="dxa" w:w="3360"/>
            <w:vAlign w:val="center"/>
          </w:tcPr>
          <w:p>
            <w:r>
              <w:rPr>
                <w:rFonts w:ascii="Times New Roman" w:hAnsi="Times New Roman" w:eastAsia="Times New Roman"/>
                <w:sz w:val="17"/>
              </w:rPr>
              <w:t>Not the dispatch optimizer</w:t>
            </w:r>
          </w:p>
        </w:tc>
        <w:tc>
          <w:tcPr>
            <w:tcW w:type="dxa" w:w="3360"/>
            <w:vAlign w:val="center"/>
          </w:tcPr>
          <w:p>
            <w:r>
              <w:rPr>
                <w:rFonts w:ascii="Times New Roman" w:hAnsi="Times New Roman" w:eastAsia="Times New Roman"/>
                <w:sz w:val="17"/>
              </w:rPr>
              <w:t>Not the dispatch optimizer</w:t>
            </w:r>
          </w:p>
        </w:tc>
      </w:tr>
    </w:tbl>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8. Hill Climbing</w:t>
      </w:r>
    </w:p>
    <w:p>
      <w:pPr>
        <w:pStyle w:val="Heading2"/>
        <w:spacing w:after="80" w:line="240" w:lineRule="auto"/>
      </w:pPr>
      <w:r>
        <w:rPr>
          <w:rFonts w:ascii="Times New Roman" w:hAnsi="Times New Roman" w:eastAsia="Times New Roman"/>
        </w:rPr>
        <w:t>8.1 Purpose</w:t>
      </w:r>
    </w:p>
    <w:p>
      <w:pPr>
        <w:spacing w:after="80" w:line="240" w:lineRule="auto"/>
      </w:pPr>
      <w:r>
        <w:rPr>
          <w:rFonts w:ascii="Times New Roman" w:hAnsi="Times New Roman" w:eastAsia="Times New Roman"/>
          <w:b w:val="0"/>
          <w:i w:val="0"/>
        </w:rPr>
        <w:t>Hill Climbing is a local-search optimization method. Here a state represents a complete feasible dispatch schedule containing tanker, driver, loading-slot, dispatch-order and route choices for the dealer's outstanding orders.</w:t>
      </w:r>
    </w:p>
    <w:p>
      <w:pPr>
        <w:pStyle w:val="Heading2"/>
        <w:spacing w:after="80" w:line="240" w:lineRule="auto"/>
      </w:pPr>
      <w:r>
        <w:rPr>
          <w:rFonts w:ascii="Times New Roman" w:hAnsi="Times New Roman" w:eastAsia="Times New Roman"/>
        </w:rPr>
        <w:t>8.2 Cost Function Used for Demonstration</w:t>
      </w:r>
    </w:p>
    <w:p>
      <w:pPr>
        <w:spacing w:after="80" w:line="240" w:lineRule="auto"/>
      </w:pPr>
      <w:r>
        <w:rPr>
          <w:rFonts w:ascii="Times New Roman" w:hAnsi="Times New Roman" w:eastAsia="Times New Roman"/>
          <w:b w:val="0"/>
          <w:i w:val="0"/>
        </w:rPr>
        <w:t>The objective is to minimize a weighted operational cost combining delivery time, transportation cost, tanker idle time, late-delivery penalty and constraint violations:</w:t>
      </w:r>
    </w:p>
    <w:p>
      <w:pPr>
        <w:spacing w:after="80" w:line="240" w:lineRule="auto"/>
      </w:pPr>
      <w:r>
        <w:rPr>
          <w:rFonts w:ascii="Times New Roman" w:hAnsi="Times New Roman" w:eastAsia="Times New Roman"/>
          <w:b w:val="0"/>
          <w:i/>
        </w:rPr>
        <w:t>Cost = w1(Delivery Time) + w2(Transportation Cost) + w3(Tanker Idle Time) + w4(Late Delivery Penalty) + w5(Constraint Violation Penalty)</w:t>
      </w:r>
    </w:p>
    <w:p>
      <w:pPr>
        <w:spacing w:after="80" w:line="240" w:lineRule="auto"/>
      </w:pPr>
      <w:r>
        <w:rPr>
          <w:rFonts w:ascii="Times New Roman" w:hAnsi="Times New Roman" w:eastAsia="Times New Roman"/>
          <w:b w:val="0"/>
          <w:i w:val="0"/>
        </w:rPr>
        <w:t>Fitness = -Cost</w:t>
      </w:r>
    </w:p>
    <w:p>
      <w:pPr>
        <w:pStyle w:val="Heading2"/>
        <w:spacing w:after="80" w:line="240" w:lineRule="auto"/>
      </w:pPr>
      <w:r>
        <w:rPr>
          <w:rFonts w:ascii="Times New Roman" w:hAnsi="Times New Roman" w:eastAsia="Times New Roman"/>
        </w:rPr>
        <w:t>8.3 Neighbourhood Definition</w:t>
      </w:r>
    </w:p>
    <w:p>
      <w:pPr>
        <w:pStyle w:val="ListBullet"/>
        <w:spacing w:after="80" w:line="240" w:lineRule="auto"/>
      </w:pPr>
      <w:r>
        <w:rPr>
          <w:rFonts w:ascii="Times New Roman" w:hAnsi="Times New Roman" w:eastAsia="Times New Roman"/>
        </w:rPr>
        <w:t>Swap tanker assignments between two orders.</w:t>
      </w:r>
    </w:p>
    <w:p>
      <w:pPr>
        <w:pStyle w:val="ListBullet"/>
        <w:spacing w:after="80" w:line="240" w:lineRule="auto"/>
      </w:pPr>
      <w:r>
        <w:rPr>
          <w:rFonts w:ascii="Times New Roman" w:hAnsi="Times New Roman" w:eastAsia="Times New Roman"/>
        </w:rPr>
        <w:t>Change the tanker assigned to one order.</w:t>
      </w:r>
    </w:p>
    <w:p>
      <w:pPr>
        <w:pStyle w:val="ListBullet"/>
        <w:spacing w:after="80" w:line="240" w:lineRule="auto"/>
      </w:pPr>
      <w:r>
        <w:rPr>
          <w:rFonts w:ascii="Times New Roman" w:hAnsi="Times New Roman" w:eastAsia="Times New Roman"/>
        </w:rPr>
        <w:t>Change the driver assigned to one order.</w:t>
      </w:r>
    </w:p>
    <w:p>
      <w:pPr>
        <w:pStyle w:val="ListBullet"/>
        <w:spacing w:after="80" w:line="240" w:lineRule="auto"/>
      </w:pPr>
      <w:r>
        <w:rPr>
          <w:rFonts w:ascii="Times New Roman" w:hAnsi="Times New Roman" w:eastAsia="Times New Roman"/>
        </w:rPr>
        <w:t>Move an order to another available loading slot.</w:t>
      </w:r>
    </w:p>
    <w:p>
      <w:pPr>
        <w:pStyle w:val="ListBullet"/>
        <w:spacing w:after="80" w:line="240" w:lineRule="auto"/>
      </w:pPr>
      <w:r>
        <w:rPr>
          <w:rFonts w:ascii="Times New Roman" w:hAnsi="Times New Roman" w:eastAsia="Times New Roman"/>
        </w:rPr>
        <w:t>Change the dispatch sequence.</w:t>
      </w:r>
    </w:p>
    <w:p>
      <w:pPr>
        <w:pStyle w:val="ListBullet"/>
        <w:spacing w:after="80" w:line="240" w:lineRule="auto"/>
      </w:pPr>
      <w:r>
        <w:rPr>
          <w:rFonts w:ascii="Times New Roman" w:hAnsi="Times New Roman" w:eastAsia="Times New Roman"/>
        </w:rPr>
        <w:t>Select an alternative feasible route.</w:t>
      </w:r>
    </w:p>
    <w:p>
      <w:pPr>
        <w:spacing w:after="80" w:line="240" w:lineRule="auto"/>
      </w:pPr>
      <w:r>
        <w:rPr>
          <w:rFonts w:ascii="Times New Roman" w:hAnsi="Times New Roman" w:eastAsia="Times New Roman"/>
          <w:b w:val="0"/>
          <w:i w:val="0"/>
        </w:rPr>
        <w:t>A steepest-improvement variant evaluates feasible neighbouring states and accepts the neighbour with the largest reduction in objective cost. The process stops when no neighbour improves the current state.</w:t>
      </w:r>
    </w:p>
    <w:p>
      <w:pPr>
        <w:spacing w:after="80" w:line="240" w:lineRule="auto"/>
      </w:pPr>
      <w:r>
        <w:rPr>
          <w:rFonts w:ascii="Times New Roman" w:hAnsi="Times New Roman" w:eastAsia="Times New Roman"/>
        </w:rPr>
        <w:br w:type="page"/>
      </w:r>
    </w:p>
    <w:p>
      <w:pPr>
        <w:spacing w:after="80" w:line="240" w:lineRule="auto"/>
      </w:pPr>
      <w:r>
        <w:rPr>
          <w:rFonts w:ascii="Times New Roman" w:hAnsi="Times New Roman" w:eastAsia="Times New Roman"/>
          <w:b w:val="0"/>
          <w:i w:val="0"/>
        </w:rPr>
        <w:t>For an illustrative run, the objective cost decreases from 1000 to 707 before reaching a plateau. The graph intentionally demonstrates the expected monotonic improvement of a local-search run rather than claiming a live operational result.</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760720" cy="3858171"/>
            <wp:docPr id="14" name="Picture 14"/>
            <wp:cNvGraphicFramePr>
              <a:graphicFrameLocks noChangeAspect="1"/>
            </wp:cNvGraphicFramePr>
            <a:graphic>
              <a:graphicData uri="http://schemas.openxmlformats.org/drawingml/2006/picture">
                <pic:pic>
                  <pic:nvPicPr>
                    <pic:cNvPr id="0" name="14_hill_vs_ga.png"/>
                    <pic:cNvPicPr/>
                  </pic:nvPicPr>
                  <pic:blipFill>
                    <a:blip r:embed="rId22"/>
                    <a:stretch>
                      <a:fillRect/>
                    </a:stretch>
                  </pic:blipFill>
                  <pic:spPr>
                    <a:xfrm>
                      <a:off x="0" y="0"/>
                      <a:ext cx="5760720" cy="3858171"/>
                    </a:xfrm>
                    <a:prstGeom prst="rect"/>
                  </pic:spPr>
                </pic:pic>
              </a:graphicData>
            </a:graphic>
          </wp:inline>
        </w:drawing>
      </w:r>
    </w:p>
    <w:p>
      <w:pPr>
        <w:spacing w:after="80" w:line="240" w:lineRule="auto"/>
        <w:jc w:val="center"/>
      </w:pPr>
      <w:r>
        <w:rPr>
          <w:rFonts w:ascii="Times New Roman" w:hAnsi="Times New Roman" w:eastAsia="Times New Roman"/>
          <w:i/>
        </w:rPr>
        <w:t>Figure 14. Hill Climbing vs. Genetic Algorithm convergence for dispatch optimization.</w:t>
      </w:r>
    </w:p>
    <w:p>
      <w:pPr>
        <w:pStyle w:val="Heading2"/>
        <w:spacing w:after="80" w:line="240" w:lineRule="auto"/>
      </w:pPr>
      <w:r>
        <w:rPr>
          <w:rFonts w:ascii="Times New Roman" w:hAnsi="Times New Roman" w:eastAsia="Times New Roman"/>
        </w:rPr>
        <w:t>8.4 Local Optima Across Random Restarts</w:t>
      </w:r>
    </w:p>
    <w:tbl>
      <w:tblPr>
        <w:tblStyle w:val="TableGrid"/>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916"/>
            <w:vAlign w:val="center"/>
          </w:tcPr>
          <w:p>
            <w:r>
              <w:rPr>
                <w:rFonts w:ascii="Times New Roman" w:hAnsi="Times New Roman" w:eastAsia="Times New Roman"/>
                <w:b/>
                <w:sz w:val="17"/>
              </w:rPr>
              <w:t>Restart #</w:t>
            </w:r>
          </w:p>
        </w:tc>
        <w:tc>
          <w:tcPr>
            <w:tcW w:type="dxa" w:w="916"/>
            <w:vAlign w:val="center"/>
          </w:tcPr>
          <w:p>
            <w:r>
              <w:rPr>
                <w:rFonts w:ascii="Times New Roman" w:hAnsi="Times New Roman" w:eastAsia="Times New Roman"/>
                <w:b/>
                <w:sz w:val="17"/>
              </w:rPr>
              <w:t>1</w:t>
            </w:r>
          </w:p>
        </w:tc>
        <w:tc>
          <w:tcPr>
            <w:tcW w:type="dxa" w:w="916"/>
            <w:vAlign w:val="center"/>
          </w:tcPr>
          <w:p>
            <w:r>
              <w:rPr>
                <w:rFonts w:ascii="Times New Roman" w:hAnsi="Times New Roman" w:eastAsia="Times New Roman"/>
                <w:b/>
                <w:sz w:val="17"/>
              </w:rPr>
              <w:t>2</w:t>
            </w:r>
          </w:p>
        </w:tc>
        <w:tc>
          <w:tcPr>
            <w:tcW w:type="dxa" w:w="916"/>
            <w:vAlign w:val="center"/>
          </w:tcPr>
          <w:p>
            <w:r>
              <w:rPr>
                <w:rFonts w:ascii="Times New Roman" w:hAnsi="Times New Roman" w:eastAsia="Times New Roman"/>
                <w:b/>
                <w:sz w:val="17"/>
              </w:rPr>
              <w:t>3</w:t>
            </w:r>
          </w:p>
        </w:tc>
        <w:tc>
          <w:tcPr>
            <w:tcW w:type="dxa" w:w="916"/>
            <w:vAlign w:val="center"/>
          </w:tcPr>
          <w:p>
            <w:r>
              <w:rPr>
                <w:rFonts w:ascii="Times New Roman" w:hAnsi="Times New Roman" w:eastAsia="Times New Roman"/>
                <w:b/>
                <w:sz w:val="17"/>
              </w:rPr>
              <w:t>4</w:t>
            </w:r>
          </w:p>
        </w:tc>
        <w:tc>
          <w:tcPr>
            <w:tcW w:type="dxa" w:w="916"/>
            <w:vAlign w:val="center"/>
          </w:tcPr>
          <w:p>
            <w:r>
              <w:rPr>
                <w:rFonts w:ascii="Times New Roman" w:hAnsi="Times New Roman" w:eastAsia="Times New Roman"/>
                <w:b/>
                <w:sz w:val="17"/>
              </w:rPr>
              <w:t>5</w:t>
            </w:r>
          </w:p>
        </w:tc>
        <w:tc>
          <w:tcPr>
            <w:tcW w:type="dxa" w:w="916"/>
            <w:vAlign w:val="center"/>
          </w:tcPr>
          <w:p>
            <w:r>
              <w:rPr>
                <w:rFonts w:ascii="Times New Roman" w:hAnsi="Times New Roman" w:eastAsia="Times New Roman"/>
                <w:b/>
                <w:sz w:val="17"/>
              </w:rPr>
              <w:t>6</w:t>
            </w:r>
          </w:p>
        </w:tc>
        <w:tc>
          <w:tcPr>
            <w:tcW w:type="dxa" w:w="916"/>
            <w:vAlign w:val="center"/>
          </w:tcPr>
          <w:p>
            <w:r>
              <w:rPr>
                <w:rFonts w:ascii="Times New Roman" w:hAnsi="Times New Roman" w:eastAsia="Times New Roman"/>
                <w:b/>
                <w:sz w:val="17"/>
              </w:rPr>
              <w:t>7</w:t>
            </w:r>
          </w:p>
        </w:tc>
        <w:tc>
          <w:tcPr>
            <w:tcW w:type="dxa" w:w="916"/>
            <w:vAlign w:val="center"/>
          </w:tcPr>
          <w:p>
            <w:r>
              <w:rPr>
                <w:rFonts w:ascii="Times New Roman" w:hAnsi="Times New Roman" w:eastAsia="Times New Roman"/>
                <w:b/>
                <w:sz w:val="17"/>
              </w:rPr>
              <w:t>8</w:t>
            </w:r>
          </w:p>
        </w:tc>
        <w:tc>
          <w:tcPr>
            <w:tcW w:type="dxa" w:w="916"/>
            <w:vAlign w:val="center"/>
          </w:tcPr>
          <w:p>
            <w:r>
              <w:rPr>
                <w:rFonts w:ascii="Times New Roman" w:hAnsi="Times New Roman" w:eastAsia="Times New Roman"/>
                <w:b/>
                <w:sz w:val="17"/>
              </w:rPr>
              <w:t>9</w:t>
            </w:r>
          </w:p>
        </w:tc>
        <w:tc>
          <w:tcPr>
            <w:tcW w:type="dxa" w:w="916"/>
            <w:vAlign w:val="center"/>
          </w:tcPr>
          <w:p>
            <w:r>
              <w:rPr>
                <w:rFonts w:ascii="Times New Roman" w:hAnsi="Times New Roman" w:eastAsia="Times New Roman"/>
                <w:b/>
                <w:sz w:val="17"/>
              </w:rPr>
              <w:t>10</w:t>
            </w:r>
          </w:p>
        </w:tc>
      </w:tr>
      <w:tr>
        <w:tc>
          <w:tcPr>
            <w:tcW w:type="dxa" w:w="916"/>
            <w:vAlign w:val="center"/>
          </w:tcPr>
          <w:p>
            <w:r>
              <w:rPr>
                <w:rFonts w:ascii="Times New Roman" w:hAnsi="Times New Roman" w:eastAsia="Times New Roman"/>
                <w:sz w:val="17"/>
              </w:rPr>
              <w:t>Final objective cost</w:t>
            </w:r>
          </w:p>
        </w:tc>
        <w:tc>
          <w:tcPr>
            <w:tcW w:type="dxa" w:w="916"/>
            <w:vAlign w:val="center"/>
          </w:tcPr>
          <w:p>
            <w:r>
              <w:rPr>
                <w:rFonts w:ascii="Times New Roman" w:hAnsi="Times New Roman" w:eastAsia="Times New Roman"/>
                <w:sz w:val="17"/>
              </w:rPr>
              <w:t>16</w:t>
            </w:r>
          </w:p>
        </w:tc>
        <w:tc>
          <w:tcPr>
            <w:tcW w:type="dxa" w:w="916"/>
            <w:vAlign w:val="center"/>
          </w:tcPr>
          <w:p>
            <w:r>
              <w:rPr>
                <w:rFonts w:ascii="Times New Roman" w:hAnsi="Times New Roman" w:eastAsia="Times New Roman"/>
                <w:sz w:val="17"/>
              </w:rPr>
              <w:t>14</w:t>
            </w:r>
          </w:p>
        </w:tc>
        <w:tc>
          <w:tcPr>
            <w:tcW w:type="dxa" w:w="916"/>
            <w:vAlign w:val="center"/>
          </w:tcPr>
          <w:p>
            <w:r>
              <w:rPr>
                <w:rFonts w:ascii="Times New Roman" w:hAnsi="Times New Roman" w:eastAsia="Times New Roman"/>
                <w:sz w:val="17"/>
              </w:rPr>
              <w:t>14</w:t>
            </w:r>
          </w:p>
        </w:tc>
        <w:tc>
          <w:tcPr>
            <w:tcW w:type="dxa" w:w="916"/>
            <w:vAlign w:val="center"/>
          </w:tcPr>
          <w:p>
            <w:r>
              <w:rPr>
                <w:rFonts w:ascii="Times New Roman" w:hAnsi="Times New Roman" w:eastAsia="Times New Roman"/>
                <w:sz w:val="17"/>
              </w:rPr>
              <w:t>13</w:t>
            </w:r>
          </w:p>
        </w:tc>
        <w:tc>
          <w:tcPr>
            <w:tcW w:type="dxa" w:w="916"/>
            <w:vAlign w:val="center"/>
          </w:tcPr>
          <w:p>
            <w:r>
              <w:rPr>
                <w:rFonts w:ascii="Times New Roman" w:hAnsi="Times New Roman" w:eastAsia="Times New Roman"/>
                <w:sz w:val="17"/>
              </w:rPr>
              <w:t>15</w:t>
            </w:r>
          </w:p>
        </w:tc>
        <w:tc>
          <w:tcPr>
            <w:tcW w:type="dxa" w:w="916"/>
            <w:vAlign w:val="center"/>
          </w:tcPr>
          <w:p>
            <w:r>
              <w:rPr>
                <w:rFonts w:ascii="Times New Roman" w:hAnsi="Times New Roman" w:eastAsia="Times New Roman"/>
                <w:sz w:val="17"/>
              </w:rPr>
              <w:t>13</w:t>
            </w:r>
          </w:p>
        </w:tc>
        <w:tc>
          <w:tcPr>
            <w:tcW w:type="dxa" w:w="916"/>
            <w:vAlign w:val="center"/>
          </w:tcPr>
          <w:p>
            <w:r>
              <w:rPr>
                <w:rFonts w:ascii="Times New Roman" w:hAnsi="Times New Roman" w:eastAsia="Times New Roman"/>
                <w:sz w:val="17"/>
              </w:rPr>
              <w:t>13</w:t>
            </w:r>
          </w:p>
        </w:tc>
        <w:tc>
          <w:tcPr>
            <w:tcW w:type="dxa" w:w="916"/>
            <w:vAlign w:val="center"/>
          </w:tcPr>
          <w:p>
            <w:r>
              <w:rPr>
                <w:rFonts w:ascii="Times New Roman" w:hAnsi="Times New Roman" w:eastAsia="Times New Roman"/>
                <w:sz w:val="17"/>
              </w:rPr>
              <w:t>12</w:t>
            </w:r>
          </w:p>
        </w:tc>
        <w:tc>
          <w:tcPr>
            <w:tcW w:type="dxa" w:w="916"/>
            <w:vAlign w:val="center"/>
          </w:tcPr>
          <w:p>
            <w:r>
              <w:rPr>
                <w:rFonts w:ascii="Times New Roman" w:hAnsi="Times New Roman" w:eastAsia="Times New Roman"/>
                <w:sz w:val="17"/>
              </w:rPr>
              <w:t>14</w:t>
            </w:r>
          </w:p>
        </w:tc>
        <w:tc>
          <w:tcPr>
            <w:tcW w:type="dxa" w:w="916"/>
            <w:vAlign w:val="center"/>
          </w:tcPr>
          <w:p>
            <w:r>
              <w:rPr>
                <w:rFonts w:ascii="Times New Roman" w:hAnsi="Times New Roman" w:eastAsia="Times New Roman"/>
                <w:sz w:val="17"/>
              </w:rPr>
              <w:t>14</w:t>
            </w:r>
          </w:p>
        </w:tc>
      </w:tr>
    </w:tbl>
    <w:p>
      <w:pPr>
        <w:spacing w:after="80" w:line="240" w:lineRule="auto"/>
      </w:pPr>
      <w:r>
        <w:rPr>
          <w:rFonts w:ascii="Times New Roman" w:hAnsi="Times New Roman" w:eastAsia="Times New Roman"/>
          <w:b w:val="0"/>
          <w:i w:val="0"/>
        </w:rPr>
        <w:t>The restart experiment demonstrates that Hill Climbing can terminate at different local optima depending on the initial schedule.</w:t>
      </w:r>
    </w:p>
    <w:p>
      <w:pPr>
        <w:spacing w:after="80" w:line="240" w:lineRule="auto"/>
      </w:pPr>
      <w:r>
        <w:rPr>
          <w:rFonts w:ascii="Times New Roman" w:hAnsi="Times New Roman" w:eastAsia="Times New Roman"/>
        </w:rPr>
        <w:br w:type="page"/>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486400" cy="3735509"/>
            <wp:docPr id="15" name="Picture 15"/>
            <wp:cNvGraphicFramePr>
              <a:graphicFrameLocks noChangeAspect="1"/>
            </wp:cNvGraphicFramePr>
            <a:graphic>
              <a:graphicData uri="http://schemas.openxmlformats.org/drawingml/2006/picture">
                <pic:pic>
                  <pic:nvPicPr>
                    <pic:cNvPr id="0" name="15_hill_restarts.png"/>
                    <pic:cNvPicPr/>
                  </pic:nvPicPr>
                  <pic:blipFill>
                    <a:blip r:embed="rId23"/>
                    <a:stretch>
                      <a:fillRect/>
                    </a:stretch>
                  </pic:blipFill>
                  <pic:spPr>
                    <a:xfrm>
                      <a:off x="0" y="0"/>
                      <a:ext cx="5486400" cy="3735509"/>
                    </a:xfrm>
                    <a:prstGeom prst="rect"/>
                  </pic:spPr>
                </pic:pic>
              </a:graphicData>
            </a:graphic>
          </wp:inline>
        </w:drawing>
      </w:r>
    </w:p>
    <w:p>
      <w:pPr>
        <w:spacing w:after="80" w:line="240" w:lineRule="auto"/>
        <w:jc w:val="center"/>
      </w:pPr>
      <w:r>
        <w:rPr>
          <w:rFonts w:ascii="Times New Roman" w:hAnsi="Times New Roman" w:eastAsia="Times New Roman"/>
          <w:i/>
        </w:rPr>
        <w:t>Figure 15. Final objective cost across 10 Hill Climbing random restarts.</w:t>
      </w:r>
    </w:p>
    <w:p>
      <w:pPr>
        <w:spacing w:after="80" w:line="240" w:lineRule="auto"/>
      </w:pPr>
      <w:r>
        <w:rPr>
          <w:rFonts w:ascii="Times New Roman" w:hAnsi="Times New Roman" w:eastAsia="Times New Roman"/>
          <w:b w:val="0"/>
          <w:i w:val="0"/>
        </w:rPr>
        <w:t>The illustrative final objective cost ranges from 12 to 16 with a mean of 13.80. This is the central limitation of local search: a locally improving move does not guarantee the global best dispatch plan.</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9. Genetic Algorithm</w:t>
      </w:r>
    </w:p>
    <w:p>
      <w:pPr>
        <w:pStyle w:val="Heading2"/>
        <w:spacing w:after="80" w:line="240" w:lineRule="auto"/>
      </w:pPr>
      <w:r>
        <w:rPr>
          <w:rFonts w:ascii="Times New Roman" w:hAnsi="Times New Roman" w:eastAsia="Times New Roman"/>
        </w:rPr>
        <w:t>9.1 Problem Formulation</w:t>
      </w:r>
    </w:p>
    <w:p>
      <w:pPr>
        <w:spacing w:after="80" w:line="240" w:lineRule="auto"/>
      </w:pPr>
      <w:r>
        <w:rPr>
          <w:rFonts w:ascii="Times New Roman" w:hAnsi="Times New Roman" w:eastAsia="Times New Roman"/>
          <w:b w:val="0"/>
          <w:i w:val="0"/>
        </w:rPr>
        <w:t>The same dealer-dispatch optimization problem is solved using a Genetic Algorithm to contrast local search with population-based exploration. A chromosome can contain one gene per dealer order, encoding tanker, driver, loading-slot and route choices or a compact assignment index.</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eastAsia="Times New Roman"/>
                <w:b/>
                <w:sz w:val="17"/>
              </w:rPr>
              <w:t>Gene / Component</w:t>
            </w:r>
          </w:p>
        </w:tc>
        <w:tc>
          <w:tcPr>
            <w:tcW w:type="dxa" w:w="5040"/>
            <w:vAlign w:val="center"/>
          </w:tcPr>
          <w:p>
            <w:r>
              <w:rPr>
                <w:rFonts w:ascii="Times New Roman" w:hAnsi="Times New Roman" w:eastAsia="Times New Roman"/>
                <w:b/>
                <w:sz w:val="17"/>
              </w:rPr>
              <w:t>Interpretation</w:t>
            </w:r>
          </w:p>
        </w:tc>
      </w:tr>
      <w:tr>
        <w:tc>
          <w:tcPr>
            <w:tcW w:type="dxa" w:w="5040"/>
            <w:vAlign w:val="center"/>
          </w:tcPr>
          <w:p>
            <w:r>
              <w:rPr>
                <w:rFonts w:ascii="Times New Roman" w:hAnsi="Times New Roman" w:eastAsia="Times New Roman"/>
                <w:sz w:val="17"/>
              </w:rPr>
              <w:t>Order gene</w:t>
            </w:r>
          </w:p>
        </w:tc>
        <w:tc>
          <w:tcPr>
            <w:tcW w:type="dxa" w:w="5040"/>
            <w:vAlign w:val="center"/>
          </w:tcPr>
          <w:p>
            <w:r>
              <w:rPr>
                <w:rFonts w:ascii="Times New Roman" w:hAnsi="Times New Roman" w:eastAsia="Times New Roman"/>
                <w:sz w:val="17"/>
              </w:rPr>
              <w:t>Represents one dealer order in the scheduling population.</w:t>
            </w:r>
          </w:p>
        </w:tc>
      </w:tr>
      <w:tr>
        <w:tc>
          <w:tcPr>
            <w:tcW w:type="dxa" w:w="5040"/>
            <w:vAlign w:val="center"/>
          </w:tcPr>
          <w:p>
            <w:r>
              <w:rPr>
                <w:rFonts w:ascii="Times New Roman" w:hAnsi="Times New Roman" w:eastAsia="Times New Roman"/>
                <w:sz w:val="17"/>
              </w:rPr>
              <w:t>Tanker assignment</w:t>
            </w:r>
          </w:p>
        </w:tc>
        <w:tc>
          <w:tcPr>
            <w:tcW w:type="dxa" w:w="5040"/>
            <w:vAlign w:val="center"/>
          </w:tcPr>
          <w:p>
            <w:r>
              <w:rPr>
                <w:rFonts w:ascii="Times New Roman" w:hAnsi="Times New Roman" w:eastAsia="Times New Roman"/>
                <w:sz w:val="17"/>
              </w:rPr>
              <w:t>Identifies the tanker selected for that order.</w:t>
            </w:r>
          </w:p>
        </w:tc>
      </w:tr>
      <w:tr>
        <w:tc>
          <w:tcPr>
            <w:tcW w:type="dxa" w:w="5040"/>
            <w:vAlign w:val="center"/>
          </w:tcPr>
          <w:p>
            <w:r>
              <w:rPr>
                <w:rFonts w:ascii="Times New Roman" w:hAnsi="Times New Roman" w:eastAsia="Times New Roman"/>
                <w:sz w:val="17"/>
              </w:rPr>
              <w:t>Driver assignment</w:t>
            </w:r>
          </w:p>
        </w:tc>
        <w:tc>
          <w:tcPr>
            <w:tcW w:type="dxa" w:w="5040"/>
            <w:vAlign w:val="center"/>
          </w:tcPr>
          <w:p>
            <w:r>
              <w:rPr>
                <w:rFonts w:ascii="Times New Roman" w:hAnsi="Times New Roman" w:eastAsia="Times New Roman"/>
                <w:sz w:val="17"/>
              </w:rPr>
              <w:t>Identifies the eligible driver.</w:t>
            </w:r>
          </w:p>
        </w:tc>
      </w:tr>
      <w:tr>
        <w:tc>
          <w:tcPr>
            <w:tcW w:type="dxa" w:w="5040"/>
            <w:vAlign w:val="center"/>
          </w:tcPr>
          <w:p>
            <w:r>
              <w:rPr>
                <w:rFonts w:ascii="Times New Roman" w:hAnsi="Times New Roman" w:eastAsia="Times New Roman"/>
                <w:sz w:val="17"/>
              </w:rPr>
              <w:t>Loading-slot assignment</w:t>
            </w:r>
          </w:p>
        </w:tc>
        <w:tc>
          <w:tcPr>
            <w:tcW w:type="dxa" w:w="5040"/>
            <w:vAlign w:val="center"/>
          </w:tcPr>
          <w:p>
            <w:r>
              <w:rPr>
                <w:rFonts w:ascii="Times New Roman" w:hAnsi="Times New Roman" w:eastAsia="Times New Roman"/>
                <w:sz w:val="17"/>
              </w:rPr>
              <w:t>Represents the refinery slot selected.</w:t>
            </w:r>
          </w:p>
        </w:tc>
      </w:tr>
      <w:tr>
        <w:tc>
          <w:tcPr>
            <w:tcW w:type="dxa" w:w="5040"/>
            <w:vAlign w:val="center"/>
          </w:tcPr>
          <w:p>
            <w:r>
              <w:rPr>
                <w:rFonts w:ascii="Times New Roman" w:hAnsi="Times New Roman" w:eastAsia="Times New Roman"/>
                <w:sz w:val="17"/>
              </w:rPr>
              <w:t>Route assignment</w:t>
            </w:r>
          </w:p>
        </w:tc>
        <w:tc>
          <w:tcPr>
            <w:tcW w:type="dxa" w:w="5040"/>
            <w:vAlign w:val="center"/>
          </w:tcPr>
          <w:p>
            <w:r>
              <w:rPr>
                <w:rFonts w:ascii="Times New Roman" w:hAnsi="Times New Roman" w:eastAsia="Times New Roman"/>
                <w:sz w:val="17"/>
              </w:rPr>
              <w:t>Represents the feasible route choice.</w:t>
            </w:r>
          </w:p>
        </w:tc>
      </w:tr>
    </w:tbl>
    <w:p>
      <w:pPr>
        <w:pStyle w:val="Heading2"/>
        <w:spacing w:after="80" w:line="240" w:lineRule="auto"/>
      </w:pPr>
      <w:r>
        <w:rPr>
          <w:rFonts w:ascii="Times New Roman" w:hAnsi="Times New Roman" w:eastAsia="Times New Roman"/>
        </w:rPr>
        <w:t>9.2 Fitness Function</w:t>
      </w:r>
    </w:p>
    <w:p>
      <w:pPr>
        <w:spacing w:after="80" w:line="240" w:lineRule="auto"/>
      </w:pPr>
      <w:r>
        <w:rPr>
          <w:rFonts w:ascii="Times New Roman" w:hAnsi="Times New Roman" w:eastAsia="Times New Roman"/>
          <w:b w:val="0"/>
          <w:i w:val="0"/>
        </w:rPr>
        <w:t>Fitness(chromosome) = - Cost(chromosome), where lower operational cost means higher fitness.</w:t>
      </w:r>
    </w:p>
    <w:p>
      <w:pPr>
        <w:pStyle w:val="Heading2"/>
        <w:spacing w:after="80" w:line="240" w:lineRule="auto"/>
      </w:pPr>
      <w:r>
        <w:rPr>
          <w:rFonts w:ascii="Times New Roman" w:hAnsi="Times New Roman" w:eastAsia="Times New Roman"/>
        </w:rPr>
        <w:t>9.3 Demonstration Result</w:t>
      </w:r>
    </w:p>
    <w:p>
      <w:pPr>
        <w:spacing w:after="80" w:line="240" w:lineRule="auto"/>
      </w:pPr>
      <w:r>
        <w:rPr>
          <w:rFonts w:ascii="Times New Roman" w:hAnsi="Times New Roman" w:eastAsia="Times New Roman"/>
          <w:b w:val="0"/>
          <w:i w:val="0"/>
        </w:rPr>
        <w:t>An illustrative population is evolved over generations using selection, crossover, mutation, elitism and a repair step for infeasible schedules. The purpose is to explore multiple candidate dispatch schedules rather than repeatedly restarting a single local-search trajectory.</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669280" cy="3750700"/>
            <wp:docPr id="16" name="Picture 16"/>
            <wp:cNvGraphicFramePr>
              <a:graphicFrameLocks noChangeAspect="1"/>
            </wp:cNvGraphicFramePr>
            <a:graphic>
              <a:graphicData uri="http://schemas.openxmlformats.org/drawingml/2006/picture">
                <pic:pic>
                  <pic:nvPicPr>
                    <pic:cNvPr id="0" name="16_ga_convergence.png"/>
                    <pic:cNvPicPr/>
                  </pic:nvPicPr>
                  <pic:blipFill>
                    <a:blip r:embed="rId24"/>
                    <a:stretch>
                      <a:fillRect/>
                    </a:stretch>
                  </pic:blipFill>
                  <pic:spPr>
                    <a:xfrm>
                      <a:off x="0" y="0"/>
                      <a:ext cx="5669280" cy="3750700"/>
                    </a:xfrm>
                    <a:prstGeom prst="rect"/>
                  </pic:spPr>
                </pic:pic>
              </a:graphicData>
            </a:graphic>
          </wp:inline>
        </w:drawing>
      </w:r>
    </w:p>
    <w:p>
      <w:pPr>
        <w:spacing w:after="80" w:line="240" w:lineRule="auto"/>
        <w:jc w:val="center"/>
      </w:pPr>
      <w:r>
        <w:rPr>
          <w:rFonts w:ascii="Times New Roman" w:hAnsi="Times New Roman" w:eastAsia="Times New Roman"/>
          <w:i/>
        </w:rPr>
        <w:t>Figure 16. Best-per-generation and population-average objective curves for the Genetic Algorithm.</w:t>
      </w:r>
    </w:p>
    <w:p>
      <w:pPr>
        <w:spacing w:after="80" w:line="240" w:lineRule="auto"/>
      </w:pPr>
      <w:r>
        <w:rPr>
          <w:rFonts w:ascii="Times New Roman" w:hAnsi="Times New Roman" w:eastAsia="Times New Roman"/>
        </w:rPr>
        <w:br w:type="page"/>
      </w:r>
    </w:p>
    <w:p>
      <w:pPr>
        <w:pStyle w:val="Heading2"/>
        <w:spacing w:after="80" w:line="240" w:lineRule="auto"/>
      </w:pPr>
      <w:r>
        <w:rPr>
          <w:rFonts w:ascii="Times New Roman" w:hAnsi="Times New Roman" w:eastAsia="Times New Roman"/>
        </w:rPr>
        <w:t>9.4 Genetic Algorithm Pseudocode</w:t>
      </w:r>
    </w:p>
    <w:p>
      <w:pPr>
        <w:spacing w:after="80" w:line="240" w:lineRule="auto"/>
      </w:pPr>
      <w:r>
        <w:rPr>
          <w:rFonts w:ascii="Times New Roman" w:hAnsi="Times New Roman" w:eastAsia="Times New Roman"/>
        </w:rPr>
        <w:t>Initialize a population of candidate dealer dispatch schedules</w:t>
        <w:br/>
      </w:r>
      <w:r>
        <w:rPr>
          <w:rFonts w:ascii="Times New Roman" w:hAnsi="Times New Roman" w:eastAsia="Times New Roman"/>
        </w:rPr>
        <w:t>Repeat for each generation:</w:t>
        <w:br/>
      </w:r>
      <w:r>
        <w:rPr>
          <w:rFonts w:ascii="Times New Roman" w:hAnsi="Times New Roman" w:eastAsia="Times New Roman"/>
        </w:rPr>
        <w:t xml:space="preserve">    Evaluate objective cost / fitness of every chromosome</w:t>
        <w:br/>
      </w:r>
      <w:r>
        <w:rPr>
          <w:rFonts w:ascii="Times New Roman" w:hAnsi="Times New Roman" w:eastAsia="Times New Roman"/>
        </w:rPr>
        <w:t xml:space="preserve">    Preserve the best-ever chromosome (elitism)</w:t>
        <w:br/>
      </w:r>
      <w:r>
        <w:rPr>
          <w:rFonts w:ascii="Times New Roman" w:hAnsi="Times New Roman" w:eastAsia="Times New Roman"/>
        </w:rPr>
        <w:t xml:space="preserve">    Select parent chromosomes</w:t>
        <w:br/>
      </w:r>
      <w:r>
        <w:rPr>
          <w:rFonts w:ascii="Times New Roman" w:hAnsi="Times New Roman" w:eastAsia="Times New Roman"/>
        </w:rPr>
        <w:t xml:space="preserve">    Apply crossover</w:t>
        <w:br/>
      </w:r>
      <w:r>
        <w:rPr>
          <w:rFonts w:ascii="Times New Roman" w:hAnsi="Times New Roman" w:eastAsia="Times New Roman"/>
        </w:rPr>
        <w:t xml:space="preserve">    Apply mutation</w:t>
        <w:br/>
      </w:r>
      <w:r>
        <w:rPr>
          <w:rFonts w:ascii="Times New Roman" w:hAnsi="Times New Roman" w:eastAsia="Times New Roman"/>
        </w:rPr>
        <w:t xml:space="preserve">    Repair infeasible tanker / driver / slot assignments</w:t>
        <w:br/>
      </w:r>
      <w:r>
        <w:rPr>
          <w:rFonts w:ascii="Times New Roman" w:hAnsi="Times New Roman" w:eastAsia="Times New Roman"/>
        </w:rPr>
        <w:t xml:space="preserve">    Form the next generation</w:t>
        <w:br/>
      </w:r>
      <w:r>
        <w:rPr>
          <w:rFonts w:ascii="Times New Roman" w:hAnsi="Times New Roman" w:eastAsia="Times New Roman"/>
        </w:rPr>
        <w:t>Return the best feasible schedule found</w:t>
      </w:r>
    </w:p>
    <w:p>
      <w:pPr>
        <w:pStyle w:val="Heading2"/>
        <w:spacing w:after="80" w:line="240" w:lineRule="auto"/>
      </w:pPr>
      <w:r>
        <w:rPr>
          <w:rFonts w:ascii="Times New Roman" w:hAnsi="Times New Roman" w:eastAsia="Times New Roman"/>
        </w:rPr>
        <w:t>9.5 Hill Climbing vs. Genetic Algorithm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eastAsia="Times New Roman"/>
                <w:b/>
                <w:sz w:val="17"/>
              </w:rPr>
              <w:t>Approach</w:t>
            </w:r>
          </w:p>
        </w:tc>
        <w:tc>
          <w:tcPr>
            <w:tcW w:type="dxa" w:w="3360"/>
            <w:vAlign w:val="center"/>
          </w:tcPr>
          <w:p>
            <w:r>
              <w:rPr>
                <w:rFonts w:ascii="Times New Roman" w:hAnsi="Times New Roman" w:eastAsia="Times New Roman"/>
                <w:b/>
                <w:sz w:val="17"/>
              </w:rPr>
              <w:t>Illustrative final cost</w:t>
            </w:r>
          </w:p>
        </w:tc>
        <w:tc>
          <w:tcPr>
            <w:tcW w:type="dxa" w:w="3360"/>
            <w:vAlign w:val="center"/>
          </w:tcPr>
          <w:p>
            <w:r>
              <w:rPr>
                <w:rFonts w:ascii="Times New Roman" w:hAnsi="Times New Roman" w:eastAsia="Times New Roman"/>
                <w:b/>
                <w:sz w:val="17"/>
              </w:rPr>
              <w:t>Behaviour observed</w:t>
            </w:r>
          </w:p>
        </w:tc>
      </w:tr>
      <w:tr>
        <w:tc>
          <w:tcPr>
            <w:tcW w:type="dxa" w:w="3360"/>
            <w:vAlign w:val="center"/>
          </w:tcPr>
          <w:p>
            <w:r>
              <w:rPr>
                <w:rFonts w:ascii="Times New Roman" w:hAnsi="Times New Roman" w:eastAsia="Times New Roman"/>
                <w:sz w:val="17"/>
              </w:rPr>
              <w:t>Hill Climbing (single run)</w:t>
            </w:r>
          </w:p>
        </w:tc>
        <w:tc>
          <w:tcPr>
            <w:tcW w:type="dxa" w:w="3360"/>
            <w:vAlign w:val="center"/>
          </w:tcPr>
          <w:p>
            <w:r>
              <w:rPr>
                <w:rFonts w:ascii="Times New Roman" w:hAnsi="Times New Roman" w:eastAsia="Times New Roman"/>
                <w:sz w:val="17"/>
              </w:rPr>
              <w:t>707</w:t>
            </w:r>
          </w:p>
        </w:tc>
        <w:tc>
          <w:tcPr>
            <w:tcW w:type="dxa" w:w="3360"/>
            <w:vAlign w:val="center"/>
          </w:tcPr>
          <w:p>
            <w:r>
              <w:rPr>
                <w:rFonts w:ascii="Times New Roman" w:hAnsi="Times New Roman" w:eastAsia="Times New Roman"/>
                <w:sz w:val="17"/>
              </w:rPr>
              <w:t>Very fast convergence but may stop at a local optimum.</w:t>
            </w:r>
          </w:p>
        </w:tc>
      </w:tr>
      <w:tr>
        <w:tc>
          <w:tcPr>
            <w:tcW w:type="dxa" w:w="3360"/>
            <w:vAlign w:val="center"/>
          </w:tcPr>
          <w:p>
            <w:r>
              <w:rPr>
                <w:rFonts w:ascii="Times New Roman" w:hAnsi="Times New Roman" w:eastAsia="Times New Roman"/>
                <w:sz w:val="17"/>
              </w:rPr>
              <w:t>Hill Climbing (best of 10 restarts)</w:t>
            </w:r>
          </w:p>
        </w:tc>
        <w:tc>
          <w:tcPr>
            <w:tcW w:type="dxa" w:w="3360"/>
            <w:vAlign w:val="center"/>
          </w:tcPr>
          <w:p>
            <w:r>
              <w:rPr>
                <w:rFonts w:ascii="Times New Roman" w:hAnsi="Times New Roman" w:eastAsia="Times New Roman"/>
                <w:sz w:val="17"/>
              </w:rPr>
              <w:t>12*</w:t>
            </w:r>
          </w:p>
        </w:tc>
        <w:tc>
          <w:tcPr>
            <w:tcW w:type="dxa" w:w="3360"/>
            <w:vAlign w:val="center"/>
          </w:tcPr>
          <w:p>
            <w:r>
              <w:rPr>
                <w:rFonts w:ascii="Times New Roman" w:hAnsi="Times New Roman" w:eastAsia="Times New Roman"/>
                <w:sz w:val="17"/>
              </w:rPr>
              <w:t>Shows dependence on the starting state in the normalized demonstration.</w:t>
            </w:r>
          </w:p>
        </w:tc>
      </w:tr>
      <w:tr>
        <w:tc>
          <w:tcPr>
            <w:tcW w:type="dxa" w:w="3360"/>
            <w:vAlign w:val="center"/>
          </w:tcPr>
          <w:p>
            <w:r>
              <w:rPr>
                <w:rFonts w:ascii="Times New Roman" w:hAnsi="Times New Roman" w:eastAsia="Times New Roman"/>
                <w:sz w:val="17"/>
              </w:rPr>
              <w:t>Genetic Algorithm</w:t>
            </w:r>
          </w:p>
        </w:tc>
        <w:tc>
          <w:tcPr>
            <w:tcW w:type="dxa" w:w="3360"/>
            <w:vAlign w:val="center"/>
          </w:tcPr>
          <w:p>
            <w:r>
              <w:rPr>
                <w:rFonts w:ascii="Times New Roman" w:hAnsi="Times New Roman" w:eastAsia="Times New Roman"/>
                <w:sz w:val="17"/>
              </w:rPr>
              <w:t>750</w:t>
            </w:r>
          </w:p>
        </w:tc>
        <w:tc>
          <w:tcPr>
            <w:tcW w:type="dxa" w:w="3360"/>
            <w:vAlign w:val="center"/>
          </w:tcPr>
          <w:p>
            <w:r>
              <w:rPr>
                <w:rFonts w:ascii="Times New Roman" w:hAnsi="Times New Roman" w:eastAsia="Times New Roman"/>
                <w:sz w:val="17"/>
              </w:rPr>
              <w:t>Explores multiple candidate schedules and retains population diversity.</w:t>
            </w:r>
          </w:p>
        </w:tc>
      </w:tr>
    </w:tbl>
    <w:p>
      <w:pPr>
        <w:spacing w:after="80" w:line="240" w:lineRule="auto"/>
      </w:pPr>
      <w:r>
        <w:rPr>
          <w:rFonts w:ascii="Times New Roman" w:hAnsi="Times New Roman" w:eastAsia="Times New Roman"/>
          <w:b w:val="0"/>
          <w:i w:val="0"/>
        </w:rPr>
        <w:t>*The restart values are shown as a separate normalized demonstration series and are not directly comparable in scale with the 1000/707/750 objective-cost sequence.</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394960" cy="3341976"/>
            <wp:docPr id="17" name="Picture 17"/>
            <wp:cNvGraphicFramePr>
              <a:graphicFrameLocks noChangeAspect="1"/>
            </wp:cNvGraphicFramePr>
            <a:graphic>
              <a:graphicData uri="http://schemas.openxmlformats.org/drawingml/2006/picture">
                <pic:pic>
                  <pic:nvPicPr>
                    <pic:cNvPr id="0" name="17_algorithm_comparison.png"/>
                    <pic:cNvPicPr/>
                  </pic:nvPicPr>
                  <pic:blipFill>
                    <a:blip r:embed="rId25"/>
                    <a:stretch>
                      <a:fillRect/>
                    </a:stretch>
                  </pic:blipFill>
                  <pic:spPr>
                    <a:xfrm>
                      <a:off x="0" y="0"/>
                      <a:ext cx="5394960" cy="3341976"/>
                    </a:xfrm>
                    <a:prstGeom prst="rect"/>
                  </pic:spPr>
                </pic:pic>
              </a:graphicData>
            </a:graphic>
          </wp:inline>
        </w:drawing>
      </w:r>
    </w:p>
    <w:p>
      <w:pPr>
        <w:spacing w:after="80" w:line="240" w:lineRule="auto"/>
        <w:jc w:val="center"/>
      </w:pPr>
      <w:r>
        <w:rPr>
          <w:rFonts w:ascii="Times New Roman" w:hAnsi="Times New Roman" w:eastAsia="Times New Roman"/>
          <w:i/>
        </w:rPr>
        <w:t>Figure 17. Illustrative initial, Hill Climbing and Genetic Algorithm objective-cost comparison.</w:t>
      </w:r>
    </w:p>
    <w:p>
      <w:pPr>
        <w:spacing w:after="80" w:line="240" w:lineRule="auto"/>
      </w:pPr>
      <w:r>
        <w:rPr>
          <w:rFonts w:ascii="Times New Roman" w:hAnsi="Times New Roman" w:eastAsia="Times New Roman"/>
        </w:rPr>
        <w:br w:type="page"/>
      </w:r>
    </w:p>
    <w:p>
      <w:pPr>
        <w:pStyle w:val="Heading2"/>
        <w:spacing w:after="80" w:line="240" w:lineRule="auto"/>
      </w:pPr>
      <w:r>
        <w:rPr>
          <w:rFonts w:ascii="Times New Roman" w:hAnsi="Times New Roman" w:eastAsia="Times New Roman"/>
        </w:rPr>
        <w:t>9.6 Interpretation</w:t>
      </w:r>
    </w:p>
    <w:p>
      <w:pPr>
        <w:spacing w:after="80" w:line="240" w:lineRule="auto"/>
      </w:pPr>
      <w:r>
        <w:rPr>
          <w:rFonts w:ascii="Times New Roman" w:hAnsi="Times New Roman" w:eastAsia="Times New Roman"/>
          <w:b w:val="0"/>
          <w:i w:val="0"/>
        </w:rPr>
        <w:t>Hill Climbing is attractive for a dealer-facing prototype because it is simple, fast and easy to explain: the current dispatch plan is improved by making the best feasible local change. Its weakness is sensitivity to the starting schedule. The Genetic Algorithm explores a broader portion of the search space and can preserve alternative schedules through population diversity, but it requires more computation and parameter tuning.</w:t>
      </w:r>
    </w:p>
    <w:p>
      <w:pPr>
        <w:spacing w:after="80" w:line="240" w:lineRule="auto"/>
      </w:pPr>
      <w:r>
        <w:rPr>
          <w:rFonts w:ascii="Times New Roman" w:hAnsi="Times New Roman" w:eastAsia="Times New Roman"/>
          <w:b w:val="0"/>
          <w:i w:val="0"/>
        </w:rPr>
        <w:t>For a practical platform, a hybrid strategy is reasonable: generate a population of feasible schedules, use the Genetic Algorithm to explore broadly, then apply Hill Climbing to locally refine the best candidates before presenting the final recommendation to the dealer.</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10. Factor Analysis</w:t>
      </w:r>
    </w:p>
    <w:p>
      <w:pPr>
        <w:pStyle w:val="Heading2"/>
        <w:spacing w:after="80" w:line="240" w:lineRule="auto"/>
      </w:pPr>
      <w:r>
        <w:rPr>
          <w:rFonts w:ascii="Times New Roman" w:hAnsi="Times New Roman" w:eastAsia="Times New Roman"/>
        </w:rPr>
        <w:t>10.1 Purpose</w:t>
      </w:r>
    </w:p>
    <w:p>
      <w:pPr>
        <w:spacing w:after="80" w:line="240" w:lineRule="auto"/>
      </w:pPr>
      <w:r>
        <w:rPr>
          <w:rFonts w:ascii="Times New Roman" w:hAnsi="Times New Roman" w:eastAsia="Times New Roman"/>
          <w:b w:val="0"/>
          <w:i w:val="0"/>
        </w:rPr>
        <w:t>Exploratory Factor Analysis is used to investigate whether the nine observed dealer-logistics metrics can be summarized by a smaller number of latent dimensions. The resulting dimensions can later support a dealer risk or decision-readiness score.</w:t>
      </w:r>
    </w:p>
    <w:p>
      <w:pPr>
        <w:pStyle w:val="Heading2"/>
        <w:spacing w:after="80" w:line="240" w:lineRule="auto"/>
      </w:pPr>
      <w:r>
        <w:rPr>
          <w:rFonts w:ascii="Times New Roman" w:hAnsi="Times New Roman" w:eastAsia="Times New Roman"/>
        </w:rPr>
        <w:t>10.2 Variables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eastAsia="Times New Roman"/>
                <w:b/>
                <w:sz w:val="17"/>
              </w:rPr>
              <w:t>Variable</w:t>
            </w:r>
          </w:p>
        </w:tc>
        <w:tc>
          <w:tcPr>
            <w:tcW w:type="dxa" w:w="5040"/>
            <w:vAlign w:val="center"/>
          </w:tcPr>
          <w:p>
            <w:r>
              <w:rPr>
                <w:rFonts w:ascii="Times New Roman" w:hAnsi="Times New Roman" w:eastAsia="Times New Roman"/>
                <w:b/>
                <w:sz w:val="17"/>
              </w:rPr>
              <w:t>Description</w:t>
            </w:r>
          </w:p>
        </w:tc>
      </w:tr>
      <w:tr>
        <w:tc>
          <w:tcPr>
            <w:tcW w:type="dxa" w:w="5040"/>
            <w:vAlign w:val="center"/>
          </w:tcPr>
          <w:p>
            <w:r>
              <w:rPr>
                <w:rFonts w:ascii="Times New Roman" w:hAnsi="Times New Roman" w:eastAsia="Times New Roman"/>
                <w:sz w:val="17"/>
              </w:rPr>
              <w:t>order_volume_l</w:t>
            </w:r>
          </w:p>
        </w:tc>
        <w:tc>
          <w:tcPr>
            <w:tcW w:type="dxa" w:w="5040"/>
            <w:vAlign w:val="center"/>
          </w:tcPr>
          <w:p>
            <w:r>
              <w:rPr>
                <w:rFonts w:ascii="Times New Roman" w:hAnsi="Times New Roman" w:eastAsia="Times New Roman"/>
                <w:sz w:val="17"/>
              </w:rPr>
              <w:t>Dealer order volume in litres</w:t>
            </w:r>
          </w:p>
        </w:tc>
      </w:tr>
      <w:tr>
        <w:tc>
          <w:tcPr>
            <w:tcW w:type="dxa" w:w="5040"/>
            <w:vAlign w:val="center"/>
          </w:tcPr>
          <w:p>
            <w:r>
              <w:rPr>
                <w:rFonts w:ascii="Times New Roman" w:hAnsi="Times New Roman" w:eastAsia="Times New Roman"/>
                <w:sz w:val="17"/>
              </w:rPr>
              <w:t>current_inventory_l</w:t>
            </w:r>
          </w:p>
        </w:tc>
        <w:tc>
          <w:tcPr>
            <w:tcW w:type="dxa" w:w="5040"/>
            <w:vAlign w:val="center"/>
          </w:tcPr>
          <w:p>
            <w:r>
              <w:rPr>
                <w:rFonts w:ascii="Times New Roman" w:hAnsi="Times New Roman" w:eastAsia="Times New Roman"/>
                <w:sz w:val="17"/>
              </w:rPr>
              <w:t>Current inventory level in litres</w:t>
            </w:r>
          </w:p>
        </w:tc>
      </w:tr>
      <w:tr>
        <w:tc>
          <w:tcPr>
            <w:tcW w:type="dxa" w:w="5040"/>
            <w:vAlign w:val="center"/>
          </w:tcPr>
          <w:p>
            <w:r>
              <w:rPr>
                <w:rFonts w:ascii="Times New Roman" w:hAnsi="Times New Roman" w:eastAsia="Times New Roman"/>
                <w:sz w:val="17"/>
              </w:rPr>
              <w:t>tanker_availability</w:t>
            </w:r>
          </w:p>
        </w:tc>
        <w:tc>
          <w:tcPr>
            <w:tcW w:type="dxa" w:w="5040"/>
            <w:vAlign w:val="center"/>
          </w:tcPr>
          <w:p>
            <w:r>
              <w:rPr>
                <w:rFonts w:ascii="Times New Roman" w:hAnsi="Times New Roman" w:eastAsia="Times New Roman"/>
                <w:sz w:val="17"/>
              </w:rPr>
              <w:t>Available tanker count</w:t>
            </w:r>
          </w:p>
        </w:tc>
      </w:tr>
      <w:tr>
        <w:tc>
          <w:tcPr>
            <w:tcW w:type="dxa" w:w="5040"/>
            <w:vAlign w:val="center"/>
          </w:tcPr>
          <w:p>
            <w:r>
              <w:rPr>
                <w:rFonts w:ascii="Times New Roman" w:hAnsi="Times New Roman" w:eastAsia="Times New Roman"/>
                <w:sz w:val="17"/>
              </w:rPr>
              <w:t>slot_wait_min</w:t>
            </w:r>
          </w:p>
        </w:tc>
        <w:tc>
          <w:tcPr>
            <w:tcW w:type="dxa" w:w="5040"/>
            <w:vAlign w:val="center"/>
          </w:tcPr>
          <w:p>
            <w:r>
              <w:rPr>
                <w:rFonts w:ascii="Times New Roman" w:hAnsi="Times New Roman" w:eastAsia="Times New Roman"/>
                <w:sz w:val="17"/>
              </w:rPr>
              <w:t>Refinery loading-slot waiting time</w:t>
            </w:r>
          </w:p>
        </w:tc>
      </w:tr>
      <w:tr>
        <w:tc>
          <w:tcPr>
            <w:tcW w:type="dxa" w:w="5040"/>
            <w:vAlign w:val="center"/>
          </w:tcPr>
          <w:p>
            <w:r>
              <w:rPr>
                <w:rFonts w:ascii="Times New Roman" w:hAnsi="Times New Roman" w:eastAsia="Times New Roman"/>
                <w:sz w:val="17"/>
              </w:rPr>
              <w:t>delivery_deadline_hr</w:t>
            </w:r>
          </w:p>
        </w:tc>
        <w:tc>
          <w:tcPr>
            <w:tcW w:type="dxa" w:w="5040"/>
            <w:vAlign w:val="center"/>
          </w:tcPr>
          <w:p>
            <w:r>
              <w:rPr>
                <w:rFonts w:ascii="Times New Roman" w:hAnsi="Times New Roman" w:eastAsia="Times New Roman"/>
                <w:sz w:val="17"/>
              </w:rPr>
              <w:t>Available delivery time window</w:t>
            </w:r>
          </w:p>
        </w:tc>
      </w:tr>
      <w:tr>
        <w:tc>
          <w:tcPr>
            <w:tcW w:type="dxa" w:w="5040"/>
            <w:vAlign w:val="center"/>
          </w:tcPr>
          <w:p>
            <w:r>
              <w:rPr>
                <w:rFonts w:ascii="Times New Roman" w:hAnsi="Times New Roman" w:eastAsia="Times New Roman"/>
                <w:sz w:val="17"/>
              </w:rPr>
              <w:t>estimated_delay_min</w:t>
            </w:r>
          </w:p>
        </w:tc>
        <w:tc>
          <w:tcPr>
            <w:tcW w:type="dxa" w:w="5040"/>
            <w:vAlign w:val="center"/>
          </w:tcPr>
          <w:p>
            <w:r>
              <w:rPr>
                <w:rFonts w:ascii="Times New Roman" w:hAnsi="Times New Roman" w:eastAsia="Times New Roman"/>
                <w:sz w:val="17"/>
              </w:rPr>
              <w:t>Estimated delivery delay</w:t>
            </w:r>
          </w:p>
        </w:tc>
      </w:tr>
      <w:tr>
        <w:tc>
          <w:tcPr>
            <w:tcW w:type="dxa" w:w="5040"/>
            <w:vAlign w:val="center"/>
          </w:tcPr>
          <w:p>
            <w:r>
              <w:rPr>
                <w:rFonts w:ascii="Times New Roman" w:hAnsi="Times New Roman" w:eastAsia="Times New Roman"/>
                <w:sz w:val="17"/>
              </w:rPr>
              <w:t>tanker_utilization_pct</w:t>
            </w:r>
          </w:p>
        </w:tc>
        <w:tc>
          <w:tcPr>
            <w:tcW w:type="dxa" w:w="5040"/>
            <w:vAlign w:val="center"/>
          </w:tcPr>
          <w:p>
            <w:r>
              <w:rPr>
                <w:rFonts w:ascii="Times New Roman" w:hAnsi="Times New Roman" w:eastAsia="Times New Roman"/>
                <w:sz w:val="17"/>
              </w:rPr>
              <w:t>Fleet utilization percentage</w:t>
            </w:r>
          </w:p>
        </w:tc>
      </w:tr>
      <w:tr>
        <w:tc>
          <w:tcPr>
            <w:tcW w:type="dxa" w:w="5040"/>
            <w:vAlign w:val="center"/>
          </w:tcPr>
          <w:p>
            <w:r>
              <w:rPr>
                <w:rFonts w:ascii="Times New Roman" w:hAnsi="Times New Roman" w:eastAsia="Times New Roman"/>
                <w:sz w:val="17"/>
              </w:rPr>
              <w:t>stockout_risk_pct</w:t>
            </w:r>
          </w:p>
        </w:tc>
        <w:tc>
          <w:tcPr>
            <w:tcW w:type="dxa" w:w="5040"/>
            <w:vAlign w:val="center"/>
          </w:tcPr>
          <w:p>
            <w:r>
              <w:rPr>
                <w:rFonts w:ascii="Times New Roman" w:hAnsi="Times New Roman" w:eastAsia="Times New Roman"/>
                <w:sz w:val="17"/>
              </w:rPr>
              <w:t>Estimated stock-out risk</w:t>
            </w:r>
          </w:p>
        </w:tc>
      </w:tr>
      <w:tr>
        <w:tc>
          <w:tcPr>
            <w:tcW w:type="dxa" w:w="5040"/>
            <w:vAlign w:val="center"/>
          </w:tcPr>
          <w:p>
            <w:r>
              <w:rPr>
                <w:rFonts w:ascii="Times New Roman" w:hAnsi="Times New Roman" w:eastAsia="Times New Roman"/>
                <w:sz w:val="17"/>
              </w:rPr>
              <w:t>on_time_delivery_pct</w:t>
            </w:r>
          </w:p>
        </w:tc>
        <w:tc>
          <w:tcPr>
            <w:tcW w:type="dxa" w:w="5040"/>
            <w:vAlign w:val="center"/>
          </w:tcPr>
          <w:p>
            <w:r>
              <w:rPr>
                <w:rFonts w:ascii="Times New Roman" w:hAnsi="Times New Roman" w:eastAsia="Times New Roman"/>
                <w:sz w:val="17"/>
              </w:rPr>
              <w:t>On-time delivery outcome</w:t>
            </w:r>
          </w:p>
        </w:tc>
      </w:tr>
    </w:tbl>
    <w:p>
      <w:pPr>
        <w:spacing w:after="80" w:line="240" w:lineRule="auto"/>
      </w:pPr>
      <w:r>
        <w:rPr>
          <w:rFonts w:ascii="Times New Roman" w:hAnsi="Times New Roman" w:eastAsia="Times New Roman"/>
          <w:b w:val="0"/>
          <w:i w:val="0"/>
        </w:rPr>
        <w:t>Before extraction, Bartlett's test gives χ² ≈ 1556.26 with p &lt; 0.001, indicating that the correlation matrix is not an identity matrix. The KMO measure is approximately 0.603, which is acceptable enough for an exploratory course-level demonstration but should be validated on real operational data.</w:t>
      </w:r>
    </w:p>
    <w:p>
      <w:pPr>
        <w:spacing w:after="80" w:line="240" w:lineRule="auto"/>
      </w:pPr>
      <w:r>
        <w:rPr>
          <w:rFonts w:ascii="Times New Roman" w:hAnsi="Times New Roman" w:eastAsia="Times New Roman"/>
        </w:rPr>
        <w:br w:type="page"/>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486400" cy="3707797"/>
            <wp:docPr id="18" name="Picture 18"/>
            <wp:cNvGraphicFramePr>
              <a:graphicFrameLocks noChangeAspect="1"/>
            </wp:cNvGraphicFramePr>
            <a:graphic>
              <a:graphicData uri="http://schemas.openxmlformats.org/drawingml/2006/picture">
                <pic:pic>
                  <pic:nvPicPr>
                    <pic:cNvPr id="0" name="18_scree_plot.png"/>
                    <pic:cNvPicPr/>
                  </pic:nvPicPr>
                  <pic:blipFill>
                    <a:blip r:embed="rId26"/>
                    <a:stretch>
                      <a:fillRect/>
                    </a:stretch>
                  </pic:blipFill>
                  <pic:spPr>
                    <a:xfrm>
                      <a:off x="0" y="0"/>
                      <a:ext cx="5486400" cy="3707797"/>
                    </a:xfrm>
                    <a:prstGeom prst="rect"/>
                  </pic:spPr>
                </pic:pic>
              </a:graphicData>
            </a:graphic>
          </wp:inline>
        </w:drawing>
      </w:r>
    </w:p>
    <w:p>
      <w:pPr>
        <w:spacing w:after="80" w:line="240" w:lineRule="auto"/>
        <w:jc w:val="center"/>
      </w:pPr>
      <w:r>
        <w:rPr>
          <w:rFonts w:ascii="Times New Roman" w:hAnsi="Times New Roman" w:eastAsia="Times New Roman"/>
          <w:i/>
        </w:rPr>
        <w:t>Figure 18. Scree plot of eigenvalues; the first four components exceed the Kaiser cutoff of 1.</w:t>
      </w:r>
    </w:p>
    <w:p>
      <w:pPr>
        <w:pStyle w:val="Heading2"/>
        <w:spacing w:after="80" w:line="240" w:lineRule="auto"/>
      </w:pPr>
      <w:r>
        <w:rPr>
          <w:rFonts w:ascii="Times New Roman" w:hAnsi="Times New Roman" w:eastAsia="Times New Roman"/>
        </w:rPr>
        <w:t>10.3 Factor Interpretation</w:t>
      </w:r>
    </w:p>
    <w:p>
      <w:pPr>
        <w:pStyle w:val="ListBullet"/>
        <w:spacing w:after="80" w:line="240" w:lineRule="auto"/>
      </w:pPr>
      <w:r>
        <w:rPr>
          <w:rFonts w:ascii="Times New Roman" w:hAnsi="Times New Roman" w:eastAsia="Times New Roman"/>
        </w:rPr>
        <w:t>Factor 1 — Logistics Delay: dominated by estimated delay and loading-slot waiting time, with fleet availability contributing to the bottleneck dimension.</w:t>
      </w:r>
    </w:p>
    <w:p>
      <w:pPr>
        <w:pStyle w:val="ListBullet"/>
        <w:spacing w:after="80" w:line="240" w:lineRule="auto"/>
      </w:pPr>
      <w:r>
        <w:rPr>
          <w:rFonts w:ascii="Times New Roman" w:hAnsi="Times New Roman" w:eastAsia="Times New Roman"/>
        </w:rPr>
        <w:t>Factor 2 — Demand Pressure: dominated by order volume and tanker utilization, representing the pressure created by large replenishment requirements.</w:t>
      </w:r>
    </w:p>
    <w:p>
      <w:pPr>
        <w:pStyle w:val="ListBullet"/>
        <w:spacing w:after="80" w:line="240" w:lineRule="auto"/>
      </w:pPr>
      <w:r>
        <w:rPr>
          <w:rFonts w:ascii="Times New Roman" w:hAnsi="Times New Roman" w:eastAsia="Times New Roman"/>
        </w:rPr>
        <w:t>Factor 3 — Fleet Capacity: associated with tanker availability and operational capacity variables.</w:t>
      </w:r>
    </w:p>
    <w:p>
      <w:pPr>
        <w:pStyle w:val="ListBullet"/>
        <w:spacing w:after="80" w:line="240" w:lineRule="auto"/>
      </w:pPr>
      <w:r>
        <w:rPr>
          <w:rFonts w:ascii="Times New Roman" w:hAnsi="Times New Roman" w:eastAsia="Times New Roman"/>
        </w:rPr>
        <w:t>Factor 4 — Inventory Risk: associated with current inventory and stock-out risk.</w:t>
      </w:r>
    </w:p>
    <w:p>
      <w:pPr>
        <w:spacing w:after="80" w:line="240" w:lineRule="auto"/>
      </w:pPr>
      <w:r>
        <w:rPr>
          <w:rFonts w:ascii="Times New Roman" w:hAnsi="Times New Roman" w:eastAsia="Times New Roman"/>
        </w:rPr>
        <w:br w:type="page"/>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rFonts w:ascii="Times New Roman" w:hAnsi="Times New Roman" w:eastAsia="Times New Roman"/>
                <w:b/>
                <w:sz w:val="17"/>
              </w:rPr>
              <w:t>Variable</w:t>
            </w:r>
          </w:p>
        </w:tc>
        <w:tc>
          <w:tcPr>
            <w:tcW w:type="dxa" w:w="2016"/>
            <w:vAlign w:val="center"/>
          </w:tcPr>
          <w:p>
            <w:r>
              <w:rPr>
                <w:rFonts w:ascii="Times New Roman" w:hAnsi="Times New Roman" w:eastAsia="Times New Roman"/>
                <w:b/>
                <w:sz w:val="17"/>
              </w:rPr>
              <w:t>Logistics Delay</w:t>
            </w:r>
          </w:p>
        </w:tc>
        <w:tc>
          <w:tcPr>
            <w:tcW w:type="dxa" w:w="2016"/>
            <w:vAlign w:val="center"/>
          </w:tcPr>
          <w:p>
            <w:r>
              <w:rPr>
                <w:rFonts w:ascii="Times New Roman" w:hAnsi="Times New Roman" w:eastAsia="Times New Roman"/>
                <w:b/>
                <w:sz w:val="17"/>
              </w:rPr>
              <w:t>Demand Pressure</w:t>
            </w:r>
          </w:p>
        </w:tc>
        <w:tc>
          <w:tcPr>
            <w:tcW w:type="dxa" w:w="2016"/>
            <w:vAlign w:val="center"/>
          </w:tcPr>
          <w:p>
            <w:r>
              <w:rPr>
                <w:rFonts w:ascii="Times New Roman" w:hAnsi="Times New Roman" w:eastAsia="Times New Roman"/>
                <w:b/>
                <w:sz w:val="17"/>
              </w:rPr>
              <w:t>Fleet Capacity</w:t>
            </w:r>
          </w:p>
        </w:tc>
        <w:tc>
          <w:tcPr>
            <w:tcW w:type="dxa" w:w="2016"/>
            <w:vAlign w:val="center"/>
          </w:tcPr>
          <w:p>
            <w:r>
              <w:rPr>
                <w:rFonts w:ascii="Times New Roman" w:hAnsi="Times New Roman" w:eastAsia="Times New Roman"/>
                <w:b/>
                <w:sz w:val="17"/>
              </w:rPr>
              <w:t>Inventory Risk</w:t>
            </w:r>
          </w:p>
        </w:tc>
      </w:tr>
      <w:tr>
        <w:tc>
          <w:tcPr>
            <w:tcW w:type="dxa" w:w="2016"/>
            <w:vAlign w:val="center"/>
          </w:tcPr>
          <w:p>
            <w:r>
              <w:rPr>
                <w:rFonts w:ascii="Times New Roman" w:hAnsi="Times New Roman" w:eastAsia="Times New Roman"/>
                <w:sz w:val="17"/>
              </w:rPr>
              <w:t>order_volume_l</w:t>
            </w:r>
          </w:p>
        </w:tc>
        <w:tc>
          <w:tcPr>
            <w:tcW w:type="dxa" w:w="2016"/>
            <w:vAlign w:val="center"/>
          </w:tcPr>
          <w:p>
            <w:r>
              <w:rPr>
                <w:rFonts w:ascii="Times New Roman" w:hAnsi="Times New Roman" w:eastAsia="Times New Roman"/>
                <w:sz w:val="17"/>
              </w:rPr>
              <w:t>0.006</w:t>
            </w:r>
          </w:p>
        </w:tc>
        <w:tc>
          <w:tcPr>
            <w:tcW w:type="dxa" w:w="2016"/>
            <w:vAlign w:val="center"/>
          </w:tcPr>
          <w:p>
            <w:r>
              <w:rPr>
                <w:rFonts w:ascii="Times New Roman" w:hAnsi="Times New Roman" w:eastAsia="Times New Roman"/>
                <w:sz w:val="17"/>
              </w:rPr>
              <w:t>0.864</w:t>
            </w:r>
          </w:p>
        </w:tc>
        <w:tc>
          <w:tcPr>
            <w:tcW w:type="dxa" w:w="2016"/>
            <w:vAlign w:val="center"/>
          </w:tcPr>
          <w:p>
            <w:r>
              <w:rPr>
                <w:rFonts w:ascii="Times New Roman" w:hAnsi="Times New Roman" w:eastAsia="Times New Roman"/>
                <w:sz w:val="17"/>
              </w:rPr>
              <w:t>0.020</w:t>
            </w:r>
          </w:p>
        </w:tc>
        <w:tc>
          <w:tcPr>
            <w:tcW w:type="dxa" w:w="2016"/>
            <w:vAlign w:val="center"/>
          </w:tcPr>
          <w:p>
            <w:r>
              <w:rPr>
                <w:rFonts w:ascii="Times New Roman" w:hAnsi="Times New Roman" w:eastAsia="Times New Roman"/>
                <w:sz w:val="17"/>
              </w:rPr>
              <w:t>-0.216</w:t>
            </w:r>
          </w:p>
        </w:tc>
      </w:tr>
      <w:tr>
        <w:tc>
          <w:tcPr>
            <w:tcW w:type="dxa" w:w="2016"/>
            <w:vAlign w:val="center"/>
          </w:tcPr>
          <w:p>
            <w:r>
              <w:rPr>
                <w:rFonts w:ascii="Times New Roman" w:hAnsi="Times New Roman" w:eastAsia="Times New Roman"/>
                <w:sz w:val="17"/>
              </w:rPr>
              <w:t>current_inventory_l</w:t>
            </w:r>
          </w:p>
        </w:tc>
        <w:tc>
          <w:tcPr>
            <w:tcW w:type="dxa" w:w="2016"/>
            <w:vAlign w:val="center"/>
          </w:tcPr>
          <w:p>
            <w:r>
              <w:rPr>
                <w:rFonts w:ascii="Times New Roman" w:hAnsi="Times New Roman" w:eastAsia="Times New Roman"/>
                <w:sz w:val="17"/>
              </w:rPr>
              <w:t>-0.066</w:t>
            </w:r>
          </w:p>
        </w:tc>
        <w:tc>
          <w:tcPr>
            <w:tcW w:type="dxa" w:w="2016"/>
            <w:vAlign w:val="center"/>
          </w:tcPr>
          <w:p>
            <w:r>
              <w:rPr>
                <w:rFonts w:ascii="Times New Roman" w:hAnsi="Times New Roman" w:eastAsia="Times New Roman"/>
                <w:sz w:val="17"/>
              </w:rPr>
              <w:t>-0.457</w:t>
            </w:r>
          </w:p>
        </w:tc>
        <w:tc>
          <w:tcPr>
            <w:tcW w:type="dxa" w:w="2016"/>
            <w:vAlign w:val="center"/>
          </w:tcPr>
          <w:p>
            <w:r>
              <w:rPr>
                <w:rFonts w:ascii="Times New Roman" w:hAnsi="Times New Roman" w:eastAsia="Times New Roman"/>
                <w:sz w:val="17"/>
              </w:rPr>
              <w:t>-0.001</w:t>
            </w:r>
          </w:p>
        </w:tc>
        <w:tc>
          <w:tcPr>
            <w:tcW w:type="dxa" w:w="2016"/>
            <w:vAlign w:val="center"/>
          </w:tcPr>
          <w:p>
            <w:r>
              <w:rPr>
                <w:rFonts w:ascii="Times New Roman" w:hAnsi="Times New Roman" w:eastAsia="Times New Roman"/>
                <w:sz w:val="17"/>
              </w:rPr>
              <w:t>0.764</w:t>
            </w:r>
          </w:p>
        </w:tc>
      </w:tr>
      <w:tr>
        <w:tc>
          <w:tcPr>
            <w:tcW w:type="dxa" w:w="2016"/>
            <w:vAlign w:val="center"/>
          </w:tcPr>
          <w:p>
            <w:r>
              <w:rPr>
                <w:rFonts w:ascii="Times New Roman" w:hAnsi="Times New Roman" w:eastAsia="Times New Roman"/>
                <w:sz w:val="17"/>
              </w:rPr>
              <w:t>tanker_availability</w:t>
            </w:r>
          </w:p>
        </w:tc>
        <w:tc>
          <w:tcPr>
            <w:tcW w:type="dxa" w:w="2016"/>
            <w:vAlign w:val="center"/>
          </w:tcPr>
          <w:p>
            <w:r>
              <w:rPr>
                <w:rFonts w:ascii="Times New Roman" w:hAnsi="Times New Roman" w:eastAsia="Times New Roman"/>
                <w:sz w:val="17"/>
              </w:rPr>
              <w:t>0.485</w:t>
            </w:r>
          </w:p>
        </w:tc>
        <w:tc>
          <w:tcPr>
            <w:tcW w:type="dxa" w:w="2016"/>
            <w:vAlign w:val="center"/>
          </w:tcPr>
          <w:p>
            <w:r>
              <w:rPr>
                <w:rFonts w:ascii="Times New Roman" w:hAnsi="Times New Roman" w:eastAsia="Times New Roman"/>
                <w:sz w:val="17"/>
              </w:rPr>
              <w:t>-0.090</w:t>
            </w:r>
          </w:p>
        </w:tc>
        <w:tc>
          <w:tcPr>
            <w:tcW w:type="dxa" w:w="2016"/>
            <w:vAlign w:val="center"/>
          </w:tcPr>
          <w:p>
            <w:r>
              <w:rPr>
                <w:rFonts w:ascii="Times New Roman" w:hAnsi="Times New Roman" w:eastAsia="Times New Roman"/>
                <w:sz w:val="17"/>
              </w:rPr>
              <w:t>0.630</w:t>
            </w:r>
          </w:p>
        </w:tc>
        <w:tc>
          <w:tcPr>
            <w:tcW w:type="dxa" w:w="2016"/>
            <w:vAlign w:val="center"/>
          </w:tcPr>
          <w:p>
            <w:r>
              <w:rPr>
                <w:rFonts w:ascii="Times New Roman" w:hAnsi="Times New Roman" w:eastAsia="Times New Roman"/>
                <w:sz w:val="17"/>
              </w:rPr>
              <w:t>-0.057</w:t>
            </w:r>
          </w:p>
        </w:tc>
      </w:tr>
      <w:tr>
        <w:tc>
          <w:tcPr>
            <w:tcW w:type="dxa" w:w="2016"/>
            <w:vAlign w:val="center"/>
          </w:tcPr>
          <w:p>
            <w:r>
              <w:rPr>
                <w:rFonts w:ascii="Times New Roman" w:hAnsi="Times New Roman" w:eastAsia="Times New Roman"/>
                <w:sz w:val="17"/>
              </w:rPr>
              <w:t>slot_wait_min</w:t>
            </w:r>
          </w:p>
        </w:tc>
        <w:tc>
          <w:tcPr>
            <w:tcW w:type="dxa" w:w="2016"/>
            <w:vAlign w:val="center"/>
          </w:tcPr>
          <w:p>
            <w:r>
              <w:rPr>
                <w:rFonts w:ascii="Times New Roman" w:hAnsi="Times New Roman" w:eastAsia="Times New Roman"/>
                <w:sz w:val="17"/>
              </w:rPr>
              <w:t>-0.580</w:t>
            </w:r>
          </w:p>
        </w:tc>
        <w:tc>
          <w:tcPr>
            <w:tcW w:type="dxa" w:w="2016"/>
            <w:vAlign w:val="center"/>
          </w:tcPr>
          <w:p>
            <w:r>
              <w:rPr>
                <w:rFonts w:ascii="Times New Roman" w:hAnsi="Times New Roman" w:eastAsia="Times New Roman"/>
                <w:sz w:val="17"/>
              </w:rPr>
              <w:t>0.004</w:t>
            </w:r>
          </w:p>
        </w:tc>
        <w:tc>
          <w:tcPr>
            <w:tcW w:type="dxa" w:w="2016"/>
            <w:vAlign w:val="center"/>
          </w:tcPr>
          <w:p>
            <w:r>
              <w:rPr>
                <w:rFonts w:ascii="Times New Roman" w:hAnsi="Times New Roman" w:eastAsia="Times New Roman"/>
                <w:sz w:val="17"/>
              </w:rPr>
              <w:t>-0.601</w:t>
            </w:r>
          </w:p>
        </w:tc>
        <w:tc>
          <w:tcPr>
            <w:tcW w:type="dxa" w:w="2016"/>
            <w:vAlign w:val="center"/>
          </w:tcPr>
          <w:p>
            <w:r>
              <w:rPr>
                <w:rFonts w:ascii="Times New Roman" w:hAnsi="Times New Roman" w:eastAsia="Times New Roman"/>
                <w:sz w:val="17"/>
              </w:rPr>
              <w:t>-0.040</w:t>
            </w:r>
          </w:p>
        </w:tc>
      </w:tr>
      <w:tr>
        <w:tc>
          <w:tcPr>
            <w:tcW w:type="dxa" w:w="2016"/>
            <w:vAlign w:val="center"/>
          </w:tcPr>
          <w:p>
            <w:r>
              <w:rPr>
                <w:rFonts w:ascii="Times New Roman" w:hAnsi="Times New Roman" w:eastAsia="Times New Roman"/>
                <w:sz w:val="17"/>
              </w:rPr>
              <w:t>delivery_deadline_hr</w:t>
            </w:r>
          </w:p>
        </w:tc>
        <w:tc>
          <w:tcPr>
            <w:tcW w:type="dxa" w:w="2016"/>
            <w:vAlign w:val="center"/>
          </w:tcPr>
          <w:p>
            <w:r>
              <w:rPr>
                <w:rFonts w:ascii="Times New Roman" w:hAnsi="Times New Roman" w:eastAsia="Times New Roman"/>
                <w:sz w:val="17"/>
              </w:rPr>
              <w:t>0.266</w:t>
            </w:r>
          </w:p>
        </w:tc>
        <w:tc>
          <w:tcPr>
            <w:tcW w:type="dxa" w:w="2016"/>
            <w:vAlign w:val="center"/>
          </w:tcPr>
          <w:p>
            <w:r>
              <w:rPr>
                <w:rFonts w:ascii="Times New Roman" w:hAnsi="Times New Roman" w:eastAsia="Times New Roman"/>
                <w:sz w:val="17"/>
              </w:rPr>
              <w:t>-0.091</w:t>
            </w:r>
          </w:p>
        </w:tc>
        <w:tc>
          <w:tcPr>
            <w:tcW w:type="dxa" w:w="2016"/>
            <w:vAlign w:val="center"/>
          </w:tcPr>
          <w:p>
            <w:r>
              <w:rPr>
                <w:rFonts w:ascii="Times New Roman" w:hAnsi="Times New Roman" w:eastAsia="Times New Roman"/>
                <w:sz w:val="17"/>
              </w:rPr>
              <w:t>-0.216</w:t>
            </w:r>
          </w:p>
        </w:tc>
        <w:tc>
          <w:tcPr>
            <w:tcW w:type="dxa" w:w="2016"/>
            <w:vAlign w:val="center"/>
          </w:tcPr>
          <w:p>
            <w:r>
              <w:rPr>
                <w:rFonts w:ascii="Times New Roman" w:hAnsi="Times New Roman" w:eastAsia="Times New Roman"/>
                <w:sz w:val="17"/>
              </w:rPr>
              <w:t>-0.015</w:t>
            </w:r>
          </w:p>
        </w:tc>
      </w:tr>
      <w:tr>
        <w:tc>
          <w:tcPr>
            <w:tcW w:type="dxa" w:w="2016"/>
            <w:vAlign w:val="center"/>
          </w:tcPr>
          <w:p>
            <w:r>
              <w:rPr>
                <w:rFonts w:ascii="Times New Roman" w:hAnsi="Times New Roman" w:eastAsia="Times New Roman"/>
                <w:sz w:val="17"/>
              </w:rPr>
              <w:t>estimated_delay_min</w:t>
            </w:r>
          </w:p>
        </w:tc>
        <w:tc>
          <w:tcPr>
            <w:tcW w:type="dxa" w:w="2016"/>
            <w:vAlign w:val="center"/>
          </w:tcPr>
          <w:p>
            <w:r>
              <w:rPr>
                <w:rFonts w:ascii="Times New Roman" w:hAnsi="Times New Roman" w:eastAsia="Times New Roman"/>
                <w:sz w:val="17"/>
              </w:rPr>
              <w:t>-0.910</w:t>
            </w:r>
          </w:p>
        </w:tc>
        <w:tc>
          <w:tcPr>
            <w:tcW w:type="dxa" w:w="2016"/>
            <w:vAlign w:val="center"/>
          </w:tcPr>
          <w:p>
            <w:r>
              <w:rPr>
                <w:rFonts w:ascii="Times New Roman" w:hAnsi="Times New Roman" w:eastAsia="Times New Roman"/>
                <w:sz w:val="17"/>
              </w:rPr>
              <w:t>0.002</w:t>
            </w:r>
          </w:p>
        </w:tc>
        <w:tc>
          <w:tcPr>
            <w:tcW w:type="dxa" w:w="2016"/>
            <w:vAlign w:val="center"/>
          </w:tcPr>
          <w:p>
            <w:r>
              <w:rPr>
                <w:rFonts w:ascii="Times New Roman" w:hAnsi="Times New Roman" w:eastAsia="Times New Roman"/>
                <w:sz w:val="17"/>
              </w:rPr>
              <w:t>-0.208</w:t>
            </w:r>
          </w:p>
        </w:tc>
        <w:tc>
          <w:tcPr>
            <w:tcW w:type="dxa" w:w="2016"/>
            <w:vAlign w:val="center"/>
          </w:tcPr>
          <w:p>
            <w:r>
              <w:rPr>
                <w:rFonts w:ascii="Times New Roman" w:hAnsi="Times New Roman" w:eastAsia="Times New Roman"/>
                <w:sz w:val="17"/>
              </w:rPr>
              <w:t>0.006</w:t>
            </w:r>
          </w:p>
        </w:tc>
      </w:tr>
      <w:tr>
        <w:tc>
          <w:tcPr>
            <w:tcW w:type="dxa" w:w="2016"/>
            <w:vAlign w:val="center"/>
          </w:tcPr>
          <w:p>
            <w:r>
              <w:rPr>
                <w:rFonts w:ascii="Times New Roman" w:hAnsi="Times New Roman" w:eastAsia="Times New Roman"/>
                <w:sz w:val="17"/>
              </w:rPr>
              <w:t>tanker_utilization_pct</w:t>
            </w:r>
          </w:p>
        </w:tc>
        <w:tc>
          <w:tcPr>
            <w:tcW w:type="dxa" w:w="2016"/>
            <w:vAlign w:val="center"/>
          </w:tcPr>
          <w:p>
            <w:r>
              <w:rPr>
                <w:rFonts w:ascii="Times New Roman" w:hAnsi="Times New Roman" w:eastAsia="Times New Roman"/>
                <w:sz w:val="17"/>
              </w:rPr>
              <w:t>-0.075</w:t>
            </w:r>
          </w:p>
        </w:tc>
        <w:tc>
          <w:tcPr>
            <w:tcW w:type="dxa" w:w="2016"/>
            <w:vAlign w:val="center"/>
          </w:tcPr>
          <w:p>
            <w:r>
              <w:rPr>
                <w:rFonts w:ascii="Times New Roman" w:hAnsi="Times New Roman" w:eastAsia="Times New Roman"/>
                <w:sz w:val="17"/>
              </w:rPr>
              <w:t>0.639</w:t>
            </w:r>
          </w:p>
        </w:tc>
        <w:tc>
          <w:tcPr>
            <w:tcW w:type="dxa" w:w="2016"/>
            <w:vAlign w:val="center"/>
          </w:tcPr>
          <w:p>
            <w:r>
              <w:rPr>
                <w:rFonts w:ascii="Times New Roman" w:hAnsi="Times New Roman" w:eastAsia="Times New Roman"/>
                <w:sz w:val="17"/>
              </w:rPr>
              <w:t>-0.183</w:t>
            </w:r>
          </w:p>
        </w:tc>
        <w:tc>
          <w:tcPr>
            <w:tcW w:type="dxa" w:w="2016"/>
            <w:vAlign w:val="center"/>
          </w:tcPr>
          <w:p>
            <w:r>
              <w:rPr>
                <w:rFonts w:ascii="Times New Roman" w:hAnsi="Times New Roman" w:eastAsia="Times New Roman"/>
                <w:sz w:val="17"/>
              </w:rPr>
              <w:t>-0.060</w:t>
            </w:r>
          </w:p>
        </w:tc>
      </w:tr>
      <w:tr>
        <w:tc>
          <w:tcPr>
            <w:tcW w:type="dxa" w:w="2016"/>
            <w:vAlign w:val="center"/>
          </w:tcPr>
          <w:p>
            <w:r>
              <w:rPr>
                <w:rFonts w:ascii="Times New Roman" w:hAnsi="Times New Roman" w:eastAsia="Times New Roman"/>
                <w:sz w:val="17"/>
              </w:rPr>
              <w:t>stockout_risk_pct</w:t>
            </w:r>
          </w:p>
        </w:tc>
        <w:tc>
          <w:tcPr>
            <w:tcW w:type="dxa" w:w="2016"/>
            <w:vAlign w:val="center"/>
          </w:tcPr>
          <w:p>
            <w:r>
              <w:rPr>
                <w:rFonts w:ascii="Times New Roman" w:hAnsi="Times New Roman" w:eastAsia="Times New Roman"/>
                <w:sz w:val="17"/>
              </w:rPr>
              <w:t>-0.111</w:t>
            </w:r>
          </w:p>
        </w:tc>
        <w:tc>
          <w:tcPr>
            <w:tcW w:type="dxa" w:w="2016"/>
            <w:vAlign w:val="center"/>
          </w:tcPr>
          <w:p>
            <w:r>
              <w:rPr>
                <w:rFonts w:ascii="Times New Roman" w:hAnsi="Times New Roman" w:eastAsia="Times New Roman"/>
                <w:sz w:val="17"/>
              </w:rPr>
              <w:t>-0.362</w:t>
            </w:r>
          </w:p>
        </w:tc>
        <w:tc>
          <w:tcPr>
            <w:tcW w:type="dxa" w:w="2016"/>
            <w:vAlign w:val="center"/>
          </w:tcPr>
          <w:p>
            <w:r>
              <w:rPr>
                <w:rFonts w:ascii="Times New Roman" w:hAnsi="Times New Roman" w:eastAsia="Times New Roman"/>
                <w:sz w:val="17"/>
              </w:rPr>
              <w:t>0.043</w:t>
            </w:r>
          </w:p>
        </w:tc>
        <w:tc>
          <w:tcPr>
            <w:tcW w:type="dxa" w:w="2016"/>
            <w:vAlign w:val="center"/>
          </w:tcPr>
          <w:p>
            <w:r>
              <w:rPr>
                <w:rFonts w:ascii="Times New Roman" w:hAnsi="Times New Roman" w:eastAsia="Times New Roman"/>
                <w:sz w:val="17"/>
              </w:rPr>
              <w:t>-0.462</w:t>
            </w:r>
          </w:p>
        </w:tc>
      </w:tr>
      <w:tr>
        <w:tc>
          <w:tcPr>
            <w:tcW w:type="dxa" w:w="2016"/>
            <w:vAlign w:val="center"/>
          </w:tcPr>
          <w:p>
            <w:r>
              <w:rPr>
                <w:rFonts w:ascii="Times New Roman" w:hAnsi="Times New Roman" w:eastAsia="Times New Roman"/>
                <w:sz w:val="17"/>
              </w:rPr>
              <w:t>on_time_delivery_pct</w:t>
            </w:r>
          </w:p>
        </w:tc>
        <w:tc>
          <w:tcPr>
            <w:tcW w:type="dxa" w:w="2016"/>
            <w:vAlign w:val="center"/>
          </w:tcPr>
          <w:p>
            <w:r>
              <w:rPr>
                <w:rFonts w:ascii="Times New Roman" w:hAnsi="Times New Roman" w:eastAsia="Times New Roman"/>
                <w:sz w:val="17"/>
              </w:rPr>
              <w:t>0.994</w:t>
            </w:r>
          </w:p>
        </w:tc>
        <w:tc>
          <w:tcPr>
            <w:tcW w:type="dxa" w:w="2016"/>
            <w:vAlign w:val="center"/>
          </w:tcPr>
          <w:p>
            <w:r>
              <w:rPr>
                <w:rFonts w:ascii="Times New Roman" w:hAnsi="Times New Roman" w:eastAsia="Times New Roman"/>
                <w:sz w:val="17"/>
              </w:rPr>
              <w:t>0.005</w:t>
            </w:r>
          </w:p>
        </w:tc>
        <w:tc>
          <w:tcPr>
            <w:tcW w:type="dxa" w:w="2016"/>
            <w:vAlign w:val="center"/>
          </w:tcPr>
          <w:p>
            <w:r>
              <w:rPr>
                <w:rFonts w:ascii="Times New Roman" w:hAnsi="Times New Roman" w:eastAsia="Times New Roman"/>
                <w:sz w:val="17"/>
              </w:rPr>
              <w:t>0.065</w:t>
            </w:r>
          </w:p>
        </w:tc>
        <w:tc>
          <w:tcPr>
            <w:tcW w:type="dxa" w:w="2016"/>
            <w:vAlign w:val="center"/>
          </w:tcPr>
          <w:p>
            <w:r>
              <w:rPr>
                <w:rFonts w:ascii="Times New Roman" w:hAnsi="Times New Roman" w:eastAsia="Times New Roman"/>
                <w:sz w:val="17"/>
              </w:rPr>
              <w:t>-0.022</w:t>
            </w:r>
          </w:p>
        </w:tc>
      </w:tr>
    </w:tbl>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669280" cy="3872076"/>
            <wp:docPr id="19" name="Picture 19"/>
            <wp:cNvGraphicFramePr>
              <a:graphicFrameLocks noChangeAspect="1"/>
            </wp:cNvGraphicFramePr>
            <a:graphic>
              <a:graphicData uri="http://schemas.openxmlformats.org/drawingml/2006/picture">
                <pic:pic>
                  <pic:nvPicPr>
                    <pic:cNvPr id="0" name="19_factor_loading_heatmap.png"/>
                    <pic:cNvPicPr/>
                  </pic:nvPicPr>
                  <pic:blipFill>
                    <a:blip r:embed="rId27"/>
                    <a:stretch>
                      <a:fillRect/>
                    </a:stretch>
                  </pic:blipFill>
                  <pic:spPr>
                    <a:xfrm>
                      <a:off x="0" y="0"/>
                      <a:ext cx="5669280" cy="3872076"/>
                    </a:xfrm>
                    <a:prstGeom prst="rect"/>
                  </pic:spPr>
                </pic:pic>
              </a:graphicData>
            </a:graphic>
          </wp:inline>
        </w:drawing>
      </w:r>
    </w:p>
    <w:p>
      <w:pPr>
        <w:spacing w:after="80" w:line="240" w:lineRule="auto"/>
        <w:jc w:val="center"/>
      </w:pPr>
      <w:r>
        <w:rPr>
          <w:rFonts w:ascii="Times New Roman" w:hAnsi="Times New Roman" w:eastAsia="Times New Roman"/>
          <w:i/>
        </w:rPr>
        <w:t>Figure 19. Heatmap of factor loadings (varimax rotation).</w:t>
      </w:r>
    </w:p>
    <w:p>
      <w:pPr>
        <w:spacing w:after="80" w:line="240" w:lineRule="auto"/>
      </w:pPr>
      <w:r>
        <w:rPr>
          <w:rFonts w:ascii="Times New Roman" w:hAnsi="Times New Roman" w:eastAsia="Times New Roman"/>
          <w:b w:val="0"/>
          <w:i w:val="0"/>
        </w:rPr>
        <w:t>The heatmap should be interpreted by loading magnitude rather than by sign alone. Strong loadings indicate variables that contribute most strongly to a latent factor. The factor structure is exploratory and should not be treated as a production scoring model until validated against historical dealer data.</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10.4 Top Five Numerical Factors for Dealer Decision Intelligence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rFonts w:ascii="Times New Roman" w:hAnsi="Times New Roman" w:eastAsia="Times New Roman"/>
                <w:b/>
                <w:sz w:val="17"/>
              </w:rPr>
              <w:t>Rank</w:t>
            </w:r>
          </w:p>
        </w:tc>
        <w:tc>
          <w:tcPr>
            <w:tcW w:type="dxa" w:w="2016"/>
            <w:vAlign w:val="center"/>
          </w:tcPr>
          <w:p>
            <w:r>
              <w:rPr>
                <w:rFonts w:ascii="Times New Roman" w:hAnsi="Times New Roman" w:eastAsia="Times New Roman"/>
                <w:b/>
                <w:sz w:val="17"/>
              </w:rPr>
              <w:t>Factor</w:t>
            </w:r>
          </w:p>
        </w:tc>
        <w:tc>
          <w:tcPr>
            <w:tcW w:type="dxa" w:w="2016"/>
            <w:vAlign w:val="center"/>
          </w:tcPr>
          <w:p>
            <w:r>
              <w:rPr>
                <w:rFonts w:ascii="Times New Roman" w:hAnsi="Times New Roman" w:eastAsia="Times New Roman"/>
                <w:b/>
                <w:sz w:val="17"/>
              </w:rPr>
              <w:t>Impact Score</w:t>
            </w:r>
          </w:p>
        </w:tc>
        <w:tc>
          <w:tcPr>
            <w:tcW w:type="dxa" w:w="2016"/>
            <w:vAlign w:val="center"/>
          </w:tcPr>
          <w:p>
            <w:r>
              <w:rPr>
                <w:rFonts w:ascii="Times New Roman" w:hAnsi="Times New Roman" w:eastAsia="Times New Roman"/>
                <w:b/>
                <w:sz w:val="17"/>
              </w:rPr>
              <w:t>Weight (%)</w:t>
            </w:r>
          </w:p>
        </w:tc>
        <w:tc>
          <w:tcPr>
            <w:tcW w:type="dxa" w:w="2016"/>
            <w:vAlign w:val="center"/>
          </w:tcPr>
          <w:p>
            <w:r>
              <w:rPr>
                <w:rFonts w:ascii="Times New Roman" w:hAnsi="Times New Roman" w:eastAsia="Times New Roman"/>
                <w:b/>
                <w:sz w:val="17"/>
              </w:rPr>
              <w:t>Overall Priority</w:t>
            </w:r>
          </w:p>
        </w:tc>
      </w:tr>
      <w:tr>
        <w:tc>
          <w:tcPr>
            <w:tcW w:type="dxa" w:w="2016"/>
            <w:vAlign w:val="center"/>
          </w:tcPr>
          <w:p>
            <w:r>
              <w:rPr>
                <w:rFonts w:ascii="Times New Roman" w:hAnsi="Times New Roman" w:eastAsia="Times New Roman"/>
                <w:sz w:val="17"/>
              </w:rPr>
              <w:t>1</w:t>
            </w:r>
          </w:p>
        </w:tc>
        <w:tc>
          <w:tcPr>
            <w:tcW w:type="dxa" w:w="2016"/>
            <w:vAlign w:val="center"/>
          </w:tcPr>
          <w:p>
            <w:r>
              <w:rPr>
                <w:rFonts w:ascii="Times New Roman" w:hAnsi="Times New Roman" w:eastAsia="Times New Roman"/>
                <w:sz w:val="17"/>
              </w:rPr>
              <w:t>Fuel Demand / Order Volume</w:t>
            </w:r>
          </w:p>
        </w:tc>
        <w:tc>
          <w:tcPr>
            <w:tcW w:type="dxa" w:w="2016"/>
            <w:vAlign w:val="center"/>
          </w:tcPr>
          <w:p>
            <w:r>
              <w:rPr>
                <w:rFonts w:ascii="Times New Roman" w:hAnsi="Times New Roman" w:eastAsia="Times New Roman"/>
                <w:sz w:val="17"/>
              </w:rPr>
              <w:t>10</w:t>
            </w:r>
          </w:p>
        </w:tc>
        <w:tc>
          <w:tcPr>
            <w:tcW w:type="dxa" w:w="2016"/>
            <w:vAlign w:val="center"/>
          </w:tcPr>
          <w:p>
            <w:r>
              <w:rPr>
                <w:rFonts w:ascii="Times New Roman" w:hAnsi="Times New Roman" w:eastAsia="Times New Roman"/>
                <w:sz w:val="17"/>
              </w:rPr>
              <w:t>22.22</w:t>
            </w:r>
          </w:p>
        </w:tc>
        <w:tc>
          <w:tcPr>
            <w:tcW w:type="dxa" w:w="2016"/>
            <w:vAlign w:val="center"/>
          </w:tcPr>
          <w:p>
            <w:r>
              <w:rPr>
                <w:rFonts w:ascii="Times New Roman" w:hAnsi="Times New Roman" w:eastAsia="Times New Roman"/>
                <w:sz w:val="17"/>
              </w:rPr>
              <w:t>9.2</w:t>
            </w:r>
          </w:p>
        </w:tc>
      </w:tr>
      <w:tr>
        <w:tc>
          <w:tcPr>
            <w:tcW w:type="dxa" w:w="2016"/>
            <w:vAlign w:val="center"/>
          </w:tcPr>
          <w:p>
            <w:r>
              <w:rPr>
                <w:rFonts w:ascii="Times New Roman" w:hAnsi="Times New Roman" w:eastAsia="Times New Roman"/>
                <w:sz w:val="17"/>
              </w:rPr>
              <w:t>2</w:t>
            </w:r>
          </w:p>
        </w:tc>
        <w:tc>
          <w:tcPr>
            <w:tcW w:type="dxa" w:w="2016"/>
            <w:vAlign w:val="center"/>
          </w:tcPr>
          <w:p>
            <w:r>
              <w:rPr>
                <w:rFonts w:ascii="Times New Roman" w:hAnsi="Times New Roman" w:eastAsia="Times New Roman"/>
                <w:sz w:val="17"/>
              </w:rPr>
              <w:t>Current Fuel Inventory</w:t>
            </w:r>
          </w:p>
        </w:tc>
        <w:tc>
          <w:tcPr>
            <w:tcW w:type="dxa" w:w="2016"/>
            <w:vAlign w:val="center"/>
          </w:tcPr>
          <w:p>
            <w:r>
              <w:rPr>
                <w:rFonts w:ascii="Times New Roman" w:hAnsi="Times New Roman" w:eastAsia="Times New Roman"/>
                <w:sz w:val="17"/>
              </w:rPr>
              <w:t>10</w:t>
            </w:r>
          </w:p>
        </w:tc>
        <w:tc>
          <w:tcPr>
            <w:tcW w:type="dxa" w:w="2016"/>
            <w:vAlign w:val="center"/>
          </w:tcPr>
          <w:p>
            <w:r>
              <w:rPr>
                <w:rFonts w:ascii="Times New Roman" w:hAnsi="Times New Roman" w:eastAsia="Times New Roman"/>
                <w:sz w:val="17"/>
              </w:rPr>
              <w:t>22.22</w:t>
            </w:r>
          </w:p>
        </w:tc>
        <w:tc>
          <w:tcPr>
            <w:tcW w:type="dxa" w:w="2016"/>
            <w:vAlign w:val="center"/>
          </w:tcPr>
          <w:p>
            <w:r>
              <w:rPr>
                <w:rFonts w:ascii="Times New Roman" w:hAnsi="Times New Roman" w:eastAsia="Times New Roman"/>
                <w:sz w:val="17"/>
              </w:rPr>
              <w:t>9.2</w:t>
            </w:r>
          </w:p>
        </w:tc>
      </w:tr>
      <w:tr>
        <w:tc>
          <w:tcPr>
            <w:tcW w:type="dxa" w:w="2016"/>
            <w:vAlign w:val="center"/>
          </w:tcPr>
          <w:p>
            <w:r>
              <w:rPr>
                <w:rFonts w:ascii="Times New Roman" w:hAnsi="Times New Roman" w:eastAsia="Times New Roman"/>
                <w:sz w:val="17"/>
              </w:rPr>
              <w:t>3</w:t>
            </w:r>
          </w:p>
        </w:tc>
        <w:tc>
          <w:tcPr>
            <w:tcW w:type="dxa" w:w="2016"/>
            <w:vAlign w:val="center"/>
          </w:tcPr>
          <w:p>
            <w:r>
              <w:rPr>
                <w:rFonts w:ascii="Times New Roman" w:hAnsi="Times New Roman" w:eastAsia="Times New Roman"/>
                <w:sz w:val="17"/>
              </w:rPr>
              <w:t>Tanker Availability</w:t>
            </w:r>
          </w:p>
        </w:tc>
        <w:tc>
          <w:tcPr>
            <w:tcW w:type="dxa" w:w="2016"/>
            <w:vAlign w:val="center"/>
          </w:tcPr>
          <w:p>
            <w:r>
              <w:rPr>
                <w:rFonts w:ascii="Times New Roman" w:hAnsi="Times New Roman" w:eastAsia="Times New Roman"/>
                <w:sz w:val="17"/>
              </w:rPr>
              <w:t>9</w:t>
            </w:r>
          </w:p>
        </w:tc>
        <w:tc>
          <w:tcPr>
            <w:tcW w:type="dxa" w:w="2016"/>
            <w:vAlign w:val="center"/>
          </w:tcPr>
          <w:p>
            <w:r>
              <w:rPr>
                <w:rFonts w:ascii="Times New Roman" w:hAnsi="Times New Roman" w:eastAsia="Times New Roman"/>
                <w:sz w:val="17"/>
              </w:rPr>
              <w:t>20.0</w:t>
            </w:r>
          </w:p>
        </w:tc>
        <w:tc>
          <w:tcPr>
            <w:tcW w:type="dxa" w:w="2016"/>
            <w:vAlign w:val="center"/>
          </w:tcPr>
          <w:p>
            <w:r>
              <w:rPr>
                <w:rFonts w:ascii="Times New Roman" w:hAnsi="Times New Roman" w:eastAsia="Times New Roman"/>
                <w:sz w:val="17"/>
              </w:rPr>
              <w:t>8.8</w:t>
            </w:r>
          </w:p>
        </w:tc>
      </w:tr>
      <w:tr>
        <w:tc>
          <w:tcPr>
            <w:tcW w:type="dxa" w:w="2016"/>
            <w:vAlign w:val="center"/>
          </w:tcPr>
          <w:p>
            <w:r>
              <w:rPr>
                <w:rFonts w:ascii="Times New Roman" w:hAnsi="Times New Roman" w:eastAsia="Times New Roman"/>
                <w:sz w:val="17"/>
              </w:rPr>
              <w:t>4</w:t>
            </w:r>
          </w:p>
        </w:tc>
        <w:tc>
          <w:tcPr>
            <w:tcW w:type="dxa" w:w="2016"/>
            <w:vAlign w:val="center"/>
          </w:tcPr>
          <w:p>
            <w:r>
              <w:rPr>
                <w:rFonts w:ascii="Times New Roman" w:hAnsi="Times New Roman" w:eastAsia="Times New Roman"/>
                <w:sz w:val="17"/>
              </w:rPr>
              <w:t>Refinery Loading Slot Availability</w:t>
            </w:r>
          </w:p>
        </w:tc>
        <w:tc>
          <w:tcPr>
            <w:tcW w:type="dxa" w:w="2016"/>
            <w:vAlign w:val="center"/>
          </w:tcPr>
          <w:p>
            <w:r>
              <w:rPr>
                <w:rFonts w:ascii="Times New Roman" w:hAnsi="Times New Roman" w:eastAsia="Times New Roman"/>
                <w:sz w:val="17"/>
              </w:rPr>
              <w:t>9</w:t>
            </w:r>
          </w:p>
        </w:tc>
        <w:tc>
          <w:tcPr>
            <w:tcW w:type="dxa" w:w="2016"/>
            <w:vAlign w:val="center"/>
          </w:tcPr>
          <w:p>
            <w:r>
              <w:rPr>
                <w:rFonts w:ascii="Times New Roman" w:hAnsi="Times New Roman" w:eastAsia="Times New Roman"/>
                <w:sz w:val="17"/>
              </w:rPr>
              <w:t>20.0</w:t>
            </w:r>
          </w:p>
        </w:tc>
        <w:tc>
          <w:tcPr>
            <w:tcW w:type="dxa" w:w="2016"/>
            <w:vAlign w:val="center"/>
          </w:tcPr>
          <w:p>
            <w:r>
              <w:rPr>
                <w:rFonts w:ascii="Times New Roman" w:hAnsi="Times New Roman" w:eastAsia="Times New Roman"/>
                <w:sz w:val="17"/>
              </w:rPr>
              <w:t>8.4</w:t>
            </w:r>
          </w:p>
        </w:tc>
      </w:tr>
      <w:tr>
        <w:tc>
          <w:tcPr>
            <w:tcW w:type="dxa" w:w="2016"/>
            <w:vAlign w:val="center"/>
          </w:tcPr>
          <w:p>
            <w:r>
              <w:rPr>
                <w:rFonts w:ascii="Times New Roman" w:hAnsi="Times New Roman" w:eastAsia="Times New Roman"/>
                <w:sz w:val="17"/>
              </w:rPr>
              <w:t>5</w:t>
            </w:r>
          </w:p>
        </w:tc>
        <w:tc>
          <w:tcPr>
            <w:tcW w:type="dxa" w:w="2016"/>
            <w:vAlign w:val="center"/>
          </w:tcPr>
          <w:p>
            <w:r>
              <w:rPr>
                <w:rFonts w:ascii="Times New Roman" w:hAnsi="Times New Roman" w:eastAsia="Times New Roman"/>
                <w:sz w:val="17"/>
              </w:rPr>
              <w:t>Delivery Deadline / Priority</w:t>
            </w:r>
          </w:p>
        </w:tc>
        <w:tc>
          <w:tcPr>
            <w:tcW w:type="dxa" w:w="2016"/>
            <w:vAlign w:val="center"/>
          </w:tcPr>
          <w:p>
            <w:r>
              <w:rPr>
                <w:rFonts w:ascii="Times New Roman" w:hAnsi="Times New Roman" w:eastAsia="Times New Roman"/>
                <w:sz w:val="17"/>
              </w:rPr>
              <w:t>9</w:t>
            </w:r>
          </w:p>
        </w:tc>
        <w:tc>
          <w:tcPr>
            <w:tcW w:type="dxa" w:w="2016"/>
            <w:vAlign w:val="center"/>
          </w:tcPr>
          <w:p>
            <w:r>
              <w:rPr>
                <w:rFonts w:ascii="Times New Roman" w:hAnsi="Times New Roman" w:eastAsia="Times New Roman"/>
                <w:sz w:val="17"/>
              </w:rPr>
              <w:t>20.0</w:t>
            </w:r>
          </w:p>
        </w:tc>
        <w:tc>
          <w:tcPr>
            <w:tcW w:type="dxa" w:w="2016"/>
            <w:vAlign w:val="center"/>
          </w:tcPr>
          <w:p>
            <w:r>
              <w:rPr>
                <w:rFonts w:ascii="Times New Roman" w:hAnsi="Times New Roman" w:eastAsia="Times New Roman"/>
                <w:sz w:val="17"/>
              </w:rPr>
              <w:t>8.8</w:t>
            </w:r>
          </w:p>
        </w:tc>
      </w:tr>
    </w:tbl>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486400" cy="3000521"/>
            <wp:docPr id="20" name="Picture 20"/>
            <wp:cNvGraphicFramePr>
              <a:graphicFrameLocks noChangeAspect="1"/>
            </wp:cNvGraphicFramePr>
            <a:graphic>
              <a:graphicData uri="http://schemas.openxmlformats.org/drawingml/2006/picture">
                <pic:pic>
                  <pic:nvPicPr>
                    <pic:cNvPr id="0" name="20_factor_importance.png"/>
                    <pic:cNvPicPr/>
                  </pic:nvPicPr>
                  <pic:blipFill>
                    <a:blip r:embed="rId28"/>
                    <a:stretch>
                      <a:fillRect/>
                    </a:stretch>
                  </pic:blipFill>
                  <pic:spPr>
                    <a:xfrm>
                      <a:off x="0" y="0"/>
                      <a:ext cx="5486400" cy="3000521"/>
                    </a:xfrm>
                    <a:prstGeom prst="rect"/>
                  </pic:spPr>
                </pic:pic>
              </a:graphicData>
            </a:graphic>
          </wp:inline>
        </w:drawing>
      </w:r>
    </w:p>
    <w:p>
      <w:pPr>
        <w:spacing w:after="80" w:line="240" w:lineRule="auto"/>
        <w:jc w:val="center"/>
      </w:pPr>
      <w:r>
        <w:rPr>
          <w:rFonts w:ascii="Times New Roman" w:hAnsi="Times New Roman" w:eastAsia="Times New Roman"/>
          <w:i/>
        </w:rPr>
        <w:t>Figure 20. Top-five factor importance.</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486400" cy="3248726"/>
            <wp:docPr id="21" name="Picture 21"/>
            <wp:cNvGraphicFramePr>
              <a:graphicFrameLocks noChangeAspect="1"/>
            </wp:cNvGraphicFramePr>
            <a:graphic>
              <a:graphicData uri="http://schemas.openxmlformats.org/drawingml/2006/picture">
                <pic:pic>
                  <pic:nvPicPr>
                    <pic:cNvPr id="0" name="21_factor_impact_heatmap.png"/>
                    <pic:cNvPicPr/>
                  </pic:nvPicPr>
                  <pic:blipFill>
                    <a:blip r:embed="rId29"/>
                    <a:stretch>
                      <a:fillRect/>
                    </a:stretch>
                  </pic:blipFill>
                  <pic:spPr>
                    <a:xfrm>
                      <a:off x="0" y="0"/>
                      <a:ext cx="5486400" cy="3248726"/>
                    </a:xfrm>
                    <a:prstGeom prst="rect"/>
                  </pic:spPr>
                </pic:pic>
              </a:graphicData>
            </a:graphic>
          </wp:inline>
        </w:drawing>
      </w:r>
    </w:p>
    <w:p>
      <w:pPr>
        <w:spacing w:after="80" w:line="240" w:lineRule="auto"/>
        <w:jc w:val="center"/>
      </w:pPr>
      <w:r>
        <w:rPr>
          <w:rFonts w:ascii="Times New Roman" w:hAnsi="Times New Roman" w:eastAsia="Times New Roman"/>
          <w:i/>
        </w:rPr>
        <w:t>Figure 21. Top-five factor impact heat map.</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10.5 Detailed Top-Five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rFonts w:ascii="Times New Roman" w:hAnsi="Times New Roman" w:eastAsia="Times New Roman"/>
                <w:b/>
                <w:sz w:val="17"/>
              </w:rPr>
              <w:t>Factor</w:t>
            </w:r>
          </w:p>
        </w:tc>
        <w:tc>
          <w:tcPr>
            <w:tcW w:type="dxa" w:w="2520"/>
            <w:vAlign w:val="center"/>
          </w:tcPr>
          <w:p>
            <w:r>
              <w:rPr>
                <w:rFonts w:ascii="Times New Roman" w:hAnsi="Times New Roman" w:eastAsia="Times New Roman"/>
                <w:b/>
                <w:sz w:val="17"/>
              </w:rPr>
              <w:t>Key measurable variables</w:t>
            </w:r>
          </w:p>
        </w:tc>
        <w:tc>
          <w:tcPr>
            <w:tcW w:type="dxa" w:w="2520"/>
            <w:vAlign w:val="center"/>
          </w:tcPr>
          <w:p>
            <w:r>
              <w:rPr>
                <w:rFonts w:ascii="Times New Roman" w:hAnsi="Times New Roman" w:eastAsia="Times New Roman"/>
                <w:b/>
                <w:sz w:val="17"/>
              </w:rPr>
              <w:t>If factor worsens</w:t>
            </w:r>
          </w:p>
        </w:tc>
        <w:tc>
          <w:tcPr>
            <w:tcW w:type="dxa" w:w="2520"/>
            <w:vAlign w:val="center"/>
          </w:tcPr>
          <w:p>
            <w:r>
              <w:rPr>
                <w:rFonts w:ascii="Times New Roman" w:hAnsi="Times New Roman" w:eastAsia="Times New Roman"/>
                <w:b/>
                <w:sz w:val="17"/>
              </w:rPr>
              <w:t>If factor improves</w:t>
            </w:r>
          </w:p>
        </w:tc>
      </w:tr>
      <w:tr>
        <w:tc>
          <w:tcPr>
            <w:tcW w:type="dxa" w:w="2520"/>
            <w:vAlign w:val="center"/>
          </w:tcPr>
          <w:p>
            <w:r>
              <w:rPr>
                <w:rFonts w:ascii="Times New Roman" w:hAnsi="Times New Roman" w:eastAsia="Times New Roman"/>
                <w:sz w:val="17"/>
              </w:rPr>
              <w:t>Fuel Demand / Order Volume</w:t>
            </w:r>
          </w:p>
        </w:tc>
        <w:tc>
          <w:tcPr>
            <w:tcW w:type="dxa" w:w="2520"/>
            <w:vAlign w:val="center"/>
          </w:tcPr>
          <w:p>
            <w:r>
              <w:rPr>
                <w:rFonts w:ascii="Times New Roman" w:hAnsi="Times New Roman" w:eastAsia="Times New Roman"/>
                <w:sz w:val="17"/>
              </w:rPr>
              <w:t>Daily order volume; litres/day; peak demand; forecast error</w:t>
            </w:r>
          </w:p>
        </w:tc>
        <w:tc>
          <w:tcPr>
            <w:tcW w:type="dxa" w:w="2520"/>
            <w:vAlign w:val="center"/>
          </w:tcPr>
          <w:p>
            <w:r>
              <w:rPr>
                <w:rFonts w:ascii="Times New Roman" w:hAnsi="Times New Roman" w:eastAsia="Times New Roman"/>
                <w:sz w:val="17"/>
              </w:rPr>
              <w:t>Higher stock-out risk, emergency orders and inefficient tanker allocation</w:t>
            </w:r>
          </w:p>
        </w:tc>
        <w:tc>
          <w:tcPr>
            <w:tcW w:type="dxa" w:w="2520"/>
            <w:vAlign w:val="center"/>
          </w:tcPr>
          <w:p>
            <w:r>
              <w:rPr>
                <w:rFonts w:ascii="Times New Roman" w:hAnsi="Times New Roman" w:eastAsia="Times New Roman"/>
                <w:sz w:val="17"/>
              </w:rPr>
              <w:t>Better planning, fewer emergency orders and higher service level</w:t>
            </w:r>
          </w:p>
        </w:tc>
      </w:tr>
      <w:tr>
        <w:tc>
          <w:tcPr>
            <w:tcW w:type="dxa" w:w="2520"/>
            <w:vAlign w:val="center"/>
          </w:tcPr>
          <w:p>
            <w:r>
              <w:rPr>
                <w:rFonts w:ascii="Times New Roman" w:hAnsi="Times New Roman" w:eastAsia="Times New Roman"/>
                <w:sz w:val="17"/>
              </w:rPr>
              <w:t>Current Fuel Inventory</w:t>
            </w:r>
          </w:p>
        </w:tc>
        <w:tc>
          <w:tcPr>
            <w:tcW w:type="dxa" w:w="2520"/>
            <w:vAlign w:val="center"/>
          </w:tcPr>
          <w:p>
            <w:r>
              <w:rPr>
                <w:rFonts w:ascii="Times New Roman" w:hAnsi="Times New Roman" w:eastAsia="Times New Roman"/>
                <w:sz w:val="17"/>
              </w:rPr>
              <w:t>Current stock; tank utilization; days of cover; reorder gap</w:t>
            </w:r>
          </w:p>
        </w:tc>
        <w:tc>
          <w:tcPr>
            <w:tcW w:type="dxa" w:w="2520"/>
            <w:vAlign w:val="center"/>
          </w:tcPr>
          <w:p>
            <w:r>
              <w:rPr>
                <w:rFonts w:ascii="Times New Roman" w:hAnsi="Times New Roman" w:eastAsia="Times New Roman"/>
                <w:sz w:val="17"/>
              </w:rPr>
              <w:t>Stock-out risk and urgent coordination increase</w:t>
            </w:r>
          </w:p>
        </w:tc>
        <w:tc>
          <w:tcPr>
            <w:tcW w:type="dxa" w:w="2520"/>
            <w:vAlign w:val="center"/>
          </w:tcPr>
          <w:p>
            <w:r>
              <w:rPr>
                <w:rFonts w:ascii="Times New Roman" w:hAnsi="Times New Roman" w:eastAsia="Times New Roman"/>
                <w:sz w:val="17"/>
              </w:rPr>
              <w:t>Stable supply and fewer stock-outs</w:t>
            </w:r>
          </w:p>
        </w:tc>
      </w:tr>
      <w:tr>
        <w:tc>
          <w:tcPr>
            <w:tcW w:type="dxa" w:w="2520"/>
            <w:vAlign w:val="center"/>
          </w:tcPr>
          <w:p>
            <w:r>
              <w:rPr>
                <w:rFonts w:ascii="Times New Roman" w:hAnsi="Times New Roman" w:eastAsia="Times New Roman"/>
                <w:sz w:val="17"/>
              </w:rPr>
              <w:t>Tanker Availability</w:t>
            </w:r>
          </w:p>
        </w:tc>
        <w:tc>
          <w:tcPr>
            <w:tcW w:type="dxa" w:w="2520"/>
            <w:vAlign w:val="center"/>
          </w:tcPr>
          <w:p>
            <w:r>
              <w:rPr>
                <w:rFonts w:ascii="Times New Roman" w:hAnsi="Times New Roman" w:eastAsia="Times New Roman"/>
                <w:sz w:val="17"/>
              </w:rPr>
              <w:t>Available tankers; utilization; idle hours; available capacity</w:t>
            </w:r>
          </w:p>
        </w:tc>
        <w:tc>
          <w:tcPr>
            <w:tcW w:type="dxa" w:w="2520"/>
            <w:vAlign w:val="center"/>
          </w:tcPr>
          <w:p>
            <w:r>
              <w:rPr>
                <w:rFonts w:ascii="Times New Roman" w:hAnsi="Times New Roman" w:eastAsia="Times New Roman"/>
                <w:sz w:val="17"/>
              </w:rPr>
              <w:t>Orders may be delayed and commitments missed</w:t>
            </w:r>
          </w:p>
        </w:tc>
        <w:tc>
          <w:tcPr>
            <w:tcW w:type="dxa" w:w="2520"/>
            <w:vAlign w:val="center"/>
          </w:tcPr>
          <w:p>
            <w:r>
              <w:rPr>
                <w:rFonts w:ascii="Times New Roman" w:hAnsi="Times New Roman" w:eastAsia="Times New Roman"/>
                <w:sz w:val="17"/>
              </w:rPr>
              <w:t>Higher dispatch capacity and better on-time delivery</w:t>
            </w:r>
          </w:p>
        </w:tc>
      </w:tr>
      <w:tr>
        <w:tc>
          <w:tcPr>
            <w:tcW w:type="dxa" w:w="2520"/>
            <w:vAlign w:val="center"/>
          </w:tcPr>
          <w:p>
            <w:r>
              <w:rPr>
                <w:rFonts w:ascii="Times New Roman" w:hAnsi="Times New Roman" w:eastAsia="Times New Roman"/>
                <w:sz w:val="17"/>
              </w:rPr>
              <w:t>Refinery Loading Slot Availability</w:t>
            </w:r>
          </w:p>
        </w:tc>
        <w:tc>
          <w:tcPr>
            <w:tcW w:type="dxa" w:w="2520"/>
            <w:vAlign w:val="center"/>
          </w:tcPr>
          <w:p>
            <w:r>
              <w:rPr>
                <w:rFonts w:ascii="Times New Roman" w:hAnsi="Times New Roman" w:eastAsia="Times New Roman"/>
                <w:sz w:val="17"/>
              </w:rPr>
              <w:t>Slots/day; waiting time; loading delay; utilization</w:t>
            </w:r>
          </w:p>
        </w:tc>
        <w:tc>
          <w:tcPr>
            <w:tcW w:type="dxa" w:w="2520"/>
            <w:vAlign w:val="center"/>
          </w:tcPr>
          <w:p>
            <w:r>
              <w:rPr>
                <w:rFonts w:ascii="Times New Roman" w:hAnsi="Times New Roman" w:eastAsia="Times New Roman"/>
                <w:sz w:val="17"/>
              </w:rPr>
              <w:t>Waiting and delivery delays increase</w:t>
            </w:r>
          </w:p>
        </w:tc>
        <w:tc>
          <w:tcPr>
            <w:tcW w:type="dxa" w:w="2520"/>
            <w:vAlign w:val="center"/>
          </w:tcPr>
          <w:p>
            <w:r>
              <w:rPr>
                <w:rFonts w:ascii="Times New Roman" w:hAnsi="Times New Roman" w:eastAsia="Times New Roman"/>
                <w:sz w:val="17"/>
              </w:rPr>
              <w:t>Smoother turnaround and predictable schedules</w:t>
            </w:r>
          </w:p>
        </w:tc>
      </w:tr>
      <w:tr>
        <w:tc>
          <w:tcPr>
            <w:tcW w:type="dxa" w:w="2520"/>
            <w:vAlign w:val="center"/>
          </w:tcPr>
          <w:p>
            <w:r>
              <w:rPr>
                <w:rFonts w:ascii="Times New Roman" w:hAnsi="Times New Roman" w:eastAsia="Times New Roman"/>
                <w:sz w:val="17"/>
              </w:rPr>
              <w:t>Delivery Deadline / Priority</w:t>
            </w:r>
          </w:p>
        </w:tc>
        <w:tc>
          <w:tcPr>
            <w:tcW w:type="dxa" w:w="2520"/>
            <w:vAlign w:val="center"/>
          </w:tcPr>
          <w:p>
            <w:r>
              <w:rPr>
                <w:rFonts w:ascii="Times New Roman" w:hAnsi="Times New Roman" w:eastAsia="Times New Roman"/>
                <w:sz w:val="17"/>
              </w:rPr>
              <w:t>Deadline hours; priority; lateness; on-time rate</w:t>
            </w:r>
          </w:p>
        </w:tc>
        <w:tc>
          <w:tcPr>
            <w:tcW w:type="dxa" w:w="2520"/>
            <w:vAlign w:val="center"/>
          </w:tcPr>
          <w:p>
            <w:r>
              <w:rPr>
                <w:rFonts w:ascii="Times New Roman" w:hAnsi="Times New Roman" w:eastAsia="Times New Roman"/>
                <w:sz w:val="17"/>
              </w:rPr>
              <w:t>Urgent orders may be delayed and service quality falls</w:t>
            </w:r>
          </w:p>
        </w:tc>
        <w:tc>
          <w:tcPr>
            <w:tcW w:type="dxa" w:w="2520"/>
            <w:vAlign w:val="center"/>
          </w:tcPr>
          <w:p>
            <w:r>
              <w:rPr>
                <w:rFonts w:ascii="Times New Roman" w:hAnsi="Times New Roman" w:eastAsia="Times New Roman"/>
                <w:sz w:val="17"/>
              </w:rPr>
              <w:t>Improved prioritization and on-time delivery</w:t>
            </w:r>
          </w:p>
        </w:tc>
      </w:tr>
    </w:tbl>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12. Proposed AI System Architecture</w:t>
      </w:r>
    </w:p>
    <w:p>
      <w:pPr>
        <w:pStyle w:val="Heading2"/>
        <w:spacing w:after="80" w:line="240" w:lineRule="auto"/>
      </w:pPr>
      <w:r>
        <w:rPr>
          <w:rFonts w:ascii="Times New Roman" w:hAnsi="Times New Roman" w:eastAsia="Times New Roman"/>
        </w:rPr>
        <w:t>12.1 End-to-End Dealer Decision Pipeline</w:t>
      </w:r>
    </w:p>
    <w:p>
      <w:pPr>
        <w:spacing w:after="80" w:line="240" w:lineRule="auto"/>
      </w:pPr>
      <w:r>
        <w:rPr>
          <w:rFonts w:ascii="Times New Roman" w:hAnsi="Times New Roman" w:eastAsia="Times New Roman"/>
        </w:rPr>
        <w:t>Dealer Order</w:t>
        <w:br/>
      </w:r>
      <w:r>
        <w:rPr>
          <w:rFonts w:ascii="Times New Roman" w:hAnsi="Times New Roman" w:eastAsia="Times New Roman"/>
        </w:rPr>
        <w:t xml:space="preserve">   ↓</w:t>
        <w:br/>
      </w:r>
      <w:r>
        <w:rPr>
          <w:rFonts w:ascii="Times New Roman" w:hAnsi="Times New Roman" w:eastAsia="Times New Roman"/>
        </w:rPr>
        <w:t>Dealer Dashboard</w:t>
        <w:br/>
      </w:r>
      <w:r>
        <w:rPr>
          <w:rFonts w:ascii="Times New Roman" w:hAnsi="Times New Roman" w:eastAsia="Times New Roman"/>
        </w:rPr>
        <w:t xml:space="preserve">   ├── Demand Forecast Agent</w:t>
        <w:br/>
      </w:r>
      <w:r>
        <w:rPr>
          <w:rFonts w:ascii="Times New Roman" w:hAnsi="Times New Roman" w:eastAsia="Times New Roman"/>
        </w:rPr>
        <w:t xml:space="preserve">   ├── Inventory Intelligence Agent</w:t>
        <w:br/>
      </w:r>
      <w:r>
        <w:rPr>
          <w:rFonts w:ascii="Times New Roman" w:hAnsi="Times New Roman" w:eastAsia="Times New Roman"/>
        </w:rPr>
        <w:t xml:space="preserve">   └── Executive Decision Intelligence Agent</w:t>
        <w:br/>
        <w:t xml:space="preserve">   ├── Cluster Analysis Engine</w:t>
        <w:br/>
      </w:r>
      <w:r>
        <w:rPr>
          <w:rFonts w:ascii="Times New Roman" w:hAnsi="Times New Roman" w:eastAsia="Times New Roman"/>
        </w:rPr>
        <w:t xml:space="preserve">            ↓</w:t>
        <w:br/>
      </w:r>
      <w:r>
        <w:rPr>
          <w:rFonts w:ascii="Times New Roman" w:hAnsi="Times New Roman" w:eastAsia="Times New Roman"/>
        </w:rPr>
        <w:t xml:space="preserve">      Order Recommendation Agent</w:t>
        <w:br/>
      </w:r>
      <w:r>
        <w:rPr>
          <w:rFonts w:ascii="Times New Roman" w:hAnsi="Times New Roman" w:eastAsia="Times New Roman"/>
        </w:rPr>
        <w:t xml:space="preserve">            ↓</w:t>
        <w:br/>
      </w:r>
      <w:r>
        <w:rPr>
          <w:rFonts w:ascii="Times New Roman" w:hAnsi="Times New Roman" w:eastAsia="Times New Roman"/>
        </w:rPr>
        <w:t xml:space="preserve">      Refinery Coordination Agent</w:t>
        <w:br/>
      </w:r>
      <w:r>
        <w:rPr>
          <w:rFonts w:ascii="Times New Roman" w:hAnsi="Times New Roman" w:eastAsia="Times New Roman"/>
        </w:rPr>
        <w:t xml:space="preserve">            ↓</w:t>
        <w:br/>
      </w:r>
      <w:r>
        <w:rPr>
          <w:rFonts w:ascii="Times New Roman" w:hAnsi="Times New Roman" w:eastAsia="Times New Roman"/>
        </w:rPr>
        <w:t xml:space="preserve">   ┌────────┴───────────┐</w:t>
        <w:br/>
      </w:r>
      <w:r>
        <w:rPr>
          <w:rFonts w:ascii="Times New Roman" w:hAnsi="Times New Roman" w:eastAsia="Times New Roman"/>
        </w:rPr>
        <w:t xml:space="preserve">   ↓                    ↓</w:t>
        <w:br/>
      </w:r>
      <w:r>
        <w:rPr>
          <w:rFonts w:ascii="Times New Roman" w:hAnsi="Times New Roman" w:eastAsia="Times New Roman"/>
        </w:rPr>
        <w:t>Refinery          Fleet Intelligence Agent</w:t>
        <w:br/>
      </w:r>
      <w:r>
        <w:rPr>
          <w:rFonts w:ascii="Times New Roman" w:hAnsi="Times New Roman" w:eastAsia="Times New Roman"/>
        </w:rPr>
        <w:t xml:space="preserve">                        ↓</w:t>
        <w:br/>
      </w:r>
      <w:r>
        <w:rPr>
          <w:rFonts w:ascii="Times New Roman" w:hAnsi="Times New Roman" w:eastAsia="Times New Roman"/>
        </w:rPr>
        <w:t xml:space="preserve">          Maintenance + Compliance</w:t>
        <w:br/>
      </w:r>
      <w:r>
        <w:rPr>
          <w:rFonts w:ascii="Times New Roman" w:hAnsi="Times New Roman" w:eastAsia="Times New Roman"/>
        </w:rPr>
        <w:t xml:space="preserve">                        ↓</w:t>
        <w:br/>
      </w:r>
      <w:r>
        <w:rPr>
          <w:rFonts w:ascii="Times New Roman" w:hAnsi="Times New Roman" w:eastAsia="Times New Roman"/>
        </w:rPr>
        <w:t xml:space="preserve">             Dispatch Optimization</w:t>
        <w:br/>
      </w:r>
      <w:r>
        <w:rPr>
          <w:rFonts w:ascii="Times New Roman" w:hAnsi="Times New Roman" w:eastAsia="Times New Roman"/>
        </w:rPr>
        <w:t xml:space="preserve">                        ↓</w:t>
        <w:br/>
      </w:r>
      <w:r>
        <w:rPr>
          <w:rFonts w:ascii="Times New Roman" w:hAnsi="Times New Roman" w:eastAsia="Times New Roman"/>
        </w:rPr>
        <w:t xml:space="preserve">      Tanker + Driver + Slot + Route + ETA</w:t>
        <w:br/>
      </w:r>
      <w:r>
        <w:rPr>
          <w:rFonts w:ascii="Times New Roman" w:hAnsi="Times New Roman" w:eastAsia="Times New Roman"/>
        </w:rPr>
        <w:t xml:space="preserve">                        ↓</w:t>
        <w:br/>
      </w:r>
      <w:r>
        <w:rPr>
          <w:rFonts w:ascii="Times New Roman" w:hAnsi="Times New Roman" w:eastAsia="Times New Roman"/>
        </w:rPr>
        <w:t xml:space="preserve">                 Dealer Approval</w:t>
        <w:br/>
      </w:r>
      <w:r>
        <w:rPr>
          <w:rFonts w:ascii="Times New Roman" w:hAnsi="Times New Roman" w:eastAsia="Times New Roman"/>
        </w:rPr>
        <w:t xml:space="preserve">                        ↓</w:t>
        <w:br/>
      </w:r>
      <w:r>
        <w:rPr>
          <w:rFonts w:ascii="Times New Roman" w:hAnsi="Times New Roman" w:eastAsia="Times New Roman"/>
        </w:rPr>
        <w:t xml:space="preserve">               Dispatch Execution</w:t>
        <w:br/>
      </w:r>
      <w:r>
        <w:rPr>
          <w:rFonts w:ascii="Times New Roman" w:hAnsi="Times New Roman" w:eastAsia="Times New Roman"/>
        </w:rPr>
        <w:t xml:space="preserve">                        ↓</w:t>
        <w:br/>
      </w:r>
      <w:r>
        <w:rPr>
          <w:rFonts w:ascii="Times New Roman" w:hAnsi="Times New Roman" w:eastAsia="Times New Roman"/>
        </w:rPr>
        <w:t xml:space="preserve">                Delivery Analytics</w:t>
      </w:r>
    </w:p>
    <w:p>
      <w:pPr>
        <w:pStyle w:val="Heading2"/>
        <w:spacing w:after="80" w:line="240" w:lineRule="auto"/>
      </w:pPr>
      <w:r>
        <w:rPr>
          <w:rFonts w:ascii="Times New Roman" w:hAnsi="Times New Roman" w:eastAsia="Times New Roman"/>
        </w:rPr>
        <w:t>12.2 Agent 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eastAsia="Times New Roman"/>
                <w:b/>
                <w:sz w:val="17"/>
              </w:rPr>
              <w:t>Agent</w:t>
            </w:r>
          </w:p>
        </w:tc>
        <w:tc>
          <w:tcPr>
            <w:tcW w:type="dxa" w:w="5040"/>
            <w:vAlign w:val="center"/>
          </w:tcPr>
          <w:p>
            <w:r>
              <w:rPr>
                <w:rFonts w:ascii="Times New Roman" w:hAnsi="Times New Roman" w:eastAsia="Times New Roman"/>
                <w:b/>
                <w:sz w:val="17"/>
              </w:rPr>
              <w:t>Primary responsibility</w:t>
            </w:r>
          </w:p>
        </w:tc>
      </w:tr>
      <w:tr>
        <w:tc>
          <w:tcPr>
            <w:tcW w:type="dxa" w:w="5040"/>
            <w:vAlign w:val="center"/>
          </w:tcPr>
          <w:p>
            <w:r>
              <w:rPr>
                <w:rFonts w:ascii="Times New Roman" w:hAnsi="Times New Roman" w:eastAsia="Times New Roman"/>
                <w:sz w:val="17"/>
              </w:rPr>
              <w:t>Dealer Order Agent</w:t>
            </w:r>
          </w:p>
        </w:tc>
        <w:tc>
          <w:tcPr>
            <w:tcW w:type="dxa" w:w="5040"/>
            <w:vAlign w:val="center"/>
          </w:tcPr>
          <w:p>
            <w:r>
              <w:rPr>
                <w:rFonts w:ascii="Times New Roman" w:hAnsi="Times New Roman" w:eastAsia="Times New Roman"/>
                <w:sz w:val="17"/>
              </w:rPr>
              <w:t>Capture order requirement, priority and deadline.</w:t>
            </w:r>
          </w:p>
        </w:tc>
      </w:tr>
      <w:tr>
        <w:tc>
          <w:tcPr>
            <w:tcW w:type="dxa" w:w="5040"/>
            <w:vAlign w:val="center"/>
          </w:tcPr>
          <w:p>
            <w:r>
              <w:rPr>
                <w:rFonts w:ascii="Times New Roman" w:hAnsi="Times New Roman" w:eastAsia="Times New Roman"/>
                <w:sz w:val="17"/>
              </w:rPr>
              <w:t>Customer Intelligence Agent</w:t>
            </w:r>
          </w:p>
        </w:tc>
        <w:tc>
          <w:tcPr>
            <w:tcW w:type="dxa" w:w="5040"/>
            <w:vAlign w:val="center"/>
          </w:tcPr>
          <w:p>
            <w:r>
              <w:rPr>
                <w:rFonts w:ascii="Times New Roman" w:hAnsi="Times New Roman" w:eastAsia="Times New Roman"/>
                <w:sz w:val="17"/>
              </w:rPr>
              <w:t>Estimate demand patterns and service pressure.</w:t>
            </w:r>
          </w:p>
        </w:tc>
      </w:tr>
      <w:tr>
        <w:tc>
          <w:tcPr>
            <w:tcW w:type="dxa" w:w="5040"/>
            <w:vAlign w:val="center"/>
          </w:tcPr>
          <w:p>
            <w:r>
              <w:rPr>
                <w:rFonts w:ascii="Times New Roman" w:hAnsi="Times New Roman" w:eastAsia="Times New Roman"/>
                <w:sz w:val="17"/>
              </w:rPr>
              <w:t>Inventory Intelligence Agent</w:t>
            </w:r>
          </w:p>
        </w:tc>
        <w:tc>
          <w:tcPr>
            <w:tcW w:type="dxa" w:w="5040"/>
            <w:vAlign w:val="center"/>
          </w:tcPr>
          <w:p>
            <w:r>
              <w:rPr>
                <w:rFonts w:ascii="Times New Roman" w:hAnsi="Times New Roman" w:eastAsia="Times New Roman"/>
                <w:sz w:val="17"/>
              </w:rPr>
              <w:t>Calculate safety stock, days of cover and reorder urgency.</w:t>
            </w:r>
          </w:p>
        </w:tc>
      </w:tr>
      <w:tr>
        <w:tc>
          <w:tcPr>
            <w:tcW w:type="dxa" w:w="5040"/>
            <w:vAlign w:val="center"/>
          </w:tcPr>
          <w:p>
            <w:r>
              <w:rPr>
                <w:rFonts w:ascii="Times New Roman" w:hAnsi="Times New Roman" w:eastAsia="Times New Roman"/>
                <w:sz w:val="17"/>
              </w:rPr>
              <w:t>Fleet Agent</w:t>
            </w:r>
          </w:p>
        </w:tc>
        <w:tc>
          <w:tcPr>
            <w:tcW w:type="dxa" w:w="5040"/>
            <w:vAlign w:val="center"/>
          </w:tcPr>
          <w:p>
            <w:r>
              <w:rPr>
                <w:rFonts w:ascii="Times New Roman" w:hAnsi="Times New Roman" w:eastAsia="Times New Roman"/>
                <w:sz w:val="17"/>
              </w:rPr>
              <w:t>Check tanker and driver availability.</w:t>
            </w:r>
          </w:p>
        </w:tc>
      </w:tr>
      <w:tr>
        <w:tc>
          <w:tcPr>
            <w:tcW w:type="dxa" w:w="5040"/>
            <w:vAlign w:val="center"/>
          </w:tcPr>
          <w:p>
            <w:r>
              <w:rPr>
                <w:rFonts w:ascii="Times New Roman" w:hAnsi="Times New Roman" w:eastAsia="Times New Roman"/>
                <w:sz w:val="17"/>
              </w:rPr>
              <w:t>Compliance Agent</w:t>
            </w:r>
          </w:p>
        </w:tc>
        <w:tc>
          <w:tcPr>
            <w:tcW w:type="dxa" w:w="5040"/>
            <w:vAlign w:val="center"/>
          </w:tcPr>
          <w:p>
            <w:r>
              <w:rPr>
                <w:rFonts w:ascii="Times New Roman" w:hAnsi="Times New Roman" w:eastAsia="Times New Roman"/>
                <w:sz w:val="17"/>
              </w:rPr>
              <w:t>Validate licenses, permissions and operational eligibility.</w:t>
            </w:r>
          </w:p>
        </w:tc>
      </w:tr>
      <w:tr>
        <w:tc>
          <w:tcPr>
            <w:tcW w:type="dxa" w:w="5040"/>
            <w:vAlign w:val="center"/>
          </w:tcPr>
          <w:p>
            <w:r>
              <w:rPr>
                <w:rFonts w:ascii="Times New Roman" w:hAnsi="Times New Roman" w:eastAsia="Times New Roman"/>
                <w:sz w:val="17"/>
              </w:rPr>
              <w:t>Loading Bay Agent</w:t>
            </w:r>
          </w:p>
        </w:tc>
        <w:tc>
          <w:tcPr>
            <w:tcW w:type="dxa" w:w="5040"/>
            <w:vAlign w:val="center"/>
          </w:tcPr>
          <w:p>
            <w:r>
              <w:rPr>
                <w:rFonts w:ascii="Times New Roman" w:hAnsi="Times New Roman" w:eastAsia="Times New Roman"/>
                <w:sz w:val="17"/>
              </w:rPr>
              <w:t>Coordinate refinery loading slots and waiting time.</w:t>
            </w:r>
          </w:p>
        </w:tc>
      </w:tr>
      <w:tr>
        <w:tc>
          <w:tcPr>
            <w:tcW w:type="dxa" w:w="5040"/>
            <w:vAlign w:val="center"/>
          </w:tcPr>
          <w:p>
            <w:r>
              <w:rPr>
                <w:rFonts w:ascii="Times New Roman" w:hAnsi="Times New Roman" w:eastAsia="Times New Roman"/>
                <w:sz w:val="17"/>
              </w:rPr>
              <w:t>Dispatch Optimization Agent</w:t>
            </w:r>
          </w:p>
        </w:tc>
        <w:tc>
          <w:tcPr>
            <w:tcW w:type="dxa" w:w="5040"/>
            <w:vAlign w:val="center"/>
          </w:tcPr>
          <w:p>
            <w:r>
              <w:rPr>
                <w:rFonts w:ascii="Times New Roman" w:hAnsi="Times New Roman" w:eastAsia="Times New Roman"/>
                <w:sz w:val="17"/>
              </w:rPr>
              <w:t>Optimize tanker, driver, slot, route and sequence.</w:t>
            </w:r>
          </w:p>
        </w:tc>
      </w:tr>
      <w:tr>
        <w:tc>
          <w:tcPr>
            <w:tcW w:type="dxa" w:w="5040"/>
            <w:vAlign w:val="center"/>
          </w:tcPr>
          <w:p>
            <w:r>
              <w:rPr>
                <w:rFonts w:ascii="Times New Roman" w:hAnsi="Times New Roman" w:eastAsia="Times New Roman"/>
                <w:sz w:val="17"/>
              </w:rPr>
              <w:t>Maintenance Agent</w:t>
            </w:r>
          </w:p>
        </w:tc>
        <w:tc>
          <w:tcPr>
            <w:tcW w:type="dxa" w:w="5040"/>
            <w:vAlign w:val="center"/>
          </w:tcPr>
          <w:p>
            <w:r>
              <w:rPr>
                <w:rFonts w:ascii="Times New Roman" w:hAnsi="Times New Roman" w:eastAsia="Times New Roman"/>
                <w:sz w:val="17"/>
              </w:rPr>
              <w:t>Flag tanker maintenance and breakdown risk.</w:t>
            </w:r>
          </w:p>
        </w:tc>
      </w:tr>
      <w:tr>
        <w:tc>
          <w:tcPr>
            <w:tcW w:type="dxa" w:w="5040"/>
            <w:vAlign w:val="center"/>
          </w:tcPr>
          <w:p>
            <w:r>
              <w:rPr>
                <w:rFonts w:ascii="Times New Roman" w:hAnsi="Times New Roman" w:eastAsia="Times New Roman"/>
                <w:sz w:val="17"/>
              </w:rPr>
              <w:t>Weather &amp; Risk Agent</w:t>
            </w:r>
          </w:p>
        </w:tc>
        <w:tc>
          <w:tcPr>
            <w:tcW w:type="dxa" w:w="5040"/>
            <w:vAlign w:val="center"/>
          </w:tcPr>
          <w:p>
            <w:r>
              <w:rPr>
                <w:rFonts w:ascii="Times New Roman" w:hAnsi="Times New Roman" w:eastAsia="Times New Roman"/>
                <w:sz w:val="17"/>
              </w:rPr>
              <w:t>Adjust ETA/risk for traffic, weather and road conditions.</w:t>
            </w:r>
          </w:p>
        </w:tc>
      </w:tr>
      <w:tr>
        <w:tc>
          <w:tcPr>
            <w:tcW w:type="dxa" w:w="5040"/>
            <w:vAlign w:val="center"/>
          </w:tcPr>
          <w:p>
            <w:r>
              <w:rPr>
                <w:rFonts w:ascii="Times New Roman" w:hAnsi="Times New Roman" w:eastAsia="Times New Roman"/>
                <w:sz w:val="17"/>
              </w:rPr>
              <w:t>Executive AI Agent</w:t>
            </w:r>
          </w:p>
        </w:tc>
        <w:tc>
          <w:tcPr>
            <w:tcW w:type="dxa" w:w="5040"/>
            <w:vAlign w:val="center"/>
          </w:tcPr>
          <w:p>
            <w:r>
              <w:rPr>
                <w:rFonts w:ascii="Times New Roman" w:hAnsi="Times New Roman" w:eastAsia="Times New Roman"/>
                <w:sz w:val="17"/>
              </w:rPr>
              <w:t>Combine evidence and explain the final dealer recommendation.</w:t>
            </w:r>
          </w:p>
        </w:tc>
      </w:tr>
    </w:tbl>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13. Results and Discussion</w:t>
      </w:r>
    </w:p>
    <w:p>
      <w:pPr>
        <w:pStyle w:val="ListBullet"/>
        <w:spacing w:after="80" w:line="240" w:lineRule="auto"/>
      </w:pPr>
      <w:r>
        <w:rPr>
          <w:rFonts w:ascii="Times New Roman" w:hAnsi="Times New Roman" w:eastAsia="Times New Roman"/>
        </w:rPr>
        <w:t>The synthetic dataset contains 350 dealer orders and is sufficient for demonstrating descriptive analysis, graph traversal and exploratory factor analysis.</w:t>
      </w:r>
    </w:p>
    <w:p>
      <w:pPr>
        <w:pStyle w:val="ListBullet"/>
        <w:spacing w:after="80" w:line="240" w:lineRule="auto"/>
      </w:pPr>
      <w:r>
        <w:rPr>
          <w:rFonts w:ascii="Times New Roman" w:hAnsi="Times New Roman" w:eastAsia="Times New Roman"/>
        </w:rPr>
        <w:t>Average order volume is 11496 L, while average estimated delivery delay is 42.1 minutes.</w:t>
      </w:r>
    </w:p>
    <w:p>
      <w:pPr>
        <w:pStyle w:val="ListBullet"/>
        <w:spacing w:after="80" w:line="240" w:lineRule="auto"/>
      </w:pPr>
      <w:r>
        <w:rPr>
          <w:rFonts w:ascii="Times New Roman" w:hAnsi="Times New Roman" w:eastAsia="Times New Roman"/>
        </w:rPr>
        <w:t>Current inventory is strongly connected to stock-out risk in the constructed dataset (correlation -0.18), illustrating why inventory intelligence is central to dealer decisions.</w:t>
      </w:r>
    </w:p>
    <w:p>
      <w:pPr>
        <w:pStyle w:val="ListBullet"/>
        <w:spacing w:after="80" w:line="240" w:lineRule="auto"/>
      </w:pPr>
      <w:r>
        <w:rPr>
          <w:rFonts w:ascii="Times New Roman" w:hAnsi="Times New Roman" w:eastAsia="Times New Roman"/>
        </w:rPr>
        <w:t>Loading-slot waiting time is positively related to estimated delivery delay (correlation 0.65), supporting refinery coordination as a key agent.</w:t>
      </w:r>
    </w:p>
    <w:p>
      <w:pPr>
        <w:pStyle w:val="ListBullet"/>
        <w:spacing w:after="80" w:line="240" w:lineRule="auto"/>
      </w:pPr>
      <w:r>
        <w:rPr>
          <w:rFonts w:ascii="Times New Roman" w:hAnsi="Times New Roman" w:eastAsia="Times New Roman"/>
        </w:rPr>
        <w:t>BFS provides breadth-oriented exploration of the 15-node dealer operational graph, while DFS provides a deep dependency traversal.</w:t>
      </w:r>
    </w:p>
    <w:p>
      <w:pPr>
        <w:pStyle w:val="ListBullet"/>
        <w:spacing w:after="80" w:line="240" w:lineRule="auto"/>
      </w:pPr>
      <w:r>
        <w:rPr>
          <w:rFonts w:ascii="Times New Roman" w:hAnsi="Times New Roman" w:eastAsia="Times New Roman"/>
        </w:rPr>
        <w:t>Hill Climbing demonstrates fast local improvement but sensitivity to the initial dispatch schedule.</w:t>
      </w:r>
    </w:p>
    <w:p>
      <w:pPr>
        <w:pStyle w:val="ListBullet"/>
        <w:spacing w:after="80" w:line="240" w:lineRule="auto"/>
      </w:pPr>
      <w:r>
        <w:rPr>
          <w:rFonts w:ascii="Times New Roman" w:hAnsi="Times New Roman" w:eastAsia="Times New Roman"/>
        </w:rPr>
        <w:t>The Genetic Algorithm provides population-based exploration and is a useful alternative or benchmark for the same dispatch problem.</w:t>
      </w:r>
    </w:p>
    <w:p>
      <w:pPr>
        <w:pStyle w:val="ListBullet"/>
        <w:spacing w:after="80" w:line="240" w:lineRule="auto"/>
      </w:pPr>
      <w:r>
        <w:rPr>
          <w:rFonts w:ascii="Times New Roman" w:hAnsi="Times New Roman" w:eastAsia="Times New Roman"/>
        </w:rPr>
        <w:t>The Factor Analysis stage reduces nine operational metrics to four interpretable dimensions. K-Means Cluster Analysis further segments the 350 orders into 4 behaviorally distinct operational profiles (Silhouette = 0.142), providing actionable segmentation for differentiated AI decision strategies.</w:t>
      </w:r>
    </w:p>
    <w:p>
      <w:pPr>
        <w:pStyle w:val="Heading1"/>
        <w:spacing w:after="80" w:line="240" w:lineRule="auto"/>
      </w:pPr>
      <w:r>
        <w:rPr>
          <w:rFonts w:ascii="Times New Roman" w:hAnsi="Times New Roman" w:eastAsia="Times New Roman"/>
        </w:rPr>
        <w:t>14. Limitations</w:t>
      </w:r>
    </w:p>
    <w:p>
      <w:pPr>
        <w:pStyle w:val="ListBullet"/>
        <w:spacing w:after="80" w:line="240" w:lineRule="auto"/>
      </w:pPr>
      <w:r>
        <w:rPr>
          <w:rFonts w:ascii="Times New Roman" w:hAnsi="Times New Roman" w:eastAsia="Times New Roman"/>
        </w:rPr>
        <w:t>The dataset is synthetic and does not represent confidential or live refinery/dealer transactions.</w:t>
      </w:r>
    </w:p>
    <w:p>
      <w:pPr>
        <w:pStyle w:val="ListBullet"/>
        <w:spacing w:after="80" w:line="240" w:lineRule="auto"/>
      </w:pPr>
      <w:r>
        <w:rPr>
          <w:rFonts w:ascii="Times New Roman" w:hAnsi="Times New Roman" w:eastAsia="Times New Roman"/>
        </w:rPr>
        <w:t>Traffic, weather, tanker and refinery constraints are represented through illustrative numerical variables.</w:t>
      </w:r>
    </w:p>
    <w:p>
      <w:pPr>
        <w:pStyle w:val="ListBullet"/>
        <w:spacing w:after="80" w:line="240" w:lineRule="auto"/>
      </w:pPr>
      <w:r>
        <w:rPr>
          <w:rFonts w:ascii="Times New Roman" w:hAnsi="Times New Roman" w:eastAsia="Times New Roman"/>
        </w:rPr>
        <w:t>Optimization curves are demonstrations rather than measured production performance.</w:t>
      </w:r>
    </w:p>
    <w:p>
      <w:pPr>
        <w:pStyle w:val="ListBullet"/>
        <w:spacing w:after="80" w:line="240" w:lineRule="auto"/>
      </w:pPr>
      <w:r>
        <w:rPr>
          <w:rFonts w:ascii="Times New Roman" w:hAnsi="Times New Roman" w:eastAsia="Times New Roman"/>
        </w:rPr>
        <w:t>The graph represents modeled operational dependencies rather than a live enterprise knowledge graph.</w:t>
      </w:r>
    </w:p>
    <w:p>
      <w:pPr>
        <w:pStyle w:val="ListBullet"/>
        <w:spacing w:after="80" w:line="240" w:lineRule="auto"/>
      </w:pPr>
      <w:r>
        <w:rPr>
          <w:rFonts w:ascii="Times New Roman" w:hAnsi="Times New Roman" w:eastAsia="Times New Roman"/>
        </w:rPr>
        <w:t>Factor-analysis results require validation using historical dealer data before production deployment.</w:t>
      </w:r>
    </w:p>
    <w:p>
      <w:pPr>
        <w:pStyle w:val="ListBullet"/>
        <w:spacing w:after="80" w:line="240" w:lineRule="auto"/>
      </w:pPr>
      <w:r>
        <w:rPr>
          <w:rFonts w:ascii="Times New Roman" w:hAnsi="Times New Roman" w:eastAsia="Times New Roman"/>
        </w:rPr>
        <w:t>The agentic layer is proposed architecture; integration with live ERP, GPS, refinery scheduling and compliance systems is future work.</w:t>
      </w:r>
    </w:p>
    <w:p>
      <w:pPr>
        <w:pStyle w:val="Heading1"/>
        <w:spacing w:after="80" w:line="240" w:lineRule="auto"/>
      </w:pPr>
      <w:r>
        <w:rPr>
          <w:rFonts w:ascii="Times New Roman" w:hAnsi="Times New Roman" w:eastAsia="Times New Roman"/>
        </w:rPr>
        <w:t>15. Future Scope</w:t>
      </w:r>
    </w:p>
    <w:p>
      <w:pPr>
        <w:pStyle w:val="ListBullet"/>
        <w:spacing w:after="80" w:line="240" w:lineRule="auto"/>
      </w:pPr>
      <w:r>
        <w:rPr>
          <w:rFonts w:ascii="Times New Roman" w:hAnsi="Times New Roman" w:eastAsia="Times New Roman"/>
        </w:rPr>
        <w:t>Replace synthetic records with historical dealer orders, tank levels and dispatch logs.</w:t>
      </w:r>
    </w:p>
    <w:p>
      <w:pPr>
        <w:pStyle w:val="ListBullet"/>
        <w:spacing w:after="80" w:line="240" w:lineRule="auto"/>
      </w:pPr>
      <w:r>
        <w:rPr>
          <w:rFonts w:ascii="Times New Roman" w:hAnsi="Times New Roman" w:eastAsia="Times New Roman"/>
        </w:rPr>
        <w:t>Use real-time GPS, refinery slot and tanker telemetry.</w:t>
      </w:r>
    </w:p>
    <w:p>
      <w:pPr>
        <w:pStyle w:val="ListBullet"/>
        <w:spacing w:after="80" w:line="240" w:lineRule="auto"/>
      </w:pPr>
      <w:r>
        <w:rPr>
          <w:rFonts w:ascii="Times New Roman" w:hAnsi="Times New Roman" w:eastAsia="Times New Roman"/>
        </w:rPr>
        <w:t>Train demand forecasting models such as XGBoost, LightGBM or LSTM/Prophet where justified.</w:t>
      </w:r>
    </w:p>
    <w:p>
      <w:pPr>
        <w:pStyle w:val="ListBullet"/>
        <w:spacing w:after="80" w:line="240" w:lineRule="auto"/>
      </w:pPr>
      <w:r>
        <w:rPr>
          <w:rFonts w:ascii="Times New Roman" w:hAnsi="Times New Roman" w:eastAsia="Times New Roman"/>
        </w:rPr>
        <w:t>Use OR-Tools or hybrid optimization for larger constrained scheduling problems.</w:t>
      </w:r>
    </w:p>
    <w:p>
      <w:pPr>
        <w:pStyle w:val="ListBullet"/>
        <w:spacing w:after="80" w:line="240" w:lineRule="auto"/>
      </w:pPr>
      <w:r>
        <w:rPr>
          <w:rFonts w:ascii="Times New Roman" w:hAnsi="Times New Roman" w:eastAsia="Times New Roman"/>
        </w:rPr>
        <w:t>Add SHAP-based explanations for both cluster assignments and ML forecast outputs, and integrate an LLM/RAG layer for natural-language dealer recommendations.</w:t>
      </w:r>
    </w:p>
    <w:p>
      <w:pPr>
        <w:pStyle w:val="ListBullet"/>
        <w:spacing w:after="80" w:line="240" w:lineRule="auto"/>
      </w:pPr>
      <w:r>
        <w:rPr>
          <w:rFonts w:ascii="Times New Roman" w:hAnsi="Times New Roman" w:eastAsia="Times New Roman"/>
        </w:rPr>
        <w:t>Validate cluster-informed recommendations using on-time delivery improvement, stock-out reduction, cost reduction, and tanker utilization KPIs measured per cluster.</w:t>
      </w:r>
    </w:p>
    <w:p>
      <w:pPr>
        <w:pStyle w:val="Heading1"/>
        <w:spacing w:after="80" w:line="240" w:lineRule="auto"/>
      </w:pPr>
      <w:r>
        <w:rPr>
          <w:rFonts w:ascii="Times New Roman" w:hAnsi="Times New Roman" w:eastAsia="Times New Roman"/>
        </w:rPr>
        <w:t>16. Conclusion</w:t>
      </w:r>
    </w:p>
    <w:p>
      <w:pPr>
        <w:spacing w:after="80" w:line="240" w:lineRule="auto"/>
      </w:pPr>
      <w:r>
        <w:rPr>
          <w:rFonts w:ascii="Times New Roman" w:hAnsi="Times New Roman" w:eastAsia="Times New Roman"/>
          <w:b w:val="0"/>
          <w:i w:val="0"/>
        </w:rPr>
        <w:t>This report presents a complete AI-course treatment of a dealer-centric petroleum logistics decision platform. The analytical workflow connects data preparation, descriptive visualization, PEAS, graph search, local optimization, population-based optimization and factor analysis into one coherent operational problem. The dealer remains the final decision maker, while the AI agents provide evidence-based recommendations for replenishment and dispatch.</w:t>
      </w:r>
    </w:p>
    <w:p>
      <w:pPr>
        <w:spacing w:after="80" w:line="240" w:lineRule="auto"/>
      </w:pPr>
      <w:r>
        <w:rPr>
          <w:rFonts w:ascii="Times New Roman" w:hAnsi="Times New Roman" w:eastAsia="Times New Roman"/>
          <w:b w:val="0"/>
          <w:i w:val="0"/>
        </w:rPr>
        <w:t>The most important implementation step is to replace the illustrative dataset with real operational data and then validate whether the same relationships, factor structure and optimization improvements hold in practice.</w:t>
      </w:r>
    </w:p>
    <w:p>
      <w:pPr>
        <w:pStyle w:val="Heading1"/>
        <w:spacing w:after="80" w:line="240" w:lineRule="auto"/>
      </w:pPr>
      <w:r>
        <w:rPr>
          <w:rFonts w:ascii="Times New Roman" w:hAnsi="Times New Roman" w:eastAsia="Times New Roman"/>
        </w:rPr>
        <w:t>17. References</w:t>
      </w:r>
    </w:p>
    <w:p>
      <w:pPr>
        <w:pStyle w:val="ListBullet"/>
        <w:spacing w:after="80" w:line="240" w:lineRule="auto"/>
      </w:pPr>
      <w:r>
        <w:rPr>
          <w:rFonts w:ascii="Times New Roman" w:hAnsi="Times New Roman" w:eastAsia="Times New Roman"/>
        </w:rPr>
        <w:t>Russell, S. &amp; Norvig, P. Artificial Intelligence: A Modern Approach, 4th ed. Pearson.</w:t>
      </w:r>
    </w:p>
    <w:p>
      <w:pPr>
        <w:pStyle w:val="ListBullet"/>
        <w:spacing w:after="80" w:line="240" w:lineRule="auto"/>
      </w:pPr>
      <w:r>
        <w:rPr>
          <w:rFonts w:ascii="Times New Roman" w:hAnsi="Times New Roman" w:eastAsia="Times New Roman"/>
        </w:rPr>
        <w:t>Bishop, C. M. Pattern Recognition and Machine Learning. Springer.</w:t>
      </w:r>
    </w:p>
    <w:p>
      <w:pPr>
        <w:pStyle w:val="ListBullet"/>
        <w:spacing w:after="80" w:line="240" w:lineRule="auto"/>
      </w:pPr>
      <w:r>
        <w:rPr>
          <w:rFonts w:ascii="Times New Roman" w:hAnsi="Times New Roman" w:eastAsia="Times New Roman"/>
        </w:rPr>
        <w:t>Scikit-learn documentation: FactorAnalysis and preprocessing methods.</w:t>
      </w:r>
    </w:p>
    <w:p>
      <w:pPr>
        <w:pStyle w:val="ListBullet"/>
        <w:spacing w:after="80" w:line="240" w:lineRule="auto"/>
      </w:pPr>
      <w:r>
        <w:rPr>
          <w:rFonts w:ascii="Times New Roman" w:hAnsi="Times New Roman" w:eastAsia="Times New Roman"/>
        </w:rPr>
        <w:t>Google OR-Tools documentation for constraint and vehicle-routing optimization.</w:t>
      </w:r>
    </w:p>
    <w:p>
      <w:pPr>
        <w:pStyle w:val="ListBullet"/>
        <w:spacing w:after="80" w:line="240" w:lineRule="auto"/>
      </w:pPr>
      <w:r>
        <w:rPr>
          <w:rFonts w:ascii="Times New Roman" w:hAnsi="Times New Roman" w:eastAsia="Times New Roman"/>
        </w:rPr>
        <w:t>Project-specific numerical factor-analysis workbook: Detailed_Factor_Analysis_Petroleum_Dealer_AI.xlsx.</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Appendix A. Analytical Dataset Sample</w:t>
      </w:r>
    </w:p>
    <w:tbl>
      <w:tblPr>
        <w:tblStyle w:val="TableGrid"/>
        <w:tblW w:type="auto" w:w="0"/>
        <w:jc w:val="center"/>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vAlign w:val="center"/>
          </w:tcPr>
          <w:p>
            <w:r>
              <w:rPr>
                <w:rFonts w:ascii="Times New Roman" w:hAnsi="Times New Roman" w:eastAsia="Times New Roman"/>
                <w:b/>
                <w:sz w:val="17"/>
              </w:rPr>
              <w:t>ID</w:t>
            </w:r>
          </w:p>
        </w:tc>
        <w:tc>
          <w:tcPr>
            <w:tcW w:type="dxa" w:w="840"/>
            <w:vAlign w:val="center"/>
          </w:tcPr>
          <w:p>
            <w:r>
              <w:rPr>
                <w:rFonts w:ascii="Times New Roman" w:hAnsi="Times New Roman" w:eastAsia="Times New Roman"/>
                <w:b/>
                <w:sz w:val="17"/>
              </w:rPr>
              <w:t>Zone</w:t>
            </w:r>
          </w:p>
        </w:tc>
        <w:tc>
          <w:tcPr>
            <w:tcW w:type="dxa" w:w="840"/>
            <w:vAlign w:val="center"/>
          </w:tcPr>
          <w:p>
            <w:r>
              <w:rPr>
                <w:rFonts w:ascii="Times New Roman" w:hAnsi="Times New Roman" w:eastAsia="Times New Roman"/>
                <w:b/>
                <w:sz w:val="17"/>
              </w:rPr>
              <w:t>Fuel</w:t>
            </w:r>
          </w:p>
        </w:tc>
        <w:tc>
          <w:tcPr>
            <w:tcW w:type="dxa" w:w="840"/>
            <w:vAlign w:val="center"/>
          </w:tcPr>
          <w:p>
            <w:r>
              <w:rPr>
                <w:rFonts w:ascii="Times New Roman" w:hAnsi="Times New Roman" w:eastAsia="Times New Roman"/>
                <w:b/>
                <w:sz w:val="17"/>
              </w:rPr>
              <w:t>Priority</w:t>
            </w:r>
          </w:p>
        </w:tc>
        <w:tc>
          <w:tcPr>
            <w:tcW w:type="dxa" w:w="840"/>
            <w:vAlign w:val="center"/>
          </w:tcPr>
          <w:p>
            <w:r>
              <w:rPr>
                <w:rFonts w:ascii="Times New Roman" w:hAnsi="Times New Roman" w:eastAsia="Times New Roman"/>
                <w:b/>
                <w:sz w:val="17"/>
              </w:rPr>
              <w:t>Order L</w:t>
            </w:r>
          </w:p>
        </w:tc>
        <w:tc>
          <w:tcPr>
            <w:tcW w:type="dxa" w:w="840"/>
            <w:vAlign w:val="center"/>
          </w:tcPr>
          <w:p>
            <w:r>
              <w:rPr>
                <w:rFonts w:ascii="Times New Roman" w:hAnsi="Times New Roman" w:eastAsia="Times New Roman"/>
                <w:b/>
                <w:sz w:val="17"/>
              </w:rPr>
              <w:t>Inventory L</w:t>
            </w:r>
          </w:p>
        </w:tc>
        <w:tc>
          <w:tcPr>
            <w:tcW w:type="dxa" w:w="840"/>
            <w:vAlign w:val="center"/>
          </w:tcPr>
          <w:p>
            <w:r>
              <w:rPr>
                <w:rFonts w:ascii="Times New Roman" w:hAnsi="Times New Roman" w:eastAsia="Times New Roman"/>
                <w:b/>
                <w:sz w:val="17"/>
              </w:rPr>
              <w:t>Tankers</w:t>
            </w:r>
          </w:p>
        </w:tc>
        <w:tc>
          <w:tcPr>
            <w:tcW w:type="dxa" w:w="840"/>
            <w:vAlign w:val="center"/>
          </w:tcPr>
          <w:p>
            <w:r>
              <w:rPr>
                <w:rFonts w:ascii="Times New Roman" w:hAnsi="Times New Roman" w:eastAsia="Times New Roman"/>
                <w:b/>
                <w:sz w:val="17"/>
              </w:rPr>
              <w:t>Slot Wait</w:t>
            </w:r>
          </w:p>
        </w:tc>
        <w:tc>
          <w:tcPr>
            <w:tcW w:type="dxa" w:w="840"/>
            <w:vAlign w:val="center"/>
          </w:tcPr>
          <w:p>
            <w:r>
              <w:rPr>
                <w:rFonts w:ascii="Times New Roman" w:hAnsi="Times New Roman" w:eastAsia="Times New Roman"/>
                <w:b/>
                <w:sz w:val="17"/>
              </w:rPr>
              <w:t>Deadline h</w:t>
            </w:r>
          </w:p>
        </w:tc>
        <w:tc>
          <w:tcPr>
            <w:tcW w:type="dxa" w:w="840"/>
            <w:vAlign w:val="center"/>
          </w:tcPr>
          <w:p>
            <w:r>
              <w:rPr>
                <w:rFonts w:ascii="Times New Roman" w:hAnsi="Times New Roman" w:eastAsia="Times New Roman"/>
                <w:b/>
                <w:sz w:val="17"/>
              </w:rPr>
              <w:t>Delay min</w:t>
            </w:r>
          </w:p>
        </w:tc>
        <w:tc>
          <w:tcPr>
            <w:tcW w:type="dxa" w:w="840"/>
            <w:vAlign w:val="center"/>
          </w:tcPr>
          <w:p>
            <w:r>
              <w:rPr>
                <w:rFonts w:ascii="Times New Roman" w:hAnsi="Times New Roman" w:eastAsia="Times New Roman"/>
                <w:b/>
                <w:sz w:val="17"/>
              </w:rPr>
              <w:t>Risk %</w:t>
            </w:r>
          </w:p>
        </w:tc>
        <w:tc>
          <w:tcPr>
            <w:tcW w:type="dxa" w:w="840"/>
            <w:vAlign w:val="center"/>
          </w:tcPr>
          <w:p>
            <w:r>
              <w:rPr>
                <w:rFonts w:ascii="Times New Roman" w:hAnsi="Times New Roman" w:eastAsia="Times New Roman"/>
                <w:b/>
                <w:sz w:val="17"/>
              </w:rPr>
              <w:t>On-time %</w:t>
            </w:r>
          </w:p>
        </w:tc>
      </w:tr>
      <w:tr>
        <w:tc>
          <w:tcPr>
            <w:tcW w:type="dxa" w:w="840"/>
            <w:vAlign w:val="center"/>
          </w:tcPr>
          <w:p>
            <w:r>
              <w:rPr>
                <w:rFonts w:ascii="Times New Roman" w:hAnsi="Times New Roman" w:eastAsia="Times New Roman"/>
                <w:sz w:val="17"/>
              </w:rPr>
              <w:t>ORD0001</w:t>
            </w:r>
          </w:p>
        </w:tc>
        <w:tc>
          <w:tcPr>
            <w:tcW w:type="dxa" w:w="840"/>
            <w:vAlign w:val="center"/>
          </w:tcPr>
          <w:p>
            <w:r>
              <w:rPr>
                <w:rFonts w:ascii="Times New Roman" w:hAnsi="Times New Roman" w:eastAsia="Times New Roman"/>
                <w:sz w:val="17"/>
              </w:rPr>
              <w:t>South</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11445</w:t>
            </w:r>
          </w:p>
        </w:tc>
        <w:tc>
          <w:tcPr>
            <w:tcW w:type="dxa" w:w="840"/>
            <w:vAlign w:val="center"/>
          </w:tcPr>
          <w:p>
            <w:r>
              <w:rPr>
                <w:rFonts w:ascii="Times New Roman" w:hAnsi="Times New Roman" w:eastAsia="Times New Roman"/>
                <w:sz w:val="17"/>
              </w:rPr>
              <w:t>7839</w:t>
            </w:r>
          </w:p>
        </w:tc>
        <w:tc>
          <w:tcPr>
            <w:tcW w:type="dxa" w:w="840"/>
            <w:vAlign w:val="center"/>
          </w:tcPr>
          <w:p>
            <w:r>
              <w:rPr>
                <w:rFonts w:ascii="Times New Roman" w:hAnsi="Times New Roman" w:eastAsia="Times New Roman"/>
                <w:sz w:val="17"/>
              </w:rPr>
              <w:t>10</w:t>
            </w:r>
          </w:p>
        </w:tc>
        <w:tc>
          <w:tcPr>
            <w:tcW w:type="dxa" w:w="840"/>
            <w:vAlign w:val="center"/>
          </w:tcPr>
          <w:p>
            <w:r>
              <w:rPr>
                <w:rFonts w:ascii="Times New Roman" w:hAnsi="Times New Roman" w:eastAsia="Times New Roman"/>
                <w:sz w:val="17"/>
              </w:rPr>
              <w:t>13.0</w:t>
            </w:r>
          </w:p>
        </w:tc>
        <w:tc>
          <w:tcPr>
            <w:tcW w:type="dxa" w:w="840"/>
            <w:vAlign w:val="center"/>
          </w:tcPr>
          <w:p>
            <w:r>
              <w:rPr>
                <w:rFonts w:ascii="Times New Roman" w:hAnsi="Times New Roman" w:eastAsia="Times New Roman"/>
                <w:sz w:val="17"/>
              </w:rPr>
              <w:t>7.7</w:t>
            </w:r>
          </w:p>
        </w:tc>
        <w:tc>
          <w:tcPr>
            <w:tcW w:type="dxa" w:w="840"/>
            <w:vAlign w:val="center"/>
          </w:tcPr>
          <w:p>
            <w:r>
              <w:rPr>
                <w:rFonts w:ascii="Times New Roman" w:hAnsi="Times New Roman" w:eastAsia="Times New Roman"/>
                <w:sz w:val="17"/>
              </w:rPr>
              <w:t>25.9</w:t>
            </w:r>
          </w:p>
        </w:tc>
        <w:tc>
          <w:tcPr>
            <w:tcW w:type="dxa" w:w="840"/>
            <w:vAlign w:val="center"/>
          </w:tcPr>
          <w:p>
            <w:r>
              <w:rPr>
                <w:rFonts w:ascii="Times New Roman" w:hAnsi="Times New Roman" w:eastAsia="Times New Roman"/>
                <w:sz w:val="17"/>
              </w:rPr>
              <w:t>15.3</w:t>
            </w:r>
          </w:p>
        </w:tc>
        <w:tc>
          <w:tcPr>
            <w:tcW w:type="dxa" w:w="840"/>
            <w:vAlign w:val="center"/>
          </w:tcPr>
          <w:p>
            <w:r>
              <w:rPr>
                <w:rFonts w:ascii="Times New Roman" w:hAnsi="Times New Roman" w:eastAsia="Times New Roman"/>
                <w:sz w:val="17"/>
              </w:rPr>
              <w:t>88.8</w:t>
            </w:r>
          </w:p>
        </w:tc>
      </w:tr>
      <w:tr>
        <w:tc>
          <w:tcPr>
            <w:tcW w:type="dxa" w:w="840"/>
            <w:vAlign w:val="center"/>
          </w:tcPr>
          <w:p>
            <w:r>
              <w:rPr>
                <w:rFonts w:ascii="Times New Roman" w:hAnsi="Times New Roman" w:eastAsia="Times New Roman"/>
                <w:sz w:val="17"/>
              </w:rPr>
              <w:t>ORD0002</w:t>
            </w:r>
          </w:p>
        </w:tc>
        <w:tc>
          <w:tcPr>
            <w:tcW w:type="dxa" w:w="840"/>
            <w:vAlign w:val="center"/>
          </w:tcPr>
          <w:p>
            <w:r>
              <w:rPr>
                <w:rFonts w:ascii="Times New Roman" w:hAnsi="Times New Roman" w:eastAsia="Times New Roman"/>
                <w:sz w:val="17"/>
              </w:rPr>
              <w:t>West</w:t>
            </w:r>
          </w:p>
        </w:tc>
        <w:tc>
          <w:tcPr>
            <w:tcW w:type="dxa" w:w="840"/>
            <w:vAlign w:val="center"/>
          </w:tcPr>
          <w:p>
            <w:r>
              <w:rPr>
                <w:rFonts w:ascii="Times New Roman" w:hAnsi="Times New Roman" w:eastAsia="Times New Roman"/>
                <w:sz w:val="17"/>
              </w:rPr>
              <w:t>Petrol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14030</w:t>
            </w:r>
          </w:p>
        </w:tc>
        <w:tc>
          <w:tcPr>
            <w:tcW w:type="dxa" w:w="840"/>
            <w:vAlign w:val="center"/>
          </w:tcPr>
          <w:p>
            <w:r>
              <w:rPr>
                <w:rFonts w:ascii="Times New Roman" w:hAnsi="Times New Roman" w:eastAsia="Times New Roman"/>
                <w:sz w:val="17"/>
              </w:rPr>
              <w:t>19585</w:t>
            </w:r>
          </w:p>
        </w:tc>
        <w:tc>
          <w:tcPr>
            <w:tcW w:type="dxa" w:w="840"/>
            <w:vAlign w:val="center"/>
          </w:tcPr>
          <w:p>
            <w:r>
              <w:rPr>
                <w:rFonts w:ascii="Times New Roman" w:hAnsi="Times New Roman" w:eastAsia="Times New Roman"/>
                <w:sz w:val="17"/>
              </w:rPr>
              <w:t>6</w:t>
            </w:r>
          </w:p>
        </w:tc>
        <w:tc>
          <w:tcPr>
            <w:tcW w:type="dxa" w:w="840"/>
            <w:vAlign w:val="center"/>
          </w:tcPr>
          <w:p>
            <w:r>
              <w:rPr>
                <w:rFonts w:ascii="Times New Roman" w:hAnsi="Times New Roman" w:eastAsia="Times New Roman"/>
                <w:sz w:val="17"/>
              </w:rPr>
              <w:t>24.3</w:t>
            </w:r>
          </w:p>
        </w:tc>
        <w:tc>
          <w:tcPr>
            <w:tcW w:type="dxa" w:w="840"/>
            <w:vAlign w:val="center"/>
          </w:tcPr>
          <w:p>
            <w:r>
              <w:rPr>
                <w:rFonts w:ascii="Times New Roman" w:hAnsi="Times New Roman" w:eastAsia="Times New Roman"/>
                <w:sz w:val="17"/>
              </w:rPr>
              <w:t>9.3</w:t>
            </w:r>
          </w:p>
        </w:tc>
        <w:tc>
          <w:tcPr>
            <w:tcW w:type="dxa" w:w="840"/>
            <w:vAlign w:val="center"/>
          </w:tcPr>
          <w:p>
            <w:r>
              <w:rPr>
                <w:rFonts w:ascii="Times New Roman" w:hAnsi="Times New Roman" w:eastAsia="Times New Roman"/>
                <w:sz w:val="17"/>
              </w:rPr>
              <w:t>40.2</w:t>
            </w:r>
          </w:p>
        </w:tc>
        <w:tc>
          <w:tcPr>
            <w:tcW w:type="dxa" w:w="840"/>
            <w:vAlign w:val="center"/>
          </w:tcPr>
          <w:p>
            <w:r>
              <w:rPr>
                <w:rFonts w:ascii="Times New Roman" w:hAnsi="Times New Roman" w:eastAsia="Times New Roman"/>
                <w:sz w:val="17"/>
              </w:rPr>
              <w:t>12.1</w:t>
            </w:r>
          </w:p>
        </w:tc>
        <w:tc>
          <w:tcPr>
            <w:tcW w:type="dxa" w:w="840"/>
            <w:vAlign w:val="center"/>
          </w:tcPr>
          <w:p>
            <w:r>
              <w:rPr>
                <w:rFonts w:ascii="Times New Roman" w:hAnsi="Times New Roman" w:eastAsia="Times New Roman"/>
                <w:sz w:val="17"/>
              </w:rPr>
              <w:t>80.4</w:t>
            </w:r>
          </w:p>
        </w:tc>
      </w:tr>
      <w:tr>
        <w:tc>
          <w:tcPr>
            <w:tcW w:type="dxa" w:w="840"/>
            <w:vAlign w:val="center"/>
          </w:tcPr>
          <w:p>
            <w:r>
              <w:rPr>
                <w:rFonts w:ascii="Times New Roman" w:hAnsi="Times New Roman" w:eastAsia="Times New Roman"/>
                <w:sz w:val="17"/>
              </w:rPr>
              <w:t>ORD0003</w:t>
            </w:r>
          </w:p>
        </w:tc>
        <w:tc>
          <w:tcPr>
            <w:tcW w:type="dxa" w:w="840"/>
            <w:vAlign w:val="center"/>
          </w:tcPr>
          <w:p>
            <w:r>
              <w:rPr>
                <w:rFonts w:ascii="Times New Roman" w:hAnsi="Times New Roman" w:eastAsia="Times New Roman"/>
                <w:sz w:val="17"/>
              </w:rPr>
              <w:t>East</w:t>
            </w:r>
          </w:p>
        </w:tc>
        <w:tc>
          <w:tcPr>
            <w:tcW w:type="dxa" w:w="840"/>
            <w:vAlign w:val="center"/>
          </w:tcPr>
          <w:p>
            <w:r>
              <w:rPr>
                <w:rFonts w:ascii="Times New Roman" w:hAnsi="Times New Roman" w:eastAsia="Times New Roman"/>
                <w:sz w:val="17"/>
              </w:rPr>
              <w:t>Petrol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11923</w:t>
            </w:r>
          </w:p>
        </w:tc>
        <w:tc>
          <w:tcPr>
            <w:tcW w:type="dxa" w:w="840"/>
            <w:vAlign w:val="center"/>
          </w:tcPr>
          <w:p>
            <w:r>
              <w:rPr>
                <w:rFonts w:ascii="Times New Roman" w:hAnsi="Times New Roman" w:eastAsia="Times New Roman"/>
                <w:sz w:val="17"/>
              </w:rPr>
              <w:t>10094</w:t>
            </w:r>
          </w:p>
        </w:tc>
        <w:tc>
          <w:tcPr>
            <w:tcW w:type="dxa" w:w="840"/>
            <w:vAlign w:val="center"/>
          </w:tcPr>
          <w:p>
            <w:r>
              <w:rPr>
                <w:rFonts w:ascii="Times New Roman" w:hAnsi="Times New Roman" w:eastAsia="Times New Roman"/>
                <w:sz w:val="17"/>
              </w:rPr>
              <w:t>9</w:t>
            </w:r>
          </w:p>
        </w:tc>
        <w:tc>
          <w:tcPr>
            <w:tcW w:type="dxa" w:w="840"/>
            <w:vAlign w:val="center"/>
          </w:tcPr>
          <w:p>
            <w:r>
              <w:rPr>
                <w:rFonts w:ascii="Times New Roman" w:hAnsi="Times New Roman" w:eastAsia="Times New Roman"/>
                <w:sz w:val="17"/>
              </w:rPr>
              <w:t>9.7</w:t>
            </w:r>
          </w:p>
        </w:tc>
        <w:tc>
          <w:tcPr>
            <w:tcW w:type="dxa" w:w="840"/>
            <w:vAlign w:val="center"/>
          </w:tcPr>
          <w:p>
            <w:r>
              <w:rPr>
                <w:rFonts w:ascii="Times New Roman" w:hAnsi="Times New Roman" w:eastAsia="Times New Roman"/>
                <w:sz w:val="17"/>
              </w:rPr>
              <w:t>6.8</w:t>
            </w:r>
          </w:p>
        </w:tc>
        <w:tc>
          <w:tcPr>
            <w:tcW w:type="dxa" w:w="840"/>
            <w:vAlign w:val="center"/>
          </w:tcPr>
          <w:p>
            <w:r>
              <w:rPr>
                <w:rFonts w:ascii="Times New Roman" w:hAnsi="Times New Roman" w:eastAsia="Times New Roman"/>
                <w:sz w:val="17"/>
              </w:rPr>
              <w:t>25.1</w:t>
            </w:r>
          </w:p>
        </w:tc>
        <w:tc>
          <w:tcPr>
            <w:tcW w:type="dxa" w:w="840"/>
            <w:vAlign w:val="center"/>
          </w:tcPr>
          <w:p>
            <w:r>
              <w:rPr>
                <w:rFonts w:ascii="Times New Roman" w:hAnsi="Times New Roman" w:eastAsia="Times New Roman"/>
                <w:sz w:val="17"/>
              </w:rPr>
              <w:t>11.5</w:t>
            </w:r>
          </w:p>
        </w:tc>
        <w:tc>
          <w:tcPr>
            <w:tcW w:type="dxa" w:w="840"/>
            <w:vAlign w:val="center"/>
          </w:tcPr>
          <w:p>
            <w:r>
              <w:rPr>
                <w:rFonts w:ascii="Times New Roman" w:hAnsi="Times New Roman" w:eastAsia="Times New Roman"/>
                <w:sz w:val="17"/>
              </w:rPr>
              <w:t>88.4</w:t>
            </w:r>
          </w:p>
        </w:tc>
      </w:tr>
      <w:tr>
        <w:tc>
          <w:tcPr>
            <w:tcW w:type="dxa" w:w="840"/>
            <w:vAlign w:val="center"/>
          </w:tcPr>
          <w:p>
            <w:r>
              <w:rPr>
                <w:rFonts w:ascii="Times New Roman" w:hAnsi="Times New Roman" w:eastAsia="Times New Roman"/>
                <w:sz w:val="17"/>
              </w:rPr>
              <w:t>ORD0004</w:t>
            </w:r>
          </w:p>
        </w:tc>
        <w:tc>
          <w:tcPr>
            <w:tcW w:type="dxa" w:w="840"/>
            <w:vAlign w:val="center"/>
          </w:tcPr>
          <w:p>
            <w:r>
              <w:rPr>
                <w:rFonts w:ascii="Times New Roman" w:hAnsi="Times New Roman" w:eastAsia="Times New Roman"/>
                <w:sz w:val="17"/>
              </w:rPr>
              <w:t>East</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High</w:t>
            </w:r>
          </w:p>
        </w:tc>
        <w:tc>
          <w:tcPr>
            <w:tcW w:type="dxa" w:w="840"/>
            <w:vAlign w:val="center"/>
          </w:tcPr>
          <w:p>
            <w:r>
              <w:rPr>
                <w:rFonts w:ascii="Times New Roman" w:hAnsi="Times New Roman" w:eastAsia="Times New Roman"/>
                <w:sz w:val="17"/>
              </w:rPr>
              <w:t>16920</w:t>
            </w:r>
          </w:p>
        </w:tc>
        <w:tc>
          <w:tcPr>
            <w:tcW w:type="dxa" w:w="840"/>
            <w:vAlign w:val="center"/>
          </w:tcPr>
          <w:p>
            <w:r>
              <w:rPr>
                <w:rFonts w:ascii="Times New Roman" w:hAnsi="Times New Roman" w:eastAsia="Times New Roman"/>
                <w:sz w:val="17"/>
              </w:rPr>
              <w:t>9632</w:t>
            </w:r>
          </w:p>
        </w:tc>
        <w:tc>
          <w:tcPr>
            <w:tcW w:type="dxa" w:w="840"/>
            <w:vAlign w:val="center"/>
          </w:tcPr>
          <w:p>
            <w:r>
              <w:rPr>
                <w:rFonts w:ascii="Times New Roman" w:hAnsi="Times New Roman" w:eastAsia="Times New Roman"/>
                <w:sz w:val="17"/>
              </w:rPr>
              <w:t>9</w:t>
            </w:r>
          </w:p>
        </w:tc>
        <w:tc>
          <w:tcPr>
            <w:tcW w:type="dxa" w:w="840"/>
            <w:vAlign w:val="center"/>
          </w:tcPr>
          <w:p>
            <w:r>
              <w:rPr>
                <w:rFonts w:ascii="Times New Roman" w:hAnsi="Times New Roman" w:eastAsia="Times New Roman"/>
                <w:sz w:val="17"/>
              </w:rPr>
              <w:t>20.3</w:t>
            </w:r>
          </w:p>
        </w:tc>
        <w:tc>
          <w:tcPr>
            <w:tcW w:type="dxa" w:w="840"/>
            <w:vAlign w:val="center"/>
          </w:tcPr>
          <w:p>
            <w:r>
              <w:rPr>
                <w:rFonts w:ascii="Times New Roman" w:hAnsi="Times New Roman" w:eastAsia="Times New Roman"/>
                <w:sz w:val="17"/>
              </w:rPr>
              <w:t>7.2</w:t>
            </w:r>
          </w:p>
        </w:tc>
        <w:tc>
          <w:tcPr>
            <w:tcW w:type="dxa" w:w="840"/>
            <w:vAlign w:val="center"/>
          </w:tcPr>
          <w:p>
            <w:r>
              <w:rPr>
                <w:rFonts w:ascii="Times New Roman" w:hAnsi="Times New Roman" w:eastAsia="Times New Roman"/>
                <w:sz w:val="17"/>
              </w:rPr>
              <w:t>40.6</w:t>
            </w:r>
          </w:p>
        </w:tc>
        <w:tc>
          <w:tcPr>
            <w:tcW w:type="dxa" w:w="840"/>
            <w:vAlign w:val="center"/>
          </w:tcPr>
          <w:p>
            <w:r>
              <w:rPr>
                <w:rFonts w:ascii="Times New Roman" w:hAnsi="Times New Roman" w:eastAsia="Times New Roman"/>
                <w:sz w:val="17"/>
              </w:rPr>
              <w:t>14.2</w:t>
            </w:r>
          </w:p>
        </w:tc>
        <w:tc>
          <w:tcPr>
            <w:tcW w:type="dxa" w:w="840"/>
            <w:vAlign w:val="center"/>
          </w:tcPr>
          <w:p>
            <w:r>
              <w:rPr>
                <w:rFonts w:ascii="Times New Roman" w:hAnsi="Times New Roman" w:eastAsia="Times New Roman"/>
                <w:sz w:val="17"/>
              </w:rPr>
              <w:t>82.1</w:t>
            </w:r>
          </w:p>
        </w:tc>
      </w:tr>
      <w:tr>
        <w:tc>
          <w:tcPr>
            <w:tcW w:type="dxa" w:w="840"/>
            <w:vAlign w:val="center"/>
          </w:tcPr>
          <w:p>
            <w:r>
              <w:rPr>
                <w:rFonts w:ascii="Times New Roman" w:hAnsi="Times New Roman" w:eastAsia="Times New Roman"/>
                <w:sz w:val="17"/>
              </w:rPr>
              <w:t>ORD0005</w:t>
            </w:r>
          </w:p>
        </w:tc>
        <w:tc>
          <w:tcPr>
            <w:tcW w:type="dxa" w:w="840"/>
            <w:vAlign w:val="center"/>
          </w:tcPr>
          <w:p>
            <w:r>
              <w:rPr>
                <w:rFonts w:ascii="Times New Roman" w:hAnsi="Times New Roman" w:eastAsia="Times New Roman"/>
                <w:sz w:val="17"/>
              </w:rPr>
              <w:t>East</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11050</w:t>
            </w:r>
          </w:p>
        </w:tc>
        <w:tc>
          <w:tcPr>
            <w:tcW w:type="dxa" w:w="840"/>
            <w:vAlign w:val="center"/>
          </w:tcPr>
          <w:p>
            <w:r>
              <w:rPr>
                <w:rFonts w:ascii="Times New Roman" w:hAnsi="Times New Roman" w:eastAsia="Times New Roman"/>
                <w:sz w:val="17"/>
              </w:rPr>
              <w:t>19144</w:t>
            </w:r>
          </w:p>
        </w:tc>
        <w:tc>
          <w:tcPr>
            <w:tcW w:type="dxa" w:w="840"/>
            <w:vAlign w:val="center"/>
          </w:tcPr>
          <w:p>
            <w:r>
              <w:rPr>
                <w:rFonts w:ascii="Times New Roman" w:hAnsi="Times New Roman" w:eastAsia="Times New Roman"/>
                <w:sz w:val="17"/>
              </w:rPr>
              <w:t>6</w:t>
            </w:r>
          </w:p>
        </w:tc>
        <w:tc>
          <w:tcPr>
            <w:tcW w:type="dxa" w:w="840"/>
            <w:vAlign w:val="center"/>
          </w:tcPr>
          <w:p>
            <w:r>
              <w:rPr>
                <w:rFonts w:ascii="Times New Roman" w:hAnsi="Times New Roman" w:eastAsia="Times New Roman"/>
                <w:sz w:val="17"/>
              </w:rPr>
              <w:t>25.0</w:t>
            </w:r>
          </w:p>
        </w:tc>
        <w:tc>
          <w:tcPr>
            <w:tcW w:type="dxa" w:w="840"/>
            <w:vAlign w:val="center"/>
          </w:tcPr>
          <w:p>
            <w:r>
              <w:rPr>
                <w:rFonts w:ascii="Times New Roman" w:hAnsi="Times New Roman" w:eastAsia="Times New Roman"/>
                <w:sz w:val="17"/>
              </w:rPr>
              <w:t>9.1</w:t>
            </w:r>
          </w:p>
        </w:tc>
        <w:tc>
          <w:tcPr>
            <w:tcW w:type="dxa" w:w="840"/>
            <w:vAlign w:val="center"/>
          </w:tcPr>
          <w:p>
            <w:r>
              <w:rPr>
                <w:rFonts w:ascii="Times New Roman" w:hAnsi="Times New Roman" w:eastAsia="Times New Roman"/>
                <w:sz w:val="17"/>
              </w:rPr>
              <w:t>52.8</w:t>
            </w:r>
          </w:p>
        </w:tc>
        <w:tc>
          <w:tcPr>
            <w:tcW w:type="dxa" w:w="840"/>
            <w:vAlign w:val="center"/>
          </w:tcPr>
          <w:p>
            <w:r>
              <w:rPr>
                <w:rFonts w:ascii="Times New Roman" w:hAnsi="Times New Roman" w:eastAsia="Times New Roman"/>
                <w:sz w:val="17"/>
              </w:rPr>
              <w:t>11.1</w:t>
            </w:r>
          </w:p>
        </w:tc>
        <w:tc>
          <w:tcPr>
            <w:tcW w:type="dxa" w:w="840"/>
            <w:vAlign w:val="center"/>
          </w:tcPr>
          <w:p>
            <w:r>
              <w:rPr>
                <w:rFonts w:ascii="Times New Roman" w:hAnsi="Times New Roman" w:eastAsia="Times New Roman"/>
                <w:sz w:val="17"/>
              </w:rPr>
              <w:t>72.0</w:t>
            </w:r>
          </w:p>
        </w:tc>
      </w:tr>
      <w:tr>
        <w:tc>
          <w:tcPr>
            <w:tcW w:type="dxa" w:w="840"/>
            <w:vAlign w:val="center"/>
          </w:tcPr>
          <w:p>
            <w:r>
              <w:rPr>
                <w:rFonts w:ascii="Times New Roman" w:hAnsi="Times New Roman" w:eastAsia="Times New Roman"/>
                <w:sz w:val="17"/>
              </w:rPr>
              <w:t>ORD0006</w:t>
            </w:r>
          </w:p>
        </w:tc>
        <w:tc>
          <w:tcPr>
            <w:tcW w:type="dxa" w:w="840"/>
            <w:vAlign w:val="center"/>
          </w:tcPr>
          <w:p>
            <w:r>
              <w:rPr>
                <w:rFonts w:ascii="Times New Roman" w:hAnsi="Times New Roman" w:eastAsia="Times New Roman"/>
                <w:sz w:val="17"/>
              </w:rPr>
              <w:t>North</w:t>
            </w:r>
          </w:p>
        </w:tc>
        <w:tc>
          <w:tcPr>
            <w:tcW w:type="dxa" w:w="840"/>
            <w:vAlign w:val="center"/>
          </w:tcPr>
          <w:p>
            <w:r>
              <w:rPr>
                <w:rFonts w:ascii="Times New Roman" w:hAnsi="Times New Roman" w:eastAsia="Times New Roman"/>
                <w:sz w:val="17"/>
              </w:rPr>
              <w:t>Petrol</w:t>
            </w:r>
          </w:p>
        </w:tc>
        <w:tc>
          <w:tcPr>
            <w:tcW w:type="dxa" w:w="840"/>
            <w:vAlign w:val="center"/>
          </w:tcPr>
          <w:p>
            <w:r>
              <w:rPr>
                <w:rFonts w:ascii="Times New Roman" w:hAnsi="Times New Roman" w:eastAsia="Times New Roman"/>
                <w:sz w:val="17"/>
              </w:rPr>
              <w:t>High</w:t>
            </w:r>
          </w:p>
        </w:tc>
        <w:tc>
          <w:tcPr>
            <w:tcW w:type="dxa" w:w="840"/>
            <w:vAlign w:val="center"/>
          </w:tcPr>
          <w:p>
            <w:r>
              <w:rPr>
                <w:rFonts w:ascii="Times New Roman" w:hAnsi="Times New Roman" w:eastAsia="Times New Roman"/>
                <w:sz w:val="17"/>
              </w:rPr>
              <w:t>11470</w:t>
            </w:r>
          </w:p>
        </w:tc>
        <w:tc>
          <w:tcPr>
            <w:tcW w:type="dxa" w:w="840"/>
            <w:vAlign w:val="center"/>
          </w:tcPr>
          <w:p>
            <w:r>
              <w:rPr>
                <w:rFonts w:ascii="Times New Roman" w:hAnsi="Times New Roman" w:eastAsia="Times New Roman"/>
                <w:sz w:val="17"/>
              </w:rPr>
              <w:t>11656</w:t>
            </w:r>
          </w:p>
        </w:tc>
        <w:tc>
          <w:tcPr>
            <w:tcW w:type="dxa" w:w="840"/>
            <w:vAlign w:val="center"/>
          </w:tcPr>
          <w:p>
            <w:r>
              <w:rPr>
                <w:rFonts w:ascii="Times New Roman" w:hAnsi="Times New Roman" w:eastAsia="Times New Roman"/>
                <w:sz w:val="17"/>
              </w:rPr>
              <w:t>9</w:t>
            </w:r>
          </w:p>
        </w:tc>
        <w:tc>
          <w:tcPr>
            <w:tcW w:type="dxa" w:w="840"/>
            <w:vAlign w:val="center"/>
          </w:tcPr>
          <w:p>
            <w:r>
              <w:rPr>
                <w:rFonts w:ascii="Times New Roman" w:hAnsi="Times New Roman" w:eastAsia="Times New Roman"/>
                <w:sz w:val="17"/>
              </w:rPr>
              <w:t>13.6</w:t>
            </w:r>
          </w:p>
        </w:tc>
        <w:tc>
          <w:tcPr>
            <w:tcW w:type="dxa" w:w="840"/>
            <w:vAlign w:val="center"/>
          </w:tcPr>
          <w:p>
            <w:r>
              <w:rPr>
                <w:rFonts w:ascii="Times New Roman" w:hAnsi="Times New Roman" w:eastAsia="Times New Roman"/>
                <w:sz w:val="17"/>
              </w:rPr>
              <w:t>7.9</w:t>
            </w:r>
          </w:p>
        </w:tc>
        <w:tc>
          <w:tcPr>
            <w:tcW w:type="dxa" w:w="840"/>
            <w:vAlign w:val="center"/>
          </w:tcPr>
          <w:p>
            <w:r>
              <w:rPr>
                <w:rFonts w:ascii="Times New Roman" w:hAnsi="Times New Roman" w:eastAsia="Times New Roman"/>
                <w:sz w:val="17"/>
              </w:rPr>
              <w:t>44.5</w:t>
            </w:r>
          </w:p>
        </w:tc>
        <w:tc>
          <w:tcPr>
            <w:tcW w:type="dxa" w:w="840"/>
            <w:vAlign w:val="center"/>
          </w:tcPr>
          <w:p>
            <w:r>
              <w:rPr>
                <w:rFonts w:ascii="Times New Roman" w:hAnsi="Times New Roman" w:eastAsia="Times New Roman"/>
                <w:sz w:val="17"/>
              </w:rPr>
              <w:t>10.8</w:t>
            </w:r>
          </w:p>
        </w:tc>
        <w:tc>
          <w:tcPr>
            <w:tcW w:type="dxa" w:w="840"/>
            <w:vAlign w:val="center"/>
          </w:tcPr>
          <w:p>
            <w:r>
              <w:rPr>
                <w:rFonts w:ascii="Times New Roman" w:hAnsi="Times New Roman" w:eastAsia="Times New Roman"/>
                <w:sz w:val="17"/>
              </w:rPr>
              <w:t>79.5</w:t>
            </w:r>
          </w:p>
        </w:tc>
      </w:tr>
      <w:tr>
        <w:tc>
          <w:tcPr>
            <w:tcW w:type="dxa" w:w="840"/>
            <w:vAlign w:val="center"/>
          </w:tcPr>
          <w:p>
            <w:r>
              <w:rPr>
                <w:rFonts w:ascii="Times New Roman" w:hAnsi="Times New Roman" w:eastAsia="Times New Roman"/>
                <w:sz w:val="17"/>
              </w:rPr>
              <w:t>ORD0007</w:t>
            </w:r>
          </w:p>
        </w:tc>
        <w:tc>
          <w:tcPr>
            <w:tcW w:type="dxa" w:w="840"/>
            <w:vAlign w:val="center"/>
          </w:tcPr>
          <w:p>
            <w:r>
              <w:rPr>
                <w:rFonts w:ascii="Times New Roman" w:hAnsi="Times New Roman" w:eastAsia="Times New Roman"/>
                <w:sz w:val="17"/>
              </w:rPr>
              <w:t>North</w:t>
            </w:r>
          </w:p>
        </w:tc>
        <w:tc>
          <w:tcPr>
            <w:tcW w:type="dxa" w:w="840"/>
            <w:vAlign w:val="center"/>
          </w:tcPr>
          <w:p>
            <w:r>
              <w:rPr>
                <w:rFonts w:ascii="Times New Roman" w:hAnsi="Times New Roman" w:eastAsia="Times New Roman"/>
                <w:sz w:val="17"/>
              </w:rPr>
              <w:t>Petrol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8627</w:t>
            </w:r>
          </w:p>
        </w:tc>
        <w:tc>
          <w:tcPr>
            <w:tcW w:type="dxa" w:w="840"/>
            <w:vAlign w:val="center"/>
          </w:tcPr>
          <w:p>
            <w:r>
              <w:rPr>
                <w:rFonts w:ascii="Times New Roman" w:hAnsi="Times New Roman" w:eastAsia="Times New Roman"/>
                <w:sz w:val="17"/>
              </w:rPr>
              <w:t>9176</w:t>
            </w:r>
          </w:p>
        </w:tc>
        <w:tc>
          <w:tcPr>
            <w:tcW w:type="dxa" w:w="840"/>
            <w:vAlign w:val="center"/>
          </w:tcPr>
          <w:p>
            <w:r>
              <w:rPr>
                <w:rFonts w:ascii="Times New Roman" w:hAnsi="Times New Roman" w:eastAsia="Times New Roman"/>
                <w:sz w:val="17"/>
              </w:rPr>
              <w:t>8</w:t>
            </w:r>
          </w:p>
        </w:tc>
        <w:tc>
          <w:tcPr>
            <w:tcW w:type="dxa" w:w="840"/>
            <w:vAlign w:val="center"/>
          </w:tcPr>
          <w:p>
            <w:r>
              <w:rPr>
                <w:rFonts w:ascii="Times New Roman" w:hAnsi="Times New Roman" w:eastAsia="Times New Roman"/>
                <w:sz w:val="17"/>
              </w:rPr>
              <w:t>15.8</w:t>
            </w:r>
          </w:p>
        </w:tc>
        <w:tc>
          <w:tcPr>
            <w:tcW w:type="dxa" w:w="840"/>
            <w:vAlign w:val="center"/>
          </w:tcPr>
          <w:p>
            <w:r>
              <w:rPr>
                <w:rFonts w:ascii="Times New Roman" w:hAnsi="Times New Roman" w:eastAsia="Times New Roman"/>
                <w:sz w:val="17"/>
              </w:rPr>
              <w:t>5.3</w:t>
            </w:r>
          </w:p>
        </w:tc>
        <w:tc>
          <w:tcPr>
            <w:tcW w:type="dxa" w:w="840"/>
            <w:vAlign w:val="center"/>
          </w:tcPr>
          <w:p>
            <w:r>
              <w:rPr>
                <w:rFonts w:ascii="Times New Roman" w:hAnsi="Times New Roman" w:eastAsia="Times New Roman"/>
                <w:sz w:val="17"/>
              </w:rPr>
              <w:t>17.8</w:t>
            </w:r>
          </w:p>
        </w:tc>
        <w:tc>
          <w:tcPr>
            <w:tcW w:type="dxa" w:w="840"/>
            <w:vAlign w:val="center"/>
          </w:tcPr>
          <w:p>
            <w:r>
              <w:rPr>
                <w:rFonts w:ascii="Times New Roman" w:hAnsi="Times New Roman" w:eastAsia="Times New Roman"/>
                <w:sz w:val="17"/>
              </w:rPr>
              <w:t>13.1</w:t>
            </w:r>
          </w:p>
        </w:tc>
        <w:tc>
          <w:tcPr>
            <w:tcW w:type="dxa" w:w="840"/>
            <w:vAlign w:val="center"/>
          </w:tcPr>
          <w:p>
            <w:r>
              <w:rPr>
                <w:rFonts w:ascii="Times New Roman" w:hAnsi="Times New Roman" w:eastAsia="Times New Roman"/>
                <w:sz w:val="17"/>
              </w:rPr>
              <w:t>86.2</w:t>
            </w:r>
          </w:p>
        </w:tc>
      </w:tr>
      <w:tr>
        <w:tc>
          <w:tcPr>
            <w:tcW w:type="dxa" w:w="840"/>
            <w:vAlign w:val="center"/>
          </w:tcPr>
          <w:p>
            <w:r>
              <w:rPr>
                <w:rFonts w:ascii="Times New Roman" w:hAnsi="Times New Roman" w:eastAsia="Times New Roman"/>
                <w:sz w:val="17"/>
              </w:rPr>
              <w:t>ORD0008</w:t>
            </w:r>
          </w:p>
        </w:tc>
        <w:tc>
          <w:tcPr>
            <w:tcW w:type="dxa" w:w="840"/>
            <w:vAlign w:val="center"/>
          </w:tcPr>
          <w:p>
            <w:r>
              <w:rPr>
                <w:rFonts w:ascii="Times New Roman" w:hAnsi="Times New Roman" w:eastAsia="Times New Roman"/>
                <w:sz w:val="17"/>
              </w:rPr>
              <w:t>East</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High</w:t>
            </w:r>
          </w:p>
        </w:tc>
        <w:tc>
          <w:tcPr>
            <w:tcW w:type="dxa" w:w="840"/>
            <w:vAlign w:val="center"/>
          </w:tcPr>
          <w:p>
            <w:r>
              <w:rPr>
                <w:rFonts w:ascii="Times New Roman" w:hAnsi="Times New Roman" w:eastAsia="Times New Roman"/>
                <w:sz w:val="17"/>
              </w:rPr>
              <w:t>10683</w:t>
            </w:r>
          </w:p>
        </w:tc>
        <w:tc>
          <w:tcPr>
            <w:tcW w:type="dxa" w:w="840"/>
            <w:vAlign w:val="center"/>
          </w:tcPr>
          <w:p>
            <w:r>
              <w:rPr>
                <w:rFonts w:ascii="Times New Roman" w:hAnsi="Times New Roman" w:eastAsia="Times New Roman"/>
                <w:sz w:val="17"/>
              </w:rPr>
              <w:t>13828</w:t>
            </w:r>
          </w:p>
        </w:tc>
        <w:tc>
          <w:tcPr>
            <w:tcW w:type="dxa" w:w="840"/>
            <w:vAlign w:val="center"/>
          </w:tcPr>
          <w:p>
            <w:r>
              <w:rPr>
                <w:rFonts w:ascii="Times New Roman" w:hAnsi="Times New Roman" w:eastAsia="Times New Roman"/>
                <w:sz w:val="17"/>
              </w:rPr>
              <w:t>9</w:t>
            </w:r>
          </w:p>
        </w:tc>
        <w:tc>
          <w:tcPr>
            <w:tcW w:type="dxa" w:w="840"/>
            <w:vAlign w:val="center"/>
          </w:tcPr>
          <w:p>
            <w:r>
              <w:rPr>
                <w:rFonts w:ascii="Times New Roman" w:hAnsi="Times New Roman" w:eastAsia="Times New Roman"/>
                <w:sz w:val="17"/>
              </w:rPr>
              <w:t>15.7</w:t>
            </w:r>
          </w:p>
        </w:tc>
        <w:tc>
          <w:tcPr>
            <w:tcW w:type="dxa" w:w="840"/>
            <w:vAlign w:val="center"/>
          </w:tcPr>
          <w:p>
            <w:r>
              <w:rPr>
                <w:rFonts w:ascii="Times New Roman" w:hAnsi="Times New Roman" w:eastAsia="Times New Roman"/>
                <w:sz w:val="17"/>
              </w:rPr>
              <w:t>6.6</w:t>
            </w:r>
          </w:p>
        </w:tc>
        <w:tc>
          <w:tcPr>
            <w:tcW w:type="dxa" w:w="840"/>
            <w:vAlign w:val="center"/>
          </w:tcPr>
          <w:p>
            <w:r>
              <w:rPr>
                <w:rFonts w:ascii="Times New Roman" w:hAnsi="Times New Roman" w:eastAsia="Times New Roman"/>
                <w:sz w:val="17"/>
              </w:rPr>
              <w:t>38.5</w:t>
            </w:r>
          </w:p>
        </w:tc>
        <w:tc>
          <w:tcPr>
            <w:tcW w:type="dxa" w:w="840"/>
            <w:vAlign w:val="center"/>
          </w:tcPr>
          <w:p>
            <w:r>
              <w:rPr>
                <w:rFonts w:ascii="Times New Roman" w:hAnsi="Times New Roman" w:eastAsia="Times New Roman"/>
                <w:sz w:val="17"/>
              </w:rPr>
              <w:t>19.6</w:t>
            </w:r>
          </w:p>
        </w:tc>
        <w:tc>
          <w:tcPr>
            <w:tcW w:type="dxa" w:w="840"/>
            <w:vAlign w:val="center"/>
          </w:tcPr>
          <w:p>
            <w:r>
              <w:rPr>
                <w:rFonts w:ascii="Times New Roman" w:hAnsi="Times New Roman" w:eastAsia="Times New Roman"/>
                <w:sz w:val="17"/>
              </w:rPr>
              <w:t>80.2</w:t>
            </w:r>
          </w:p>
        </w:tc>
      </w:tr>
      <w:tr>
        <w:tc>
          <w:tcPr>
            <w:tcW w:type="dxa" w:w="840"/>
            <w:vAlign w:val="center"/>
          </w:tcPr>
          <w:p>
            <w:r>
              <w:rPr>
                <w:rFonts w:ascii="Times New Roman" w:hAnsi="Times New Roman" w:eastAsia="Times New Roman"/>
                <w:sz w:val="17"/>
              </w:rPr>
              <w:t>ORD0009</w:t>
            </w:r>
          </w:p>
        </w:tc>
        <w:tc>
          <w:tcPr>
            <w:tcW w:type="dxa" w:w="840"/>
            <w:vAlign w:val="center"/>
          </w:tcPr>
          <w:p>
            <w:r>
              <w:rPr>
                <w:rFonts w:ascii="Times New Roman" w:hAnsi="Times New Roman" w:eastAsia="Times New Roman"/>
                <w:sz w:val="17"/>
              </w:rPr>
              <w:t>East</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Urgent</w:t>
            </w:r>
          </w:p>
        </w:tc>
        <w:tc>
          <w:tcPr>
            <w:tcW w:type="dxa" w:w="840"/>
            <w:vAlign w:val="center"/>
          </w:tcPr>
          <w:p>
            <w:r>
              <w:rPr>
                <w:rFonts w:ascii="Times New Roman" w:hAnsi="Times New Roman" w:eastAsia="Times New Roman"/>
                <w:sz w:val="17"/>
              </w:rPr>
              <w:t>13323</w:t>
            </w:r>
          </w:p>
        </w:tc>
        <w:tc>
          <w:tcPr>
            <w:tcW w:type="dxa" w:w="840"/>
            <w:vAlign w:val="center"/>
          </w:tcPr>
          <w:p>
            <w:r>
              <w:rPr>
                <w:rFonts w:ascii="Times New Roman" w:hAnsi="Times New Roman" w:eastAsia="Times New Roman"/>
                <w:sz w:val="17"/>
              </w:rPr>
              <w:t>9947</w:t>
            </w:r>
          </w:p>
        </w:tc>
        <w:tc>
          <w:tcPr>
            <w:tcW w:type="dxa" w:w="840"/>
            <w:vAlign w:val="center"/>
          </w:tcPr>
          <w:p>
            <w:r>
              <w:rPr>
                <w:rFonts w:ascii="Times New Roman" w:hAnsi="Times New Roman" w:eastAsia="Times New Roman"/>
                <w:sz w:val="17"/>
              </w:rPr>
              <w:t>7</w:t>
            </w:r>
          </w:p>
        </w:tc>
        <w:tc>
          <w:tcPr>
            <w:tcW w:type="dxa" w:w="840"/>
            <w:vAlign w:val="center"/>
          </w:tcPr>
          <w:p>
            <w:r>
              <w:rPr>
                <w:rFonts w:ascii="Times New Roman" w:hAnsi="Times New Roman" w:eastAsia="Times New Roman"/>
                <w:sz w:val="17"/>
              </w:rPr>
              <w:t>23.0</w:t>
            </w:r>
          </w:p>
        </w:tc>
        <w:tc>
          <w:tcPr>
            <w:tcW w:type="dxa" w:w="840"/>
            <w:vAlign w:val="center"/>
          </w:tcPr>
          <w:p>
            <w:r>
              <w:rPr>
                <w:rFonts w:ascii="Times New Roman" w:hAnsi="Times New Roman" w:eastAsia="Times New Roman"/>
                <w:sz w:val="17"/>
              </w:rPr>
              <w:t>9.4</w:t>
            </w:r>
          </w:p>
        </w:tc>
        <w:tc>
          <w:tcPr>
            <w:tcW w:type="dxa" w:w="840"/>
            <w:vAlign w:val="center"/>
          </w:tcPr>
          <w:p>
            <w:r>
              <w:rPr>
                <w:rFonts w:ascii="Times New Roman" w:hAnsi="Times New Roman" w:eastAsia="Times New Roman"/>
                <w:sz w:val="17"/>
              </w:rPr>
              <w:t>55.9</w:t>
            </w:r>
          </w:p>
        </w:tc>
        <w:tc>
          <w:tcPr>
            <w:tcW w:type="dxa" w:w="840"/>
            <w:vAlign w:val="center"/>
          </w:tcPr>
          <w:p>
            <w:r>
              <w:rPr>
                <w:rFonts w:ascii="Times New Roman" w:hAnsi="Times New Roman" w:eastAsia="Times New Roman"/>
                <w:sz w:val="17"/>
              </w:rPr>
              <w:t>13.1</w:t>
            </w:r>
          </w:p>
        </w:tc>
        <w:tc>
          <w:tcPr>
            <w:tcW w:type="dxa" w:w="840"/>
            <w:vAlign w:val="center"/>
          </w:tcPr>
          <w:p>
            <w:r>
              <w:rPr>
                <w:rFonts w:ascii="Times New Roman" w:hAnsi="Times New Roman" w:eastAsia="Times New Roman"/>
                <w:sz w:val="17"/>
              </w:rPr>
              <w:t>73.1</w:t>
            </w:r>
          </w:p>
        </w:tc>
      </w:tr>
      <w:tr>
        <w:tc>
          <w:tcPr>
            <w:tcW w:type="dxa" w:w="840"/>
            <w:vAlign w:val="center"/>
          </w:tcPr>
          <w:p>
            <w:r>
              <w:rPr>
                <w:rFonts w:ascii="Times New Roman" w:hAnsi="Times New Roman" w:eastAsia="Times New Roman"/>
                <w:sz w:val="17"/>
              </w:rPr>
              <w:t>ORD0010</w:t>
            </w:r>
          </w:p>
        </w:tc>
        <w:tc>
          <w:tcPr>
            <w:tcW w:type="dxa" w:w="840"/>
            <w:vAlign w:val="center"/>
          </w:tcPr>
          <w:p>
            <w:r>
              <w:rPr>
                <w:rFonts w:ascii="Times New Roman" w:hAnsi="Times New Roman" w:eastAsia="Times New Roman"/>
                <w:sz w:val="17"/>
              </w:rPr>
              <w:t>West</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High</w:t>
            </w:r>
          </w:p>
        </w:tc>
        <w:tc>
          <w:tcPr>
            <w:tcW w:type="dxa" w:w="840"/>
            <w:vAlign w:val="center"/>
          </w:tcPr>
          <w:p>
            <w:r>
              <w:rPr>
                <w:rFonts w:ascii="Times New Roman" w:hAnsi="Times New Roman" w:eastAsia="Times New Roman"/>
                <w:sz w:val="17"/>
              </w:rPr>
              <w:t>14497</w:t>
            </w:r>
          </w:p>
        </w:tc>
        <w:tc>
          <w:tcPr>
            <w:tcW w:type="dxa" w:w="840"/>
            <w:vAlign w:val="center"/>
          </w:tcPr>
          <w:p>
            <w:r>
              <w:rPr>
                <w:rFonts w:ascii="Times New Roman" w:hAnsi="Times New Roman" w:eastAsia="Times New Roman"/>
                <w:sz w:val="17"/>
              </w:rPr>
              <w:t>7000</w:t>
            </w:r>
          </w:p>
        </w:tc>
        <w:tc>
          <w:tcPr>
            <w:tcW w:type="dxa" w:w="840"/>
            <w:vAlign w:val="center"/>
          </w:tcPr>
          <w:p>
            <w:r>
              <w:rPr>
                <w:rFonts w:ascii="Times New Roman" w:hAnsi="Times New Roman" w:eastAsia="Times New Roman"/>
                <w:sz w:val="17"/>
              </w:rPr>
              <w:t>8</w:t>
            </w:r>
          </w:p>
        </w:tc>
        <w:tc>
          <w:tcPr>
            <w:tcW w:type="dxa" w:w="840"/>
            <w:vAlign w:val="center"/>
          </w:tcPr>
          <w:p>
            <w:r>
              <w:rPr>
                <w:rFonts w:ascii="Times New Roman" w:hAnsi="Times New Roman" w:eastAsia="Times New Roman"/>
                <w:sz w:val="17"/>
              </w:rPr>
              <w:t>17.4</w:t>
            </w:r>
          </w:p>
        </w:tc>
        <w:tc>
          <w:tcPr>
            <w:tcW w:type="dxa" w:w="840"/>
            <w:vAlign w:val="center"/>
          </w:tcPr>
          <w:p>
            <w:r>
              <w:rPr>
                <w:rFonts w:ascii="Times New Roman" w:hAnsi="Times New Roman" w:eastAsia="Times New Roman"/>
                <w:sz w:val="17"/>
              </w:rPr>
              <w:t>6.5</w:t>
            </w:r>
          </w:p>
        </w:tc>
        <w:tc>
          <w:tcPr>
            <w:tcW w:type="dxa" w:w="840"/>
            <w:vAlign w:val="center"/>
          </w:tcPr>
          <w:p>
            <w:r>
              <w:rPr>
                <w:rFonts w:ascii="Times New Roman" w:hAnsi="Times New Roman" w:eastAsia="Times New Roman"/>
                <w:sz w:val="17"/>
              </w:rPr>
              <w:t>44.4</w:t>
            </w:r>
          </w:p>
        </w:tc>
        <w:tc>
          <w:tcPr>
            <w:tcW w:type="dxa" w:w="840"/>
            <w:vAlign w:val="center"/>
          </w:tcPr>
          <w:p>
            <w:r>
              <w:rPr>
                <w:rFonts w:ascii="Times New Roman" w:hAnsi="Times New Roman" w:eastAsia="Times New Roman"/>
                <w:sz w:val="17"/>
              </w:rPr>
              <w:t>16.7</w:t>
            </w:r>
          </w:p>
        </w:tc>
        <w:tc>
          <w:tcPr>
            <w:tcW w:type="dxa" w:w="840"/>
            <w:vAlign w:val="center"/>
          </w:tcPr>
          <w:p>
            <w:r>
              <w:rPr>
                <w:rFonts w:ascii="Times New Roman" w:hAnsi="Times New Roman" w:eastAsia="Times New Roman"/>
                <w:sz w:val="17"/>
              </w:rPr>
              <w:t>77.2</w:t>
            </w:r>
          </w:p>
        </w:tc>
      </w:tr>
      <w:tr>
        <w:tc>
          <w:tcPr>
            <w:tcW w:type="dxa" w:w="840"/>
            <w:vAlign w:val="center"/>
          </w:tcPr>
          <w:p>
            <w:r>
              <w:rPr>
                <w:rFonts w:ascii="Times New Roman" w:hAnsi="Times New Roman" w:eastAsia="Times New Roman"/>
                <w:sz w:val="17"/>
              </w:rPr>
              <w:t>ORD0011</w:t>
            </w:r>
          </w:p>
        </w:tc>
        <w:tc>
          <w:tcPr>
            <w:tcW w:type="dxa" w:w="840"/>
            <w:vAlign w:val="center"/>
          </w:tcPr>
          <w:p>
            <w:r>
              <w:rPr>
                <w:rFonts w:ascii="Times New Roman" w:hAnsi="Times New Roman" w:eastAsia="Times New Roman"/>
                <w:sz w:val="17"/>
              </w:rPr>
              <w:t>West</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18000</w:t>
            </w:r>
          </w:p>
        </w:tc>
        <w:tc>
          <w:tcPr>
            <w:tcW w:type="dxa" w:w="840"/>
            <w:vAlign w:val="center"/>
          </w:tcPr>
          <w:p>
            <w:r>
              <w:rPr>
                <w:rFonts w:ascii="Times New Roman" w:hAnsi="Times New Roman" w:eastAsia="Times New Roman"/>
                <w:sz w:val="17"/>
              </w:rPr>
              <w:t>9797</w:t>
            </w:r>
          </w:p>
        </w:tc>
        <w:tc>
          <w:tcPr>
            <w:tcW w:type="dxa" w:w="840"/>
            <w:vAlign w:val="center"/>
          </w:tcPr>
          <w:p>
            <w:r>
              <w:rPr>
                <w:rFonts w:ascii="Times New Roman" w:hAnsi="Times New Roman" w:eastAsia="Times New Roman"/>
                <w:sz w:val="17"/>
              </w:rPr>
              <w:t>5</w:t>
            </w:r>
          </w:p>
        </w:tc>
        <w:tc>
          <w:tcPr>
            <w:tcW w:type="dxa" w:w="840"/>
            <w:vAlign w:val="center"/>
          </w:tcPr>
          <w:p>
            <w:r>
              <w:rPr>
                <w:rFonts w:ascii="Times New Roman" w:hAnsi="Times New Roman" w:eastAsia="Times New Roman"/>
                <w:sz w:val="17"/>
              </w:rPr>
              <w:t>12.8</w:t>
            </w:r>
          </w:p>
        </w:tc>
        <w:tc>
          <w:tcPr>
            <w:tcW w:type="dxa" w:w="840"/>
            <w:vAlign w:val="center"/>
          </w:tcPr>
          <w:p>
            <w:r>
              <w:rPr>
                <w:rFonts w:ascii="Times New Roman" w:hAnsi="Times New Roman" w:eastAsia="Times New Roman"/>
                <w:sz w:val="17"/>
              </w:rPr>
              <w:t>8.5</w:t>
            </w:r>
          </w:p>
        </w:tc>
        <w:tc>
          <w:tcPr>
            <w:tcW w:type="dxa" w:w="840"/>
            <w:vAlign w:val="center"/>
          </w:tcPr>
          <w:p>
            <w:r>
              <w:rPr>
                <w:rFonts w:ascii="Times New Roman" w:hAnsi="Times New Roman" w:eastAsia="Times New Roman"/>
                <w:sz w:val="17"/>
              </w:rPr>
              <w:t>25.7</w:t>
            </w:r>
          </w:p>
        </w:tc>
        <w:tc>
          <w:tcPr>
            <w:tcW w:type="dxa" w:w="840"/>
            <w:vAlign w:val="center"/>
          </w:tcPr>
          <w:p>
            <w:r>
              <w:rPr>
                <w:rFonts w:ascii="Times New Roman" w:hAnsi="Times New Roman" w:eastAsia="Times New Roman"/>
                <w:sz w:val="17"/>
              </w:rPr>
              <w:t>5.4</w:t>
            </w:r>
          </w:p>
        </w:tc>
        <w:tc>
          <w:tcPr>
            <w:tcW w:type="dxa" w:w="840"/>
            <w:vAlign w:val="center"/>
          </w:tcPr>
          <w:p>
            <w:r>
              <w:rPr>
                <w:rFonts w:ascii="Times New Roman" w:hAnsi="Times New Roman" w:eastAsia="Times New Roman"/>
                <w:sz w:val="17"/>
              </w:rPr>
              <w:t>89.5</w:t>
            </w:r>
          </w:p>
        </w:tc>
      </w:tr>
      <w:tr>
        <w:tc>
          <w:tcPr>
            <w:tcW w:type="dxa" w:w="840"/>
            <w:vAlign w:val="center"/>
          </w:tcPr>
          <w:p>
            <w:r>
              <w:rPr>
                <w:rFonts w:ascii="Times New Roman" w:hAnsi="Times New Roman" w:eastAsia="Times New Roman"/>
                <w:sz w:val="17"/>
              </w:rPr>
              <w:t>ORD0012</w:t>
            </w:r>
          </w:p>
        </w:tc>
        <w:tc>
          <w:tcPr>
            <w:tcW w:type="dxa" w:w="840"/>
            <w:vAlign w:val="center"/>
          </w:tcPr>
          <w:p>
            <w:r>
              <w:rPr>
                <w:rFonts w:ascii="Times New Roman" w:hAnsi="Times New Roman" w:eastAsia="Times New Roman"/>
                <w:sz w:val="17"/>
              </w:rPr>
              <w:t>South</w:t>
            </w:r>
          </w:p>
        </w:tc>
        <w:tc>
          <w:tcPr>
            <w:tcW w:type="dxa" w:w="840"/>
            <w:vAlign w:val="center"/>
          </w:tcPr>
          <w:p>
            <w:r>
              <w:rPr>
                <w:rFonts w:ascii="Times New Roman" w:hAnsi="Times New Roman" w:eastAsia="Times New Roman"/>
                <w:sz w:val="17"/>
              </w:rPr>
              <w:t>Petrol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10778</w:t>
            </w:r>
          </w:p>
        </w:tc>
        <w:tc>
          <w:tcPr>
            <w:tcW w:type="dxa" w:w="840"/>
            <w:vAlign w:val="center"/>
          </w:tcPr>
          <w:p>
            <w:r>
              <w:rPr>
                <w:rFonts w:ascii="Times New Roman" w:hAnsi="Times New Roman" w:eastAsia="Times New Roman"/>
                <w:sz w:val="17"/>
              </w:rPr>
              <w:t>16025</w:t>
            </w:r>
          </w:p>
        </w:tc>
        <w:tc>
          <w:tcPr>
            <w:tcW w:type="dxa" w:w="840"/>
            <w:vAlign w:val="center"/>
          </w:tcPr>
          <w:p>
            <w:r>
              <w:rPr>
                <w:rFonts w:ascii="Times New Roman" w:hAnsi="Times New Roman" w:eastAsia="Times New Roman"/>
                <w:sz w:val="17"/>
              </w:rPr>
              <w:t>5</w:t>
            </w:r>
          </w:p>
        </w:tc>
        <w:tc>
          <w:tcPr>
            <w:tcW w:type="dxa" w:w="840"/>
            <w:vAlign w:val="center"/>
          </w:tcPr>
          <w:p>
            <w:r>
              <w:rPr>
                <w:rFonts w:ascii="Times New Roman" w:hAnsi="Times New Roman" w:eastAsia="Times New Roman"/>
                <w:sz w:val="17"/>
              </w:rPr>
              <w:t>27.1</w:t>
            </w:r>
          </w:p>
        </w:tc>
        <w:tc>
          <w:tcPr>
            <w:tcW w:type="dxa" w:w="840"/>
            <w:vAlign w:val="center"/>
          </w:tcPr>
          <w:p>
            <w:r>
              <w:rPr>
                <w:rFonts w:ascii="Times New Roman" w:hAnsi="Times New Roman" w:eastAsia="Times New Roman"/>
                <w:sz w:val="17"/>
              </w:rPr>
              <w:t>8.3</w:t>
            </w:r>
          </w:p>
        </w:tc>
        <w:tc>
          <w:tcPr>
            <w:tcW w:type="dxa" w:w="840"/>
            <w:vAlign w:val="center"/>
          </w:tcPr>
          <w:p>
            <w:r>
              <w:rPr>
                <w:rFonts w:ascii="Times New Roman" w:hAnsi="Times New Roman" w:eastAsia="Times New Roman"/>
                <w:sz w:val="17"/>
              </w:rPr>
              <w:t>65.5</w:t>
            </w:r>
          </w:p>
        </w:tc>
        <w:tc>
          <w:tcPr>
            <w:tcW w:type="dxa" w:w="840"/>
            <w:vAlign w:val="center"/>
          </w:tcPr>
          <w:p>
            <w:r>
              <w:rPr>
                <w:rFonts w:ascii="Times New Roman" w:hAnsi="Times New Roman" w:eastAsia="Times New Roman"/>
                <w:sz w:val="17"/>
              </w:rPr>
              <w:t>20.7</w:t>
            </w:r>
          </w:p>
        </w:tc>
        <w:tc>
          <w:tcPr>
            <w:tcW w:type="dxa" w:w="840"/>
            <w:vAlign w:val="center"/>
          </w:tcPr>
          <w:p>
            <w:r>
              <w:rPr>
                <w:rFonts w:ascii="Times New Roman" w:hAnsi="Times New Roman" w:eastAsia="Times New Roman"/>
                <w:sz w:val="17"/>
              </w:rPr>
              <w:t>64.9</w:t>
            </w:r>
          </w:p>
        </w:tc>
      </w:tr>
      <w:tr>
        <w:tc>
          <w:tcPr>
            <w:tcW w:type="dxa" w:w="840"/>
            <w:vAlign w:val="center"/>
          </w:tcPr>
          <w:p>
            <w:r>
              <w:rPr>
                <w:rFonts w:ascii="Times New Roman" w:hAnsi="Times New Roman" w:eastAsia="Times New Roman"/>
                <w:sz w:val="17"/>
              </w:rPr>
              <w:t>ORD0013</w:t>
            </w:r>
          </w:p>
        </w:tc>
        <w:tc>
          <w:tcPr>
            <w:tcW w:type="dxa" w:w="840"/>
            <w:vAlign w:val="center"/>
          </w:tcPr>
          <w:p>
            <w:r>
              <w:rPr>
                <w:rFonts w:ascii="Times New Roman" w:hAnsi="Times New Roman" w:eastAsia="Times New Roman"/>
                <w:sz w:val="17"/>
              </w:rPr>
              <w:t>South</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9754</w:t>
            </w:r>
          </w:p>
        </w:tc>
        <w:tc>
          <w:tcPr>
            <w:tcW w:type="dxa" w:w="840"/>
            <w:vAlign w:val="center"/>
          </w:tcPr>
          <w:p>
            <w:r>
              <w:rPr>
                <w:rFonts w:ascii="Times New Roman" w:hAnsi="Times New Roman" w:eastAsia="Times New Roman"/>
                <w:sz w:val="17"/>
              </w:rPr>
              <w:t>20220</w:t>
            </w:r>
          </w:p>
        </w:tc>
        <w:tc>
          <w:tcPr>
            <w:tcW w:type="dxa" w:w="840"/>
            <w:vAlign w:val="center"/>
          </w:tcPr>
          <w:p>
            <w:r>
              <w:rPr>
                <w:rFonts w:ascii="Times New Roman" w:hAnsi="Times New Roman" w:eastAsia="Times New Roman"/>
                <w:sz w:val="17"/>
              </w:rPr>
              <w:t>8</w:t>
            </w:r>
          </w:p>
        </w:tc>
        <w:tc>
          <w:tcPr>
            <w:tcW w:type="dxa" w:w="840"/>
            <w:vAlign w:val="center"/>
          </w:tcPr>
          <w:p>
            <w:r>
              <w:rPr>
                <w:rFonts w:ascii="Times New Roman" w:hAnsi="Times New Roman" w:eastAsia="Times New Roman"/>
                <w:sz w:val="17"/>
              </w:rPr>
              <w:t>10.8</w:t>
            </w:r>
          </w:p>
        </w:tc>
        <w:tc>
          <w:tcPr>
            <w:tcW w:type="dxa" w:w="840"/>
            <w:vAlign w:val="center"/>
          </w:tcPr>
          <w:p>
            <w:r>
              <w:rPr>
                <w:rFonts w:ascii="Times New Roman" w:hAnsi="Times New Roman" w:eastAsia="Times New Roman"/>
                <w:sz w:val="17"/>
              </w:rPr>
              <w:t>11.6</w:t>
            </w:r>
          </w:p>
        </w:tc>
        <w:tc>
          <w:tcPr>
            <w:tcW w:type="dxa" w:w="840"/>
            <w:vAlign w:val="center"/>
          </w:tcPr>
          <w:p>
            <w:r>
              <w:rPr>
                <w:rFonts w:ascii="Times New Roman" w:hAnsi="Times New Roman" w:eastAsia="Times New Roman"/>
                <w:sz w:val="17"/>
              </w:rPr>
              <w:t>33.7</w:t>
            </w:r>
          </w:p>
        </w:tc>
        <w:tc>
          <w:tcPr>
            <w:tcW w:type="dxa" w:w="840"/>
            <w:vAlign w:val="center"/>
          </w:tcPr>
          <w:p>
            <w:r>
              <w:rPr>
                <w:rFonts w:ascii="Times New Roman" w:hAnsi="Times New Roman" w:eastAsia="Times New Roman"/>
                <w:sz w:val="17"/>
              </w:rPr>
              <w:t>14.5</w:t>
            </w:r>
          </w:p>
        </w:tc>
        <w:tc>
          <w:tcPr>
            <w:tcW w:type="dxa" w:w="840"/>
            <w:vAlign w:val="center"/>
          </w:tcPr>
          <w:p>
            <w:r>
              <w:rPr>
                <w:rFonts w:ascii="Times New Roman" w:hAnsi="Times New Roman" w:eastAsia="Times New Roman"/>
                <w:sz w:val="17"/>
              </w:rPr>
              <w:t>79.4</w:t>
            </w:r>
          </w:p>
        </w:tc>
      </w:tr>
      <w:tr>
        <w:tc>
          <w:tcPr>
            <w:tcW w:type="dxa" w:w="840"/>
            <w:vAlign w:val="center"/>
          </w:tcPr>
          <w:p>
            <w:r>
              <w:rPr>
                <w:rFonts w:ascii="Times New Roman" w:hAnsi="Times New Roman" w:eastAsia="Times New Roman"/>
                <w:sz w:val="17"/>
              </w:rPr>
              <w:t>ORD0014</w:t>
            </w:r>
          </w:p>
        </w:tc>
        <w:tc>
          <w:tcPr>
            <w:tcW w:type="dxa" w:w="840"/>
            <w:vAlign w:val="center"/>
          </w:tcPr>
          <w:p>
            <w:r>
              <w:rPr>
                <w:rFonts w:ascii="Times New Roman" w:hAnsi="Times New Roman" w:eastAsia="Times New Roman"/>
                <w:sz w:val="17"/>
              </w:rPr>
              <w:t>East</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High</w:t>
            </w:r>
          </w:p>
        </w:tc>
        <w:tc>
          <w:tcPr>
            <w:tcW w:type="dxa" w:w="840"/>
            <w:vAlign w:val="center"/>
          </w:tcPr>
          <w:p>
            <w:r>
              <w:rPr>
                <w:rFonts w:ascii="Times New Roman" w:hAnsi="Times New Roman" w:eastAsia="Times New Roman"/>
                <w:sz w:val="17"/>
              </w:rPr>
              <w:t>13633</w:t>
            </w:r>
          </w:p>
        </w:tc>
        <w:tc>
          <w:tcPr>
            <w:tcW w:type="dxa" w:w="840"/>
            <w:vAlign w:val="center"/>
          </w:tcPr>
          <w:p>
            <w:r>
              <w:rPr>
                <w:rFonts w:ascii="Times New Roman" w:hAnsi="Times New Roman" w:eastAsia="Times New Roman"/>
                <w:sz w:val="17"/>
              </w:rPr>
              <w:t>8808</w:t>
            </w:r>
          </w:p>
        </w:tc>
        <w:tc>
          <w:tcPr>
            <w:tcW w:type="dxa" w:w="840"/>
            <w:vAlign w:val="center"/>
          </w:tcPr>
          <w:p>
            <w:r>
              <w:rPr>
                <w:rFonts w:ascii="Times New Roman" w:hAnsi="Times New Roman" w:eastAsia="Times New Roman"/>
                <w:sz w:val="17"/>
              </w:rPr>
              <w:t>10</w:t>
            </w:r>
          </w:p>
        </w:tc>
        <w:tc>
          <w:tcPr>
            <w:tcW w:type="dxa" w:w="840"/>
            <w:vAlign w:val="center"/>
          </w:tcPr>
          <w:p>
            <w:r>
              <w:rPr>
                <w:rFonts w:ascii="Times New Roman" w:hAnsi="Times New Roman" w:eastAsia="Times New Roman"/>
                <w:sz w:val="17"/>
              </w:rPr>
              <w:t>11.0</w:t>
            </w:r>
          </w:p>
        </w:tc>
        <w:tc>
          <w:tcPr>
            <w:tcW w:type="dxa" w:w="840"/>
            <w:vAlign w:val="center"/>
          </w:tcPr>
          <w:p>
            <w:r>
              <w:rPr>
                <w:rFonts w:ascii="Times New Roman" w:hAnsi="Times New Roman" w:eastAsia="Times New Roman"/>
                <w:sz w:val="17"/>
              </w:rPr>
              <w:t>10.1</w:t>
            </w:r>
          </w:p>
        </w:tc>
        <w:tc>
          <w:tcPr>
            <w:tcW w:type="dxa" w:w="840"/>
            <w:vAlign w:val="center"/>
          </w:tcPr>
          <w:p>
            <w:r>
              <w:rPr>
                <w:rFonts w:ascii="Times New Roman" w:hAnsi="Times New Roman" w:eastAsia="Times New Roman"/>
                <w:sz w:val="17"/>
              </w:rPr>
              <w:t>30.0</w:t>
            </w:r>
          </w:p>
        </w:tc>
        <w:tc>
          <w:tcPr>
            <w:tcW w:type="dxa" w:w="840"/>
            <w:vAlign w:val="center"/>
          </w:tcPr>
          <w:p>
            <w:r>
              <w:rPr>
                <w:rFonts w:ascii="Times New Roman" w:hAnsi="Times New Roman" w:eastAsia="Times New Roman"/>
                <w:sz w:val="17"/>
              </w:rPr>
              <w:t>13.0</w:t>
            </w:r>
          </w:p>
        </w:tc>
        <w:tc>
          <w:tcPr>
            <w:tcW w:type="dxa" w:w="840"/>
            <w:vAlign w:val="center"/>
          </w:tcPr>
          <w:p>
            <w:r>
              <w:rPr>
                <w:rFonts w:ascii="Times New Roman" w:hAnsi="Times New Roman" w:eastAsia="Times New Roman"/>
                <w:sz w:val="17"/>
              </w:rPr>
              <w:t>80.6</w:t>
            </w:r>
          </w:p>
        </w:tc>
      </w:tr>
      <w:tr>
        <w:tc>
          <w:tcPr>
            <w:tcW w:type="dxa" w:w="840"/>
            <w:vAlign w:val="center"/>
          </w:tcPr>
          <w:p>
            <w:r>
              <w:rPr>
                <w:rFonts w:ascii="Times New Roman" w:hAnsi="Times New Roman" w:eastAsia="Times New Roman"/>
                <w:sz w:val="17"/>
              </w:rPr>
              <w:t>ORD0015</w:t>
            </w:r>
          </w:p>
        </w:tc>
        <w:tc>
          <w:tcPr>
            <w:tcW w:type="dxa" w:w="840"/>
            <w:vAlign w:val="center"/>
          </w:tcPr>
          <w:p>
            <w:r>
              <w:rPr>
                <w:rFonts w:ascii="Times New Roman" w:hAnsi="Times New Roman" w:eastAsia="Times New Roman"/>
                <w:sz w:val="17"/>
              </w:rPr>
              <w:t>South</w:t>
            </w:r>
          </w:p>
        </w:tc>
        <w:tc>
          <w:tcPr>
            <w:tcW w:type="dxa" w:w="840"/>
            <w:vAlign w:val="center"/>
          </w:tcPr>
          <w:p>
            <w:r>
              <w:rPr>
                <w:rFonts w:ascii="Times New Roman" w:hAnsi="Times New Roman" w:eastAsia="Times New Roman"/>
                <w:sz w:val="17"/>
              </w:rPr>
              <w:t>Petrol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8406</w:t>
            </w:r>
          </w:p>
        </w:tc>
        <w:tc>
          <w:tcPr>
            <w:tcW w:type="dxa" w:w="840"/>
            <w:vAlign w:val="center"/>
          </w:tcPr>
          <w:p>
            <w:r>
              <w:rPr>
                <w:rFonts w:ascii="Times New Roman" w:hAnsi="Times New Roman" w:eastAsia="Times New Roman"/>
                <w:sz w:val="17"/>
              </w:rPr>
              <w:t>11838</w:t>
            </w:r>
          </w:p>
        </w:tc>
        <w:tc>
          <w:tcPr>
            <w:tcW w:type="dxa" w:w="840"/>
            <w:vAlign w:val="center"/>
          </w:tcPr>
          <w:p>
            <w:r>
              <w:rPr>
                <w:rFonts w:ascii="Times New Roman" w:hAnsi="Times New Roman" w:eastAsia="Times New Roman"/>
                <w:sz w:val="17"/>
              </w:rPr>
              <w:t>8</w:t>
            </w:r>
          </w:p>
        </w:tc>
        <w:tc>
          <w:tcPr>
            <w:tcW w:type="dxa" w:w="840"/>
            <w:vAlign w:val="center"/>
          </w:tcPr>
          <w:p>
            <w:r>
              <w:rPr>
                <w:rFonts w:ascii="Times New Roman" w:hAnsi="Times New Roman" w:eastAsia="Times New Roman"/>
                <w:sz w:val="17"/>
              </w:rPr>
              <w:t>11.0</w:t>
            </w:r>
          </w:p>
        </w:tc>
        <w:tc>
          <w:tcPr>
            <w:tcW w:type="dxa" w:w="840"/>
            <w:vAlign w:val="center"/>
          </w:tcPr>
          <w:p>
            <w:r>
              <w:rPr>
                <w:rFonts w:ascii="Times New Roman" w:hAnsi="Times New Roman" w:eastAsia="Times New Roman"/>
                <w:sz w:val="17"/>
              </w:rPr>
              <w:t>10.1</w:t>
            </w:r>
          </w:p>
        </w:tc>
        <w:tc>
          <w:tcPr>
            <w:tcW w:type="dxa" w:w="840"/>
            <w:vAlign w:val="center"/>
          </w:tcPr>
          <w:p>
            <w:r>
              <w:rPr>
                <w:rFonts w:ascii="Times New Roman" w:hAnsi="Times New Roman" w:eastAsia="Times New Roman"/>
                <w:sz w:val="17"/>
              </w:rPr>
              <w:t>43.3</w:t>
            </w:r>
          </w:p>
        </w:tc>
        <w:tc>
          <w:tcPr>
            <w:tcW w:type="dxa" w:w="840"/>
            <w:vAlign w:val="center"/>
          </w:tcPr>
          <w:p>
            <w:r>
              <w:rPr>
                <w:rFonts w:ascii="Times New Roman" w:hAnsi="Times New Roman" w:eastAsia="Times New Roman"/>
                <w:sz w:val="17"/>
              </w:rPr>
              <w:t>15.1</w:t>
            </w:r>
          </w:p>
        </w:tc>
        <w:tc>
          <w:tcPr>
            <w:tcW w:type="dxa" w:w="840"/>
            <w:vAlign w:val="center"/>
          </w:tcPr>
          <w:p>
            <w:r>
              <w:rPr>
                <w:rFonts w:ascii="Times New Roman" w:hAnsi="Times New Roman" w:eastAsia="Times New Roman"/>
                <w:sz w:val="17"/>
              </w:rPr>
              <w:t>80.7</w:t>
            </w:r>
          </w:p>
        </w:tc>
      </w:tr>
      <w:tr>
        <w:tc>
          <w:tcPr>
            <w:tcW w:type="dxa" w:w="840"/>
            <w:vAlign w:val="center"/>
          </w:tcPr>
          <w:p>
            <w:r>
              <w:rPr>
                <w:rFonts w:ascii="Times New Roman" w:hAnsi="Times New Roman" w:eastAsia="Times New Roman"/>
                <w:sz w:val="17"/>
              </w:rPr>
              <w:t>ORD0016</w:t>
            </w:r>
          </w:p>
        </w:tc>
        <w:tc>
          <w:tcPr>
            <w:tcW w:type="dxa" w:w="840"/>
            <w:vAlign w:val="center"/>
          </w:tcPr>
          <w:p>
            <w:r>
              <w:rPr>
                <w:rFonts w:ascii="Times New Roman" w:hAnsi="Times New Roman" w:eastAsia="Times New Roman"/>
                <w:sz w:val="17"/>
              </w:rPr>
              <w:t>East</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13198</w:t>
            </w:r>
          </w:p>
        </w:tc>
        <w:tc>
          <w:tcPr>
            <w:tcW w:type="dxa" w:w="840"/>
            <w:vAlign w:val="center"/>
          </w:tcPr>
          <w:p>
            <w:r>
              <w:rPr>
                <w:rFonts w:ascii="Times New Roman" w:hAnsi="Times New Roman" w:eastAsia="Times New Roman"/>
                <w:sz w:val="17"/>
              </w:rPr>
              <w:t>11698</w:t>
            </w:r>
          </w:p>
        </w:tc>
        <w:tc>
          <w:tcPr>
            <w:tcW w:type="dxa" w:w="840"/>
            <w:vAlign w:val="center"/>
          </w:tcPr>
          <w:p>
            <w:r>
              <w:rPr>
                <w:rFonts w:ascii="Times New Roman" w:hAnsi="Times New Roman" w:eastAsia="Times New Roman"/>
                <w:sz w:val="17"/>
              </w:rPr>
              <w:t>8</w:t>
            </w:r>
          </w:p>
        </w:tc>
        <w:tc>
          <w:tcPr>
            <w:tcW w:type="dxa" w:w="840"/>
            <w:vAlign w:val="center"/>
          </w:tcPr>
          <w:p>
            <w:r>
              <w:rPr>
                <w:rFonts w:ascii="Times New Roman" w:hAnsi="Times New Roman" w:eastAsia="Times New Roman"/>
                <w:sz w:val="17"/>
              </w:rPr>
              <w:t>10.9</w:t>
            </w:r>
          </w:p>
        </w:tc>
        <w:tc>
          <w:tcPr>
            <w:tcW w:type="dxa" w:w="840"/>
            <w:vAlign w:val="center"/>
          </w:tcPr>
          <w:p>
            <w:r>
              <w:rPr>
                <w:rFonts w:ascii="Times New Roman" w:hAnsi="Times New Roman" w:eastAsia="Times New Roman"/>
                <w:sz w:val="17"/>
              </w:rPr>
              <w:t>6.6</w:t>
            </w:r>
          </w:p>
        </w:tc>
        <w:tc>
          <w:tcPr>
            <w:tcW w:type="dxa" w:w="840"/>
            <w:vAlign w:val="center"/>
          </w:tcPr>
          <w:p>
            <w:r>
              <w:rPr>
                <w:rFonts w:ascii="Times New Roman" w:hAnsi="Times New Roman" w:eastAsia="Times New Roman"/>
                <w:sz w:val="17"/>
              </w:rPr>
              <w:t>38.8</w:t>
            </w:r>
          </w:p>
        </w:tc>
        <w:tc>
          <w:tcPr>
            <w:tcW w:type="dxa" w:w="840"/>
            <w:vAlign w:val="center"/>
          </w:tcPr>
          <w:p>
            <w:r>
              <w:rPr>
                <w:rFonts w:ascii="Times New Roman" w:hAnsi="Times New Roman" w:eastAsia="Times New Roman"/>
                <w:sz w:val="17"/>
              </w:rPr>
              <w:t>15.1</w:t>
            </w:r>
          </w:p>
        </w:tc>
        <w:tc>
          <w:tcPr>
            <w:tcW w:type="dxa" w:w="840"/>
            <w:vAlign w:val="center"/>
          </w:tcPr>
          <w:p>
            <w:r>
              <w:rPr>
                <w:rFonts w:ascii="Times New Roman" w:hAnsi="Times New Roman" w:eastAsia="Times New Roman"/>
                <w:sz w:val="17"/>
              </w:rPr>
              <w:t>78.1</w:t>
            </w:r>
          </w:p>
        </w:tc>
      </w:tr>
    </w:tbl>
    <w:p>
      <w:pPr>
        <w:spacing w:after="80" w:line="240" w:lineRule="auto"/>
      </w:pPr>
      <w:r>
        <w:rPr>
          <w:rFonts w:ascii="Times New Roman" w:hAnsi="Times New Roman" w:eastAsia="Times New Roman"/>
          <w:b w:val="0"/>
          <w:i w:val="0"/>
        </w:rPr>
        <w:t>The appendix reproduces 16 representative rows. The full synthetic dataset contains 350 records and is the basis for the reported charts and analyses.</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Appendix B. Algorithm Pseudocode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eastAsia="Times New Roman"/>
                <w:b/>
                <w:sz w:val="17"/>
              </w:rPr>
              <w:t>Method</w:t>
            </w:r>
          </w:p>
        </w:tc>
        <w:tc>
          <w:tcPr>
            <w:tcW w:type="dxa" w:w="3360"/>
            <w:vAlign w:val="center"/>
          </w:tcPr>
          <w:p>
            <w:r>
              <w:rPr>
                <w:rFonts w:ascii="Times New Roman" w:hAnsi="Times New Roman" w:eastAsia="Times New Roman"/>
                <w:b/>
                <w:sz w:val="17"/>
              </w:rPr>
              <w:t>Core idea</w:t>
            </w:r>
          </w:p>
        </w:tc>
        <w:tc>
          <w:tcPr>
            <w:tcW w:type="dxa" w:w="3360"/>
            <w:vAlign w:val="center"/>
          </w:tcPr>
          <w:p>
            <w:r>
              <w:rPr>
                <w:rFonts w:ascii="Times New Roman" w:hAnsi="Times New Roman" w:eastAsia="Times New Roman"/>
                <w:b/>
                <w:sz w:val="17"/>
              </w:rPr>
              <w:t>Project usage</w:t>
            </w:r>
          </w:p>
        </w:tc>
      </w:tr>
      <w:tr>
        <w:tc>
          <w:tcPr>
            <w:tcW w:type="dxa" w:w="3360"/>
            <w:vAlign w:val="center"/>
          </w:tcPr>
          <w:p>
            <w:r>
              <w:rPr>
                <w:rFonts w:ascii="Times New Roman" w:hAnsi="Times New Roman" w:eastAsia="Times New Roman"/>
                <w:sz w:val="17"/>
              </w:rPr>
              <w:t>BFS</w:t>
            </w:r>
          </w:p>
        </w:tc>
        <w:tc>
          <w:tcPr>
            <w:tcW w:type="dxa" w:w="3360"/>
            <w:vAlign w:val="center"/>
          </w:tcPr>
          <w:p>
            <w:r>
              <w:rPr>
                <w:rFonts w:ascii="Times New Roman" w:hAnsi="Times New Roman" w:eastAsia="Times New Roman"/>
                <w:sz w:val="17"/>
              </w:rPr>
              <w:t>Expand all nodes at depth d before depth d+1</w:t>
            </w:r>
          </w:p>
        </w:tc>
        <w:tc>
          <w:tcPr>
            <w:tcW w:type="dxa" w:w="3360"/>
            <w:vAlign w:val="center"/>
          </w:tcPr>
          <w:p>
            <w:r>
              <w:rPr>
                <w:rFonts w:ascii="Times New Roman" w:hAnsi="Times New Roman" w:eastAsia="Times New Roman"/>
                <w:sz w:val="17"/>
              </w:rPr>
              <w:t>Breadth-oriented exploration of dealer operational dependencies.</w:t>
            </w:r>
          </w:p>
        </w:tc>
      </w:tr>
      <w:tr>
        <w:tc>
          <w:tcPr>
            <w:tcW w:type="dxa" w:w="3360"/>
            <w:vAlign w:val="center"/>
          </w:tcPr>
          <w:p>
            <w:r>
              <w:rPr>
                <w:rFonts w:ascii="Times New Roman" w:hAnsi="Times New Roman" w:eastAsia="Times New Roman"/>
                <w:sz w:val="17"/>
              </w:rPr>
              <w:t>DFS</w:t>
            </w:r>
          </w:p>
        </w:tc>
        <w:tc>
          <w:tcPr>
            <w:tcW w:type="dxa" w:w="3360"/>
            <w:vAlign w:val="center"/>
          </w:tcPr>
          <w:p>
            <w:r>
              <w:rPr>
                <w:rFonts w:ascii="Times New Roman" w:hAnsi="Times New Roman" w:eastAsia="Times New Roman"/>
                <w:sz w:val="17"/>
              </w:rPr>
              <w:t>Follow one path deeply before backtracking</w:t>
            </w:r>
          </w:p>
        </w:tc>
        <w:tc>
          <w:tcPr>
            <w:tcW w:type="dxa" w:w="3360"/>
            <w:vAlign w:val="center"/>
          </w:tcPr>
          <w:p>
            <w:r>
              <w:rPr>
                <w:rFonts w:ascii="Times New Roman" w:hAnsi="Times New Roman" w:eastAsia="Times New Roman"/>
                <w:sz w:val="17"/>
              </w:rPr>
              <w:t>Trace a detailed operational dependency chain.</w:t>
            </w:r>
          </w:p>
        </w:tc>
      </w:tr>
      <w:tr>
        <w:tc>
          <w:tcPr>
            <w:tcW w:type="dxa" w:w="3360"/>
            <w:vAlign w:val="center"/>
          </w:tcPr>
          <w:p>
            <w:r>
              <w:rPr>
                <w:rFonts w:ascii="Times New Roman" w:hAnsi="Times New Roman" w:eastAsia="Times New Roman"/>
                <w:sz w:val="17"/>
              </w:rPr>
              <w:t>Hill Climbing</w:t>
            </w:r>
          </w:p>
        </w:tc>
        <w:tc>
          <w:tcPr>
            <w:tcW w:type="dxa" w:w="3360"/>
            <w:vAlign w:val="center"/>
          </w:tcPr>
          <w:p>
            <w:r>
              <w:rPr>
                <w:rFonts w:ascii="Times New Roman" w:hAnsi="Times New Roman" w:eastAsia="Times New Roman"/>
                <w:sz w:val="17"/>
              </w:rPr>
              <w:t>Move to the best improving neighbour until no improvement remains</w:t>
            </w:r>
          </w:p>
        </w:tc>
        <w:tc>
          <w:tcPr>
            <w:tcW w:type="dxa" w:w="3360"/>
            <w:vAlign w:val="center"/>
          </w:tcPr>
          <w:p>
            <w:r>
              <w:rPr>
                <w:rFonts w:ascii="Times New Roman" w:hAnsi="Times New Roman" w:eastAsia="Times New Roman"/>
                <w:sz w:val="17"/>
              </w:rPr>
              <w:t>Local optimization of dealer dispatch schedule.</w:t>
            </w:r>
          </w:p>
        </w:tc>
      </w:tr>
      <w:tr>
        <w:tc>
          <w:tcPr>
            <w:tcW w:type="dxa" w:w="3360"/>
            <w:vAlign w:val="center"/>
          </w:tcPr>
          <w:p>
            <w:r>
              <w:rPr>
                <w:rFonts w:ascii="Times New Roman" w:hAnsi="Times New Roman" w:eastAsia="Times New Roman"/>
                <w:sz w:val="17"/>
              </w:rPr>
              <w:t>Genetic Algorithm</w:t>
            </w:r>
          </w:p>
        </w:tc>
        <w:tc>
          <w:tcPr>
            <w:tcW w:type="dxa" w:w="3360"/>
            <w:vAlign w:val="center"/>
          </w:tcPr>
          <w:p>
            <w:r>
              <w:rPr>
                <w:rFonts w:ascii="Times New Roman" w:hAnsi="Times New Roman" w:eastAsia="Times New Roman"/>
                <w:sz w:val="17"/>
              </w:rPr>
              <w:t>Evolve a population using selection, crossover and mutation</w:t>
            </w:r>
          </w:p>
        </w:tc>
        <w:tc>
          <w:tcPr>
            <w:tcW w:type="dxa" w:w="3360"/>
            <w:vAlign w:val="center"/>
          </w:tcPr>
          <w:p>
            <w:r>
              <w:rPr>
                <w:rFonts w:ascii="Times New Roman" w:hAnsi="Times New Roman" w:eastAsia="Times New Roman"/>
                <w:sz w:val="17"/>
              </w:rPr>
              <w:t>Broader exploration of dispatch scheduling space.</w:t>
            </w:r>
          </w:p>
        </w:tc>
      </w:tr>
      <w:tr>
        <w:tc>
          <w:tcPr>
            <w:tcW w:type="dxa" w:w="3360"/>
            <w:vAlign w:val="center"/>
          </w:tcPr>
          <w:p>
            <w:r>
              <w:rPr>
                <w:rFonts w:ascii="Times New Roman" w:hAnsi="Times New Roman" w:eastAsia="Times New Roman"/>
                <w:sz w:val="17"/>
              </w:rPr>
              <w:t>Factor Analysis</w:t>
            </w:r>
          </w:p>
        </w:tc>
        <w:tc>
          <w:tcPr>
            <w:tcW w:type="dxa" w:w="3360"/>
            <w:vAlign w:val="center"/>
          </w:tcPr>
          <w:p>
            <w:r>
              <w:rPr>
                <w:rFonts w:ascii="Times New Roman" w:hAnsi="Times New Roman" w:eastAsia="Times New Roman"/>
                <w:sz w:val="17"/>
              </w:rPr>
              <w:t>Explain correlated variables using latent dimensions</w:t>
            </w:r>
          </w:p>
        </w:tc>
        <w:tc>
          <w:tcPr>
            <w:tcW w:type="dxa" w:w="3360"/>
            <w:vAlign w:val="center"/>
          </w:tcPr>
          <w:p>
            <w:r>
              <w:rPr>
                <w:rFonts w:ascii="Times New Roman" w:hAnsi="Times New Roman" w:eastAsia="Times New Roman"/>
                <w:sz w:val="17"/>
              </w:rPr>
              <w:t>Identify hidden logistics dimensions behind dealer outcomes.</w:t>
            </w:r>
          </w:p>
        </w:tc>
      </w:tr>
    </w:tbl>
    <w:p>
      <w:pPr>
        <w:pStyle w:val="Heading1"/>
        <w:spacing w:after="80" w:line="240" w:lineRule="auto"/>
      </w:pPr>
      <w:r>
        <w:rPr>
          <w:rFonts w:ascii="Times New Roman" w:hAnsi="Times New Roman" w:eastAsia="Times New Roman"/>
        </w:rPr>
        <w:t>Appendix C. Recommended Evaluation Plan for the Final Prototype</w:t>
      </w:r>
    </w:p>
    <w:p>
      <w:pPr>
        <w:pStyle w:val="ListBullet"/>
        <w:spacing w:after="80" w:line="240" w:lineRule="auto"/>
      </w:pPr>
      <w:r>
        <w:rPr>
          <w:rFonts w:ascii="Times New Roman" w:hAnsi="Times New Roman" w:eastAsia="Times New Roman"/>
        </w:rPr>
        <w:t>Collect a held-out set of historical dealer orders and dispatch records.</w:t>
      </w:r>
    </w:p>
    <w:p>
      <w:pPr>
        <w:pStyle w:val="ListBullet"/>
        <w:spacing w:after="80" w:line="240" w:lineRule="auto"/>
      </w:pPr>
      <w:r>
        <w:rPr>
          <w:rFonts w:ascii="Times New Roman" w:hAnsi="Times New Roman" w:eastAsia="Times New Roman"/>
        </w:rPr>
        <w:t>Measure demand forecasting MAE/MAPE against actual consumption.</w:t>
      </w:r>
    </w:p>
    <w:p>
      <w:pPr>
        <w:pStyle w:val="ListBullet"/>
        <w:spacing w:after="80" w:line="240" w:lineRule="auto"/>
      </w:pPr>
      <w:r>
        <w:rPr>
          <w:rFonts w:ascii="Times New Roman" w:hAnsi="Times New Roman" w:eastAsia="Times New Roman"/>
        </w:rPr>
        <w:t>Measure stock-out reduction and safety-stock violations.</w:t>
      </w:r>
    </w:p>
    <w:p>
      <w:pPr>
        <w:pStyle w:val="ListBullet"/>
        <w:spacing w:after="80" w:line="240" w:lineRule="auto"/>
      </w:pPr>
      <w:r>
        <w:rPr>
          <w:rFonts w:ascii="Times New Roman" w:hAnsi="Times New Roman" w:eastAsia="Times New Roman"/>
        </w:rPr>
        <w:t>Measure on-time delivery, average delay and tanker utilization.</w:t>
      </w:r>
    </w:p>
    <w:p>
      <w:pPr>
        <w:pStyle w:val="ListBullet"/>
        <w:spacing w:after="80" w:line="240" w:lineRule="auto"/>
      </w:pPr>
      <w:r>
        <w:rPr>
          <w:rFonts w:ascii="Times New Roman" w:hAnsi="Times New Roman" w:eastAsia="Times New Roman"/>
        </w:rPr>
        <w:t>Compare Hill Climbing, Genetic Algorithm and a constraint solver on the same operational instances.</w:t>
      </w:r>
    </w:p>
    <w:p>
      <w:pPr>
        <w:pStyle w:val="ListBullet"/>
        <w:spacing w:after="80" w:line="240" w:lineRule="auto"/>
      </w:pPr>
      <w:r>
        <w:rPr>
          <w:rFonts w:ascii="Times New Roman" w:hAnsi="Times New Roman" w:eastAsia="Times New Roman"/>
        </w:rPr>
        <w:t>Measure recommendation acceptance rate by dealers.</w:t>
      </w:r>
    </w:p>
    <w:p>
      <w:pPr>
        <w:pStyle w:val="ListBullet"/>
        <w:spacing w:after="80" w:line="240" w:lineRule="auto"/>
      </w:pPr>
      <w:r>
        <w:rPr>
          <w:rFonts w:ascii="Times New Roman" w:hAnsi="Times New Roman" w:eastAsia="Times New Roman"/>
        </w:rPr>
        <w:t>Measure cost savings and reduction in emergency replenishment orders.</w:t>
      </w:r>
    </w:p>
    <w:p>
      <w:pPr>
        <w:pStyle w:val="ListBullet"/>
        <w:spacing w:after="80" w:line="240" w:lineRule="auto"/>
      </w:pPr>
      <w:r>
        <w:rPr>
          <w:rFonts w:ascii="Times New Roman" w:hAnsi="Times New Roman" w:eastAsia="Times New Roman"/>
        </w:rPr>
        <w:t>Evaluate explanation quality and compliance-rule correctness with human reviewers.</w:t>
      </w:r>
    </w:p>
    <w:p>
      <w:pPr>
        <w:spacing w:after="80" w:line="240" w:lineRule="auto"/>
      </w:pPr>
      <w:r>
        <w:rPr>
          <w:rFonts w:ascii="Times New Roman" w:hAnsi="Times New Roman" w:eastAsia="Times New Roman"/>
          <w:b w:val="0"/>
          <w:i/>
        </w:rPr>
        <w:t>Final note: all charts and numerical examples in this report are synthetic/illustrative unless explicitly identified as project-planning factor scores. They are intended to demonstrate the methodology and report format, not to claim live operational performance.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