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VP Assessment Pitch: Presenter Script</w:t>
      </w:r>
    </w:p>
    <w:p>
      <w:pPr/>
      <w:r>
        <w:t xml:space="preserve">Oct 10, 2026</w:t>
      </w:r>
      <w:r>
        <w:t xml:space="preserve"> · </w:t>
      </w:r>
      <w:r>
        <w:t xml:space="preserve">@Jayashree</w:t>
      </w:r>
    </w:p>
    <w:p>
      <w:pPr>
        <w:pStyle w:val="Heading2"/>
      </w:pPr>
      <w:r>
        <w:t xml:space="preserve">How to use this script</w:t>
      </w:r>
    </w:p>
    <w:p>
      <w:pPr/>
      <w:r>
        <w:t xml:space="preserve">The script covers about 36 minutes of talking. That leaves 19 minutes for questions on the slides and 5 minutes of buffer. It is written in the first person to be spoken: learn the structure and the </w:t>
      </w:r>
      <w:r>
        <w:rPr>
          <w:b/>
        </w:rPr>
        <w:t xml:space="preserve">bold lines</w:t>
      </w:r>
      <w:r>
        <w:t xml:space="preserve">, then say the rest in your own words.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Slide</w:t>
            </w:r>
          </w:p>
        </w:tc>
        <w:tc>
          <w:tcPr>
            <w:tcW w:w="1872" w:type="dxa"/>
            <w:shd w:val="clear" w:color="auto" w:fill="F2F2F2"/>
          </w:tcPr>
          <w:p>
            <w:pPr/>
            <w:r>
              <w:t xml:space="preserve">Talk</w:t>
            </w:r>
          </w:p>
        </w:tc>
        <w:tc>
          <w:tcPr>
            <w:tcW w:w="1872" w:type="dxa"/>
            <w:shd w:val="clear" w:color="auto" w:fill="F2F2F2"/>
          </w:tcPr>
          <w:p>
            <w:pPr/>
            <w:r>
              <w:t xml:space="preserve">Q&amp;A</w:t>
            </w:r>
          </w:p>
        </w:tc>
        <w:tc>
          <w:tcPr>
            <w:tcW w:w="1872" w:type="dxa"/>
            <w:shd w:val="clear" w:color="auto" w:fill="F2F2F2"/>
          </w:tcPr>
          <w:p>
            <w:pPr/>
            <w:r>
              <w:t xml:space="preserve">Clock</w:t>
            </w:r>
          </w:p>
        </w:tc>
      </w:tr>
      <w:tr>
        <w:tc>
          <w:tcPr>
            <w:tcW w:w="1872" w:type="dxa"/>
          </w:tcPr>
          <w:p>
            <w:pPr/>
            <w:r>
              <w:t xml:space="preserve">1</w:t>
            </w:r>
          </w:p>
        </w:tc>
        <w:tc>
          <w:tcPr>
            <w:tcW w:w="1872" w:type="dxa"/>
          </w:tcPr>
          <w:p>
            <w:pPr/>
            <w:r>
              <w:t xml:space="preserve">Title</w:t>
            </w:r>
          </w:p>
        </w:tc>
        <w:tc>
          <w:tcPr>
            <w:tcW w:w="1872" w:type="dxa"/>
          </w:tcPr>
          <w:p>
            <w:pPr/>
            <w:r>
              <w:t xml:space="preserve">1</w:t>
            </w:r>
          </w:p>
        </w:tc>
        <w:tc>
          <w:tcPr>
            <w:tcW w:w="1872" w:type="dxa"/>
          </w:tcPr>
          <w:p>
            <w:pPr/>
            <w:r>
              <w:t xml:space="preserve">–</w:t>
            </w:r>
          </w:p>
        </w:tc>
        <w:tc>
          <w:tcPr>
            <w:tcW w:w="1872" w:type="dxa"/>
          </w:tcPr>
          <w:p>
            <w:pPr/>
            <w:r>
              <w:t xml:space="preserve">0:01</w:t>
            </w:r>
          </w:p>
        </w:tc>
      </w:tr>
      <w:tr>
        <w:tc>
          <w:tcPr>
            <w:tcW w:w="1872" w:type="dxa"/>
          </w:tcPr>
          <w:p>
            <w:pPr/>
            <w:r>
              <w:t xml:space="preserve">2</w:t>
            </w:r>
          </w:p>
        </w:tc>
        <w:tc>
          <w:tcPr>
            <w:tcW w:w="1872" w:type="dxa"/>
          </w:tcPr>
          <w:p>
            <w:pPr/>
            <w:r>
              <w:t xml:space="preserve">Profile &amp; Scope of Impact</w:t>
            </w:r>
          </w:p>
        </w:tc>
        <w:tc>
          <w:tcPr>
            <w:tcW w:w="1872" w:type="dxa"/>
          </w:tcPr>
          <w:p>
            <w:pPr/>
            <w:r>
              <w:t xml:space="preserve">2</w:t>
            </w:r>
          </w:p>
        </w:tc>
        <w:tc>
          <w:tcPr>
            <w:tcW w:w="1872" w:type="dxa"/>
          </w:tcPr>
          <w:p>
            <w:pPr/>
            <w:r>
              <w:t xml:space="preserve">–</w:t>
            </w:r>
          </w:p>
        </w:tc>
        <w:tc>
          <w:tcPr>
            <w:tcW w:w="1872" w:type="dxa"/>
          </w:tcPr>
          <w:p>
            <w:pPr/>
            <w:r>
              <w:t xml:space="preserve">0:03</w:t>
            </w:r>
          </w:p>
        </w:tc>
      </w:tr>
      <w:tr>
        <w:tc>
          <w:tcPr>
            <w:tcW w:w="1872" w:type="dxa"/>
          </w:tcPr>
          <w:p>
            <w:pPr/>
            <w:r>
              <w:t xml:space="preserve">3</w:t>
            </w:r>
          </w:p>
        </w:tc>
        <w:tc>
          <w:tcPr>
            <w:tcW w:w="1872" w:type="dxa"/>
          </w:tcPr>
          <w:p>
            <w:pPr/>
            <w:r>
              <w:t xml:space="preserve">Thinks (L4)</w:t>
            </w:r>
          </w:p>
        </w:tc>
        <w:tc>
          <w:tcPr>
            <w:tcW w:w="1872" w:type="dxa"/>
          </w:tcPr>
          <w:p>
            <w:pPr/>
            <w:r>
              <w:t xml:space="preserve">4</w:t>
            </w:r>
          </w:p>
        </w:tc>
        <w:tc>
          <w:tcPr>
            <w:tcW w:w="1872" w:type="dxa"/>
          </w:tcPr>
          <w:p>
            <w:pPr/>
            <w:r>
              <w:t xml:space="preserve">3</w:t>
            </w:r>
          </w:p>
        </w:tc>
        <w:tc>
          <w:tcPr>
            <w:tcW w:w="1872" w:type="dxa"/>
          </w:tcPr>
          <w:p>
            <w:pPr/>
            <w:r>
              <w:t xml:space="preserve">0:10</w:t>
            </w:r>
          </w:p>
        </w:tc>
      </w:tr>
      <w:tr>
        <w:tc>
          <w:tcPr>
            <w:tcW w:w="1872" w:type="dxa"/>
          </w:tcPr>
          <w:p>
            <w:pPr/>
            <w:r>
              <w:t xml:space="preserve">4</w:t>
            </w:r>
          </w:p>
        </w:tc>
        <w:tc>
          <w:tcPr>
            <w:tcW w:w="1872" w:type="dxa"/>
          </w:tcPr>
          <w:p>
            <w:pPr/>
            <w:r>
              <w:t xml:space="preserve">Engages</w:t>
            </w:r>
          </w:p>
        </w:tc>
        <w:tc>
          <w:tcPr>
            <w:tcW w:w="1872" w:type="dxa"/>
          </w:tcPr>
          <w:p>
            <w:pPr/>
            <w:r>
              <w:t xml:space="preserve">2.5</w:t>
            </w:r>
          </w:p>
        </w:tc>
        <w:tc>
          <w:tcPr>
            <w:tcW w:w="1872" w:type="dxa"/>
          </w:tcPr>
          <w:p>
            <w:pPr/>
            <w:r>
              <w:t xml:space="preserve">2.5</w:t>
            </w:r>
          </w:p>
        </w:tc>
        <w:tc>
          <w:tcPr>
            <w:tcW w:w="1872" w:type="dxa"/>
          </w:tcPr>
          <w:p>
            <w:pPr/>
            <w:r>
              <w:t xml:space="preserve">0:15</w:t>
            </w:r>
          </w:p>
        </w:tc>
      </w:tr>
      <w:tr>
        <w:tc>
          <w:tcPr>
            <w:tcW w:w="1872" w:type="dxa"/>
          </w:tcPr>
          <w:p>
            <w:pPr/>
            <w:r>
              <w:t xml:space="preserve">5</w:t>
            </w:r>
          </w:p>
        </w:tc>
        <w:tc>
          <w:tcPr>
            <w:tcW w:w="1872" w:type="dxa"/>
          </w:tcPr>
          <w:p>
            <w:pPr/>
            <w:r>
              <w:t xml:space="preserve">Influences</w:t>
            </w:r>
          </w:p>
        </w:tc>
        <w:tc>
          <w:tcPr>
            <w:tcW w:w="1872" w:type="dxa"/>
          </w:tcPr>
          <w:p>
            <w:pPr/>
            <w:r>
              <w:t xml:space="preserve">2.5</w:t>
            </w:r>
          </w:p>
        </w:tc>
        <w:tc>
          <w:tcPr>
            <w:tcW w:w="1872" w:type="dxa"/>
          </w:tcPr>
          <w:p>
            <w:pPr/>
            <w:r>
              <w:t xml:space="preserve">2.5</w:t>
            </w:r>
          </w:p>
        </w:tc>
        <w:tc>
          <w:tcPr>
            <w:tcW w:w="1872" w:type="dxa"/>
          </w:tcPr>
          <w:p>
            <w:pPr/>
            <w:r>
              <w:t xml:space="preserve">0:20</w:t>
            </w:r>
          </w:p>
        </w:tc>
      </w:tr>
      <w:tr>
        <w:tc>
          <w:tcPr>
            <w:tcW w:w="1872" w:type="dxa"/>
          </w:tcPr>
          <w:p>
            <w:pPr/>
            <w:r>
              <w:t xml:space="preserve">6</w:t>
            </w:r>
          </w:p>
        </w:tc>
        <w:tc>
          <w:tcPr>
            <w:tcW w:w="1872" w:type="dxa"/>
          </w:tcPr>
          <w:p>
            <w:pPr/>
            <w:r>
              <w:t xml:space="preserve">Achieves</w:t>
            </w:r>
          </w:p>
        </w:tc>
        <w:tc>
          <w:tcPr>
            <w:tcW w:w="1872" w:type="dxa"/>
          </w:tcPr>
          <w:p>
            <w:pPr/>
            <w:r>
              <w:t xml:space="preserve">2.5</w:t>
            </w:r>
          </w:p>
        </w:tc>
        <w:tc>
          <w:tcPr>
            <w:tcW w:w="1872" w:type="dxa"/>
          </w:tcPr>
          <w:p>
            <w:pPr/>
            <w:r>
              <w:t xml:space="preserve">2.5</w:t>
            </w:r>
          </w:p>
        </w:tc>
        <w:tc>
          <w:tcPr>
            <w:tcW w:w="1872" w:type="dxa"/>
          </w:tcPr>
          <w:p>
            <w:pPr/>
            <w:r>
              <w:t xml:space="preserve">0:25</w:t>
            </w:r>
          </w:p>
        </w:tc>
      </w:tr>
      <w:tr>
        <w:tc>
          <w:tcPr>
            <w:tcW w:w="1872" w:type="dxa"/>
          </w:tcPr>
          <w:p>
            <w:pPr/>
            <w:r>
              <w:t xml:space="preserve">7</w:t>
            </w:r>
          </w:p>
        </w:tc>
        <w:tc>
          <w:tcPr>
            <w:tcW w:w="1872" w:type="dxa"/>
          </w:tcPr>
          <w:p>
            <w:pPr/>
            <w:r>
              <w:t xml:space="preserve">Designs</w:t>
            </w:r>
          </w:p>
        </w:tc>
        <w:tc>
          <w:tcPr>
            <w:tcW w:w="1872" w:type="dxa"/>
          </w:tcPr>
          <w:p>
            <w:pPr/>
            <w:r>
              <w:t xml:space="preserve">2.5</w:t>
            </w:r>
          </w:p>
        </w:tc>
        <w:tc>
          <w:tcPr>
            <w:tcW w:w="1872" w:type="dxa"/>
          </w:tcPr>
          <w:p>
            <w:pPr/>
            <w:r>
              <w:t xml:space="preserve">2.5</w:t>
            </w:r>
          </w:p>
        </w:tc>
        <w:tc>
          <w:tcPr>
            <w:tcW w:w="1872" w:type="dxa"/>
          </w:tcPr>
          <w:p>
            <w:pPr/>
            <w:r>
              <w:t xml:space="preserve">0:30</w:t>
            </w:r>
          </w:p>
        </w:tc>
      </w:tr>
      <w:tr>
        <w:tc>
          <w:tcPr>
            <w:tcW w:w="1872" w:type="dxa"/>
          </w:tcPr>
          <w:p>
            <w:pPr/>
            <w:r>
              <w:t xml:space="preserve">8</w:t>
            </w:r>
          </w:p>
        </w:tc>
        <w:tc>
          <w:tcPr>
            <w:tcW w:w="1872" w:type="dxa"/>
          </w:tcPr>
          <w:p>
            <w:pPr/>
            <w:r>
              <w:t xml:space="preserve">Delivers (L4)</w:t>
            </w:r>
          </w:p>
        </w:tc>
        <w:tc>
          <w:tcPr>
            <w:tcW w:w="1872" w:type="dxa"/>
          </w:tcPr>
          <w:p>
            <w:pPr/>
            <w:r>
              <w:t xml:space="preserve">4</w:t>
            </w:r>
          </w:p>
        </w:tc>
        <w:tc>
          <w:tcPr>
            <w:tcW w:w="1872" w:type="dxa"/>
          </w:tcPr>
          <w:p>
            <w:pPr/>
            <w:r>
              <w:t xml:space="preserve">3</w:t>
            </w:r>
          </w:p>
        </w:tc>
        <w:tc>
          <w:tcPr>
            <w:tcW w:w="1872" w:type="dxa"/>
          </w:tcPr>
          <w:p>
            <w:pPr/>
            <w:r>
              <w:t xml:space="preserve">0:37</w:t>
            </w:r>
          </w:p>
        </w:tc>
      </w:tr>
      <w:tr>
        <w:tc>
          <w:tcPr>
            <w:tcW w:w="1872" w:type="dxa"/>
          </w:tcPr>
          <w:p>
            <w:pPr/>
            <w:r>
              <w:t xml:space="preserve">9</w:t>
            </w:r>
          </w:p>
        </w:tc>
        <w:tc>
          <w:tcPr>
            <w:tcW w:w="1872" w:type="dxa"/>
          </w:tcPr>
          <w:p>
            <w:pPr/>
            <w:r>
              <w:t xml:space="preserve">Operates</w:t>
            </w:r>
          </w:p>
        </w:tc>
        <w:tc>
          <w:tcPr>
            <w:tcW w:w="1872" w:type="dxa"/>
          </w:tcPr>
          <w:p>
            <w:pPr/>
            <w:r>
              <w:t xml:space="preserve">2.5</w:t>
            </w:r>
          </w:p>
        </w:tc>
        <w:tc>
          <w:tcPr>
            <w:tcW w:w="1872" w:type="dxa"/>
          </w:tcPr>
          <w:p>
            <w:pPr/>
            <w:r>
              <w:t xml:space="preserve">2.5</w:t>
            </w:r>
          </w:p>
        </w:tc>
        <w:tc>
          <w:tcPr>
            <w:tcW w:w="1872" w:type="dxa"/>
          </w:tcPr>
          <w:p>
            <w:pPr/>
            <w:r>
              <w:t xml:space="preserve">0:42</w:t>
            </w:r>
          </w:p>
        </w:tc>
      </w:tr>
      <w:tr>
        <w:tc>
          <w:tcPr>
            <w:tcW w:w="1872" w:type="dxa"/>
          </w:tcPr>
          <w:p>
            <w:pPr/>
            <w:r>
              <w:t xml:space="preserve">10</w:t>
            </w:r>
          </w:p>
        </w:tc>
        <w:tc>
          <w:tcPr>
            <w:tcW w:w="1872" w:type="dxa"/>
          </w:tcPr>
          <w:p>
            <w:pPr/>
            <w:r>
              <w:t xml:space="preserve">Controls</w:t>
            </w:r>
          </w:p>
        </w:tc>
        <w:tc>
          <w:tcPr>
            <w:tcW w:w="1872" w:type="dxa"/>
          </w:tcPr>
          <w:p>
            <w:pPr/>
            <w:r>
              <w:t xml:space="preserve">2.5</w:t>
            </w:r>
          </w:p>
        </w:tc>
        <w:tc>
          <w:tcPr>
            <w:tcW w:w="1872" w:type="dxa"/>
          </w:tcPr>
          <w:p>
            <w:pPr/>
            <w:r>
              <w:t xml:space="preserve">2.5</w:t>
            </w:r>
          </w:p>
        </w:tc>
        <w:tc>
          <w:tcPr>
            <w:tcW w:w="1872" w:type="dxa"/>
          </w:tcPr>
          <w:p>
            <w:pPr/>
            <w:r>
              <w:t xml:space="preserve">0:47</w:t>
            </w:r>
          </w:p>
        </w:tc>
      </w:tr>
      <w:tr>
        <w:tc>
          <w:tcPr>
            <w:tcW w:w="1872" w:type="dxa"/>
          </w:tcPr>
          <w:p>
            <w:pPr/>
            <w:r>
              <w:t xml:space="preserve">11</w:t>
            </w:r>
          </w:p>
        </w:tc>
        <w:tc>
          <w:tcPr>
            <w:tcW w:w="1872" w:type="dxa"/>
          </w:tcPr>
          <w:p>
            <w:pPr/>
            <w:r>
              <w:t xml:space="preserve">Kompass 1–4</w:t>
            </w:r>
          </w:p>
        </w:tc>
        <w:tc>
          <w:tcPr>
            <w:tcW w:w="1872" w:type="dxa"/>
          </w:tcPr>
          <w:p>
            <w:pPr/>
            <w:r>
              <w:t xml:space="preserve">2</w:t>
            </w:r>
          </w:p>
        </w:tc>
        <w:tc>
          <w:tcPr>
            <w:tcW w:w="1872" w:type="dxa"/>
          </w:tcPr>
          <w:p>
            <w:pPr/>
            <w:r>
              <w:t xml:space="preserve">1</w:t>
            </w:r>
          </w:p>
        </w:tc>
        <w:tc>
          <w:tcPr>
            <w:tcW w:w="1872" w:type="dxa"/>
          </w:tcPr>
          <w:p>
            <w:pPr/>
            <w:r>
              <w:t xml:space="preserve">0:50</w:t>
            </w:r>
          </w:p>
        </w:tc>
      </w:tr>
      <w:tr>
        <w:tc>
          <w:tcPr>
            <w:tcW w:w="1872" w:type="dxa"/>
          </w:tcPr>
          <w:p>
            <w:pPr/>
            <w:r>
              <w:t xml:space="preserve">12</w:t>
            </w:r>
          </w:p>
        </w:tc>
        <w:tc>
          <w:tcPr>
            <w:tcW w:w="1872" w:type="dxa"/>
          </w:tcPr>
          <w:p>
            <w:pPr/>
            <w:r>
              <w:t xml:space="preserve">Kompass 5–8</w:t>
            </w:r>
          </w:p>
        </w:tc>
        <w:tc>
          <w:tcPr>
            <w:tcW w:w="1872" w:type="dxa"/>
          </w:tcPr>
          <w:p>
            <w:pPr/>
            <w:r>
              <w:t xml:space="preserve">2</w:t>
            </w:r>
          </w:p>
        </w:tc>
        <w:tc>
          <w:tcPr>
            <w:tcW w:w="1872" w:type="dxa"/>
          </w:tcPr>
          <w:p>
            <w:pPr/>
            <w:r>
              <w:t xml:space="preserve">1</w:t>
            </w:r>
          </w:p>
        </w:tc>
        <w:tc>
          <w:tcPr>
            <w:tcW w:w="1872" w:type="dxa"/>
          </w:tcPr>
          <w:p>
            <w:pPr/>
            <w:r>
              <w:t xml:space="preserve">0:53</w:t>
            </w:r>
          </w:p>
        </w:tc>
      </w:tr>
      <w:tr>
        <w:tc>
          <w:tcPr>
            <w:tcW w:w="1872" w:type="dxa"/>
          </w:tcPr>
          <w:p>
            <w:pPr/>
            <w:r>
              <w:t xml:space="preserve">13</w:t>
            </w:r>
          </w:p>
        </w:tc>
        <w:tc>
          <w:tcPr>
            <w:tcW w:w="1872" w:type="dxa"/>
          </w:tcPr>
          <w:p>
            <w:pPr/>
            <w:r>
              <w:t xml:space="preserve">Why VP</w:t>
            </w:r>
          </w:p>
        </w:tc>
        <w:tc>
          <w:tcPr>
            <w:tcW w:w="1872" w:type="dxa"/>
          </w:tcPr>
          <w:p>
            <w:pPr/>
            <w:r>
              <w:t xml:space="preserve">2</w:t>
            </w:r>
          </w:p>
        </w:tc>
        <w:tc>
          <w:tcPr>
            <w:tcW w:w="1872" w:type="dxa"/>
          </w:tcPr>
          <w:p>
            <w:pPr/>
            <w:r>
              <w:t xml:space="preserve">–</w:t>
            </w:r>
          </w:p>
        </w:tc>
        <w:tc>
          <w:tcPr>
            <w:tcW w:w="1872" w:type="dxa"/>
          </w:tcPr>
          <w:p>
            <w:pPr/>
            <w:r>
              <w:t xml:space="preserve">0:55</w:t>
            </w:r>
          </w:p>
        </w:tc>
      </w:tr>
      <w:tr>
        <w:tc>
          <w:tcPr>
            <w:tcW w:w="1872" w:type="dxa"/>
          </w:tcPr>
          <w:p>
            <w:pPr/>
          </w:p>
        </w:tc>
        <w:tc>
          <w:tcPr>
            <w:tcW w:w="1872" w:type="dxa"/>
          </w:tcPr>
          <w:p>
            <w:pPr/>
            <w:r>
              <w:t xml:space="preserve">Buffer</w:t>
            </w:r>
          </w:p>
        </w:tc>
        <w:tc>
          <w:tcPr>
            <w:tcW w:w="1872" w:type="dxa"/>
          </w:tcPr>
          <w:p>
            <w:pPr/>
          </w:p>
        </w:tc>
        <w:tc>
          <w:tcPr>
            <w:tcW w:w="1872" w:type="dxa"/>
          </w:tcPr>
          <w:p>
            <w:pPr/>
          </w:p>
        </w:tc>
        <w:tc>
          <w:tcPr>
            <w:tcW w:w="1872" w:type="dxa"/>
          </w:tcPr>
          <w:p>
            <w:pPr/>
            <w:r>
              <w:t xml:space="preserve">1:00</w:t>
            </w:r>
          </w:p>
        </w:tc>
      </w:tr>
    </w:tbl>
    <w:p>
      <w:pPr>
        <w:pStyle w:val="ListParagraph"/>
        <w:numPr>
          <w:ilvl w:val="0"/>
          <w:numId w:val="2"/>
        </w:numPr>
      </w:pPr>
      <w:r>
        <w:rPr>
          <w:b/>
        </w:rPr>
        <w:t xml:space="preserve">Checkpoints:</w:t>
      </w:r>
      <w:r>
        <w:t xml:space="preserve"> be finishing Designs at 0:30 and Operates at 0:42. If you are more than 3 minutes behind, take each Kompass slide in 1 minute. Never cut the Why VP slide.</w:t>
      </w:r>
    </w:p>
    <w:p>
      <w:pPr>
        <w:pStyle w:val="ListParagraph"/>
        <w:numPr>
          <w:ilvl w:val="0"/>
          <w:numId w:val="2"/>
        </w:numPr>
      </w:pPr>
      <w:r>
        <w:rPr>
          <w:b/>
        </w:rPr>
        <w:t xml:space="preserve">On each Level 3 slide,</w:t>
      </w:r>
      <w:r>
        <w:t xml:space="preserve"> tell one example in depth and give one line each to the others. Let the panel ask about the rest.</w:t>
      </w:r>
    </w:p>
    <w:p>
      <w:pPr>
        <w:pStyle w:val="ListParagraph"/>
        <w:numPr>
          <w:ilvl w:val="0"/>
          <w:numId w:val="2"/>
        </w:numPr>
      </w:pPr>
      <w:r>
        <w:rPr>
          <w:b/>
        </w:rPr>
        <w:t xml:space="preserve">Evidence links:</w:t>
      </w:r>
      <w:r>
        <w:t xml:space="preserve"> do not open them unless the panel asks. If they do, share your entire screen so they can see the browser.</w:t>
      </w:r>
    </w:p>
    <w:p>
      <w:pPr>
        <w:pStyle w:val="ListParagraph"/>
        <w:numPr>
          <w:ilvl w:val="0"/>
          <w:numId w:val="2"/>
        </w:numPr>
      </w:pPr>
      <w:r>
        <w:rPr>
          <w:b/>
        </w:rPr>
        <w:t xml:space="preserve">[Square brackets]</w:t>
      </w:r>
      <w:r>
        <w:t xml:space="preserve"> mark details only you can fill in. Prepare them before the interview.</w:t>
      </w:r>
    </w:p>
    <w:p>
      <w:pPr>
        <w:pStyle w:val="Heading2"/>
      </w:pPr>
      <w:r>
        <w:t xml:space="preserve">Opening (slides 1–2, 3 minutes)</w:t>
      </w:r>
    </w:p>
    <w:p>
      <w:pPr>
        <w:pStyle w:val="Heading3"/>
      </w:pPr>
      <w:r>
        <w:t xml:space="preserve">Slide 1 — Title (1 min)</w:t>
      </w:r>
    </w:p>
    <w:p>
      <w:pPr/>
      <w:r>
        <w:t xml:space="preserve">Good [morning/afternoon], and thank you for your time today.</w:t>
      </w:r>
    </w:p>
    <w:p>
      <w:pPr/>
      <w:r>
        <w:t xml:space="preserve">I am Saket Badal. My corporate title is Assistant Vice President, and my functional role is Senior Engineer and Technical Lead for Fabric Platform Engineering.</w:t>
      </w:r>
    </w:p>
    <w:p>
      <w:pPr/>
      <w:r>
        <w:t xml:space="preserve">Today I will set out my case for promotion to Vice President. I will take you through the eight ECDF parameters, then the Leadership Kompass behaviours, and close with why I believe I am ready for VP. Every achievement on these slides has a linked piece of evidence beside it, and you already have access to all of it. I will pause after each parameter for your questions.</w:t>
      </w:r>
    </w:p>
    <w:p>
      <w:pPr>
        <w:pStyle w:val="Heading3"/>
      </w:pPr>
      <w:r>
        <w:t xml:space="preserve">Slide 2 — Profile and scope of impact (2 min)</w:t>
      </w:r>
    </w:p>
    <w:p>
      <w:pPr/>
      <w:r>
        <w:t xml:space="preserve">Before the evidence, a little context on the scale I work at.</w:t>
      </w:r>
    </w:p>
    <w:p>
      <w:pPr/>
      <w:r>
        <w:t xml:space="preserve">I joined the bank on 14 March 2022, so I have been an AVP for 4 years and 7 months, and I bring more than 24 years of technology leadership. I have one direct report and I lead an eight-person engineering team spread across Pune, Bangalore and London.</w:t>
      </w:r>
    </w:p>
    <w:p>
      <w:pPr/>
      <w:r>
        <w:t xml:space="preserve">The platform I architect and evolve is Fabric, the bank's strategic Hybrid Cloud PaaS. Fabric is the foundation for more than 600 applications across more than 200 business teams, roughly 30% of the bank's application estate.</w:t>
      </w:r>
    </w:p>
    <w:p>
      <w:pPr/>
      <w:r>
        <w:rPr>
          <w:b/>
        </w:rPr>
        <w:t xml:space="preserve">That scale is why the decisions I make on Fabric are not team-level decisions. They directly affect production stability, operations across geographies, regulatory compliance and the bank's cloud-first strategy.</w:t>
      </w:r>
      <w:r>
        <w:t xml:space="preserve"> Keep that in mind as I take you through the evidence.</w:t>
      </w:r>
    </w:p>
    <w:p>
      <w:pPr>
        <w:pStyle w:val="Heading2"/>
      </w:pPr>
      <w:r>
        <w:t xml:space="preserve">Thinks, Level 4 (slide 3, 4 minutes + 3 minutes Q&amp;A)</w:t>
      </w:r>
    </w:p>
    <w:p>
      <w:pPr/>
      <w:r>
        <w:rPr>
          <w:b/>
        </w:rPr>
        <w:t xml:space="preserve">Thinks is one of the two parameters where the requirement is Level 4. I want to show you that I now look at problems at the level of the whole platform, not my own backlog.</w:t>
      </w:r>
    </w:p>
    <w:p>
      <w:pPr/>
      <w:r>
        <w:rPr>
          <w:b/>
        </w:rPr>
        <w:t xml:space="preserve">ACM Segregation.</w:t>
      </w:r>
      <w:r>
        <w:t xml:space="preserve"> A single ACM Hub used to manage Development, UAT and Production together, and it was the accepted model. I saw it differently: with one shared control plane managing 36 clusters, any non-production change implemented on ACM-Prod put our 15+ production clusters at risk.</w:t>
      </w:r>
    </w:p>
    <w:p>
      <w:pPr/>
      <w:r>
        <w:t xml:space="preserve">So I challenged the single-hub model. I designed a segregated topology with separate ACM-Dev and ACM-UAT hub clusters, proved it through a proof of concept in Engineering Test, and took the strategy and results to Business, Product, Operations, Customer Success and Architecture. I then led the pilot migration. The result is that a non-production change can no longer put production at risk. The ACM Segregation Jira is linked on the slide.</w:t>
      </w:r>
    </w:p>
    <w:p>
      <w:pPr/>
      <w:r>
        <w:rPr>
          <w:b/>
        </w:rPr>
        <w:t xml:space="preserve">Observability Modernization, the MLA strategy.</w:t>
      </w:r>
      <w:r>
        <w:t xml:space="preserve"> Our monitoring and logging had two problems. Customers risked seeing sensitive cluster-level metrics, and the legacy logging stack was struggling under load. I designed namespace-level visibility models, so each tenant sees only their own metrics. I then led the migration of our logging frameworks to GCP Cloud Logging. The strategy is in Confluence and the policy work is in Jira.</w:t>
      </w:r>
    </w:p>
    <w:p>
      <w:pPr/>
      <w:r>
        <w:rPr>
          <w:b/>
        </w:rPr>
        <w:t xml:space="preserve">Policy Standardization and Governance.</w:t>
      </w:r>
      <w:r>
        <w:t xml:space="preserve"> Over time, policy drift had built up on the platform. I audited and consolidated more than 70 non-compliant policies. More importantly, I moved policy management into a GitOps-based declarative workflow, so every future change goes through code and review and the drift cannot quietly come back. The Policy Audit Jira is the evidence.</w:t>
      </w:r>
    </w:p>
    <w:p>
      <w:pPr/>
      <w:r>
        <w:rPr>
          <w:i/>
        </w:rPr>
        <w:t xml:space="preserve">[Point to the amber band.]</w:t>
      </w:r>
    </w:p>
    <w:p>
      <w:pPr/>
      <w:r>
        <w:rPr>
          <w:b/>
        </w:rPr>
        <w:t xml:space="preserve">The assumption I challenged was the single shared hub, under which any non-production change on ACM-Prod put the 15+ production clusters at risk. The impact is divisional: a segregated control plane, GitOps-governed policies and GCP Cloud Logging across the whole Fabric platform. That is why I believe this is Level 4 thinking.</w:t>
      </w:r>
    </w:p>
    <w:p>
      <w:pPr>
        <w:pStyle w:val="Heading2"/>
      </w:pPr>
      <w:r>
        <w:t xml:space="preserve">Engages and Influences (slides 4–5, 5 minutes + 5 minutes Q&amp;A)</w:t>
      </w:r>
    </w:p>
    <w:p>
      <w:pPr>
        <w:pStyle w:val="Heading3"/>
      </w:pPr>
      <w:r>
        <w:t xml:space="preserve">Slide 4 — ENGAGES, Level 3 (2.5 min)</w:t>
      </w:r>
    </w:p>
    <w:p>
      <w:pPr/>
      <w:r>
        <w:t xml:space="preserve">Engages is about how I build capability, and the reach of that has widened: from my own team, to Operations, to engineers in other divisions.</w:t>
      </w:r>
    </w:p>
    <w:p>
      <w:pPr/>
      <w:r>
        <w:rPr>
          <w:b/>
        </w:rPr>
        <w:t xml:space="preserve">Team leadership.</w:t>
      </w:r>
      <w:r>
        <w:t xml:space="preserve"> I run sprint planning for my team, manage our velocity and match work to each engineer's capability. The sprint velocity report is linked.</w:t>
      </w:r>
    </w:p>
    <w:p>
      <w:pPr/>
      <w:r>
        <w:rPr>
          <w:b/>
        </w:rPr>
        <w:t xml:space="preserve">Engineering demand ownership.</w:t>
      </w:r>
      <w:r>
        <w:t xml:space="preserve"> I own engineering demand end to end, aligning Business, Product and Architecture priorities with what we can realistically deliver. The prioritized demand backlog is linked.</w:t>
      </w:r>
    </w:p>
    <w:p>
      <w:pPr/>
      <w:r>
        <w:rPr>
          <w:b/>
        </w:rPr>
        <w:t xml:space="preserve">Graduate trainee enablement.</w:t>
      </w:r>
      <w:r>
        <w:t xml:space="preserve"> I created and delivered the DB GCP Landing Zone training for the 2022 and 2023 graduate programmes. Separately, and this is the example I am proudest of, I ran a one-year development journey for Atharva Honrao: regular 1:1s, tasks of growing complexity, and his GCP Gen AI and DB AI Engineer certifications. He progressed from graduate to productive platform engineer, and the 1:1 records, Jira progression and promotion recommendation are linked.</w:t>
      </w:r>
    </w:p>
    <w:p>
      <w:pPr/>
      <w:r>
        <w:rPr>
          <w:b/>
        </w:rPr>
        <w:t xml:space="preserve">Operations enablement.</w:t>
      </w:r>
      <w:r>
        <w:t xml:space="preserve"> To remove deployment bottlenecks between Engineering and Operations, I delivered a five-day, hands-on Terraform and GitOps training for the Operations team. The feedback is linked.</w:t>
      </w:r>
    </w:p>
    <w:p>
      <w:pPr/>
      <w:r>
        <w:rPr>
          <w:b/>
        </w:rPr>
        <w:t xml:space="preserve">AI community mentoring.</w:t>
      </w:r>
      <w:r>
        <w:t xml:space="preserve"> Outside my own division, I mentor engineers on GCP AI and ML deployment best practices through the internal AI community.</w:t>
      </w:r>
    </w:p>
    <w:p>
      <w:pPr/>
      <w:r>
        <w:rPr>
          <w:b/>
        </w:rPr>
        <w:t xml:space="preserve">The common thread: I don't only deliver myself. I deliberately build capability in the people around me.</w:t>
      </w:r>
    </w:p>
    <w:p>
      <w:pPr>
        <w:pStyle w:val="Heading3"/>
      </w:pPr>
      <w:r>
        <w:t xml:space="preserve">Slide 5 — INFLUENCES, Level 3 (2.5 min)</w:t>
      </w:r>
    </w:p>
    <w:p>
      <w:pPr/>
      <w:r>
        <w:t xml:space="preserve">Influences is about gaining commitment from senior stakeholders, often when there is friction.</w:t>
      </w:r>
    </w:p>
    <w:p>
      <w:pPr/>
      <w:r>
        <w:rPr>
          <w:b/>
        </w:rPr>
        <w:t xml:space="preserve">MD and Director conflict resolution.</w:t>
      </w:r>
      <w:r>
        <w:t xml:space="preserve"> In P1 problem record PRB0152626, MTNA US client payments of $1.69B missed the FED cut-off after db-SIS pod restart complications during a certificate renewal. The Directors and an MD held conflicting views: was it a platform or an application issue, what could be controlled during renewal, and what should the interim fix be? I gave them a technical briefing on the Fabric certificate workflow, its constraints and the root cause: a Hazelcast split-brain and cache inconsistency. I was clear that the exact renewal time cannot be controlled, but the restart can be scheduled into a Saturday window with no active flows. The senior stakeholders accepted the root cause for regulatory reporting, and we confirmed the tactical and strategic remediation timelines.</w:t>
      </w:r>
    </w:p>
    <w:p>
      <w:pPr/>
      <w:r>
        <w:rPr>
          <w:b/>
        </w:rPr>
        <w:t xml:space="preserve">IPSec production remediation.</w:t>
      </w:r>
      <w:r>
        <w:t xml:space="preserve"> Problem Management had escalated a three-month IPSec encryption gap on the production cluster degcpp1 to Director level. I took ownership and broke the remediation into structured Jira tickets: NetApp coordination, a PoC, a playbook and handover. I gave a transparent timeline to completion on 18 August, coordinated Operations on implementation, and confirmed when the engineering and operational handover was complete. The escalation was formally closed and Director confidence in the timeline was restored.</w:t>
      </w:r>
    </w:p>
    <w:p>
      <w:pPr/>
      <w:r>
        <w:rPr>
          <w:b/>
        </w:rPr>
        <w:t xml:space="preserve">Prisma false-positive guidance.</w:t>
      </w:r>
      <w:r>
        <w:t xml:space="preserve"> The Prisma scanner flagged environment variables such as DBWINGS_AUTH_SERVICE_PORT as sensitive data, and application teams didn't know whether these were real security issues. I showed they are auto-injected by Kubernetes service discovery and hold only routing information, not secrets. I then influenced the Architect to adopt a two-track fix: in the short term, teams mark the findings as false positives; in the long term, enableServiceLinks will be disabled by default across Fabric. That platform change is agreed but not yet implemented.</w:t>
      </w:r>
    </w:p>
    <w:p>
      <w:pPr/>
      <w:r>
        <w:rPr>
          <w:b/>
        </w:rPr>
        <w:t xml:space="preserve">In each case, I influenced by understanding the other side's concern and giving them a clear technical basis to act on.</w:t>
      </w:r>
    </w:p>
    <w:p>
      <w:pPr>
        <w:pStyle w:val="Heading2"/>
      </w:pPr>
      <w:r>
        <w:t xml:space="preserve">Achieves and Designs (slides 6–7, 5 minutes + 5 minutes Q&amp;A)</w:t>
      </w:r>
    </w:p>
    <w:p>
      <w:pPr>
        <w:pStyle w:val="Heading3"/>
      </w:pPr>
      <w:r>
        <w:t xml:space="preserve">Slide 6 — ACHIEVES, Level 3 (2.5 min)</w:t>
      </w:r>
    </w:p>
    <w:p>
      <w:pPr/>
      <w:r>
        <w:t xml:space="preserve">Achieves is about getting strategically important outcomes over the line when the obstacles are real. For each one, I will tell you the obstacle and what it unlocked.</w:t>
      </w:r>
    </w:p>
    <w:p>
      <w:pPr/>
      <w:r>
        <w:rPr>
          <w:b/>
        </w:rPr>
        <w:t xml:space="preserve">NPA4 Landing Zone migration.</w:t>
      </w:r>
      <w:r>
        <w:t xml:space="preserve"> NPA4 was a critical CSO F3 audit finding that had to be closed by 29 September 2025. After a high-priority incident and the change freeze that followed, our migration could only start on 26 September: a three-day window. Missing it meant a Landing Zone lockdown that would have disabled Fabric for 600+ hosted applications. I escalated, set out the business risk, and secured a temporary two-week Sentinel policy grace period. Then I cleared the blockers one by one: module downgrades, the IP mapping logic, and GitHub workflow failures with the support teams. We achieved compliance and avoided the lockdown. The approval email is linked.</w:t>
      </w:r>
    </w:p>
    <w:p>
      <w:pPr/>
      <w:r>
        <w:rPr>
          <w:b/>
        </w:rPr>
        <w:t xml:space="preserve">Vertex AI platform enablement.</w:t>
      </w:r>
      <w:r>
        <w:t xml:space="preserve"> The obstacle was regulation. Teams wanted to develop AI models, but they had to stay within existing regulatory constraints. I designed a compliant sandbox workspace for secure AI model development, which turned a business idea into a capability teams can actually use.</w:t>
      </w:r>
    </w:p>
    <w:p>
      <w:pPr/>
      <w:r>
        <w:rPr>
          <w:b/>
        </w:rPr>
        <w:t xml:space="preserve">Centralized monitoring integration.</w:t>
      </w:r>
      <w:r>
        <w:t xml:space="preserve"> The obstacle was the network. I integrated centralized Grafana with the central ACM Hub and worked around the network barriers, giving us one view of cluster health. The live Grafana dashboard is linked.</w:t>
      </w:r>
    </w:p>
    <w:p>
      <w:pPr/>
      <w:r>
        <w:rPr>
          <w:b/>
        </w:rPr>
        <w:t xml:space="preserve">In all three cases, the technical work removed a barrier that was stopping the business from moving.</w:t>
      </w:r>
    </w:p>
    <w:p>
      <w:pPr>
        <w:pStyle w:val="Heading3"/>
      </w:pPr>
      <w:r>
        <w:t xml:space="preserve">Slide 7 — DESIGNS, Level 3 (2.5 min)</w:t>
      </w:r>
    </w:p>
    <w:p>
      <w:pPr/>
      <w:r>
        <w:t xml:space="preserve">Designs is about the technical architecture itself. Under Thinks I explained why we segregated ACM. Here I will show you how it was designed.</w:t>
      </w:r>
    </w:p>
    <w:p>
      <w:pPr/>
      <w:r>
        <w:rPr>
          <w:b/>
        </w:rPr>
        <w:t xml:space="preserve">Multi-hub ACM architecture.</w:t>
      </w:r>
      <w:r>
        <w:t xml:space="preserve"> I engineered separate Development and UAT hub clusters, each with its own independent control plane, so configuration risk in one environment stays in that environment. The design document is linked.</w:t>
      </w:r>
    </w:p>
    <w:p>
      <w:pPr/>
      <w:r>
        <w:rPr>
          <w:b/>
        </w:rPr>
        <w:t xml:space="preserve">Multi-repo Landing Zone.</w:t>
      </w:r>
      <w:r>
        <w:t xml:space="preserve"> I separated test from production setups at the repository level, and introduced repo-level role-based access control and merge validation pipelines. So nobody can change production configuration without the right access and a validated merge. The Sprint 1 pitch deck is linked.</w:t>
      </w:r>
    </w:p>
    <w:p>
      <w:pPr/>
      <w:r>
        <w:rPr>
          <w:b/>
        </w:rPr>
        <w:t xml:space="preserve">ADR governance framework.</w:t>
      </w:r>
      <w:r>
        <w:t xml:space="preserve"> I established mandatory architecture templates across the 36 clusters, used to document design decisions and prevent anti-patterns. That is how one good design becomes the standard for everyone. The F-ADR guidelines are linked.</w:t>
      </w:r>
    </w:p>
    <w:p>
      <w:pPr/>
      <w:r>
        <w:rPr>
          <w:b/>
        </w:rPr>
        <w:t xml:space="preserve">Each of these designs builds the control into the architecture, so it does not depend on people remembering to do the right thing.</w:t>
      </w:r>
    </w:p>
    <w:p>
      <w:pPr/>
      <w:r>
        <w:rPr>
          <w:i/>
        </w:rPr>
        <w:t xml:space="preserve">[Checkpoint: you should be at 0:30 when Q&amp;A on this slide ends.]</w:t>
      </w:r>
    </w:p>
    <w:p>
      <w:pPr>
        <w:pStyle w:val="Heading2"/>
      </w:pPr>
      <w:r>
        <w:t xml:space="preserve">Delivers, Level 4 (slide 8, 4 minutes + 3 minutes Q&amp;A)</w:t>
      </w:r>
    </w:p>
    <w:p>
      <w:pPr/>
      <w:r>
        <w:rPr>
          <w:b/>
        </w:rPr>
        <w:t xml:space="preserve">Delivers is the second Level 4 parameter. This is where I want you to see what I personally engineer, not what I coordinate.</w:t>
      </w:r>
    </w:p>
    <w:p>
      <w:pPr/>
      <w:r>
        <w:rPr>
          <w:b/>
        </w:rPr>
        <w:t xml:space="preserve">Bafir, a five-year network bug.</w:t>
      </w:r>
      <w:r>
        <w:t xml:space="preserve"> The Bafir payment application had been dropping transactions for around five years, a 1% drop rate on a payments pipeline that clients depend on.</w:t>
      </w:r>
    </w:p>
    <w:p>
      <w:pPr/>
      <w:r>
        <w:t xml:space="preserve">I took the investigation end to end myself. I followed the complete transaction path: application code, then the container pods, node routing, the firewalls, and the destination server. I ran packet captures with tcpdump on the source pods and nodes to see exactly what was happening at each hop. There were two network routes, so I compared how the firewalls behaved on each.</w:t>
      </w:r>
    </w:p>
    <w:p>
      <w:pPr/>
      <w:r>
        <w:t xml:space="preserve">That analysis found the root cause: the application's connection-pooling strategy was not sufficient for the transaction volume, so the pool was exhausted under load. I took the analysis to Bafir, Network and Fabric leadership, then recommended and validated the fix with the Bafir team. Once it was implemented, the issue was resolved. A five-year-old problem was closed and the payment pipeline was protected. The escalation and resolution email chain is linked.</w:t>
      </w:r>
    </w:p>
    <w:p>
      <w:pPr/>
      <w:r>
        <w:rPr>
          <w:b/>
        </w:rPr>
        <w:t xml:space="preserve">India payments localization.</w:t>
      </w:r>
      <w:r>
        <w:t xml:space="preserve"> This was a regulatory requirement on a tight four-month timeline. I deployed localized, compliant Fabric 2.0 infrastructure in India and kept the bank compliant with its data-localization obligations.</w:t>
      </w:r>
    </w:p>
    <w:p>
      <w:pPr/>
      <w:r>
        <w:rPr>
          <w:b/>
        </w:rPr>
        <w:t xml:space="preserve">OCP4 multi-cluster migration.</w:t>
      </w:r>
      <w:r>
        <w:t xml:space="preserve"> I structured and executed the safe migration of more than 15 production clusters from OCP3 to OCP4. The cluster inventory is linked.</w:t>
      </w:r>
    </w:p>
    <w:p>
      <w:pPr/>
      <w:r>
        <w:rPr>
          <w:i/>
        </w:rPr>
        <w:t xml:space="preserve">[Point to the amber band.]</w:t>
      </w:r>
    </w:p>
    <w:p>
      <w:pPr/>
      <w:r>
        <w:rPr>
          <w:b/>
        </w:rPr>
        <w:t xml:space="preserve">The assumption I challenged was that a five-year-old issue was simply permanent. I diagnosed it myself and drove it to resolution. The impact is divisional: regulatory compliance for India payments, protected payment pipelines, and more than 15 production clusters moved off OCP3. That is Level 4 delivery: hands-on expertise on work that matters to the whole division.</w:t>
      </w:r>
    </w:p>
    <w:p>
      <w:pPr>
        <w:pStyle w:val="Heading2"/>
      </w:pPr>
      <w:r>
        <w:t xml:space="preserve">Operates and Controls (slides 9–10, 5 minutes + 5 minutes Q&amp;A)</w:t>
      </w:r>
    </w:p>
    <w:p>
      <w:pPr>
        <w:pStyle w:val="Heading3"/>
      </w:pPr>
      <w:r>
        <w:t xml:space="preserve">Slide 9 — OPERATES, Level 3 (2.5 min)</w:t>
      </w:r>
    </w:p>
    <w:p>
      <w:pPr/>
      <w:r>
        <w:t xml:space="preserve">Operates has two halves: restoring service under pressure, and then making sure we need less manual effort next time.</w:t>
      </w:r>
    </w:p>
    <w:p>
      <w:pPr/>
      <w:r>
        <w:rPr>
          <w:b/>
        </w:rPr>
        <w:t xml:space="preserve">P1 incident: Artifactory secrets.</w:t>
      </w:r>
      <w:r>
        <w:t xml:space="preserve"> During a high-stakes outage affecting more than 50 applications, the first assumption was that the platform was at fault. I ruled the platform out, isolated the root cause to application secrets broken by an upstream Artifactory update, and recovered them. The recovery email is linked.</w:t>
      </w:r>
    </w:p>
    <w:p>
      <w:pPr/>
      <w:r>
        <w:rPr>
          <w:b/>
        </w:rPr>
        <w:t xml:space="preserve">Emergency rebuild of inonpp1a.</w:t>
      </w:r>
      <w:r>
        <w:t xml:space="preserve"> After catastrophic datastore corruption on the inonpp1a cluster, I led a complete cluster recovery in two days, so that client workloads could fail back from DR. The thank-you note from the stakeholders is linked.</w:t>
      </w:r>
    </w:p>
    <w:p>
      <w:pPr/>
      <w:r>
        <w:rPr>
          <w:b/>
        </w:rPr>
        <w:t xml:space="preserve">Regression automation.</w:t>
      </w:r>
      <w:r>
        <w:t xml:space="preserve"> Restoring service is only half the job. I wrote Python-based testing modules that check every new cluster automatically, removing six to eight hours of manual validation per cluster. The pull request is linked.</w:t>
      </w:r>
    </w:p>
    <w:p>
      <w:pPr/>
      <w:r>
        <w:rPr>
          <w:b/>
        </w:rPr>
        <w:t xml:space="preserve">I own incidents from root cause to resolution, and then I automate so the next build is safer and faster.</w:t>
      </w:r>
    </w:p>
    <w:p>
      <w:pPr/>
      <w:r>
        <w:rPr>
          <w:i/>
        </w:rPr>
        <w:t xml:space="preserve">[Checkpoint: you should be at 0:42 when Q&amp;A on this slide ends.]</w:t>
      </w:r>
    </w:p>
    <w:p>
      <w:pPr>
        <w:pStyle w:val="Heading3"/>
      </w:pPr>
      <w:r>
        <w:t xml:space="preserve">Slide 10 — CONTROLS, Level 3 (2.5 min)</w:t>
      </w:r>
    </w:p>
    <w:p>
      <w:pPr/>
      <w:r>
        <w:t xml:space="preserve">Controls is about building security into the platform rather than relying on process.</w:t>
      </w:r>
    </w:p>
    <w:p>
      <w:pPr/>
      <w:r>
        <w:rPr>
          <w:b/>
        </w:rPr>
        <w:t xml:space="preserve">CyberArk SSH integration.</w:t>
      </w:r>
      <w:r>
        <w:t xml:space="preserve"> This is my strongest control. Access to cluster nodes used to depend on shared root keys, a high-severity misuse risk with no record of who did what. I replaced them with secure CyberArk access, with individual authentication and temporary privilege elevation. Every action now has an individual audit trail. The CyberArk Confluence guide is linked.</w:t>
      </w:r>
    </w:p>
    <w:p>
      <w:pPr/>
      <w:r>
        <w:rPr>
          <w:b/>
        </w:rPr>
        <w:t xml:space="preserve">Ingress TLS hardening and port blocking.</w:t>
      </w:r>
      <w:r>
        <w:t xml:space="preserve"> Application Penetration Testing found weak TLS ciphers and unnecessary open ports on tenant routes. I traced both to the shared IngressController configuration and Ingress VIP, which meant the issue was platform-wide, not per application. I completed the risk assessment, the mitigation design, an Engineering PoC and the implementation guides, and told tenant teams that no application changes would be needed. To be clear, the production rollout is still in progress. Once it lands, all 600+ tenant applications get the fix at once. The findings analysis is linked.</w:t>
      </w:r>
    </w:p>
    <w:p>
      <w:pPr/>
      <w:r>
        <w:rPr>
          <w:b/>
        </w:rPr>
        <w:t xml:space="preserve">Credential monitoring.</w:t>
      </w:r>
      <w:r>
        <w:t xml:space="preserve"> As owner of the PaaS Confluence space, I owned the remediation of credential findings. Because a clean-up alone doesn't stop the problem coming back, I also ran secure coding coaching sessions for the team. The coaching whiteboard is linked.</w:t>
      </w:r>
    </w:p>
    <w:p>
      <w:pPr/>
      <w:r>
        <w:rPr>
          <w:b/>
        </w:rPr>
        <w:t xml:space="preserve">In each case, the control is built into the platform or the team's habits, so it protects us without depending on anyone remembering to do the right thing.</w:t>
      </w:r>
    </w:p>
    <w:p>
      <w:pPr>
        <w:pStyle w:val="Heading2"/>
      </w:pPr>
      <w:r>
        <w:t xml:space="preserve">Leadership Kompass (slides 11–12, 4 minutes + 2 minutes Q&amp;A)</w:t>
      </w:r>
    </w:p>
    <w:p>
      <w:pPr/>
      <w:r>
        <w:t xml:space="preserve">If you are more than 3 minutes behind, take each slide in 1 minute: read the four behaviour names and tell the one example in bold.</w:t>
      </w:r>
    </w:p>
    <w:p>
      <w:pPr>
        <w:pStyle w:val="Heading3"/>
      </w:pPr>
      <w:r>
        <w:t xml:space="preserve">Slide 11 — Behaviours 1–4 (2 min)</w:t>
      </w:r>
    </w:p>
    <w:p>
      <w:pPr/>
      <w:r>
        <w:t xml:space="preserve">The ECDF shows what I deliver. The Leadership Kompass shows how I lead while doing it.</w:t>
      </w:r>
    </w:p>
    <w:p>
      <w:pPr/>
      <w:r>
        <w:rPr>
          <w:b/>
        </w:rPr>
        <w:t xml:space="preserve">Role-modelling integrity and accountability.</w:t>
      </w:r>
      <w:r>
        <w:t xml:space="preserve"> I own production incidents, including the inonpp1a outage, and I run transparent post-mortems. The aim is to learn, not to find someone to blame.</w:t>
      </w:r>
    </w:p>
    <w:p>
      <w:pPr/>
      <w:r>
        <w:rPr>
          <w:b/>
        </w:rPr>
        <w:t xml:space="preserve">Encouraging proactive problem-solving.</w:t>
      </w:r>
      <w:r>
        <w:t xml:space="preserve"> I celebrate bold solutions. ACM Segregation is a good example: it started by questioning a model everyone had accepted.</w:t>
      </w:r>
    </w:p>
    <w:p>
      <w:pPr/>
      <w:r>
        <w:rPr>
          <w:b/>
        </w:rPr>
        <w:t xml:space="preserve">Structured mentoring.</w:t>
      </w:r>
      <w:r>
        <w:t xml:space="preserve"> I developed Atharva Honrao from a graduate into a productive platform engineer, with a structured one-to-one plan that is linked here.</w:t>
      </w:r>
    </w:p>
    <w:p>
      <w:pPr/>
      <w:r>
        <w:rPr>
          <w:b/>
        </w:rPr>
        <w:t xml:space="preserve">Constructive feedback culture.</w:t>
      </w:r>
      <w:r>
        <w:t xml:space="preserve"> I built monthly retrospectives where the team can give honest feedback safely.</w:t>
      </w:r>
    </w:p>
    <w:p>
      <w:pPr>
        <w:pStyle w:val="Heading3"/>
      </w:pPr>
      <w:r>
        <w:t xml:space="preserve">Slide 12 — Behaviours 5–8 (2 min)</w:t>
      </w:r>
    </w:p>
    <w:p>
      <w:pPr/>
      <w:r>
        <w:rPr>
          <w:b/>
        </w:rPr>
        <w:t xml:space="preserve">Connecting decisions to business value.</w:t>
      </w:r>
      <w:r>
        <w:t xml:space="preserve"> Fabric carries more than 600 tenant applications, so I connect platform reliability directly to the revenue those applications generate and the cost they save. The prioritized demand backlog shows how I rank work.</w:t>
      </w:r>
    </w:p>
    <w:p>
      <w:pPr/>
      <w:r>
        <w:rPr>
          <w:b/>
        </w:rPr>
        <w:t xml:space="preserve">Silo breaking.</w:t>
      </w:r>
      <w:r>
        <w:t xml:space="preserve"> I built a robust operations handover and hands-on training, so that fewer errors reach production after implementation. The training feedback is linked.</w:t>
      </w:r>
    </w:p>
    <w:p>
      <w:pPr/>
      <w:r>
        <w:rPr>
          <w:b/>
        </w:rPr>
        <w:t xml:space="preserve">Promoting belonging and valuing contributions.</w:t>
      </w:r>
      <w:r>
        <w:t xml:space="preserve"> I make space for quieter voices in the team and I call out great work publicly.</w:t>
      </w:r>
    </w:p>
    <w:p>
      <w:pPr/>
      <w:r>
        <w:rPr>
          <w:b/>
        </w:rPr>
        <w:t xml:space="preserve">Vision alignment.</w:t>
      </w:r>
      <w:r>
        <w:t xml:space="preserve"> I connect our daily engineering excellence to the bank's digital mission, so the team understands why their work matters.</w:t>
      </w:r>
    </w:p>
    <w:p>
      <w:pPr>
        <w:pStyle w:val="Heading2"/>
      </w:pPr>
      <w:r>
        <w:t xml:space="preserve">Close (slide 13, 2 minutes)</w:t>
      </w:r>
    </w:p>
    <w:p>
      <w:pPr/>
      <w:r>
        <w:rPr>
          <w:i/>
        </w:rPr>
        <w:t xml:space="preserve">[Slow down.]</w:t>
      </w:r>
    </w:p>
    <w:p>
      <w:pPr/>
      <w:r>
        <w:t xml:space="preserve">So, why VP, and why now? Three reasons.</w:t>
      </w:r>
    </w:p>
    <w:p>
      <w:pPr/>
      <w:r>
        <w:rPr>
          <w:b/>
        </w:rPr>
        <w:t xml:space="preserve">First, Level 4 thinking.</w:t>
      </w:r>
      <w:r>
        <w:t xml:space="preserve"> I identify systemic risks, challenge assumptions and create sustainable, platform-level solutions. ACM Segregation and policy governance are the evidence.</w:t>
      </w:r>
    </w:p>
    <w:p>
      <w:pPr/>
      <w:r>
        <w:rPr>
          <w:b/>
        </w:rPr>
        <w:t xml:space="preserve">Second, Level 4 delivery.</w:t>
      </w:r>
      <w:r>
        <w:t xml:space="preserve"> When there is a hard technical problem, I apply deep expertise personally to remove it. Bafir, India Payments and OCP4 are the evidence.</w:t>
      </w:r>
    </w:p>
    <w:p>
      <w:pPr/>
      <w:r>
        <w:rPr>
          <w:b/>
        </w:rPr>
        <w:t xml:space="preserve">Third, Level 3 breadth.</w:t>
      </w:r>
      <w:r>
        <w:t xml:space="preserve"> Across design, controls, operations, business outcomes, engagement and influence, I am already operating at the required level.</w:t>
      </w:r>
    </w:p>
    <w:p>
      <w:pPr/>
      <w:r>
        <w:rPr>
          <w:i/>
        </w:rPr>
        <w:t xml:space="preserve">[Pause.]</w:t>
      </w:r>
    </w:p>
    <w:p>
      <w:pPr/>
      <w:r>
        <w:rPr>
          <w:b/>
        </w:rPr>
        <w:t xml:space="preserve">My case for VP is not based on the number of projects I have completed. It is based on the change in the scope and nature of my impact. I am increasingly shaping the solution, solving the difficult technical problems, enabling others and improving the engineering system around me.</w:t>
      </w:r>
    </w:p>
    <w:p>
      <w:pPr/>
      <w:r>
        <w:t xml:space="preserve">Thank you. I would welcome any further questions.</w:t>
      </w:r>
    </w:p>
    <w:p>
      <w:pPr>
        <w:pStyle w:val="Heading2"/>
      </w:pPr>
      <w:r>
        <w:t xml:space="preserve">Likely panel questions</w:t>
      </w:r>
    </w:p>
    <w:p>
      <w:pPr/>
      <w:r>
        <w:t xml:space="preserve">Keep each answer to about 60–90 seconds: the point first, then one example, then the behaviour it shows. When you can, point to the evidence link on the slide.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Likely question</w:t>
            </w:r>
          </w:p>
        </w:tc>
        <w:tc>
          <w:tcPr>
            <w:tcW w:w="3120" w:type="dxa"/>
            <w:shd w:val="clear" w:color="auto" w:fill="F2F2F2"/>
          </w:tcPr>
          <w:p>
            <w:pPr/>
            <w:r>
              <w:t xml:space="preserve">Answer from</w:t>
            </w:r>
          </w:p>
        </w:tc>
        <w:tc>
          <w:tcPr>
            <w:tcW w:w="3120" w:type="dxa"/>
            <w:shd w:val="clear" w:color="auto" w:fill="F2F2F2"/>
          </w:tcPr>
          <w:p>
            <w:pPr/>
            <w:r>
              <w:t xml:space="preserve">Opening line</w:t>
            </w:r>
          </w:p>
        </w:tc>
      </w:tr>
      <w:tr>
        <w:tc>
          <w:tcPr>
            <w:tcW w:w="3120" w:type="dxa"/>
          </w:tcPr>
          <w:p>
            <w:pPr/>
            <w:r>
              <w:t xml:space="preserve">What did you personally do, versus the team?</w:t>
            </w:r>
          </w:p>
        </w:tc>
        <w:tc>
          <w:tcPr>
            <w:tcW w:w="3120" w:type="dxa"/>
          </w:tcPr>
          <w:p>
            <w:pPr/>
            <w:r>
              <w:t xml:space="preserve">Any slide</w:t>
            </w:r>
          </w:p>
        </w:tc>
        <w:tc>
          <w:tcPr>
            <w:tcW w:w="3120" w:type="dxa"/>
          </w:tcPr>
          <w:p>
            <w:pPr/>
            <w:r>
              <w:t xml:space="preserve">"The team did [X]. What I personally did was [Y]."</w:t>
            </w:r>
          </w:p>
        </w:tc>
      </w:tr>
      <w:tr>
        <w:tc>
          <w:tcPr>
            <w:tcW w:w="3120" w:type="dxa"/>
          </w:tcPr>
          <w:p>
            <w:pPr/>
            <w:r>
              <w:t xml:space="preserve">What was the hardest technical problem you solved?</w:t>
            </w:r>
          </w:p>
        </w:tc>
        <w:tc>
          <w:tcPr>
            <w:tcW w:w="3120" w:type="dxa"/>
          </w:tcPr>
          <w:p>
            <w:pPr/>
            <w:r>
              <w:t xml:space="preserve">Delivers – Bafir</w:t>
            </w:r>
          </w:p>
        </w:tc>
        <w:tc>
          <w:tcPr>
            <w:tcW w:w="3120" w:type="dxa"/>
          </w:tcPr>
          <w:p>
            <w:pPr/>
            <w:r>
              <w:t xml:space="preserve">"Bafir: a five-year-old issue I traced myself, at packet level, from the application to the destination server."</w:t>
            </w:r>
          </w:p>
        </w:tc>
      </w:tr>
      <w:tr>
        <w:tc>
          <w:tcPr>
            <w:tcW w:w="3120" w:type="dxa"/>
          </w:tcPr>
          <w:p>
            <w:pPr/>
            <w:r>
              <w:t xml:space="preserve">Why was segregating ACM better than the alternatives?</w:t>
            </w:r>
          </w:p>
        </w:tc>
        <w:tc>
          <w:tcPr>
            <w:tcW w:w="3120" w:type="dxa"/>
          </w:tcPr>
          <w:p>
            <w:pPr/>
            <w:r>
              <w:t xml:space="preserve">Thinks – ACM Segregation</w:t>
            </w:r>
          </w:p>
        </w:tc>
        <w:tc>
          <w:tcPr>
            <w:tcW w:w="3120" w:type="dxa"/>
          </w:tcPr>
          <w:p>
            <w:pPr/>
            <w:r>
              <w:t xml:space="preserve">"I didn't ask anyone to take it on trust. I proved it in Engineering Test first." [Add the alternative you considered and why you rejected it.]</w:t>
            </w:r>
          </w:p>
        </w:tc>
      </w:tr>
      <w:tr>
        <w:tc>
          <w:tcPr>
            <w:tcW w:w="3120" w:type="dxa"/>
          </w:tcPr>
          <w:p>
            <w:pPr/>
            <w:r>
              <w:t xml:space="preserve">Give another example of Level 4 thinking.</w:t>
            </w:r>
          </w:p>
        </w:tc>
        <w:tc>
          <w:tcPr>
            <w:tcW w:w="3120" w:type="dxa"/>
          </w:tcPr>
          <w:p>
            <w:pPr/>
            <w:r>
              <w:t xml:space="preserve">Thinks – MLA or Policy Governance</w:t>
            </w:r>
          </w:p>
        </w:tc>
        <w:tc>
          <w:tcPr>
            <w:tcW w:w="3120" w:type="dxa"/>
          </w:tcPr>
          <w:p>
            <w:pPr/>
            <w:r>
              <w:t xml:space="preserve">"Policy governance: the real fix wasn't the clean-up, it was moving policy into GitOps so the drift can't return."</w:t>
            </w:r>
          </w:p>
        </w:tc>
      </w:tr>
      <w:tr>
        <w:tc>
          <w:tcPr>
            <w:tcW w:w="3120" w:type="dxa"/>
          </w:tcPr>
          <w:p>
            <w:pPr/>
            <w:r>
              <w:t xml:space="preserve">How did you influence a senior stakeholder who disagreed?</w:t>
            </w:r>
          </w:p>
        </w:tc>
        <w:tc>
          <w:tcPr>
            <w:tcW w:w="3120" w:type="dxa"/>
          </w:tcPr>
          <w:p>
            <w:pPr/>
            <w:r>
              <w:t xml:space="preserve">Influences – MD/Director briefing</w:t>
            </w:r>
          </w:p>
        </w:tc>
        <w:tc>
          <w:tcPr>
            <w:tcW w:w="3120" w:type="dxa"/>
          </w:tcPr>
          <w:p>
            <w:pPr/>
            <w:r>
              <w:t xml:space="preserve">"Directors and an MD disagreed on whether a $1.69B payments miss was a platform or application issue. I walked them through the root cause, and they accepted it for regulatory reporting."</w:t>
            </w:r>
          </w:p>
        </w:tc>
      </w:tr>
      <w:tr>
        <w:tc>
          <w:tcPr>
            <w:tcW w:w="3120" w:type="dxa"/>
          </w:tcPr>
          <w:p>
            <w:pPr/>
            <w:r>
              <w:t xml:space="preserve">What did you put in place so it doesn't depend on you?</w:t>
            </w:r>
          </w:p>
        </w:tc>
        <w:tc>
          <w:tcPr>
            <w:tcW w:w="3120" w:type="dxa"/>
          </w:tcPr>
          <w:p>
            <w:pPr/>
            <w:r>
              <w:t xml:space="preserve">Designs, Operates, Engages</w:t>
            </w:r>
          </w:p>
        </w:tc>
        <w:tc>
          <w:tcPr>
            <w:tcW w:w="3120" w:type="dxa"/>
          </w:tcPr>
          <w:p>
            <w:pPr/>
            <w:r>
              <w:t xml:space="preserve">"The ADR templates, the GitOps policy workflow, the regression automation, and the Ops training."</w:t>
            </w:r>
          </w:p>
        </w:tc>
      </w:tr>
      <w:tr>
        <w:tc>
          <w:tcPr>
            <w:tcW w:w="3120" w:type="dxa"/>
          </w:tcPr>
          <w:p>
            <w:pPr/>
            <w:r>
              <w:t xml:space="preserve">How did your work create business value?</w:t>
            </w:r>
          </w:p>
        </w:tc>
        <w:tc>
          <w:tcPr>
            <w:tcW w:w="3120" w:type="dxa"/>
          </w:tcPr>
          <w:p>
            <w:pPr/>
            <w:r>
              <w:t xml:space="preserve">Achieves</w:t>
            </w:r>
          </w:p>
        </w:tc>
        <w:tc>
          <w:tcPr>
            <w:tcW w:w="3120" w:type="dxa"/>
          </w:tcPr>
          <w:p>
            <w:pPr/>
            <w:r>
              <w:t xml:space="preserve">"NPA4: a three-day window during a change freeze, and we still delivered."</w:t>
            </w:r>
          </w:p>
        </w:tc>
      </w:tr>
      <w:tr>
        <w:tc>
          <w:tcPr>
            <w:tcW w:w="3120" w:type="dxa"/>
          </w:tcPr>
          <w:p>
            <w:pPr/>
            <w:r>
              <w:t xml:space="preserve">How do you develop your people?</w:t>
            </w:r>
          </w:p>
        </w:tc>
        <w:tc>
          <w:tcPr>
            <w:tcW w:w="3120" w:type="dxa"/>
          </w:tcPr>
          <w:p>
            <w:pPr/>
            <w:r>
              <w:t xml:space="preserve">Engages – Atharva</w:t>
            </w:r>
          </w:p>
        </w:tc>
        <w:tc>
          <w:tcPr>
            <w:tcW w:w="3120" w:type="dxa"/>
          </w:tcPr>
          <w:p>
            <w:pPr/>
            <w:r>
              <w:t xml:space="preserve">"Atharva went from graduate to productive platform engineer, with a structured one-to-one plan."</w:t>
            </w:r>
          </w:p>
        </w:tc>
      </w:tr>
      <w:tr>
        <w:tc>
          <w:tcPr>
            <w:tcW w:w="3120" w:type="dxa"/>
          </w:tcPr>
          <w:p>
            <w:pPr/>
            <w:r>
              <w:t xml:space="preserve">What resistance did you face?</w:t>
            </w:r>
          </w:p>
        </w:tc>
        <w:tc>
          <w:tcPr>
            <w:tcW w:w="3120" w:type="dxa"/>
          </w:tcPr>
          <w:p>
            <w:pPr/>
            <w:r>
              <w:t xml:space="preserve">—</w:t>
            </w:r>
          </w:p>
        </w:tc>
        <w:tc>
          <w:tcPr>
            <w:tcW w:w="3120" w:type="dxa"/>
          </w:tcPr>
          <w:p>
            <w:pPr/>
            <w:r>
              <w:t xml:space="preserve">[Prepare a genuine, specific example.]</w:t>
            </w:r>
          </w:p>
        </w:tc>
      </w:tr>
      <w:tr>
        <w:tc>
          <w:tcPr>
            <w:tcW w:w="3120" w:type="dxa"/>
          </w:tcPr>
          <w:p>
            <w:pPr/>
            <w:r>
              <w:t xml:space="preserve">What would you do differently?</w:t>
            </w:r>
          </w:p>
        </w:tc>
        <w:tc>
          <w:tcPr>
            <w:tcW w:w="3120" w:type="dxa"/>
          </w:tcPr>
          <w:p>
            <w:pPr/>
            <w:r>
              <w:t xml:space="preserve">—</w:t>
            </w:r>
          </w:p>
        </w:tc>
        <w:tc>
          <w:tcPr>
            <w:tcW w:w="3120" w:type="dxa"/>
          </w:tcPr>
          <w:p>
            <w:pPr/>
            <w:r>
              <w:t xml:space="preserve">[Prepare a genuine, specific example.]</w:t>
            </w:r>
          </w:p>
        </w:tc>
      </w:tr>
      <w:tr>
        <w:tc>
          <w:tcPr>
            <w:tcW w:w="3120" w:type="dxa"/>
          </w:tcPr>
          <w:p>
            <w:pPr/>
            <w:r>
              <w:t xml:space="preserve">Why are you ready for VP now?</w:t>
            </w:r>
          </w:p>
        </w:tc>
        <w:tc>
          <w:tcPr>
            <w:tcW w:w="3120" w:type="dxa"/>
          </w:tcPr>
          <w:p>
            <w:pPr/>
            <w:r>
              <w:t xml:space="preserve">Close</w:t>
            </w:r>
          </w:p>
        </w:tc>
        <w:tc>
          <w:tcPr>
            <w:tcW w:w="3120" w:type="dxa"/>
          </w:tcPr>
          <w:p>
            <w:pPr/>
            <w:r>
              <w:t xml:space="preserve">Repeat the closing line, then add one sentence on what you want to achieve as VP.</w:t>
            </w:r>
          </w:p>
        </w:tc>
      </w:tr>
    </w:tbl>
    <w:p>
      <w:pPr/>
      <w:r>
        <w:rPr>
          <w:b/>
        </w:rPr>
        <w:t xml:space="preserve">If a question goes beyond your evidence,</w:t>
      </w:r>
      <w:r>
        <w:t xml:space="preserve"> say so honestly. Then explain how you would approach it, rather than stretching an example.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VP Assessment Pitch Presenter Script</dc:title>
  <dc:description>Claude Docs node/70e9e6ae-22df@28 docx-w6</dc:description>
  <cp:revision>28</cp:revision>
</cp:coreProperties>
</file>