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pStyle w:val="Title"/>
      </w:pPr>
      <w:r>
        <w:rPr>
          <w:rFonts w:ascii="Calibri" w:cs="Calibri" w:eastAsia="Calibri" w:hAnsi="Calibri"/>
          <w:b/>
          <w:bCs/>
          <w:color w:val="1F4E79"/>
          <w:sz w:val="64"/>
          <w:szCs w:val="64"/>
        </w:rPr>
        <w:t xml:space="preserve">Sentra</w:t>
      </w:r>
    </w:p>
    <w:p>
      <w:pPr>
        <w:spacing w:after="60"/>
      </w:pPr>
      <w:r>
        <w:rPr>
          <w:rFonts w:ascii="Calibri" w:cs="Calibri" w:eastAsia="Calibri" w:hAnsi="Calibri"/>
          <w:color w:val="444444"/>
          <w:sz w:val="32"/>
          <w:szCs w:val="32"/>
        </w:rPr>
        <w:t xml:space="preserve">Engineering Trust Platform</w:t>
      </w:r>
    </w:p>
    <w:p>
      <w:pPr>
        <w:spacing w:after="40"/>
      </w:pPr>
      <w:r>
        <w:rPr>
          <w:rFonts w:ascii="Calibri" w:cs="Calibri" w:eastAsia="Calibri" w:hAnsi="Calibri"/>
          <w:i/>
          <w:iCs/>
          <w:color w:val="666666"/>
          <w:sz w:val="24"/>
          <w:szCs w:val="24"/>
        </w:rPr>
        <w:t xml:space="preserve">Final-Year Major Project — Detailed Specification</w:t>
      </w:r>
    </w:p>
    <w:p>
      <w:pPr>
        <w:spacing w:after="40"/>
      </w:pPr>
      <w:r>
        <w:rPr>
          <w:rFonts w:ascii="Calibri" w:cs="Calibri" w:eastAsia="Calibri" w:hAnsi="Calibri"/>
          <w:color w:val="666666"/>
          <w:sz w:val="20"/>
          <w:szCs w:val="20"/>
        </w:rPr>
        <w:t xml:space="preserve">Prepared for: B.Tech CSE (AI &amp; ML), CMR College of Engineering and Technology</w:t>
      </w:r>
    </w:p>
    <w:p>
      <w:pPr>
        <w:spacing w:after="800"/>
      </w:pPr>
      <w:r>
        <w:rPr>
          <w:rFonts w:ascii="Calibri" w:cs="Calibri" w:eastAsia="Calibri" w:hAnsi="Calibri"/>
          <w:color w:val="666666"/>
          <w:sz w:val="20"/>
          <w:szCs w:val="20"/>
        </w:rPr>
        <w:t xml:space="preserve">Author: Saketh   |   Working title — rename freely before submission</w:t>
      </w:r>
    </w:p>
    <w:p>
      <w:pPr>
        <w:pBdr>
          <w:bottom w:val="single" w:color="AAAAAA" w:sz="6" w:space="1"/>
        </w:pBdr>
        <w:spacing w:after="200"/>
      </w:pPr>
    </w:p>
    <w:p>
      <w:pPr>
        <w:spacing w:after="160" w:line="300"/>
      </w:pPr>
      <w:r>
        <w:rPr>
          <w:rFonts w:ascii="Calibri" w:cs="Calibri" w:eastAsia="Calibri" w:hAnsi="Calibri"/>
          <w:sz w:val="22"/>
          <w:szCs w:val="22"/>
        </w:rPr>
        <w:t xml:space="preserve">This document is a locked reference for the Sentra project. It exists so that development can resume at any point — even after a long gap — without losing the reasoning behind each decision. It states the purpose, the scope, the architecture, and the exact external tools each module depends on.</w:t>
      </w:r>
    </w:p>
    <w:p>
      <w:r>
        <w:br w:type="page"/>
      </w:r>
    </w:p>
    <w:p>
      <w:pPr>
        <w:pStyle w:val="Heading1"/>
        <w:spacing w:after="140" w:before="280"/>
      </w:pPr>
      <w:r>
        <w:rPr>
          <w:rFonts w:ascii="Calibri" w:cs="Calibri" w:eastAsia="Calibri" w:hAnsi="Calibri"/>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rFonts w:ascii="Calibri" w:cs="Calibri" w:eastAsia="Calibri" w:hAnsi="Calibri"/>
          <w:b/>
          <w:bCs/>
        </w:rPr>
        <w:t xml:space="preserve">1. Purpose and Positioning</w:t>
      </w:r>
    </w:p>
    <w:p>
      <w:pPr>
        <w:pStyle w:val="Heading2"/>
        <w:spacing w:after="140" w:before="280"/>
      </w:pPr>
      <w:r>
        <w:rPr>
          <w:rFonts w:ascii="Calibri" w:cs="Calibri" w:eastAsia="Calibri" w:hAnsi="Calibri"/>
          <w:b/>
          <w:bCs/>
        </w:rPr>
        <w:t xml:space="preserve">1.1 What Sentra is</w:t>
      </w:r>
    </w:p>
    <w:p>
      <w:pPr>
        <w:spacing w:after="160" w:line="300"/>
      </w:pPr>
      <w:r>
        <w:rPr>
          <w:rFonts w:ascii="Calibri" w:cs="Calibri" w:eastAsia="Calibri" w:hAnsi="Calibri"/>
          <w:sz w:val="22"/>
          <w:szCs w:val="22"/>
        </w:rPr>
        <w:t xml:space="preserve">Sentra is a platform for one developer. It helps that developer understand, trust, and maintain a codebase over time. It does not generate code. It does not replace a code editor. It sits beside the developer's normal workflow and answers a different question: is this codebase healthy, and can I trust it?</w:t>
      </w:r>
    </w:p>
    <w:p>
      <w:pPr>
        <w:pStyle w:val="Heading2"/>
        <w:spacing w:after="140" w:before="280"/>
      </w:pPr>
      <w:r>
        <w:rPr>
          <w:rFonts w:ascii="Calibri" w:cs="Calibri" w:eastAsia="Calibri" w:hAnsi="Calibri"/>
          <w:b/>
          <w:bCs/>
        </w:rPr>
        <w:t xml:space="preserve">1.2 The core problem</w:t>
      </w:r>
    </w:p>
    <w:p>
      <w:pPr>
        <w:spacing w:after="160" w:line="300"/>
      </w:pPr>
      <w:r>
        <w:rPr>
          <w:rFonts w:ascii="Calibri" w:cs="Calibri" w:eastAsia="Calibri" w:hAnsi="Calibri"/>
          <w:sz w:val="22"/>
          <w:szCs w:val="22"/>
        </w:rPr>
        <w:t xml:space="preserve">A developer working alone or joining an existing repository faces the same recurring pains:</w:t>
      </w:r>
    </w:p>
    <w:p>
      <w:pPr>
        <w:pStyle w:val="ListParagraph"/>
        <w:numPr>
          <w:ilvl w:val="0"/>
          <w:numId w:val="2"/>
        </w:numPr>
        <w:spacing w:after="80" w:line="280"/>
      </w:pPr>
      <w:r>
        <w:rPr>
          <w:rFonts w:ascii="Calibri" w:cs="Calibri" w:eastAsia="Calibri" w:hAnsi="Calibri"/>
          <w:sz w:val="22"/>
          <w:szCs w:val="22"/>
        </w:rPr>
        <w:t xml:space="preserve">The codebase is hard to understand quickly. Documentation is missing or outdated.</w:t>
      </w:r>
    </w:p>
    <w:p>
      <w:pPr>
        <w:pStyle w:val="ListParagraph"/>
        <w:numPr>
          <w:ilvl w:val="0"/>
          <w:numId w:val="2"/>
        </w:numPr>
        <w:spacing w:after="80" w:line="280"/>
      </w:pPr>
      <w:r>
        <w:rPr>
          <w:rFonts w:ascii="Calibri" w:cs="Calibri" w:eastAsia="Calibri" w:hAnsi="Calibri"/>
          <w:sz w:val="22"/>
          <w:szCs w:val="22"/>
        </w:rPr>
        <w:t xml:space="preserve">Bugs and security issues exist that are not visible from reading code casually.</w:t>
      </w:r>
    </w:p>
    <w:p>
      <w:pPr>
        <w:pStyle w:val="ListParagraph"/>
        <w:numPr>
          <w:ilvl w:val="0"/>
          <w:numId w:val="2"/>
        </w:numPr>
        <w:spacing w:after="80" w:line="280"/>
      </w:pPr>
      <w:r>
        <w:rPr>
          <w:rFonts w:ascii="Calibri" w:cs="Calibri" w:eastAsia="Calibri" w:hAnsi="Calibri"/>
          <w:sz w:val="22"/>
          <w:szCs w:val="22"/>
        </w:rPr>
        <w:t xml:space="preserve">Dependencies carry known vulnerabilities that go unnoticed until an audit.</w:t>
      </w:r>
    </w:p>
    <w:p>
      <w:pPr>
        <w:pStyle w:val="ListParagraph"/>
        <w:numPr>
          <w:ilvl w:val="0"/>
          <w:numId w:val="2"/>
        </w:numPr>
        <w:spacing w:after="80" w:line="280"/>
      </w:pPr>
      <w:r>
        <w:rPr>
          <w:rFonts w:ascii="Calibri" w:cs="Calibri" w:eastAsia="Calibri" w:hAnsi="Calibri"/>
          <w:sz w:val="22"/>
          <w:szCs w:val="22"/>
        </w:rPr>
        <w:t xml:space="preserve">Pull requests are hard to review quickly, especially large ones.</w:t>
      </w:r>
    </w:p>
    <w:p>
      <w:pPr>
        <w:pStyle w:val="ListParagraph"/>
        <w:numPr>
          <w:ilvl w:val="0"/>
          <w:numId w:val="2"/>
        </w:numPr>
        <w:spacing w:after="80" w:line="280"/>
      </w:pPr>
      <w:r>
        <w:rPr>
          <w:rFonts w:ascii="Calibri" w:cs="Calibri" w:eastAsia="Calibri" w:hAnsi="Calibri"/>
          <w:sz w:val="22"/>
          <w:szCs w:val="22"/>
        </w:rPr>
        <w:t xml:space="preserve">Documentation quietly goes stale as code changes underneath it.</w:t>
      </w:r>
    </w:p>
    <w:p>
      <w:pPr>
        <w:pStyle w:val="ListParagraph"/>
        <w:numPr>
          <w:ilvl w:val="0"/>
          <w:numId w:val="2"/>
        </w:numPr>
        <w:spacing w:after="80" w:line="280"/>
      </w:pPr>
      <w:r>
        <w:rPr>
          <w:rFonts w:ascii="Calibri" w:cs="Calibri" w:eastAsia="Calibri" w:hAnsi="Calibri"/>
          <w:sz w:val="22"/>
          <w:szCs w:val="22"/>
        </w:rPr>
        <w:t xml:space="preserve">There is no single, simple answer to the question: ‘Is this codebase safe to release?’</w:t>
      </w:r>
    </w:p>
    <w:p>
      <w:pPr>
        <w:spacing w:after="160" w:line="300"/>
      </w:pPr>
      <w:r>
        <w:rPr>
          <w:rFonts w:ascii="Calibri" w:cs="Calibri" w:eastAsia="Calibri" w:hAnsi="Calibri"/>
          <w:sz w:val="22"/>
          <w:szCs w:val="22"/>
        </w:rPr>
        <w:t xml:space="preserve">Each pain is normally solved by a separate, disconnected tool. Sentra's contribution is not inventing new detection technology. It is combining proven, purpose-built tools under one shared understanding of the codebase, and turning their combined output into one clear decision signal.</w:t>
      </w:r>
    </w:p>
    <w:p>
      <w:pPr>
        <w:pStyle w:val="Heading2"/>
        <w:spacing w:after="140" w:before="280"/>
      </w:pPr>
      <w:r>
        <w:rPr>
          <w:rFonts w:ascii="Calibri" w:cs="Calibri" w:eastAsia="Calibri" w:hAnsi="Calibri"/>
          <w:b/>
          <w:bCs/>
        </w:rPr>
        <w:t xml:space="preserve">1.3 Why this is not ‘just GitHub Copilot’</w:t>
      </w:r>
    </w:p>
    <w:p>
      <w:pPr>
        <w:spacing w:after="160" w:line="300"/>
      </w:pPr>
      <w:r>
        <w:rPr>
          <w:rFonts w:ascii="Calibri" w:cs="Calibri" w:eastAsia="Calibri" w:hAnsi="Calibri"/>
          <w:sz w:val="22"/>
          <w:szCs w:val="22"/>
        </w:rPr>
        <w:t xml:space="preserve">Copilot is a single-developer, in-editor, stateless code completion tool. It does not track a codebase over time. It has no memory of the project as a whole, no concept of documentation health, dependency risk, or release readiness. Sentra is the opposite: persistent, whole-codebase, and decision-focused. Copilot helps write the next line. Sentra tells you whether the whole codebase is trustworthy.</w:t>
      </w:r>
    </w:p>
    <w:p>
      <w:pPr>
        <w:pStyle w:val="Heading2"/>
        <w:spacing w:after="140" w:before="280"/>
      </w:pPr>
      <w:r>
        <w:rPr>
          <w:rFonts w:ascii="Calibri" w:cs="Calibri" w:eastAsia="Calibri" w:hAnsi="Calibri"/>
          <w:b/>
          <w:bCs/>
        </w:rPr>
        <w:t xml:space="preserve">1.4 Why this is not a repeat of the Argus project</w:t>
      </w:r>
    </w:p>
    <w:p>
      <w:pPr>
        <w:spacing w:after="160" w:line="300"/>
      </w:pPr>
      <w:r>
        <w:rPr>
          <w:rFonts w:ascii="Calibri" w:cs="Calibri" w:eastAsia="Calibri" w:hAnsi="Calibri"/>
          <w:sz w:val="22"/>
          <w:szCs w:val="22"/>
        </w:rPr>
        <w:t xml:space="preserve">Argus (the author's separate multi-agent project) focuses on automatically finding and fixing bugs through an agent pipeline — preprocessing, localization, fix generation, sandbox validation, and automated pull requests. Argus is a fix-generation engine.</w:t>
      </w:r>
    </w:p>
    <w:p>
      <w:pPr>
        <w:spacing w:after="160" w:line="300"/>
      </w:pPr>
      <w:r>
        <w:rPr>
          <w:rFonts w:ascii="Calibri" w:cs="Calibri" w:eastAsia="Calibri" w:hAnsi="Calibri"/>
          <w:sz w:val="22"/>
          <w:szCs w:val="22"/>
        </w:rPr>
        <w:t xml:space="preserve">Sentra does not generate fixes. Sentra is a human-facing understanding and trust layer: it explains a codebase, flags risk, and scores release readiness, but it always leaves the decision and the fix to the developer. The two projects can be described honestly in a viva as related in technique (both touch code parsing and embeddings) but different in purpose and output. Sentra can even be framed as a natural, more mature companion project — not a duplicate.</w:t>
      </w:r>
    </w:p>
    <w:p>
      <w:pPr>
        <w:pStyle w:val="Heading1"/>
        <w:spacing w:after="140" w:before="280"/>
      </w:pPr>
      <w:r>
        <w:rPr>
          <w:rFonts w:ascii="Calibri" w:cs="Calibri" w:eastAsia="Calibri" w:hAnsi="Calibri"/>
          <w:b/>
          <w:bCs/>
        </w:rPr>
        <w:t xml:space="preserve">2. Scope — Modules</w:t>
      </w:r>
    </w:p>
    <w:p>
      <w:pPr>
        <w:spacing w:after="160" w:line="300"/>
      </w:pPr>
      <w:r>
        <w:rPr>
          <w:rFonts w:ascii="Calibri" w:cs="Calibri" w:eastAsia="Calibri" w:hAnsi="Calibri"/>
          <w:sz w:val="22"/>
          <w:szCs w:val="22"/>
        </w:rPr>
        <w:t xml:space="preserve">Sentra ships as six modules. Each module solves one distinct, real problem. Each module uses whichever technology genuinely fits that problem — not one technology forced across all six. All six modules read from one shared ingestion core (Section 3), which is what makes Sentra one platform rather than six unrelated tools.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4300"/>
        <w:gridCol w:w="2100"/>
      </w:tblGrid>
      <w:tr>
        <w:trPr>
          <w:tblHeader/>
        </w:trPr>
        <w:tc>
          <w:tcPr>
            <w:tcW w:type="dxa" w:w="700"/>
            <w:shd w:fill="1F4E79" w:val="clear"/>
            <w:tcMar>
              <w:top w:type="dxa" w:w="80"/>
              <w:left w:type="dxa" w:w="100"/>
              <w:bottom w:type="dxa" w:w="80"/>
              <w:right w:type="dxa" w:w="100"/>
            </w:tcMar>
          </w:tcPr>
          <w:p>
            <w:pPr>
              <w:jc w:val="left"/>
            </w:pPr>
            <w:r>
              <w:rPr>
                <w:rFonts w:ascii="Calibri" w:cs="Calibri" w:eastAsia="Calibri" w:hAnsi="Calibri"/>
                <w:b/>
                <w:bCs/>
                <w:sz w:val="20"/>
                <w:szCs w:val="20"/>
              </w:rPr>
              <w:t xml:space="preserve">#</w:t>
            </w:r>
          </w:p>
        </w:tc>
        <w:tc>
          <w:tcPr>
            <w:tcW w:type="dxa" w:w="3300"/>
            <w:shd w:fill="1F4E79" w:val="clear"/>
            <w:tcMar>
              <w:top w:type="dxa" w:w="80"/>
              <w:left w:type="dxa" w:w="100"/>
              <w:bottom w:type="dxa" w:w="80"/>
              <w:right w:type="dxa" w:w="100"/>
            </w:tcMar>
          </w:tcPr>
          <w:p>
            <w:pPr>
              <w:jc w:val="left"/>
            </w:pPr>
            <w:r>
              <w:rPr>
                <w:rFonts w:ascii="Calibri" w:cs="Calibri" w:eastAsia="Calibri" w:hAnsi="Calibri"/>
                <w:b/>
                <w:bCs/>
                <w:sz w:val="20"/>
                <w:szCs w:val="20"/>
              </w:rPr>
              <w:t xml:space="preserve">Module</w:t>
            </w:r>
          </w:p>
        </w:tc>
        <w:tc>
          <w:tcPr>
            <w:tcW w:type="dxa" w:w="4300"/>
            <w:shd w:fill="1F4E79" w:val="clear"/>
            <w:tcMar>
              <w:top w:type="dxa" w:w="80"/>
              <w:left w:type="dxa" w:w="100"/>
              <w:bottom w:type="dxa" w:w="80"/>
              <w:right w:type="dxa" w:w="100"/>
            </w:tcMar>
          </w:tcPr>
          <w:p>
            <w:pPr>
              <w:jc w:val="left"/>
            </w:pPr>
            <w:r>
              <w:rPr>
                <w:rFonts w:ascii="Calibri" w:cs="Calibri" w:eastAsia="Calibri" w:hAnsi="Calibri"/>
                <w:b/>
                <w:bCs/>
                <w:sz w:val="20"/>
                <w:szCs w:val="20"/>
              </w:rPr>
              <w:t xml:space="preserve">Problem it solves</w:t>
            </w:r>
          </w:p>
        </w:tc>
        <w:tc>
          <w:tcPr>
            <w:tcW w:type="dxa" w:w="2100"/>
            <w:shd w:fill="1F4E79" w:val="clear"/>
            <w:tcMar>
              <w:top w:type="dxa" w:w="80"/>
              <w:left w:type="dxa" w:w="100"/>
              <w:bottom w:type="dxa" w:w="80"/>
              <w:right w:type="dxa" w:w="100"/>
            </w:tcMar>
          </w:tcPr>
          <w:p>
            <w:pPr>
              <w:jc w:val="left"/>
            </w:pPr>
            <w:r>
              <w:rPr>
                <w:rFonts w:ascii="Calibri" w:cs="Calibri" w:eastAsia="Calibri" w:hAnsi="Calibri"/>
                <w:b/>
                <w:bCs/>
                <w:sz w:val="20"/>
                <w:szCs w:val="20"/>
              </w:rPr>
              <w:t xml:space="preserve">Priority</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w:t>
            </w:r>
          </w:p>
        </w:tc>
        <w:tc>
          <w:tcPr>
            <w:tcW w:type="dxa" w:w="3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Codebase Q&amp;A + Living Docs</w:t>
            </w:r>
          </w:p>
        </w:tc>
        <w:tc>
          <w:tcPr>
            <w:tcW w:type="dxa" w:w="4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Understanding an unfamiliar codebase quickly</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Core — build first</w:t>
            </w:r>
          </w:p>
        </w:tc>
      </w:tr>
      <w:tr>
        <w:tc>
          <w:tcPr>
            <w:tcW w:type="dxa" w:w="7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w:t>
            </w:r>
          </w:p>
        </w:tc>
        <w:tc>
          <w:tcPr>
            <w:tcW w:type="dxa" w:w="33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Bug &amp; Vulnerability Detection</w:t>
            </w:r>
          </w:p>
        </w:tc>
        <w:tc>
          <w:tcPr>
            <w:tcW w:type="dxa" w:w="43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Subtle code issues that are not visible on a casual read</w:t>
            </w:r>
          </w:p>
        </w:tc>
        <w:tc>
          <w:tcPr>
            <w:tcW w:type="dxa" w:w="21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Core</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w:t>
            </w:r>
          </w:p>
        </w:tc>
        <w:tc>
          <w:tcPr>
            <w:tcW w:type="dxa" w:w="3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Dependency Risk Scanning</w:t>
            </w:r>
          </w:p>
        </w:tc>
        <w:tc>
          <w:tcPr>
            <w:tcW w:type="dxa" w:w="4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Known vulnerabilities hiding in third-party packages</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Core — low effort</w:t>
            </w:r>
          </w:p>
        </w:tc>
      </w:tr>
      <w:tr>
        <w:tc>
          <w:tcPr>
            <w:tcW w:type="dxa" w:w="7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5</w:t>
            </w:r>
          </w:p>
        </w:tc>
        <w:tc>
          <w:tcPr>
            <w:tcW w:type="dxa" w:w="33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 Review Assistant</w:t>
            </w:r>
          </w:p>
        </w:tc>
        <w:tc>
          <w:tcPr>
            <w:tcW w:type="dxa" w:w="43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Slow, tiring review of large pull requests</w:t>
            </w:r>
          </w:p>
        </w:tc>
        <w:tc>
          <w:tcPr>
            <w:tcW w:type="dxa" w:w="21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Secondary</w:t>
            </w:r>
          </w:p>
        </w:tc>
      </w:tr>
      <w:tr>
        <w:tc>
          <w:tcPr>
            <w:tcW w:type="dxa" w:w="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6</w:t>
            </w:r>
          </w:p>
        </w:tc>
        <w:tc>
          <w:tcPr>
            <w:tcW w:type="dxa" w:w="3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Doc / Code Drift Detector</w:t>
            </w:r>
          </w:p>
        </w:tc>
        <w:tc>
          <w:tcPr>
            <w:tcW w:type="dxa" w:w="4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Documentation silently going out of date</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Secondary</w:t>
            </w:r>
          </w:p>
        </w:tc>
      </w:tr>
      <w:tr>
        <w:tc>
          <w:tcPr>
            <w:tcW w:type="dxa" w:w="7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7</w:t>
            </w:r>
          </w:p>
        </w:tc>
        <w:tc>
          <w:tcPr>
            <w:tcW w:type="dxa" w:w="33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Release Readiness Score</w:t>
            </w:r>
          </w:p>
        </w:tc>
        <w:tc>
          <w:tcPr>
            <w:tcW w:type="dxa" w:w="43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 single answer to ‘is this safe to ship’</w:t>
            </w:r>
          </w:p>
        </w:tc>
        <w:tc>
          <w:tcPr>
            <w:tcW w:type="dxa" w:w="21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Core — build last, ties everything together</w:t>
            </w:r>
          </w:p>
        </w:tc>
      </w:tr>
    </w:tbl>
    <w:p>
      <w:pPr>
        <w:spacing w:after="160" w:line="300"/>
      </w:pPr>
      <w:r>
        <w:rPr>
          <w:rFonts w:ascii="Calibri" w:cs="Calibri" w:eastAsia="Calibri" w:hAnsi="Calibri"/>
          <w:sz w:val="22"/>
          <w:szCs w:val="22"/>
        </w:rPr>
        <w:t xml:space="preserve">Numbering (1, 2, 4, 5, 6, 7) is kept intentionally, matching earlier planning notes; module 3 (ownership/bus-factor mapping) was scoped out to protect the four-month timeline and can be added later as a natural extension.</w:t>
      </w:r>
    </w:p>
    <w:p>
      <w:pPr>
        <w:spacing w:after="160" w:line="300"/>
      </w:pPr>
      <w:r>
        <w:rPr>
          <w:rFonts w:ascii="Calibri" w:cs="Calibri" w:eastAsia="Calibri" w:hAnsi="Calibri"/>
          <w:sz w:val="22"/>
          <w:szCs w:val="22"/>
        </w:rPr>
        <w:t xml:space="preserve">If timeline pressure appears during development, the safe cut order is: Module 6 first, then Module 5. Modules 1, 2, 4, and 7 form the non-negotiable core — together they already tell a complete, demonstrable story.</w:t>
      </w:r>
    </w:p>
    <w:p>
      <w:r>
        <w:br w:type="page"/>
      </w:r>
    </w:p>
    <w:p>
      <w:pPr>
        <w:pStyle w:val="Heading1"/>
        <w:spacing w:after="140" w:before="280"/>
      </w:pPr>
      <w:r>
        <w:rPr>
          <w:rFonts w:ascii="Calibri" w:cs="Calibri" w:eastAsia="Calibri" w:hAnsi="Calibri"/>
          <w:b/>
          <w:bCs/>
        </w:rPr>
        <w:t xml:space="preserve">3. Architecture Overview</w:t>
      </w:r>
    </w:p>
    <w:p>
      <w:pPr>
        <w:pStyle w:val="Heading2"/>
        <w:spacing w:after="140" w:before="280"/>
      </w:pPr>
      <w:r>
        <w:rPr>
          <w:rFonts w:ascii="Calibri" w:cs="Calibri" w:eastAsia="Calibri" w:hAnsi="Calibri"/>
          <w:b/>
          <w:bCs/>
        </w:rPr>
        <w:t xml:space="preserve">3.1 Guiding principle</w:t>
      </w:r>
    </w:p>
    <w:p>
      <w:pPr>
        <w:spacing w:after="160" w:line="300"/>
      </w:pPr>
      <w:r>
        <w:rPr>
          <w:rFonts w:ascii="Calibri" w:cs="Calibri" w:eastAsia="Calibri" w:hAnsi="Calibri"/>
          <w:sz w:val="22"/>
          <w:szCs w:val="22"/>
        </w:rPr>
        <w:t xml:space="preserve">One shared ingestion and knowledge core. Six independent modules read from it. One aggregation layer (the Release Readiness Score) reads from the modules. This is the answer to ‘how is this one project and not six’: point to the shared core and the aggregation layer.</w:t>
      </w:r>
    </w:p>
    <w:p>
      <w:pPr>
        <w:pStyle w:val="Heading2"/>
        <w:spacing w:after="140" w:before="280"/>
      </w:pPr>
      <w:r>
        <w:rPr>
          <w:rFonts w:ascii="Calibri" w:cs="Calibri" w:eastAsia="Calibri" w:hAnsi="Calibri"/>
          <w:b/>
          <w:bCs/>
        </w:rPr>
        <w:t xml:space="preserve">3.2 Shared ingestion core</w:t>
      </w:r>
    </w:p>
    <w:p>
      <w:pPr>
        <w:spacing w:after="160" w:line="300"/>
      </w:pPr>
      <w:r>
        <w:rPr>
          <w:rFonts w:ascii="Calibri" w:cs="Calibri" w:eastAsia="Calibri" w:hAnsi="Calibri"/>
          <w:sz w:val="22"/>
          <w:szCs w:val="22"/>
        </w:rPr>
        <w:t xml:space="preserve">Every module depends on the same pipeline, run once per repository and updated incrementally on new commits:</w:t>
      </w:r>
    </w:p>
    <w:p>
      <w:pPr>
        <w:pStyle w:val="ListParagraph"/>
        <w:numPr>
          <w:ilvl w:val="0"/>
          <w:numId w:val="3"/>
        </w:numPr>
        <w:spacing w:after="80" w:line="280"/>
      </w:pPr>
      <w:r>
        <w:rPr>
          <w:rFonts w:ascii="Calibri" w:cs="Calibri" w:eastAsia="Calibri" w:hAnsi="Calibri"/>
          <w:sz w:val="22"/>
          <w:szCs w:val="22"/>
        </w:rPr>
        <w:t xml:space="preserve">Repository intake — clone or pull the target repo (local path or GitHub URL).</w:t>
      </w:r>
    </w:p>
    <w:p>
      <w:pPr>
        <w:pStyle w:val="ListParagraph"/>
        <w:numPr>
          <w:ilvl w:val="0"/>
          <w:numId w:val="3"/>
        </w:numPr>
        <w:spacing w:after="80" w:line="280"/>
      </w:pPr>
      <w:r>
        <w:rPr>
          <w:rFonts w:ascii="Calibri" w:cs="Calibri" w:eastAsia="Calibri" w:hAnsi="Calibri"/>
          <w:sz w:val="22"/>
          <w:szCs w:val="22"/>
        </w:rPr>
        <w:t xml:space="preserve">Parsing — Tree-sitter parses source files into syntax trees, split into logical chunks (functions, classes, modules).</w:t>
      </w:r>
    </w:p>
    <w:p>
      <w:pPr>
        <w:pStyle w:val="ListParagraph"/>
        <w:numPr>
          <w:ilvl w:val="0"/>
          <w:numId w:val="3"/>
        </w:numPr>
        <w:spacing w:after="80" w:line="280"/>
      </w:pPr>
      <w:r>
        <w:rPr>
          <w:rFonts w:ascii="Calibri" w:cs="Calibri" w:eastAsia="Calibri" w:hAnsi="Calibri"/>
          <w:sz w:val="22"/>
          <w:szCs w:val="22"/>
        </w:rPr>
        <w:t xml:space="preserve">Embedding — each chunk is embedded into a vector representation for semantic search.</w:t>
      </w:r>
    </w:p>
    <w:p>
      <w:pPr>
        <w:pStyle w:val="ListParagraph"/>
        <w:numPr>
          <w:ilvl w:val="0"/>
          <w:numId w:val="3"/>
        </w:numPr>
        <w:spacing w:after="80" w:line="280"/>
      </w:pPr>
      <w:r>
        <w:rPr>
          <w:rFonts w:ascii="Calibri" w:cs="Calibri" w:eastAsia="Calibri" w:hAnsi="Calibri"/>
          <w:sz w:val="22"/>
          <w:szCs w:val="22"/>
        </w:rPr>
        <w:t xml:space="preserve">Storage — chunks, embeddings, and metadata (file path, commit hash, last-modified date, language) are persisted in a vector store plus a lightweight metadata database.</w:t>
      </w:r>
    </w:p>
    <w:p>
      <w:pPr>
        <w:pStyle w:val="ListParagraph"/>
        <w:numPr>
          <w:ilvl w:val="0"/>
          <w:numId w:val="3"/>
        </w:numPr>
        <w:spacing w:after="80" w:line="280"/>
      </w:pPr>
      <w:r>
        <w:rPr>
          <w:rFonts w:ascii="Calibri" w:cs="Calibri" w:eastAsia="Calibri" w:hAnsi="Calibri"/>
          <w:sz w:val="22"/>
          <w:szCs w:val="22"/>
        </w:rPr>
        <w:t xml:space="preserve">Change tracking — on each new commit, only changed files are re-parsed and re-embedded, keeping the index current without full re-processing.</w:t>
      </w:r>
    </w:p>
    <w:p>
      <w:pPr>
        <w:spacing w:after="160" w:line="300"/>
      </w:pPr>
      <w:r>
        <w:rPr>
          <w:rFonts w:ascii="Calibri" w:cs="Calibri" w:eastAsia="Calibri" w:hAnsi="Calibri"/>
          <w:sz w:val="22"/>
          <w:szCs w:val="22"/>
        </w:rPr>
        <w:t xml:space="preserve">This core is intentionally the same shape as the ingestion layer already proven in the Kryptos project (staged pipeline, provenance tracking) and the parsing approach already proven in Argus (Tree-sitter). Reusing this pattern is a deliberate, low-risk decision, not a shortcut.</w:t>
      </w:r>
    </w:p>
    <w:p>
      <w:pPr>
        <w:pStyle w:val="Heading2"/>
        <w:spacing w:after="140" w:before="280"/>
      </w:pPr>
      <w:r>
        <w:rPr>
          <w:rFonts w:ascii="Calibri" w:cs="Calibri" w:eastAsia="Calibri" w:hAnsi="Calibri"/>
          <w:b/>
          <w:bCs/>
        </w:rPr>
        <w:t xml:space="preserve">3.3 High-level data flow</w:t>
      </w:r>
    </w:p>
    <w:p>
      <w:pPr>
        <w:spacing w:after="160" w:line="300"/>
      </w:pPr>
      <w:r>
        <w:rPr>
          <w:rFonts w:ascii="Calibri" w:cs="Calibri" w:eastAsia="Calibri" w:hAnsi="Calibri"/>
          <w:sz w:val="22"/>
          <w:szCs w:val="22"/>
        </w:rPr>
        <w:t xml:space="preserve">Repository → Ingestion Core (parse → embed → store) → [Module 1 | Module 2 | Module 4] run independently and write structured findings back to the metadata store → Module 5 and Module 6 read both the core and the Module 1/2/4 findings → Module 7 reads all findings and produces one aggregated score → Dashboard UI presents everything through one shell.</w:t>
      </w:r>
    </w:p>
    <w:p>
      <w:pPr>
        <w:pStyle w:val="Heading2"/>
        <w:spacing w:after="140" w:before="280"/>
      </w:pPr>
      <w:r>
        <w:rPr>
          <w:rFonts w:ascii="Calibri" w:cs="Calibri" w:eastAsia="Calibri" w:hAnsi="Calibri"/>
          <w:b/>
          <w:bCs/>
        </w:rPr>
        <w:t xml:space="preserve">3.4 System diagram (textual)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W w:type="dxa" w:w="10400"/>
            <w:shd w:fill="F5F7FA" w:val="clear"/>
            <w:tcMar>
              <w:top w:type="dxa" w:w="200"/>
              <w:left w:type="dxa" w:w="200"/>
              <w:bottom w:type="dxa" w:w="200"/>
              <w:right w:type="dxa" w:w="200"/>
            </w:tcMar>
          </w:tcPr>
          <w:p>
            <w:pPr>
              <w:spacing w:after="160" w:line="300"/>
            </w:pPr>
            <w:r>
              <w:rPr>
                <w:rFonts w:ascii="Consolas" w:cs="Consolas" w:eastAsia="Consolas" w:hAnsi="Consolas"/>
                <w:sz w:val="22"/>
                <w:szCs w:val="22"/>
              </w:rPr>
              <w:t xml:space="preserve">  [ GitHub Repo ]</w:t>
            </w:r>
          </w:p>
          <w:p>
            <w:pPr>
              <w:spacing w:after="160" w:line="300"/>
            </w:pPr>
            <w:r>
              <w:rPr>
                <w:rFonts w:ascii="Consolas" w:cs="Consolas" w:eastAsia="Consolas" w:hAnsi="Consolas"/>
                <w:sz w:val="22"/>
                <w:szCs w:val="22"/>
              </w:rPr>
              <w:t xml:space="preserve">        |</w:t>
            </w:r>
          </w:p>
          <w:p>
            <w:pPr>
              <w:spacing w:after="160" w:line="300"/>
            </w:pPr>
            <w:r>
              <w:rPr>
                <w:rFonts w:ascii="Consolas" w:cs="Consolas" w:eastAsia="Consolas" w:hAnsi="Consolas"/>
                <w:sz w:val="22"/>
                <w:szCs w:val="22"/>
              </w:rPr>
              <w:t xml:space="preserve">        v</w:t>
            </w:r>
          </w:p>
          <w:p>
            <w:pPr>
              <w:spacing w:after="160" w:line="300"/>
            </w:pPr>
            <w:r>
              <w:rPr>
                <w:rFonts w:ascii="Consolas" w:cs="Consolas" w:eastAsia="Consolas" w:hAnsi="Consolas"/>
                <w:sz w:val="22"/>
                <w:szCs w:val="22"/>
              </w:rPr>
              <w:t xml:space="preserve">  [ Ingestion Core: Tree-sitter -&gt; Embeddings -&gt; Vector Store + Metadata DB ]</w:t>
            </w:r>
          </w:p>
          <w:p>
            <w:pPr>
              <w:spacing w:after="160" w:line="300"/>
            </w:pPr>
            <w:r>
              <w:rPr>
                <w:rFonts w:ascii="Consolas" w:cs="Consolas" w:eastAsia="Consolas" w:hAnsi="Consolas"/>
                <w:sz w:val="22"/>
                <w:szCs w:val="22"/>
              </w:rPr>
              <w:t xml:space="preserve">        |-----------------|-----------------|</w:t>
            </w:r>
          </w:p>
          <w:p>
            <w:pPr>
              <w:spacing w:after="160" w:line="300"/>
            </w:pPr>
            <w:r>
              <w:rPr>
                <w:rFonts w:ascii="Consolas" w:cs="Consolas" w:eastAsia="Consolas" w:hAnsi="Consolas"/>
                <w:sz w:val="22"/>
                <w:szCs w:val="22"/>
              </w:rPr>
              <w:t xml:space="preserve">        v                 v                 v</w:t>
            </w:r>
          </w:p>
          <w:p>
            <w:pPr>
              <w:spacing w:after="160" w:line="300"/>
            </w:pPr>
            <w:r>
              <w:rPr>
                <w:rFonts w:ascii="Consolas" w:cs="Consolas" w:eastAsia="Consolas" w:hAnsi="Consolas"/>
                <w:sz w:val="22"/>
                <w:szCs w:val="22"/>
              </w:rPr>
              <w:t xml:space="preserve">  [ Module 1 ]     [ Module 2 ]      [ Module 4 ]</w:t>
            </w:r>
          </w:p>
          <w:p>
            <w:pPr>
              <w:spacing w:after="160" w:line="300"/>
            </w:pPr>
            <w:r>
              <w:rPr>
                <w:rFonts w:ascii="Consolas" w:cs="Consolas" w:eastAsia="Consolas" w:hAnsi="Consolas"/>
                <w:sz w:val="22"/>
                <w:szCs w:val="22"/>
              </w:rPr>
              <w:t xml:space="preserve">  Q&amp;A + Docs       Bug/Vuln Detect   Dependency Scan</w:t>
            </w:r>
          </w:p>
          <w:p>
            <w:pPr>
              <w:spacing w:after="160" w:line="300"/>
            </w:pPr>
            <w:r>
              <w:rPr>
                <w:rFonts w:ascii="Consolas" w:cs="Consolas" w:eastAsia="Consolas" w:hAnsi="Consolas"/>
                <w:sz w:val="22"/>
                <w:szCs w:val="22"/>
              </w:rPr>
              <w:t xml:space="preserve">        \_________________|_________________/</w:t>
            </w:r>
          </w:p>
          <w:p>
            <w:pPr>
              <w:spacing w:after="160" w:line="300"/>
            </w:pPr>
            <w:r>
              <w:rPr>
                <w:rFonts w:ascii="Consolas" w:cs="Consolas" w:eastAsia="Consolas" w:hAnsi="Consolas"/>
                <w:sz w:val="22"/>
                <w:szCs w:val="22"/>
              </w:rPr>
              <w:t xml:space="preserve">                          v</w:t>
            </w:r>
          </w:p>
          <w:p>
            <w:pPr>
              <w:spacing w:after="160" w:line="300"/>
            </w:pPr>
            <w:r>
              <w:rPr>
                <w:rFonts w:ascii="Consolas" w:cs="Consolas" w:eastAsia="Consolas" w:hAnsi="Consolas"/>
                <w:sz w:val="22"/>
                <w:szCs w:val="22"/>
              </w:rPr>
              <w:t xml:space="preserve">              [ Findings Store (shared) ]</w:t>
            </w:r>
          </w:p>
          <w:p>
            <w:pPr>
              <w:spacing w:after="160" w:line="300"/>
            </w:pPr>
            <w:r>
              <w:rPr>
                <w:rFonts w:ascii="Consolas" w:cs="Consolas" w:eastAsia="Consolas" w:hAnsi="Consolas"/>
                <w:sz w:val="22"/>
                <w:szCs w:val="22"/>
              </w:rPr>
              <w:t xml:space="preserve">               |                        |</w:t>
            </w:r>
          </w:p>
          <w:p>
            <w:pPr>
              <w:spacing w:after="160" w:line="300"/>
            </w:pPr>
            <w:r>
              <w:rPr>
                <w:rFonts w:ascii="Consolas" w:cs="Consolas" w:eastAsia="Consolas" w:hAnsi="Consolas"/>
                <w:sz w:val="22"/>
                <w:szCs w:val="22"/>
              </w:rPr>
              <w:t xml:space="preserve">               v                        v</w:t>
            </w:r>
          </w:p>
          <w:p>
            <w:pPr>
              <w:spacing w:after="160" w:line="300"/>
            </w:pPr>
            <w:r>
              <w:rPr>
                <w:rFonts w:ascii="Consolas" w:cs="Consolas" w:eastAsia="Consolas" w:hAnsi="Consolas"/>
                <w:sz w:val="22"/>
                <w:szCs w:val="22"/>
              </w:rPr>
              <w:t xml:space="preserve">        [ Module 5: PR Assistant ]  [ Module 6: Drift Detector ]</w:t>
            </w:r>
          </w:p>
          <w:p>
            <w:pPr>
              <w:spacing w:after="160" w:line="300"/>
            </w:pPr>
            <w:r>
              <w:rPr>
                <w:rFonts w:ascii="Consolas" w:cs="Consolas" w:eastAsia="Consolas" w:hAnsi="Consolas"/>
                <w:sz w:val="22"/>
                <w:szCs w:val="22"/>
              </w:rPr>
              <w:t xml:space="preserve">               \________________________/</w:t>
            </w:r>
          </w:p>
          <w:p>
            <w:pPr>
              <w:spacing w:after="160" w:line="300"/>
            </w:pPr>
            <w:r>
              <w:rPr>
                <w:rFonts w:ascii="Consolas" w:cs="Consolas" w:eastAsia="Consolas" w:hAnsi="Consolas"/>
                <w:sz w:val="22"/>
                <w:szCs w:val="22"/>
              </w:rPr>
              <w:t xml:space="preserve">                          v</w:t>
            </w:r>
          </w:p>
          <w:p>
            <w:pPr>
              <w:spacing w:after="160" w:line="300"/>
            </w:pPr>
            <w:r>
              <w:rPr>
                <w:rFonts w:ascii="Consolas" w:cs="Consolas" w:eastAsia="Consolas" w:hAnsi="Consolas"/>
                <w:sz w:val="22"/>
                <w:szCs w:val="22"/>
              </w:rPr>
              <w:t xml:space="preserve">           [ Module 7: Release Readiness Score ]</w:t>
            </w:r>
          </w:p>
          <w:p>
            <w:pPr>
              <w:spacing w:after="160" w:line="300"/>
            </w:pPr>
            <w:r>
              <w:rPr>
                <w:rFonts w:ascii="Consolas" w:cs="Consolas" w:eastAsia="Consolas" w:hAnsi="Consolas"/>
                <w:sz w:val="22"/>
                <w:szCs w:val="22"/>
              </w:rPr>
              <w:t xml:space="preserve">                          v</w:t>
            </w:r>
          </w:p>
          <w:p>
            <w:pPr>
              <w:spacing w:after="160" w:line="300"/>
            </w:pPr>
            <w:r>
              <w:rPr>
                <w:rFonts w:ascii="Consolas" w:cs="Consolas" w:eastAsia="Consolas" w:hAnsi="Consolas"/>
                <w:sz w:val="22"/>
                <w:szCs w:val="22"/>
              </w:rPr>
              <w:t xml:space="preserve">                  [ Dashboard UI ]</w:t>
            </w:r>
          </w:p>
        </w:tc>
      </w:tr>
    </w:tbl>
    <w:p>
      <w:pPr>
        <w:spacing w:after="200"/>
      </w:pPr>
    </w:p>
    <w:p>
      <w:r>
        <w:br w:type="page"/>
      </w:r>
    </w:p>
    <w:p>
      <w:pPr>
        <w:pStyle w:val="Heading1"/>
        <w:spacing w:after="140" w:before="280"/>
      </w:pPr>
      <w:r>
        <w:rPr>
          <w:rFonts w:ascii="Calibri" w:cs="Calibri" w:eastAsia="Calibri" w:hAnsi="Calibri"/>
          <w:b/>
          <w:bCs/>
        </w:rPr>
        <w:t xml:space="preserve">4. Modules — Detailed Specification</w:t>
      </w:r>
    </w:p>
    <w:p>
      <w:pPr>
        <w:pStyle w:val="Heading2"/>
        <w:spacing w:after="140" w:before="280"/>
      </w:pPr>
      <w:r>
        <w:rPr>
          <w:rFonts w:ascii="Calibri" w:cs="Calibri" w:eastAsia="Calibri" w:hAnsi="Calibri"/>
          <w:b/>
          <w:bCs/>
        </w:rPr>
        <w:t xml:space="preserve">4.1 Module 1 — Codebase Q&amp;A + Living Docs</w:t>
      </w:r>
    </w:p>
    <w:p>
      <w:pPr>
        <w:spacing w:after="100" w:line="300"/>
      </w:pPr>
      <w:r>
        <w:rPr>
          <w:rFonts w:ascii="Calibri" w:cs="Calibri" w:eastAsia="Calibri" w:hAnsi="Calibri"/>
          <w:b/>
          <w:bCs/>
          <w:sz w:val="22"/>
          <w:szCs w:val="22"/>
        </w:rPr>
        <w:t xml:space="preserve">Purpose: </w:t>
      </w:r>
      <w:r>
        <w:rPr>
          <w:rFonts w:ascii="Calibri" w:cs="Calibri" w:eastAsia="Calibri" w:hAnsi="Calibri"/>
          <w:sz w:val="22"/>
          <w:szCs w:val="22"/>
        </w:rPr>
        <w:t xml:space="preserve">Let a developer ask plain-English questions about a codebase and get grounded answers with source citations. Auto-generate and refresh documentation as code changes.</w:t>
      </w:r>
    </w:p>
    <w:p>
      <w:pPr>
        <w:spacing w:after="100" w:line="300"/>
      </w:pPr>
      <w:r>
        <w:rPr>
          <w:rFonts w:ascii="Calibri" w:cs="Calibri" w:eastAsia="Calibri" w:hAnsi="Calibri"/>
          <w:b/>
          <w:bCs/>
          <w:sz w:val="22"/>
          <w:szCs w:val="22"/>
        </w:rPr>
        <w:t xml:space="preserve">Why it matters: </w:t>
      </w:r>
      <w:r>
        <w:rPr>
          <w:rFonts w:ascii="Calibri" w:cs="Calibri" w:eastAsia="Calibri" w:hAnsi="Calibri"/>
          <w:sz w:val="22"/>
          <w:szCs w:val="22"/>
        </w:rPr>
        <w:t xml:space="preserve">This is the fastest way to make Sentra's value visible to a non-technical viewer: they can ask a question themselves and watch a real, cited answer appear.</w:t>
      </w:r>
    </w:p>
    <w:p>
      <w:pPr>
        <w:pStyle w:val="Heading3"/>
        <w:spacing w:after="140" w:before="280"/>
      </w:pPr>
      <w:r>
        <w:rPr>
          <w:rFonts w:ascii="Calibri" w:cs="Calibri" w:eastAsia="Calibri" w:hAnsi="Calibri"/>
          <w:b/>
          <w:bCs/>
        </w:rPr>
        <w:t xml:space="preserve">Core technique: Retrieval-Augmented Generation (RAG)</w:t>
      </w:r>
    </w:p>
    <w:p>
      <w:pPr>
        <w:spacing w:after="160" w:line="300"/>
      </w:pPr>
      <w:r>
        <w:rPr>
          <w:rFonts w:ascii="Calibri" w:cs="Calibri" w:eastAsia="Calibri" w:hAnsi="Calibri"/>
          <w:sz w:val="22"/>
          <w:szCs w:val="22"/>
        </w:rPr>
        <w:t xml:space="preserve">RAG answers a question by first retrieving the most relevant chunks of code (via the vector store from the shared ingestion core), then passing those chunks to an LLM as context, so the answer is grounded in the actual repository rather than the model's general knowledge.</w:t>
      </w:r>
    </w:p>
    <w:p>
      <w:pPr>
        <w:spacing w:after="100" w:line="300"/>
      </w:pPr>
      <w:r>
        <w:rPr>
          <w:rFonts w:ascii="Calibri" w:cs="Calibri" w:eastAsia="Calibri" w:hAnsi="Calibri"/>
          <w:b/>
          <w:bCs/>
          <w:sz w:val="22"/>
          <w:szCs w:val="22"/>
        </w:rPr>
        <w:t xml:space="preserve">Primary tool: </w:t>
      </w:r>
      <w:r>
        <w:rPr>
          <w:rFonts w:ascii="Calibri" w:cs="Calibri" w:eastAsia="Calibri" w:hAnsi="Calibri"/>
          <w:sz w:val="22"/>
          <w:szCs w:val="22"/>
        </w:rPr>
        <w:t xml:space="preserve">LightRAG — an open-source RAG framework that builds a lightweight knowledge graph alongside vector retrieval, improving answers to multi-hop questions such as ‘what calls this function and why.’</w:t>
      </w:r>
    </w:p>
    <w:p>
      <w:pPr>
        <w:spacing w:after="160" w:line="300"/>
      </w:pPr>
      <w:hyperlink w:history="1" r:id="rIdailghkpdy5ixtonyg6u7c">
        <w:r>
          <w:rPr>
            <w:rStyle w:val="Hyperlink"/>
            <w:rFonts w:ascii="Calibri" w:cs="Calibri" w:eastAsia="Calibri" w:hAnsi="Calibri"/>
            <w:sz w:val="22"/>
            <w:szCs w:val="22"/>
          </w:rPr>
          <w:t xml:space="preserve">https://github.com/HKUDS/LightRAG</w:t>
        </w:r>
      </w:hyperlink>
      <w:r>
        <w:rPr>
          <w:rFonts w:ascii="Calibri" w:cs="Calibri" w:eastAsia="Calibri" w:hAnsi="Calibri"/>
          <w:sz w:val="22"/>
          <w:szCs w:val="22"/>
        </w:rPr>
        <w:t xml:space="preserve"/>
      </w:r>
    </w:p>
    <w:p>
      <w:pPr>
        <w:spacing w:after="100" w:line="300"/>
      </w:pPr>
      <w:r>
        <w:rPr>
          <w:rFonts w:ascii="Calibri" w:cs="Calibri" w:eastAsia="Calibri" w:hAnsi="Calibri"/>
          <w:b/>
          <w:bCs/>
          <w:sz w:val="22"/>
          <w:szCs w:val="22"/>
        </w:rPr>
        <w:t xml:space="preserve">Fallback / simpler option: </w:t>
      </w:r>
      <w:r>
        <w:rPr>
          <w:rFonts w:ascii="Calibri" w:cs="Calibri" w:eastAsia="Calibri" w:hAnsi="Calibri"/>
          <w:sz w:val="22"/>
          <w:szCs w:val="22"/>
        </w:rPr>
        <w:t xml:space="preserve">A custom retrieval pipeline (vector search + prompt template) if LightRAG's graph layer adds more complexity than value within the timeline. This is an acceptable, honest simplification to state in the report.</w:t>
      </w:r>
    </w:p>
    <w:p>
      <w:pPr>
        <w:spacing w:after="100" w:line="300"/>
      </w:pPr>
      <w:r>
        <w:rPr>
          <w:rFonts w:ascii="Calibri" w:cs="Calibri" w:eastAsia="Calibri" w:hAnsi="Calibri"/>
          <w:b/>
          <w:bCs/>
          <w:sz w:val="22"/>
          <w:szCs w:val="22"/>
        </w:rPr>
        <w:t xml:space="preserve">Documentation generation: </w:t>
      </w:r>
      <w:r>
        <w:rPr>
          <w:rFonts w:ascii="Calibri" w:cs="Calibri" w:eastAsia="Calibri" w:hAnsi="Calibri"/>
          <w:sz w:val="22"/>
          <w:szCs w:val="22"/>
        </w:rPr>
        <w:t xml:space="preserve">For each parsed module/function (from the shared core), prompt an LLM to produce a short, plain-English summary. Store this as living documentation, regenerated only for chunks that changed since the last run.</w:t>
      </w:r>
    </w:p>
    <w:p>
      <w:pPr>
        <w:spacing w:after="100" w:line="300"/>
      </w:pPr>
      <w:r>
        <w:rPr>
          <w:rFonts w:ascii="Calibri" w:cs="Calibri" w:eastAsia="Calibri" w:hAnsi="Calibri"/>
          <w:b/>
          <w:bCs/>
          <w:sz w:val="22"/>
          <w:szCs w:val="22"/>
        </w:rPr>
        <w:t xml:space="preserve">Output: </w:t>
      </w:r>
      <w:r>
        <w:rPr>
          <w:rFonts w:ascii="Calibri" w:cs="Calibri" w:eastAsia="Calibri" w:hAnsi="Calibri"/>
          <w:sz w:val="22"/>
          <w:szCs w:val="22"/>
        </w:rPr>
        <w:t xml:space="preserve">A chat interface with cited answers, plus a browsable, auto-generated documentation tree.</w:t>
      </w:r>
    </w:p>
    <w:p>
      <w:pPr>
        <w:pStyle w:val="Heading2"/>
        <w:spacing w:after="140" w:before="280"/>
      </w:pPr>
      <w:r>
        <w:rPr>
          <w:rFonts w:ascii="Calibri" w:cs="Calibri" w:eastAsia="Calibri" w:hAnsi="Calibri"/>
          <w:b/>
          <w:bCs/>
        </w:rPr>
        <w:t xml:space="preserve">4.2 Module 2 — Bug &amp; Vulnerability Detection</w:t>
      </w:r>
    </w:p>
    <w:p>
      <w:pPr>
        <w:spacing w:after="100" w:line="300"/>
      </w:pPr>
      <w:r>
        <w:rPr>
          <w:rFonts w:ascii="Calibri" w:cs="Calibri" w:eastAsia="Calibri" w:hAnsi="Calibri"/>
          <w:b/>
          <w:bCs/>
          <w:sz w:val="22"/>
          <w:szCs w:val="22"/>
        </w:rPr>
        <w:t xml:space="preserve">Purpose: </w:t>
      </w:r>
      <w:r>
        <w:rPr>
          <w:rFonts w:ascii="Calibri" w:cs="Calibri" w:eastAsia="Calibri" w:hAnsi="Calibri"/>
          <w:sz w:val="22"/>
          <w:szCs w:val="22"/>
        </w:rPr>
        <w:t xml:space="preserve">Surface subtle bugs and security issues that a casual read of the code would not catch.</w:t>
      </w:r>
    </w:p>
    <w:p>
      <w:pPr>
        <w:spacing w:after="100" w:line="300"/>
      </w:pPr>
      <w:r>
        <w:rPr>
          <w:rFonts w:ascii="Calibri" w:cs="Calibri" w:eastAsia="Calibri" w:hAnsi="Calibri"/>
          <w:b/>
          <w:bCs/>
          <w:sz w:val="22"/>
          <w:szCs w:val="22"/>
        </w:rPr>
        <w:t xml:space="preserve">Why it matters: </w:t>
      </w:r>
      <w:r>
        <w:rPr>
          <w:rFonts w:ascii="Calibri" w:cs="Calibri" w:eastAsia="Calibri" w:hAnsi="Calibri"/>
          <w:sz w:val="22"/>
          <w:szCs w:val="22"/>
        </w:rPr>
        <w:t xml:space="preserve">This is the module that needs the most careful framing for a semi-technical jury: results must be explainable with a concrete before/after example, not an abstract correctness claim.</w:t>
      </w:r>
    </w:p>
    <w:p>
      <w:pPr>
        <w:pStyle w:val="Heading3"/>
        <w:spacing w:after="140" w:before="280"/>
      </w:pPr>
      <w:r>
        <w:rPr>
          <w:rFonts w:ascii="Calibri" w:cs="Calibri" w:eastAsia="Calibri" w:hAnsi="Calibri"/>
          <w:b/>
          <w:bCs/>
        </w:rPr>
        <w:t xml:space="preserve">Two-layer approach</w:t>
      </w:r>
    </w:p>
    <w:p>
      <w:pPr>
        <w:pStyle w:val="ListParagraph"/>
        <w:numPr>
          <w:ilvl w:val="0"/>
          <w:numId w:val="3"/>
        </w:numPr>
        <w:spacing w:after="80" w:line="280"/>
      </w:pPr>
      <w:r>
        <w:rPr>
          <w:rFonts w:ascii="Calibri" w:cs="Calibri" w:eastAsia="Calibri" w:hAnsi="Calibri"/>
          <w:sz w:val="22"/>
          <w:szCs w:val="22"/>
        </w:rPr>
        <w:t xml:space="preserve">Static analysis layer — Semgrep, an open-source, rule-based static analysis engine. Fast, deterministic, and backed by a large public rule registry (security, correctness, best-practice rules across many languages). Chosen because it is proven, explainable, and does not require training anything.</w:t>
      </w:r>
    </w:p>
    <w:p>
      <w:pPr>
        <w:pStyle w:val="ListParagraph"/>
        <w:numPr>
          <w:ilvl w:val="0"/>
          <w:numId w:val="3"/>
        </w:numPr>
        <w:spacing w:after="80" w:line="280"/>
      </w:pPr>
      <w:r>
        <w:rPr>
          <w:rFonts w:ascii="Calibri" w:cs="Calibri" w:eastAsia="Calibri" w:hAnsi="Calibri"/>
          <w:sz w:val="22"/>
          <w:szCs w:val="22"/>
        </w:rPr>
        <w:t xml:space="preserve">LLM review layer — for issues static rules cannot catch (unclear intent, logic errors, missed edge cases), pass relevant code chunks to an LLM with a structured review prompt. Flag only issues above a confidence threshold, and always show the reasoning in plain English.</w:t>
      </w:r>
    </w:p>
    <w:p>
      <w:pPr>
        <w:spacing w:after="100" w:line="300"/>
      </w:pPr>
      <w:r>
        <w:rPr>
          <w:rFonts w:ascii="Calibri" w:cs="Calibri" w:eastAsia="Calibri" w:hAnsi="Calibri"/>
          <w:b/>
          <w:bCs/>
          <w:sz w:val="22"/>
          <w:szCs w:val="22"/>
        </w:rPr>
        <w:t xml:space="preserve">Primary tool: </w:t>
      </w:r>
      <w:r>
        <w:rPr>
          <w:rFonts w:ascii="Calibri" w:cs="Calibri" w:eastAsia="Calibri" w:hAnsi="Calibri"/>
          <w:sz w:val="22"/>
          <w:szCs w:val="22"/>
        </w:rPr>
        <w:t xml:space="preserve">Semgrep (CLI + public rule registry)</w:t>
      </w:r>
    </w:p>
    <w:p>
      <w:pPr>
        <w:spacing w:after="160" w:line="300"/>
      </w:pPr>
      <w:hyperlink w:history="1" r:id="rIdrlnbbzsxpzr4l7hmig8rx">
        <w:r>
          <w:rPr>
            <w:rStyle w:val="Hyperlink"/>
            <w:rFonts w:ascii="Calibri" w:cs="Calibri" w:eastAsia="Calibri" w:hAnsi="Calibri"/>
            <w:sz w:val="22"/>
            <w:szCs w:val="22"/>
          </w:rPr>
          <w:t xml:space="preserve">https://semgrep.dev/</w:t>
        </w:r>
      </w:hyperlink>
      <w:r>
        <w:rPr>
          <w:rFonts w:ascii="Calibri" w:cs="Calibri" w:eastAsia="Calibri" w:hAnsi="Calibri"/>
          <w:sz w:val="22"/>
          <w:szCs w:val="22"/>
        </w:rPr>
        <w:t xml:space="preserve">  and  </w:t>
      </w:r>
      <w:hyperlink w:history="1" r:id="rIdtp5mqjio5evtxrgxplapt">
        <w:r>
          <w:rPr>
            <w:rStyle w:val="Hyperlink"/>
            <w:rFonts w:ascii="Calibri" w:cs="Calibri" w:eastAsia="Calibri" w:hAnsi="Calibri"/>
            <w:sz w:val="22"/>
            <w:szCs w:val="22"/>
          </w:rPr>
          <w:t xml:space="preserve">https://github.com/semgrep/semgrep</w:t>
        </w:r>
      </w:hyperlink>
    </w:p>
    <w:p>
      <w:pPr>
        <w:spacing w:after="100" w:line="300"/>
      </w:pPr>
      <w:r>
        <w:rPr>
          <w:rFonts w:ascii="Calibri" w:cs="Calibri" w:eastAsia="Calibri" w:hAnsi="Calibri"/>
          <w:b/>
          <w:bCs/>
          <w:sz w:val="22"/>
          <w:szCs w:val="22"/>
        </w:rPr>
        <w:t xml:space="preserve">Framing for the jury: </w:t>
      </w:r>
      <w:r>
        <w:rPr>
          <w:rFonts w:ascii="Calibri" w:cs="Calibri" w:eastAsia="Calibri" w:hAnsi="Calibri"/>
          <w:sz w:val="22"/>
          <w:szCs w:val="22"/>
        </w:rPr>
        <w:t xml:space="preserve">‘This module reads code the way a senior reviewer would — checking for the kinds of mistakes that do not throw errors but cause outages later.’ Always demo with a specific flagged snippet and its plain-English explanation, never with an abstract accuracy percentage.</w:t>
      </w:r>
    </w:p>
    <w:p>
      <w:pPr>
        <w:spacing w:after="100" w:line="300"/>
      </w:pPr>
      <w:r>
        <w:rPr>
          <w:rFonts w:ascii="Calibri" w:cs="Calibri" w:eastAsia="Calibri" w:hAnsi="Calibri"/>
          <w:b/>
          <w:bCs/>
          <w:sz w:val="22"/>
          <w:szCs w:val="22"/>
        </w:rPr>
        <w:t xml:space="preserve">Output: </w:t>
      </w:r>
      <w:r>
        <w:rPr>
          <w:rFonts w:ascii="Calibri" w:cs="Calibri" w:eastAsia="Calibri" w:hAnsi="Calibri"/>
          <w:sz w:val="22"/>
          <w:szCs w:val="22"/>
        </w:rPr>
        <w:t xml:space="preserve">A list of findings, each with file/line reference, severity, a plain-English explanation, and the originating layer (Semgrep rule ID or LLM review).</w:t>
      </w:r>
    </w:p>
    <w:p>
      <w:pPr>
        <w:pStyle w:val="Heading2"/>
        <w:spacing w:after="140" w:before="280"/>
      </w:pPr>
      <w:r>
        <w:rPr>
          <w:rFonts w:ascii="Calibri" w:cs="Calibri" w:eastAsia="Calibri" w:hAnsi="Calibri"/>
          <w:b/>
          <w:bCs/>
        </w:rPr>
        <w:t xml:space="preserve">4.3 Module 4 — Dependency Risk Scanning</w:t>
      </w:r>
    </w:p>
    <w:p>
      <w:pPr>
        <w:spacing w:after="100" w:line="300"/>
      </w:pPr>
      <w:r>
        <w:rPr>
          <w:rFonts w:ascii="Calibri" w:cs="Calibri" w:eastAsia="Calibri" w:hAnsi="Calibri"/>
          <w:b/>
          <w:bCs/>
          <w:sz w:val="22"/>
          <w:szCs w:val="22"/>
        </w:rPr>
        <w:t xml:space="preserve">Purpose: </w:t>
      </w:r>
      <w:r>
        <w:rPr>
          <w:rFonts w:ascii="Calibri" w:cs="Calibri" w:eastAsia="Calibri" w:hAnsi="Calibri"/>
          <w:sz w:val="22"/>
          <w:szCs w:val="22"/>
        </w:rPr>
        <w:t xml:space="preserve">Check every third-party dependency in the repository against known, published vulnerabilities.</w:t>
      </w:r>
    </w:p>
    <w:p>
      <w:pPr>
        <w:spacing w:after="100" w:line="300"/>
      </w:pPr>
      <w:r>
        <w:rPr>
          <w:rFonts w:ascii="Calibri" w:cs="Calibri" w:eastAsia="Calibri" w:hAnsi="Calibri"/>
          <w:b/>
          <w:bCs/>
          <w:sz w:val="22"/>
          <w:szCs w:val="22"/>
        </w:rPr>
        <w:t xml:space="preserve">Why it matters: </w:t>
      </w:r>
      <w:r>
        <w:rPr>
          <w:rFonts w:ascii="Calibri" w:cs="Calibri" w:eastAsia="Calibri" w:hAnsi="Calibri"/>
          <w:sz w:val="22"/>
          <w:szCs w:val="22"/>
        </w:rPr>
        <w:t xml:space="preserve">Lowest build effort of all modules, and highest credibility — it checks against the same open vulnerability database the industry itself uses, so there is no ambiguity in a demo.</w:t>
      </w:r>
    </w:p>
    <w:p>
      <w:pPr>
        <w:spacing w:after="100" w:line="300"/>
      </w:pPr>
      <w:r>
        <w:rPr>
          <w:rFonts w:ascii="Calibri" w:cs="Calibri" w:eastAsia="Calibri" w:hAnsi="Calibri"/>
          <w:b/>
          <w:bCs/>
          <w:sz w:val="22"/>
          <w:szCs w:val="22"/>
        </w:rPr>
        <w:t xml:space="preserve">Primary tool: </w:t>
      </w:r>
      <w:r>
        <w:rPr>
          <w:rFonts w:ascii="Calibri" w:cs="Calibri" w:eastAsia="Calibri" w:hAnsi="Calibri"/>
          <w:sz w:val="22"/>
          <w:szCs w:val="22"/>
        </w:rPr>
        <w:t xml:space="preserve">OSV-Scanner (CLI) backed by OSV.dev, Google-backed, an open, free, no-API-key vulnerability database aggregating advisories from GitHub Security Advisories, PyPI, npm, RustSec, and others.</w:t>
      </w:r>
    </w:p>
    <w:p>
      <w:pPr>
        <w:spacing w:after="160" w:line="300"/>
      </w:pPr>
      <w:hyperlink w:history="1" r:id="rIdy5in6qahiaqi8oq2zezvf">
        <w:r>
          <w:rPr>
            <w:rStyle w:val="Hyperlink"/>
            <w:rFonts w:ascii="Calibri" w:cs="Calibri" w:eastAsia="Calibri" w:hAnsi="Calibri"/>
            <w:sz w:val="22"/>
            <w:szCs w:val="22"/>
          </w:rPr>
          <w:t xml:space="preserve">https://osv.dev/</w:t>
        </w:r>
      </w:hyperlink>
      <w:r>
        <w:rPr>
          <w:rFonts w:ascii="Calibri" w:cs="Calibri" w:eastAsia="Calibri" w:hAnsi="Calibri"/>
          <w:sz w:val="22"/>
          <w:szCs w:val="22"/>
        </w:rPr>
        <w:t xml:space="preserve">   |   </w:t>
      </w:r>
      <w:hyperlink w:history="1" r:id="rIde2kvxlx9v0ta6g7umps_w">
        <w:r>
          <w:rPr>
            <w:rStyle w:val="Hyperlink"/>
            <w:rFonts w:ascii="Calibri" w:cs="Calibri" w:eastAsia="Calibri" w:hAnsi="Calibri"/>
            <w:sz w:val="22"/>
            <w:szCs w:val="22"/>
          </w:rPr>
          <w:t xml:space="preserve">https://github.com/google/osv-scanner</w:t>
        </w:r>
      </w:hyperlink>
      <w:r>
        <w:rPr>
          <w:rFonts w:ascii="Calibri" w:cs="Calibri" w:eastAsia="Calibri" w:hAnsi="Calibri"/>
          <w:sz w:val="22"/>
          <w:szCs w:val="22"/>
        </w:rPr>
        <w:t xml:space="preserve">   |   API: </w:t>
      </w:r>
      <w:hyperlink w:history="1" r:id="rIdqpdfuj6d1rsdarv_nikhr">
        <w:r>
          <w:rPr>
            <w:rStyle w:val="Hyperlink"/>
            <w:rFonts w:ascii="Calibri" w:cs="Calibri" w:eastAsia="Calibri" w:hAnsi="Calibri"/>
            <w:sz w:val="22"/>
            <w:szCs w:val="22"/>
          </w:rPr>
          <w:t xml:space="preserve">https://google.github.io/osv.dev/</w:t>
        </w:r>
      </w:hyperlink>
    </w:p>
    <w:p>
      <w:pPr>
        <w:spacing w:after="100" w:line="300"/>
      </w:pPr>
      <w:r>
        <w:rPr>
          <w:rFonts w:ascii="Calibri" w:cs="Calibri" w:eastAsia="Calibri" w:hAnsi="Calibri"/>
          <w:b/>
          <w:bCs/>
          <w:sz w:val="22"/>
          <w:szCs w:val="22"/>
        </w:rPr>
        <w:t xml:space="preserve">How it works: </w:t>
      </w:r>
      <w:r>
        <w:rPr>
          <w:rFonts w:ascii="Calibri" w:cs="Calibri" w:eastAsia="Calibri" w:hAnsi="Calibri"/>
          <w:sz w:val="22"/>
          <w:szCs w:val="22"/>
        </w:rPr>
        <w:t xml:space="preserve">OSV-Scanner reads the repository's lockfiles (e.g. package-lock.json, requirements.txt, go.sum) and queries the OSV.dev database for each dependency and version. Can be run as a subprocess (CLI) or via direct HTTP calls to the OSV.dev API for finer control.</w:t>
      </w:r>
    </w:p>
    <w:p>
      <w:pPr>
        <w:spacing w:after="100" w:line="300"/>
      </w:pPr>
      <w:r>
        <w:rPr>
          <w:rFonts w:ascii="Calibri" w:cs="Calibri" w:eastAsia="Calibri" w:hAnsi="Calibri"/>
          <w:b/>
          <w:bCs/>
          <w:sz w:val="22"/>
          <w:szCs w:val="22"/>
        </w:rPr>
        <w:t xml:space="preserve">Output: </w:t>
      </w:r>
      <w:r>
        <w:rPr>
          <w:rFonts w:ascii="Calibri" w:cs="Calibri" w:eastAsia="Calibri" w:hAnsi="Calibri"/>
          <w:sz w:val="22"/>
          <w:szCs w:val="22"/>
        </w:rPr>
        <w:t xml:space="preserve">A list of vulnerable dependencies with CVE/GHSA identifiers, severity, affected version ranges, and the fixed version if available.</w:t>
      </w:r>
    </w:p>
    <w:p>
      <w:pPr>
        <w:pStyle w:val="Heading2"/>
        <w:spacing w:after="140" w:before="280"/>
      </w:pPr>
      <w:r>
        <w:rPr>
          <w:rFonts w:ascii="Calibri" w:cs="Calibri" w:eastAsia="Calibri" w:hAnsi="Calibri"/>
          <w:b/>
          <w:bCs/>
        </w:rPr>
        <w:t xml:space="preserve">4.4 Module 5 — PR Review Assistant</w:t>
      </w:r>
    </w:p>
    <w:p>
      <w:pPr>
        <w:spacing w:after="100" w:line="300"/>
      </w:pPr>
      <w:r>
        <w:rPr>
          <w:rFonts w:ascii="Calibri" w:cs="Calibri" w:eastAsia="Calibri" w:hAnsi="Calibri"/>
          <w:b/>
          <w:bCs/>
          <w:sz w:val="22"/>
          <w:szCs w:val="22"/>
        </w:rPr>
        <w:t xml:space="preserve">Purpose: </w:t>
      </w:r>
      <w:r>
        <w:rPr>
          <w:rFonts w:ascii="Calibri" w:cs="Calibri" w:eastAsia="Calibri" w:hAnsi="Calibri"/>
          <w:sz w:val="22"/>
          <w:szCs w:val="22"/>
        </w:rPr>
        <w:t xml:space="preserve">Summarize a pull request in plain English and flag risk before a human reviews it in depth.</w:t>
      </w:r>
    </w:p>
    <w:p>
      <w:pPr>
        <w:spacing w:after="100" w:line="300"/>
      </w:pPr>
      <w:r>
        <w:rPr>
          <w:rFonts w:ascii="Calibri" w:cs="Calibri" w:eastAsia="Calibri" w:hAnsi="Calibri"/>
          <w:b/>
          <w:bCs/>
          <w:sz w:val="22"/>
          <w:szCs w:val="22"/>
        </w:rPr>
        <w:t xml:space="preserve">Dependency: </w:t>
      </w:r>
      <w:r>
        <w:rPr>
          <w:rFonts w:ascii="Calibri" w:cs="Calibri" w:eastAsia="Calibri" w:hAnsi="Calibri"/>
          <w:sz w:val="22"/>
          <w:szCs w:val="22"/>
        </w:rPr>
        <w:t xml:space="preserve">Requires the GitHub API (REST or GraphQL) to pull PR metadata and diffs. Can run on-demand (developer pastes a PR URL) rather than via webhook, to avoid hosting a persistent listener — this is the recommended scope for the four-month build.</w:t>
      </w:r>
    </w:p>
    <w:p>
      <w:pPr>
        <w:spacing w:after="100" w:line="300"/>
      </w:pPr>
      <w:r>
        <w:rPr>
          <w:rFonts w:ascii="Calibri" w:cs="Calibri" w:eastAsia="Calibri" w:hAnsi="Calibri"/>
          <w:b/>
          <w:bCs/>
          <w:sz w:val="22"/>
          <w:szCs w:val="22"/>
        </w:rPr>
        <w:t xml:space="preserve">Logic: </w:t>
      </w:r>
      <w:r>
        <w:rPr>
          <w:rFonts w:ascii="Calibri" w:cs="Calibri" w:eastAsia="Calibri" w:hAnsi="Calibri"/>
          <w:sz w:val="22"/>
          <w:szCs w:val="22"/>
        </w:rPr>
        <w:t xml:space="preserve">Fetch the PR diff → summarize with an LLM → cross-reference touched files against Module 2 findings (does this PR touch a file with open bugs/vulnerabilities) and Module 4 findings (does this PR add a dependency with a known CVE) → present one combined risk note.</w:t>
      </w:r>
    </w:p>
    <w:p>
      <w:pPr>
        <w:spacing w:after="100" w:line="300"/>
      </w:pPr>
      <w:r>
        <w:rPr>
          <w:rFonts w:ascii="Calibri" w:cs="Calibri" w:eastAsia="Calibri" w:hAnsi="Calibri"/>
          <w:b/>
          <w:bCs/>
          <w:sz w:val="22"/>
          <w:szCs w:val="22"/>
        </w:rPr>
        <w:t xml:space="preserve">Output: </w:t>
      </w:r>
      <w:r>
        <w:rPr>
          <w:rFonts w:ascii="Calibri" w:cs="Calibri" w:eastAsia="Calibri" w:hAnsi="Calibri"/>
          <w:sz w:val="22"/>
          <w:szCs w:val="22"/>
        </w:rPr>
        <w:t xml:space="preserve">A plain-English PR summary plus a short list of cross-referenced risk flags.</w:t>
      </w:r>
    </w:p>
    <w:p>
      <w:pPr>
        <w:spacing w:after="100" w:line="300"/>
      </w:pPr>
      <w:r>
        <w:rPr>
          <w:rFonts w:ascii="Calibri" w:cs="Calibri" w:eastAsia="Calibri" w:hAnsi="Calibri"/>
          <w:b/>
          <w:bCs/>
          <w:sz w:val="22"/>
          <w:szCs w:val="22"/>
        </w:rPr>
        <w:t xml:space="preserve">Cut risk: </w:t>
      </w:r>
      <w:r>
        <w:rPr>
          <w:rFonts w:ascii="Calibri" w:cs="Calibri" w:eastAsia="Calibri" w:hAnsi="Calibri"/>
          <w:sz w:val="22"/>
          <w:szCs w:val="22"/>
        </w:rPr>
        <w:t xml:space="preserve">Second in line to cut if the timeline is tight. If cut, its cross-referencing logic can be folded directly into Module 7 instead.</w:t>
      </w:r>
    </w:p>
    <w:p>
      <w:pPr>
        <w:pStyle w:val="Heading2"/>
        <w:spacing w:after="140" w:before="280"/>
      </w:pPr>
      <w:r>
        <w:rPr>
          <w:rFonts w:ascii="Calibri" w:cs="Calibri" w:eastAsia="Calibri" w:hAnsi="Calibri"/>
          <w:b/>
          <w:bCs/>
        </w:rPr>
        <w:t xml:space="preserve">4.5 Module 6 — Doc / Code Drift Detector</w:t>
      </w:r>
    </w:p>
    <w:p>
      <w:pPr>
        <w:spacing w:after="100" w:line="300"/>
      </w:pPr>
      <w:r>
        <w:rPr>
          <w:rFonts w:ascii="Calibri" w:cs="Calibri" w:eastAsia="Calibri" w:hAnsi="Calibri"/>
          <w:b/>
          <w:bCs/>
          <w:sz w:val="22"/>
          <w:szCs w:val="22"/>
        </w:rPr>
        <w:t xml:space="preserve">Purpose: </w:t>
      </w:r>
      <w:r>
        <w:rPr>
          <w:rFonts w:ascii="Calibri" w:cs="Calibri" w:eastAsia="Calibri" w:hAnsi="Calibri"/>
          <w:sz w:val="22"/>
          <w:szCs w:val="22"/>
        </w:rPr>
        <w:t xml:space="preserve">Detect when documentation has silently gone out of date relative to the code it describes.</w:t>
      </w:r>
    </w:p>
    <w:p>
      <w:pPr>
        <w:spacing w:after="100" w:line="300"/>
      </w:pPr>
      <w:r>
        <w:rPr>
          <w:rFonts w:ascii="Calibri" w:cs="Calibri" w:eastAsia="Calibri" w:hAnsi="Calibri"/>
          <w:b/>
          <w:bCs/>
          <w:sz w:val="22"/>
          <w:szCs w:val="22"/>
        </w:rPr>
        <w:t xml:space="preserve">Logic: </w:t>
      </w:r>
      <w:r>
        <w:rPr>
          <w:rFonts w:ascii="Calibri" w:cs="Calibri" w:eastAsia="Calibri" w:hAnsi="Calibri"/>
          <w:sz w:val="22"/>
          <w:szCs w:val="22"/>
        </w:rPr>
        <w:t xml:space="preserve">Reuses Module 1's embeddings. For each documented module, compare the current code embedding against the embedding at the time the documentation was last generated. If semantic similarity drops below a threshold, or the code changed after the doc's last-updated timestamp without a corresponding doc update, flag it as drifted.</w:t>
      </w:r>
    </w:p>
    <w:p>
      <w:pPr>
        <w:spacing w:after="100" w:line="300"/>
      </w:pPr>
      <w:r>
        <w:rPr>
          <w:rFonts w:ascii="Calibri" w:cs="Calibri" w:eastAsia="Calibri" w:hAnsi="Calibri"/>
          <w:b/>
          <w:bCs/>
          <w:sz w:val="22"/>
          <w:szCs w:val="22"/>
        </w:rPr>
        <w:t xml:space="preserve">Why it is cheap: </w:t>
      </w:r>
      <w:r>
        <w:rPr>
          <w:rFonts w:ascii="Calibri" w:cs="Calibri" w:eastAsia="Calibri" w:hAnsi="Calibri"/>
          <w:sz w:val="22"/>
          <w:szCs w:val="22"/>
        </w:rPr>
        <w:t xml:space="preserve">No new ingestion or embedding work — it is a comparison layer on top of data Module 1 already produces.</w:t>
      </w:r>
    </w:p>
    <w:p>
      <w:pPr>
        <w:spacing w:after="100" w:line="300"/>
      </w:pPr>
      <w:r>
        <w:rPr>
          <w:rFonts w:ascii="Calibri" w:cs="Calibri" w:eastAsia="Calibri" w:hAnsi="Calibri"/>
          <w:b/>
          <w:bCs/>
          <w:sz w:val="22"/>
          <w:szCs w:val="22"/>
        </w:rPr>
        <w:t xml:space="preserve">Output: </w:t>
      </w:r>
      <w:r>
        <w:rPr>
          <w:rFonts w:ascii="Calibri" w:cs="Calibri" w:eastAsia="Calibri" w:hAnsi="Calibri"/>
          <w:sz w:val="22"/>
          <w:szCs w:val="22"/>
        </w:rPr>
        <w:t xml:space="preserve">A list of documentation pages/sections flagged as stale, with the code change that triggered the flag.</w:t>
      </w:r>
    </w:p>
    <w:p>
      <w:pPr>
        <w:spacing w:after="100" w:line="300"/>
      </w:pPr>
      <w:r>
        <w:rPr>
          <w:rFonts w:ascii="Calibri" w:cs="Calibri" w:eastAsia="Calibri" w:hAnsi="Calibri"/>
          <w:b/>
          <w:bCs/>
          <w:sz w:val="22"/>
          <w:szCs w:val="22"/>
        </w:rPr>
        <w:t xml:space="preserve">Cut risk: </w:t>
      </w:r>
      <w:r>
        <w:rPr>
          <w:rFonts w:ascii="Calibri" w:cs="Calibri" w:eastAsia="Calibri" w:hAnsi="Calibri"/>
          <w:sz w:val="22"/>
          <w:szCs w:val="22"/>
        </w:rPr>
        <w:t xml:space="preserve">First in line to cut if the timeline is tight. It is the least standalone-valuable module and depends entirely on Module 1 already being solid.</w:t>
      </w:r>
    </w:p>
    <w:p>
      <w:pPr>
        <w:pStyle w:val="Heading2"/>
        <w:spacing w:after="140" w:before="280"/>
      </w:pPr>
      <w:r>
        <w:rPr>
          <w:rFonts w:ascii="Calibri" w:cs="Calibri" w:eastAsia="Calibri" w:hAnsi="Calibri"/>
          <w:b/>
          <w:bCs/>
        </w:rPr>
        <w:t xml:space="preserve">4.6 Module 7 — Release Readiness Score</w:t>
      </w:r>
    </w:p>
    <w:p>
      <w:pPr>
        <w:spacing w:after="100" w:line="300"/>
      </w:pPr>
      <w:r>
        <w:rPr>
          <w:rFonts w:ascii="Calibri" w:cs="Calibri" w:eastAsia="Calibri" w:hAnsi="Calibri"/>
          <w:b/>
          <w:bCs/>
          <w:sz w:val="22"/>
          <w:szCs w:val="22"/>
        </w:rPr>
        <w:t xml:space="preserve">Purpose: </w:t>
      </w:r>
      <w:r>
        <w:rPr>
          <w:rFonts w:ascii="Calibri" w:cs="Calibri" w:eastAsia="Calibri" w:hAnsi="Calibri"/>
          <w:sz w:val="22"/>
          <w:szCs w:val="22"/>
        </w:rPr>
        <w:t xml:space="preserve">Aggregate signals from Modules 2, 4, 5, and 6 into one clear, explainable score answering: is this codebase safe to release right now?</w:t>
      </w:r>
    </w:p>
    <w:p>
      <w:pPr>
        <w:spacing w:after="100" w:line="300"/>
      </w:pPr>
      <w:r>
        <w:rPr>
          <w:rFonts w:ascii="Calibri" w:cs="Calibri" w:eastAsia="Calibri" w:hAnsi="Calibri"/>
          <w:b/>
          <w:bCs/>
          <w:sz w:val="22"/>
          <w:szCs w:val="22"/>
        </w:rPr>
        <w:t xml:space="preserve">Why it matters most for the jury: </w:t>
      </w:r>
      <w:r>
        <w:rPr>
          <w:rFonts w:ascii="Calibri" w:cs="Calibri" w:eastAsia="Calibri" w:hAnsi="Calibri"/>
          <w:sz w:val="22"/>
          <w:szCs w:val="22"/>
        </w:rPr>
        <w:t xml:space="preserve">This is the single closing demo beat. One number, with a visible breakdown of exactly which module is dragging it down. It is the proof that the six modules are one platform, not six unrelated tools sitting next to each other.</w:t>
      </w:r>
    </w:p>
    <w:p>
      <w:pPr>
        <w:spacing w:after="100" w:line="300"/>
      </w:pPr>
      <w:r>
        <w:rPr>
          <w:rFonts w:ascii="Calibri" w:cs="Calibri" w:eastAsia="Calibri" w:hAnsi="Calibri"/>
          <w:b/>
          <w:bCs/>
          <w:sz w:val="22"/>
          <w:szCs w:val="22"/>
        </w:rPr>
        <w:t xml:space="preserve">Scoring approach: </w:t>
      </w:r>
      <w:r>
        <w:rPr>
          <w:rFonts w:ascii="Calibri" w:cs="Calibri" w:eastAsia="Calibri" w:hAnsi="Calibri"/>
          <w:sz w:val="22"/>
          <w:szCs w:val="22"/>
        </w:rPr>
        <w:t xml:space="preserve">A simple, transparent weighted formula — deliberately not a black-box model, so it can be explained line by line in a viva: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W w:type="dxa" w:w="10400"/>
            <w:shd w:fill="F5F7FA" w:val="clear"/>
            <w:tcMar>
              <w:top w:type="dxa" w:w="160"/>
              <w:left w:type="dxa" w:w="200"/>
              <w:bottom w:type="dxa" w:w="160"/>
              <w:right w:type="dxa" w:w="200"/>
            </w:tcMar>
          </w:tcPr>
          <w:p>
            <w:pPr>
              <w:spacing w:after="160" w:line="300"/>
            </w:pPr>
            <w:r>
              <w:rPr>
                <w:rFonts w:ascii="Consolas" w:cs="Consolas" w:eastAsia="Consolas" w:hAnsi="Consolas"/>
                <w:sz w:val="22"/>
                <w:szCs w:val="22"/>
              </w:rPr>
              <w:t xml:space="preserve">Score = 100</w:t>
            </w:r>
          </w:p>
          <w:p>
            <w:pPr>
              <w:spacing w:after="160" w:line="300"/>
            </w:pPr>
            <w:r>
              <w:rPr>
                <w:rFonts w:ascii="Consolas" w:cs="Consolas" w:eastAsia="Consolas" w:hAnsi="Consolas"/>
                <w:sz w:val="22"/>
                <w:szCs w:val="22"/>
              </w:rPr>
              <w:t xml:space="preserve">       - (open high-severity bugs/vulns from Module 2 x weight_a)</w:t>
            </w:r>
          </w:p>
          <w:p>
            <w:pPr>
              <w:spacing w:after="160" w:line="300"/>
            </w:pPr>
            <w:r>
              <w:rPr>
                <w:rFonts w:ascii="Consolas" w:cs="Consolas" w:eastAsia="Consolas" w:hAnsi="Consolas"/>
                <w:sz w:val="22"/>
                <w:szCs w:val="22"/>
              </w:rPr>
              <w:t xml:space="preserve">       - (unresolved dependency CVEs from Module 4, weighted by severity x weight_b)</w:t>
            </w:r>
          </w:p>
          <w:p>
            <w:pPr>
              <w:spacing w:after="160" w:line="300"/>
            </w:pPr>
            <w:r>
              <w:rPr>
                <w:rFonts w:ascii="Consolas" w:cs="Consolas" w:eastAsia="Consolas" w:hAnsi="Consolas"/>
                <w:sz w:val="22"/>
                <w:szCs w:val="22"/>
              </w:rPr>
              <w:t xml:space="preserve">       - (unreviewed high-risk PRs from Module 5 x weight_c)</w:t>
            </w:r>
          </w:p>
          <w:p>
            <w:pPr>
              <w:spacing w:after="160" w:line="300"/>
            </w:pPr>
            <w:r>
              <w:rPr>
                <w:rFonts w:ascii="Consolas" w:cs="Consolas" w:eastAsia="Consolas" w:hAnsi="Consolas"/>
                <w:sz w:val="22"/>
                <w:szCs w:val="22"/>
              </w:rPr>
              <w:t xml:space="preserve">       - (drifted documentation sections from Module 6 x weight_d)</w:t>
            </w:r>
          </w:p>
        </w:tc>
      </w:tr>
    </w:tbl>
    <w:p>
      <w:pPr>
        <w:spacing w:after="160"/>
      </w:pPr>
    </w:p>
    <w:p>
      <w:pPr>
        <w:spacing w:after="100" w:line="300"/>
      </w:pPr>
      <w:r>
        <w:rPr>
          <w:rFonts w:ascii="Calibri" w:cs="Calibri" w:eastAsia="Calibri" w:hAnsi="Calibri"/>
          <w:b/>
          <w:bCs/>
          <w:sz w:val="22"/>
          <w:szCs w:val="22"/>
        </w:rPr>
        <w:t xml:space="preserve">Output: </w:t>
      </w:r>
      <w:r>
        <w:rPr>
          <w:rFonts w:ascii="Calibri" w:cs="Calibri" w:eastAsia="Calibri" w:hAnsi="Calibri"/>
          <w:sz w:val="22"/>
          <w:szCs w:val="22"/>
        </w:rPr>
        <w:t xml:space="preserve">A single score (0–100), a letter-grade-style label (e.g. ‘Ready’, ‘Needs Attention’, ‘At Risk’), and a breakdown panel showing exactly which findings contributed to the deduction.</w:t>
      </w:r>
    </w:p>
    <w:p>
      <w:r>
        <w:br w:type="page"/>
      </w:r>
    </w:p>
    <w:p>
      <w:pPr>
        <w:pStyle w:val="Heading1"/>
        <w:spacing w:after="140" w:before="280"/>
      </w:pPr>
      <w:r>
        <w:rPr>
          <w:rFonts w:ascii="Calibri" w:cs="Calibri" w:eastAsia="Calibri" w:hAnsi="Calibri"/>
          <w:b/>
          <w:bCs/>
        </w:rPr>
        <w:t xml:space="preserve">5. Technology Stack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3200"/>
      </w:tblGrid>
      <w:tr>
        <w:trPr>
          <w:tblHeader/>
        </w:trPr>
        <w:tc>
          <w:tcPr>
            <w:tcW w:type="dxa" w:w="2600"/>
            <w:shd w:fill="1F4E79" w:val="clear"/>
            <w:tcMar>
              <w:top w:type="dxa" w:w="80"/>
              <w:left w:type="dxa" w:w="100"/>
              <w:bottom w:type="dxa" w:w="80"/>
              <w:right w:type="dxa" w:w="100"/>
            </w:tcMar>
          </w:tcPr>
          <w:p>
            <w:pPr>
              <w:jc w:val="left"/>
            </w:pPr>
            <w:r>
              <w:rPr>
                <w:rFonts w:ascii="Calibri" w:cs="Calibri" w:eastAsia="Calibri" w:hAnsi="Calibri"/>
                <w:b/>
                <w:bCs/>
                <w:sz w:val="20"/>
                <w:szCs w:val="20"/>
              </w:rPr>
              <w:t xml:space="preserve">Layer</w:t>
            </w:r>
          </w:p>
        </w:tc>
        <w:tc>
          <w:tcPr>
            <w:tcW w:type="dxa" w:w="4600"/>
            <w:shd w:fill="1F4E79" w:val="clear"/>
            <w:tcMar>
              <w:top w:type="dxa" w:w="80"/>
              <w:left w:type="dxa" w:w="100"/>
              <w:bottom w:type="dxa" w:w="80"/>
              <w:right w:type="dxa" w:w="100"/>
            </w:tcMar>
          </w:tcPr>
          <w:p>
            <w:pPr>
              <w:jc w:val="left"/>
            </w:pPr>
            <w:r>
              <w:rPr>
                <w:rFonts w:ascii="Calibri" w:cs="Calibri" w:eastAsia="Calibri" w:hAnsi="Calibri"/>
                <w:b/>
                <w:bCs/>
                <w:sz w:val="20"/>
                <w:szCs w:val="20"/>
              </w:rPr>
              <w:t xml:space="preserve">Technology</w:t>
            </w:r>
          </w:p>
        </w:tc>
        <w:tc>
          <w:tcPr>
            <w:tcW w:type="dxa" w:w="3200"/>
            <w:shd w:fill="1F4E79" w:val="clear"/>
            <w:tcMar>
              <w:top w:type="dxa" w:w="80"/>
              <w:left w:type="dxa" w:w="100"/>
              <w:bottom w:type="dxa" w:w="80"/>
              <w:right w:type="dxa" w:w="100"/>
            </w:tcMar>
          </w:tcPr>
          <w:p>
            <w:pPr>
              <w:jc w:val="left"/>
            </w:pPr>
            <w:r>
              <w:rPr>
                <w:rFonts w:ascii="Calibri" w:cs="Calibri" w:eastAsia="Calibri" w:hAnsi="Calibri"/>
                <w:b/>
                <w:bCs/>
                <w:sz w:val="20"/>
                <w:szCs w:val="20"/>
              </w:rPr>
              <w:t xml:space="preserve">Notes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Parsing</w:t>
            </w:r>
          </w:p>
        </w:tc>
        <w:tc>
          <w:tcPr>
            <w:tcW w:type="dxa" w:w="4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Tree-sitter</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Already proven in the author's Argus project</w:t>
            </w:r>
          </w:p>
        </w:tc>
      </w:tr>
      <w:tr>
        <w:tc>
          <w:tcPr>
            <w:tcW w:type="dxa" w:w="26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Embeddings</w:t>
            </w:r>
          </w:p>
        </w:tc>
        <w:tc>
          <w:tcPr>
            <w:tcW w:type="dxa" w:w="46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Open embedding model (e.g. nomic-embed-text via Ollama, or an API embedding model)</w:t>
            </w:r>
          </w:p>
        </w:tc>
        <w:tc>
          <w:tcPr>
            <w:tcW w:type="dxa" w:w="32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Reuse pattern from Argus / Kryptos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Vector store</w:t>
            </w:r>
          </w:p>
        </w:tc>
        <w:tc>
          <w:tcPr>
            <w:tcW w:type="dxa" w:w="4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Postgres + pgvector, or a lightweight dedicated vector DB</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Consistent with prior Kryptos experience</w:t>
            </w:r>
          </w:p>
        </w:tc>
      </w:tr>
      <w:tr>
        <w:tc>
          <w:tcPr>
            <w:tcW w:type="dxa" w:w="26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Metadata / findings DB</w:t>
            </w:r>
          </w:p>
        </w:tc>
        <w:tc>
          <w:tcPr>
            <w:tcW w:type="dxa" w:w="46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Postgres</w:t>
            </w:r>
          </w:p>
        </w:tc>
        <w:tc>
          <w:tcPr>
            <w:tcW w:type="dxa" w:w="32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Stores findings, scores, PR summaries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RAG framework</w:t>
            </w:r>
          </w:p>
        </w:tc>
        <w:tc>
          <w:tcPr>
            <w:tcW w:type="dxa" w:w="4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LightRAG (or custom fallback)</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Module 1</w:t>
            </w:r>
          </w:p>
        </w:tc>
      </w:tr>
      <w:tr>
        <w:tc>
          <w:tcPr>
            <w:tcW w:type="dxa" w:w="26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Static analysis</w:t>
            </w:r>
          </w:p>
        </w:tc>
        <w:tc>
          <w:tcPr>
            <w:tcW w:type="dxa" w:w="46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Semgrep CLI</w:t>
            </w:r>
          </w:p>
        </w:tc>
        <w:tc>
          <w:tcPr>
            <w:tcW w:type="dxa" w:w="32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Module 2</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Dependency scanning</w:t>
            </w:r>
          </w:p>
        </w:tc>
        <w:tc>
          <w:tcPr>
            <w:tcW w:type="dxa" w:w="4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OSV-Scanner CLI / OSV.dev API</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Module 4</w:t>
            </w:r>
          </w:p>
        </w:tc>
      </w:tr>
      <w:tr>
        <w:tc>
          <w:tcPr>
            <w:tcW w:type="dxa" w:w="26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LLM access</w:t>
            </w:r>
          </w:p>
        </w:tc>
        <w:tc>
          <w:tcPr>
            <w:tcW w:type="dxa" w:w="46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Any capable LLM API (or local via Ollama for cost control)</w:t>
            </w:r>
          </w:p>
        </w:tc>
        <w:tc>
          <w:tcPr>
            <w:tcW w:type="dxa" w:w="32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Used across Modules 1, 2, 5</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w:t>
            </w:r>
          </w:p>
        </w:tc>
        <w:tc>
          <w:tcPr>
            <w:tcW w:type="dxa" w:w="4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FastAPI (Python) or Go</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Author has direct experience in both</w:t>
            </w:r>
          </w:p>
        </w:tc>
      </w:tr>
      <w:tr>
        <w:tc>
          <w:tcPr>
            <w:tcW w:type="dxa" w:w="26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Frontend</w:t>
            </w:r>
          </w:p>
        </w:tc>
        <w:tc>
          <w:tcPr>
            <w:tcW w:type="dxa" w:w="46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React-based dashboard</w:t>
            </w:r>
          </w:p>
        </w:tc>
        <w:tc>
          <w:tcPr>
            <w:tcW w:type="dxa" w:w="32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One shell, one login, per Section 3</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Source integration</w:t>
            </w:r>
          </w:p>
        </w:tc>
        <w:tc>
          <w:tcPr>
            <w:tcW w:type="dxa" w:w="4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GitHub REST/GraphQL API</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Module 5, repo intake</w:t>
            </w:r>
          </w:p>
        </w:tc>
      </w:tr>
    </w:tbl>
    <w:p>
      <w:r>
        <w:br w:type="page"/>
      </w:r>
    </w:p>
    <w:p>
      <w:pPr>
        <w:pStyle w:val="Heading1"/>
        <w:spacing w:after="140" w:before="280"/>
      </w:pPr>
      <w:r>
        <w:rPr>
          <w:rFonts w:ascii="Calibri" w:cs="Calibri" w:eastAsia="Calibri" w:hAnsi="Calibri"/>
          <w:b/>
          <w:bCs/>
        </w:rPr>
        <w:t xml:space="preserve">6. Four-Month Build Timeline</w:t>
      </w:r>
    </w:p>
    <w:p>
      <w:pPr>
        <w:spacing w:after="160" w:line="300"/>
      </w:pPr>
      <w:r>
        <w:rPr>
          <w:rFonts w:ascii="Calibri" w:cs="Calibri" w:eastAsia="Calibri" w:hAnsi="Calibri"/>
          <w:sz w:val="22"/>
          <w:szCs w:val="22"/>
        </w:rPr>
        <w:t xml:space="preserve">AI-assisted development is assumed throughout (code generation, boilerplate, test scaffolding), consistent with realistic modern practice.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4000"/>
      </w:tblGrid>
      <w:tr>
        <w:trPr>
          <w:tblHeader/>
        </w:trPr>
        <w:tc>
          <w:tcPr>
            <w:tcW w:type="dxa" w:w="1200"/>
            <w:shd w:fill="1F4E79" w:val="clear"/>
            <w:tcMar>
              <w:top w:type="dxa" w:w="80"/>
              <w:left w:type="dxa" w:w="100"/>
              <w:bottom w:type="dxa" w:w="80"/>
              <w:right w:type="dxa" w:w="100"/>
            </w:tcMar>
          </w:tcPr>
          <w:p>
            <w:pPr>
              <w:jc w:val="left"/>
            </w:pPr>
            <w:r>
              <w:rPr>
                <w:rFonts w:ascii="Calibri" w:cs="Calibri" w:eastAsia="Calibri" w:hAnsi="Calibri"/>
                <w:b/>
                <w:bCs/>
                <w:sz w:val="20"/>
                <w:szCs w:val="20"/>
              </w:rPr>
              <w:t xml:space="preserve">Month</w:t>
            </w:r>
          </w:p>
        </w:tc>
        <w:tc>
          <w:tcPr>
            <w:tcW w:type="dxa" w:w="5200"/>
            <w:shd w:fill="1F4E79" w:val="clear"/>
            <w:tcMar>
              <w:top w:type="dxa" w:w="80"/>
              <w:left w:type="dxa" w:w="100"/>
              <w:bottom w:type="dxa" w:w="80"/>
              <w:right w:type="dxa" w:w="100"/>
            </w:tcMar>
          </w:tcPr>
          <w:p>
            <w:pPr>
              <w:jc w:val="left"/>
            </w:pPr>
            <w:r>
              <w:rPr>
                <w:rFonts w:ascii="Calibri" w:cs="Calibri" w:eastAsia="Calibri" w:hAnsi="Calibri"/>
                <w:b/>
                <w:bCs/>
                <w:sz w:val="20"/>
                <w:szCs w:val="20"/>
              </w:rPr>
              <w:t xml:space="preserve">Focus</w:t>
            </w:r>
          </w:p>
        </w:tc>
        <w:tc>
          <w:tcPr>
            <w:tcW w:type="dxa" w:w="4000"/>
            <w:shd w:fill="1F4E79" w:val="clear"/>
            <w:tcMar>
              <w:top w:type="dxa" w:w="80"/>
              <w:left w:type="dxa" w:w="100"/>
              <w:bottom w:type="dxa" w:w="80"/>
              <w:right w:type="dxa" w:w="100"/>
            </w:tcMar>
          </w:tcPr>
          <w:p>
            <w:pPr>
              <w:jc w:val="left"/>
            </w:pPr>
            <w:r>
              <w:rPr>
                <w:rFonts w:ascii="Calibri" w:cs="Calibri" w:eastAsia="Calibri" w:hAnsi="Calibri"/>
                <w:b/>
                <w:bCs/>
                <w:sz w:val="20"/>
                <w:szCs w:val="20"/>
              </w:rPr>
              <w:t xml:space="preserve">Deliverable at end of month</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w:t>
            </w:r>
          </w:p>
        </w:tc>
        <w:tc>
          <w:tcPr>
            <w:tcW w:type="dxa" w:w="5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Shared ingestion core (clone, parse, embed, store) + Module 1</w:t>
            </w:r>
          </w:p>
        </w:tc>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Can answer questions and generate docs for a real repo</w:t>
            </w:r>
          </w:p>
        </w:tc>
      </w:tr>
      <w:tr>
        <w:tc>
          <w:tcPr>
            <w:tcW w:type="dxa" w:w="12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w:t>
            </w:r>
          </w:p>
        </w:tc>
        <w:tc>
          <w:tcPr>
            <w:tcW w:type="dxa" w:w="52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Module 2 (Semgrep + LLM review) + Module 4 (OSV integration)</w:t>
            </w:r>
          </w:p>
        </w:tc>
        <w:tc>
          <w:tcPr>
            <w:tcW w:type="dxa" w:w="40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Bug/vuln findings and dependency risk visible for a real repo</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w:t>
            </w:r>
          </w:p>
        </w:tc>
        <w:tc>
          <w:tcPr>
            <w:tcW w:type="dxa" w:w="5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Module 5 (PR assistant) + Module 6 (drift detector)</w:t>
            </w:r>
          </w:p>
        </w:tc>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 summaries and drift flags working on a real repo</w:t>
            </w:r>
          </w:p>
        </w:tc>
      </w:tr>
      <w:tr>
        <w:tc>
          <w:tcPr>
            <w:tcW w:type="dxa" w:w="12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w:t>
            </w:r>
          </w:p>
        </w:tc>
        <w:tc>
          <w:tcPr>
            <w:tcW w:type="dxa" w:w="52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Module 7 (readiness score) + dashboard polish + demo repo curation + buffer</w:t>
            </w:r>
          </w:p>
        </w:tc>
        <w:tc>
          <w:tcPr>
            <w:tcW w:type="dxa" w:w="40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Full platform demoable end-to-end on 2–3 rehearsed repos</w:t>
            </w:r>
          </w:p>
        </w:tc>
      </w:tr>
    </w:tbl>
    <w:p>
      <w:pPr>
        <w:spacing w:after="160" w:line="300"/>
      </w:pPr>
      <w:r>
        <w:rPr>
          <w:rFonts w:ascii="Calibri" w:cs="Calibri" w:eastAsia="Calibri" w:hAnsi="Calibri"/>
          <w:sz w:val="22"/>
          <w:szCs w:val="22"/>
        </w:rPr>
        <w:t xml:space="preserve">Cut order if behind schedule: Module 6 first, Module 5 second. Modules 1, 2, 4, and 7 are the non-negotiable core.</w:t>
      </w:r>
    </w:p>
    <w:p>
      <w:r>
        <w:br w:type="page"/>
      </w:r>
    </w:p>
    <w:p>
      <w:pPr>
        <w:pStyle w:val="Heading1"/>
        <w:spacing w:after="140" w:before="280"/>
      </w:pPr>
      <w:r>
        <w:rPr>
          <w:rFonts w:ascii="Calibri" w:cs="Calibri" w:eastAsia="Calibri" w:hAnsi="Calibri"/>
          <w:b/>
          <w:bCs/>
        </w:rPr>
        <w:t xml:space="preserve">7. Demo and Jury Strategy</w:t>
      </w:r>
    </w:p>
    <w:p>
      <w:pPr>
        <w:pStyle w:val="Heading2"/>
        <w:spacing w:after="140" w:before="280"/>
      </w:pPr>
      <w:r>
        <w:rPr>
          <w:rFonts w:ascii="Calibri" w:cs="Calibri" w:eastAsia="Calibri" w:hAnsi="Calibri"/>
          <w:b/>
          <w:bCs/>
        </w:rPr>
        <w:t xml:space="preserve">7.1 Fixed demo repositories</w:t>
      </w:r>
    </w:p>
    <w:p>
      <w:pPr>
        <w:spacing w:after="160" w:line="300"/>
      </w:pPr>
      <w:r>
        <w:rPr>
          <w:rFonts w:ascii="Calibri" w:cs="Calibri" w:eastAsia="Calibri" w:hAnsi="Calibri"/>
          <w:sz w:val="22"/>
          <w:szCs w:val="22"/>
        </w:rPr>
        <w:t xml:space="preserve">Select 2–3 repositories in advance — candidates include the author's own past projects (Abhaya-Netra, PramanaGST) and one well-known open-source repository. Run the full pipeline on them before the viva. Live analysis on an unknown repository is a demo risk; a rehearsed walkthrough on a pre-indexed repository is not.</w:t>
      </w:r>
    </w:p>
    <w:p>
      <w:pPr>
        <w:pStyle w:val="Heading2"/>
        <w:spacing w:after="140" w:before="280"/>
      </w:pPr>
      <w:r>
        <w:rPr>
          <w:rFonts w:ascii="Calibri" w:cs="Calibri" w:eastAsia="Calibri" w:hAnsi="Calibri"/>
          <w:b/>
          <w:bCs/>
        </w:rPr>
        <w:t xml:space="preserve">7.2 Demo narrative order</w:t>
      </w:r>
    </w:p>
    <w:p>
      <w:pPr>
        <w:pStyle w:val="ListParagraph"/>
        <w:numPr>
          <w:ilvl w:val="0"/>
          <w:numId w:val="3"/>
        </w:numPr>
        <w:spacing w:after="80" w:line="280"/>
      </w:pPr>
      <w:r>
        <w:rPr>
          <w:rFonts w:ascii="Calibri" w:cs="Calibri" w:eastAsia="Calibri" w:hAnsi="Calibri"/>
          <w:sz w:val="22"/>
          <w:szCs w:val="22"/>
        </w:rPr>
        <w:t xml:space="preserve">Open on the Release Readiness Score for a chosen repo — one number, immediately understandable.</w:t>
      </w:r>
    </w:p>
    <w:p>
      <w:pPr>
        <w:pStyle w:val="ListParagraph"/>
        <w:numPr>
          <w:ilvl w:val="0"/>
          <w:numId w:val="3"/>
        </w:numPr>
        <w:spacing w:after="80" w:line="280"/>
      </w:pPr>
      <w:r>
        <w:rPr>
          <w:rFonts w:ascii="Calibri" w:cs="Calibri" w:eastAsia="Calibri" w:hAnsi="Calibri"/>
          <w:sz w:val="22"/>
          <w:szCs w:val="22"/>
        </w:rPr>
        <w:t xml:space="preserve">Drill into the breakdown — show exactly which findings caused the deduction.</w:t>
      </w:r>
    </w:p>
    <w:p>
      <w:pPr>
        <w:pStyle w:val="ListParagraph"/>
        <w:numPr>
          <w:ilvl w:val="0"/>
          <w:numId w:val="3"/>
        </w:numPr>
        <w:spacing w:after="80" w:line="280"/>
      </w:pPr>
      <w:r>
        <w:rPr>
          <w:rFonts w:ascii="Calibri" w:cs="Calibri" w:eastAsia="Calibri" w:hAnsi="Calibri"/>
          <w:sz w:val="22"/>
          <w:szCs w:val="22"/>
        </w:rPr>
        <w:t xml:space="preserve">Show one concrete flagged bug (Module 2) with its plain-English explanation — proves the findings are real, not abstract.</w:t>
      </w:r>
    </w:p>
    <w:p>
      <w:pPr>
        <w:pStyle w:val="ListParagraph"/>
        <w:numPr>
          <w:ilvl w:val="0"/>
          <w:numId w:val="3"/>
        </w:numPr>
        <w:spacing w:after="80" w:line="280"/>
      </w:pPr>
      <w:r>
        <w:rPr>
          <w:rFonts w:ascii="Calibri" w:cs="Calibri" w:eastAsia="Calibri" w:hAnsi="Calibri"/>
          <w:sz w:val="22"/>
          <w:szCs w:val="22"/>
        </w:rPr>
        <w:t xml:space="preserve">Show one dependency vulnerability (Module 4) — backed by a public, trusted database, so this needs no persuasion.</w:t>
      </w:r>
    </w:p>
    <w:p>
      <w:pPr>
        <w:pStyle w:val="ListParagraph"/>
        <w:numPr>
          <w:ilvl w:val="0"/>
          <w:numId w:val="3"/>
        </w:numPr>
        <w:spacing w:after="80" w:line="280"/>
      </w:pPr>
      <w:r>
        <w:rPr>
          <w:rFonts w:ascii="Calibri" w:cs="Calibri" w:eastAsia="Calibri" w:hAnsi="Calibri"/>
          <w:sz w:val="22"/>
          <w:szCs w:val="22"/>
        </w:rPr>
        <w:t xml:space="preserve">Let the jury ask the Q&amp;A chat (Module 1) a question themselves — the most memorable, interactive beat.</w:t>
      </w:r>
    </w:p>
    <w:p>
      <w:pPr>
        <w:pStyle w:val="ListParagraph"/>
        <w:numPr>
          <w:ilvl w:val="0"/>
          <w:numId w:val="3"/>
        </w:numPr>
        <w:spacing w:after="80" w:line="280"/>
      </w:pPr>
      <w:r>
        <w:rPr>
          <w:rFonts w:ascii="Calibri" w:cs="Calibri" w:eastAsia="Calibri" w:hAnsi="Calibri"/>
          <w:sz w:val="22"/>
          <w:szCs w:val="22"/>
        </w:rPr>
        <w:t xml:space="preserve">Close by returning to the score — tie the whole demo back to one clear decision.</w:t>
      </w:r>
    </w:p>
    <w:p>
      <w:pPr>
        <w:pStyle w:val="Heading2"/>
        <w:spacing w:after="140" w:before="280"/>
      </w:pPr>
      <w:r>
        <w:rPr>
          <w:rFonts w:ascii="Calibri" w:cs="Calibri" w:eastAsia="Calibri" w:hAnsi="Calibri"/>
          <w:b/>
          <w:bCs/>
        </w:rPr>
        <w:t xml:space="preserve">7.3 Differentiation talking points (keep ready)</w:t>
      </w:r>
    </w:p>
    <w:p>
      <w:pPr>
        <w:pStyle w:val="ListParagraph"/>
        <w:numPr>
          <w:ilvl w:val="0"/>
          <w:numId w:val="2"/>
        </w:numPr>
        <w:spacing w:after="80" w:line="280"/>
      </w:pPr>
      <w:r>
        <w:rPr>
          <w:rFonts w:ascii="Calibri" w:cs="Calibri" w:eastAsia="Calibri" w:hAnsi="Calibri"/>
          <w:sz w:val="22"/>
          <w:szCs w:val="22"/>
        </w:rPr>
        <w:t xml:space="preserve">Copilot writes code for one developer in the moment. Sentra evaluates a whole codebase over time.</w:t>
      </w:r>
    </w:p>
    <w:p>
      <w:pPr>
        <w:pStyle w:val="ListParagraph"/>
        <w:numPr>
          <w:ilvl w:val="0"/>
          <w:numId w:val="2"/>
        </w:numPr>
        <w:spacing w:after="80" w:line="280"/>
      </w:pPr>
      <w:r>
        <w:rPr>
          <w:rFonts w:ascii="Calibri" w:cs="Calibri" w:eastAsia="Calibri" w:hAnsi="Calibri"/>
          <w:sz w:val="22"/>
          <w:szCs w:val="22"/>
        </w:rPr>
        <w:t xml:space="preserve">Every finding is explainable: a specific line, a specific rule or reasoning, no black-box claims.</w:t>
      </w:r>
    </w:p>
    <w:p>
      <w:pPr>
        <w:pStyle w:val="ListParagraph"/>
        <w:numPr>
          <w:ilvl w:val="0"/>
          <w:numId w:val="2"/>
        </w:numPr>
        <w:spacing w:after="80" w:line="280"/>
      </w:pPr>
      <w:r>
        <w:rPr>
          <w:rFonts w:ascii="Calibri" w:cs="Calibri" w:eastAsia="Calibri" w:hAnsi="Calibri"/>
          <w:sz w:val="22"/>
          <w:szCs w:val="22"/>
        </w:rPr>
        <w:t xml:space="preserve">Built on proven, industry-used components (Semgrep, OSV.dev) plus an original aggregation and understanding layer — not a reinvention of solved problems.</w:t>
      </w:r>
    </w:p>
    <w:p>
      <w:pPr>
        <w:pStyle w:val="ListParagraph"/>
        <w:numPr>
          <w:ilvl w:val="0"/>
          <w:numId w:val="2"/>
        </w:numPr>
        <w:spacing w:after="80" w:line="280"/>
      </w:pPr>
      <w:r>
        <w:rPr>
          <w:rFonts w:ascii="Calibri" w:cs="Calibri" w:eastAsia="Calibri" w:hAnsi="Calibri"/>
          <w:sz w:val="22"/>
          <w:szCs w:val="22"/>
        </w:rPr>
        <w:t xml:space="preserve">Argus builds fixes automatically. Sentra builds understanding and trust. Related technique, different purpose.</w:t>
      </w:r>
    </w:p>
    <w:p>
      <w:r>
        <w:br w:type="page"/>
      </w:r>
    </w:p>
    <w:p>
      <w:pPr>
        <w:pStyle w:val="Heading1"/>
        <w:spacing w:after="140" w:before="280"/>
      </w:pPr>
      <w:r>
        <w:rPr>
          <w:rFonts w:ascii="Calibri" w:cs="Calibri" w:eastAsia="Calibri" w:hAnsi="Calibri"/>
          <w:b/>
          <w:bCs/>
        </w:rPr>
        <w:t xml:space="preserve">8. Risks and Mitigations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00"/>
        <w:gridCol w:w="7000"/>
      </w:tblGrid>
      <w:tr>
        <w:trPr>
          <w:tblHeader/>
        </w:trPr>
        <w:tc>
          <w:tcPr>
            <w:tcW w:type="dxa" w:w="3400"/>
            <w:shd w:fill="1F4E79" w:val="clear"/>
            <w:tcMar>
              <w:top w:type="dxa" w:w="80"/>
              <w:left w:type="dxa" w:w="100"/>
              <w:bottom w:type="dxa" w:w="80"/>
              <w:right w:type="dxa" w:w="100"/>
            </w:tcMar>
          </w:tcPr>
          <w:p>
            <w:pPr>
              <w:jc w:val="left"/>
            </w:pPr>
            <w:r>
              <w:rPr>
                <w:rFonts w:ascii="Calibri" w:cs="Calibri" w:eastAsia="Calibri" w:hAnsi="Calibri"/>
                <w:b/>
                <w:bCs/>
                <w:sz w:val="20"/>
                <w:szCs w:val="20"/>
              </w:rPr>
              <w:t xml:space="preserve">Risk</w:t>
            </w:r>
          </w:p>
        </w:tc>
        <w:tc>
          <w:tcPr>
            <w:tcW w:type="dxa" w:w="7000"/>
            <w:shd w:fill="1F4E79" w:val="clear"/>
            <w:tcMar>
              <w:top w:type="dxa" w:w="80"/>
              <w:left w:type="dxa" w:w="100"/>
              <w:bottom w:type="dxa" w:w="80"/>
              <w:right w:type="dxa" w:w="100"/>
            </w:tcMar>
          </w:tcPr>
          <w:p>
            <w:pPr>
              <w:jc w:val="left"/>
            </w:pPr>
            <w:r>
              <w:rPr>
                <w:rFonts w:ascii="Calibri" w:cs="Calibri" w:eastAsia="Calibri" w:hAnsi="Calibri"/>
                <w:b/>
                <w:bCs/>
                <w:sz w:val="20"/>
                <w:szCs w:val="20"/>
              </w:rPr>
              <w:t xml:space="preserve">Mitigation</w:t>
            </w:r>
          </w:p>
        </w:tc>
      </w:tr>
      <w:tr>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LLM review layer (Module 2) produces false positives in front of the jury</w:t>
            </w:r>
          </w:p>
        </w:tc>
        <w:tc>
          <w:tcPr>
            <w:tcW w:type="dxa" w:w="7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Pre-run on fixed demo repos; hand-verify flagged issues before viva; show only vetted findings live</w:t>
            </w:r>
          </w:p>
        </w:tc>
      </w:tr>
      <w:tr>
        <w:tc>
          <w:tcPr>
            <w:tcW w:type="dxa" w:w="34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LightRAG adds integration complexity</w:t>
            </w:r>
          </w:p>
        </w:tc>
        <w:tc>
          <w:tcPr>
            <w:tcW w:type="dxa" w:w="70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Custom vector-search + prompt fallback is pre-approved; document the substitution honestly in the report</w:t>
            </w:r>
          </w:p>
        </w:tc>
      </w:tr>
      <w:tr>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GitHub API rate limits or auth issues during Module 5 demo</w:t>
            </w:r>
          </w:p>
        </w:tc>
        <w:tc>
          <w:tcPr>
            <w:tcW w:type="dxa" w:w="7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Cache PR data for demo repos in advance; do not rely on a live API call during the viva</w:t>
            </w:r>
          </w:p>
        </w:tc>
      </w:tr>
      <w:tr>
        <w:tc>
          <w:tcPr>
            <w:tcW w:type="dxa" w:w="34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Timeline slips past Month 3</w:t>
            </w:r>
          </w:p>
        </w:tc>
        <w:tc>
          <w:tcPr>
            <w:tcW w:type="dxa" w:w="7000"/>
            <w:shd w:fill="EAF1F8"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Cut Module 6, then Module 5, per the pre-agreed cut order; Modules 1/2/4/7 remain a complete, coherent product on their own</w:t>
            </w:r>
          </w:p>
        </w:tc>
      </w:tr>
      <w:tr>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Jury questions overlap with Argus</w:t>
            </w:r>
          </w:p>
        </w:tc>
        <w:tc>
          <w:tcPr>
            <w:tcW w:type="dxa" w:w="7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Use the prepared differentiation talking points (Section 7.3) verbatim</w:t>
            </w:r>
          </w:p>
        </w:tc>
      </w:tr>
    </w:tbl>
    <w:p>
      <w:r>
        <w:br w:type="page"/>
      </w:r>
    </w:p>
    <w:p>
      <w:pPr>
        <w:pStyle w:val="Heading1"/>
        <w:spacing w:after="140" w:before="280"/>
      </w:pPr>
      <w:r>
        <w:rPr>
          <w:rFonts w:ascii="Calibri" w:cs="Calibri" w:eastAsia="Calibri" w:hAnsi="Calibri"/>
          <w:b/>
          <w:bCs/>
        </w:rPr>
        <w:t xml:space="preserve">9. Tool Reference Index</w:t>
      </w:r>
    </w:p>
    <w:p>
      <w:pPr>
        <w:spacing w:after="160" w:line="300"/>
      </w:pPr>
      <w:r>
        <w:rPr>
          <w:rFonts w:ascii="Calibri" w:cs="Calibri" w:eastAsia="Calibri" w:hAnsi="Calibri"/>
          <w:sz w:val="22"/>
          <w:szCs w:val="22"/>
        </w:rPr>
        <w:t xml:space="preserve">Kept in one place for quick lookup when development resumes.</w:t>
      </w:r>
    </w:p>
    <w:p>
      <w:pPr>
        <w:spacing w:after="100" w:line="300"/>
      </w:pPr>
      <w:r>
        <w:rPr>
          <w:rFonts w:ascii="Calibri" w:cs="Calibri" w:eastAsia="Calibri" w:hAnsi="Calibri"/>
          <w:b/>
          <w:bCs/>
          <w:sz w:val="22"/>
          <w:szCs w:val="22"/>
        </w:rPr>
        <w:t xml:space="preserve">Tree-sitter: </w:t>
      </w:r>
      <w:r>
        <w:rPr>
          <w:rFonts w:ascii="Calibri" w:cs="Calibri" w:eastAsia="Calibri" w:hAnsi="Calibri"/>
          <w:sz w:val="22"/>
          <w:szCs w:val="22"/>
        </w:rPr>
        <w:t xml:space="preserve">Incremental parsing library, used for code chunking</w:t>
      </w:r>
    </w:p>
    <w:p>
      <w:pPr>
        <w:spacing w:after="160" w:line="300"/>
      </w:pPr>
      <w:r>
        <w:rPr>
          <w:rFonts w:ascii="Calibri" w:cs="Calibri" w:eastAsia="Calibri" w:hAnsi="Calibri"/>
          <w:sz w:val="22"/>
          <w:szCs w:val="22"/>
        </w:rPr>
        <w:t xml:space="default"/>
      </w:r>
    </w:p>
    <w:p>
      <w:pPr>
        <w:spacing w:after="100" w:line="300"/>
      </w:pPr>
      <w:r>
        <w:rPr>
          <w:rFonts w:ascii="Calibri" w:cs="Calibri" w:eastAsia="Calibri" w:hAnsi="Calibri"/>
          <w:b/>
          <w:bCs/>
          <w:sz w:val="22"/>
          <w:szCs w:val="22"/>
        </w:rPr>
        <w:t xml:space="preserve">LightRAG: </w:t>
      </w:r>
      <w:r>
        <w:rPr>
          <w:rFonts w:ascii="Calibri" w:cs="Calibri" w:eastAsia="Calibri" w:hAnsi="Calibri"/>
          <w:sz w:val="22"/>
          <w:szCs w:val="22"/>
        </w:rPr>
        <w:t xml:space="preserve">Open-source RAG framework with lightweight knowledge-graph retrieval</w:t>
      </w:r>
    </w:p>
    <w:p>
      <w:pPr>
        <w:spacing w:after="160" w:line="300"/>
      </w:pPr>
      <w:r>
        <w:rPr>
          <w:rFonts w:ascii="Calibri" w:cs="Calibri" w:eastAsia="Calibri" w:hAnsi="Calibri"/>
          <w:sz w:val="22"/>
          <w:szCs w:val="22"/>
        </w:rPr>
        <w:t xml:space="default"/>
      </w:r>
    </w:p>
    <w:p>
      <w:pPr>
        <w:spacing w:after="100" w:line="300"/>
      </w:pPr>
      <w:r>
        <w:rPr>
          <w:rFonts w:ascii="Calibri" w:cs="Calibri" w:eastAsia="Calibri" w:hAnsi="Calibri"/>
          <w:b/>
          <w:bCs/>
          <w:sz w:val="22"/>
          <w:szCs w:val="22"/>
        </w:rPr>
        <w:t xml:space="preserve">Semgrep: </w:t>
      </w:r>
      <w:r>
        <w:rPr>
          <w:rFonts w:ascii="Calibri" w:cs="Calibri" w:eastAsia="Calibri" w:hAnsi="Calibri"/>
          <w:sz w:val="22"/>
          <w:szCs w:val="22"/>
        </w:rPr>
        <w:t xml:space="preserve">Open-source, rule-based static analysis engine with a public rule registry</w:t>
      </w:r>
    </w:p>
    <w:p>
      <w:pPr>
        <w:spacing w:after="160" w:line="300"/>
      </w:pPr>
      <w:r>
        <w:rPr>
          <w:rFonts w:ascii="Calibri" w:cs="Calibri" w:eastAsia="Calibri" w:hAnsi="Calibri"/>
          <w:sz w:val="22"/>
          <w:szCs w:val="22"/>
        </w:rPr>
        <w:t xml:space="default"/>
      </w:r>
    </w:p>
    <w:p>
      <w:pPr>
        <w:spacing w:after="100" w:line="300"/>
      </w:pPr>
      <w:r>
        <w:rPr>
          <w:rFonts w:ascii="Calibri" w:cs="Calibri" w:eastAsia="Calibri" w:hAnsi="Calibri"/>
          <w:b/>
          <w:bCs/>
          <w:sz w:val="22"/>
          <w:szCs w:val="22"/>
        </w:rPr>
        <w:t xml:space="preserve">OSV.dev: </w:t>
      </w:r>
      <w:r>
        <w:rPr>
          <w:rFonts w:ascii="Calibri" w:cs="Calibri" w:eastAsia="Calibri" w:hAnsi="Calibri"/>
          <w:sz w:val="22"/>
          <w:szCs w:val="22"/>
        </w:rPr>
        <w:t xml:space="preserve">Open, free vulnerability database aggregating GitHub Security Advisories, PyPI, npm, RustSec, and more</w:t>
      </w:r>
    </w:p>
    <w:p>
      <w:pPr>
        <w:spacing w:after="160" w:line="300"/>
      </w:pPr>
      <w:r>
        <w:rPr>
          <w:rFonts w:ascii="Calibri" w:cs="Calibri" w:eastAsia="Calibri" w:hAnsi="Calibri"/>
          <w:sz w:val="22"/>
          <w:szCs w:val="22"/>
        </w:rPr>
        <w:t xml:space="default"/>
      </w:r>
    </w:p>
    <w:p>
      <w:pPr>
        <w:spacing w:after="100" w:line="300"/>
      </w:pPr>
      <w:r>
        <w:rPr>
          <w:rFonts w:ascii="Calibri" w:cs="Calibri" w:eastAsia="Calibri" w:hAnsi="Calibri"/>
          <w:b/>
          <w:bCs/>
          <w:sz w:val="22"/>
          <w:szCs w:val="22"/>
        </w:rPr>
        <w:t xml:space="preserve">OSV-Scanner: </w:t>
      </w:r>
      <w:r>
        <w:rPr>
          <w:rFonts w:ascii="Calibri" w:cs="Calibri" w:eastAsia="Calibri" w:hAnsi="Calibri"/>
          <w:sz w:val="22"/>
          <w:szCs w:val="22"/>
        </w:rPr>
        <w:t xml:space="preserve">Official CLI tool from Google that scans lockfiles against OSV.dev</w:t>
      </w:r>
    </w:p>
    <w:p>
      <w:pPr>
        <w:spacing w:after="160" w:line="300"/>
      </w:pPr>
      <w:r>
        <w:rPr>
          <w:rFonts w:ascii="Calibri" w:cs="Calibri" w:eastAsia="Calibri" w:hAnsi="Calibri"/>
          <w:sz w:val="22"/>
          <w:szCs w:val="22"/>
        </w:rPr>
        <w:t xml:space="default"/>
      </w:r>
    </w:p>
    <w:p>
      <w:pPr>
        <w:spacing w:after="100" w:line="300"/>
      </w:pPr>
      <w:r>
        <w:rPr>
          <w:rFonts w:ascii="Calibri" w:cs="Calibri" w:eastAsia="Calibri" w:hAnsi="Calibri"/>
          <w:b/>
          <w:bCs/>
          <w:sz w:val="22"/>
          <w:szCs w:val="22"/>
        </w:rPr>
        <w:t xml:space="preserve">OSV.dev API docs: </w:t>
      </w:r>
      <w:r>
        <w:rPr>
          <w:rFonts w:ascii="Calibri" w:cs="Calibri" w:eastAsia="Calibri" w:hAnsi="Calibri"/>
          <w:sz w:val="22"/>
          <w:szCs w:val="22"/>
        </w:rPr>
        <w:t xml:space="preserve">Direct API reference for finer-grained, on-demand queries</w:t>
      </w:r>
    </w:p>
    <w:p>
      <w:pPr>
        <w:spacing w:after="160" w:line="300"/>
      </w:pPr>
      <w:r>
        <w:rPr>
          <w:rFonts w:ascii="Calibri" w:cs="Calibri" w:eastAsia="Calibri" w:hAnsi="Calibri"/>
          <w:sz w:val="22"/>
          <w:szCs w:val="22"/>
        </w:rPr>
        <w:t xml:space="default"/>
      </w:r>
    </w:p>
    <w:p>
      <w:pPr>
        <w:spacing w:after="100" w:line="300"/>
      </w:pPr>
      <w:r>
        <w:rPr>
          <w:rFonts w:ascii="Calibri" w:cs="Calibri" w:eastAsia="Calibri" w:hAnsi="Calibri"/>
          <w:b/>
          <w:bCs/>
          <w:sz w:val="22"/>
          <w:szCs w:val="22"/>
        </w:rPr>
        <w:t xml:space="preserve">pgvector: </w:t>
      </w:r>
      <w:r>
        <w:rPr>
          <w:rFonts w:ascii="Calibri" w:cs="Calibri" w:eastAsia="Calibri" w:hAnsi="Calibri"/>
          <w:sz w:val="22"/>
          <w:szCs w:val="22"/>
        </w:rPr>
        <w:t xml:space="preserve">Postgres extension for vector similarity search</w:t>
      </w:r>
    </w:p>
    <w:p>
      <w:pPr>
        <w:spacing w:after="160" w:line="300"/>
      </w:pPr>
      <w:r>
        <w:rPr>
          <w:rFonts w:ascii="Calibri" w:cs="Calibri" w:eastAsia="Calibri" w:hAnsi="Calibri"/>
          <w:sz w:val="22"/>
          <w:szCs w:val="22"/>
        </w:rPr>
        <w:t xml:space="default"/>
      </w:r>
    </w:p>
    <w:p>
      <w:pPr>
        <w:spacing w:after="100" w:line="300"/>
      </w:pPr>
      <w:r>
        <w:rPr>
          <w:rFonts w:ascii="Calibri" w:cs="Calibri" w:eastAsia="Calibri" w:hAnsi="Calibri"/>
          <w:b/>
          <w:bCs/>
          <w:sz w:val="22"/>
          <w:szCs w:val="22"/>
        </w:rPr>
        <w:t xml:space="preserve">GitHub REST API: </w:t>
      </w:r>
      <w:r>
        <w:rPr>
          <w:rFonts w:ascii="Calibri" w:cs="Calibri" w:eastAsia="Calibri" w:hAnsi="Calibri"/>
          <w:sz w:val="22"/>
          <w:szCs w:val="22"/>
        </w:rPr>
        <w:t xml:space="preserve">Used for PR intake in Module 5 and repository metadata</w:t>
      </w:r>
    </w:p>
    <w:p>
      <w:pPr>
        <w:spacing w:after="160" w:line="300"/>
      </w:pPr>
      <w:r>
        <w:rPr>
          <w:rFonts w:ascii="Calibri" w:cs="Calibri" w:eastAsia="Calibri" w:hAnsi="Calibri"/>
          <w:sz w:val="22"/>
          <w:szCs w:val="22"/>
        </w:rPr>
        <w:t xml:space="default"/>
      </w:r>
    </w:p>
    <w:p>
      <w:pPr>
        <w:spacing w:after="400"/>
      </w:pPr>
    </w:p>
    <w:p>
      <w:pPr>
        <w:pBdr>
          <w:bottom w:val="single" w:color="AAAAAA" w:sz="6" w:space="1"/>
        </w:pBdr>
        <w:spacing w:after="200"/>
      </w:pPr>
    </w:p>
    <w:p>
      <w:pPr>
        <w:spacing w:after="160" w:line="300"/>
      </w:pPr>
      <w:r>
        <w:rPr>
          <w:rFonts w:ascii="Calibri" w:cs="Calibri" w:eastAsia="Calibri" w:hAnsi="Calibri"/>
          <w:i/>
          <w:iCs/>
          <w:color w:val="666666"/>
          <w:sz w:val="22"/>
          <w:szCs w:val="22"/>
        </w:rPr>
        <w:t xml:space="preserve">End of document. This specification is intentionally detailed enough to resume development after a gap of weeks or months without losing the underlying reasoning.</w:t>
      </w:r>
    </w:p>
    <w:sectPr>
      <w:pgSz w:w="12240" w:h="15840" w:orient="portrait"/>
      <w:pgMar w:top="1080" w:right="1160" w:bottom="108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F4E79"/>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ilghkpdy5ixtonyg6u7c" Type="http://schemas.openxmlformats.org/officeDocument/2006/relationships/hyperlink" Target="https://github.com/HKUDS/LightRAG" TargetMode="External"/><Relationship Id="rIdrlnbbzsxpzr4l7hmig8rx" Type="http://schemas.openxmlformats.org/officeDocument/2006/relationships/hyperlink" Target="https://semgrep.dev/" TargetMode="External"/><Relationship Id="rIdtp5mqjio5evtxrgxplapt" Type="http://schemas.openxmlformats.org/officeDocument/2006/relationships/hyperlink" Target="https://github.com/semgrep/semgrep" TargetMode="External"/><Relationship Id="rIdy5in6qahiaqi8oq2zezvf" Type="http://schemas.openxmlformats.org/officeDocument/2006/relationships/hyperlink" Target="https://osv.dev/" TargetMode="External"/><Relationship Id="rIde2kvxlx9v0ta6g7umps_w" Type="http://schemas.openxmlformats.org/officeDocument/2006/relationships/hyperlink" Target="https://github.com/google/osv-scanner" TargetMode="External"/><Relationship Id="rIdqpdfuj6d1rsdarv_nikhr" Type="http://schemas.openxmlformats.org/officeDocument/2006/relationships/hyperlink" Target="https://google.github.io/osv.dev/"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2026-07-25T06:13:08.471Z</dcterms:created>
  <dcterms:modified xsi:type="dcterms:W3CDTF">2026-07-25T06:13:08.487Z</dcterms:modified>
</cp:coreProperties>
</file>

<file path=docProps/custom.xml><?xml version="1.0" encoding="utf-8"?>
<Properties xmlns="http://schemas.openxmlformats.org/officeDocument/2006/custom-properties" xmlns:vt="http://schemas.openxmlformats.org/officeDocument/2006/docPropsVTypes"/>
</file>