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Times New Roman" w:hAnsi="Times New Roman" w:eastAsia="Times New Roman"/>
          <w:b/>
          <w:color w:val="000000"/>
          <w:sz w:val="32"/>
        </w:rPr>
        <w:t>EVENT MANAGEMENT SYSTEM</w:t>
      </w:r>
    </w:p>
    <w:p>
      <w:pPr>
        <w:spacing w:after="100" w:line="259" w:lineRule="auto"/>
        <w:jc w:val="center"/>
      </w:pPr>
      <w:r>
        <w:rPr>
          <w:rFonts w:ascii="Times New Roman" w:hAnsi="Times New Roman" w:eastAsia="Times New Roman"/>
          <w:b/>
          <w:color w:val="000000"/>
          <w:sz w:val="26"/>
        </w:rPr>
        <w:t>5. Security Objectives and Requirements</w:t>
      </w:r>
    </w:p>
    <w:p>
      <w:pPr>
        <w:spacing w:after="100" w:line="259" w:lineRule="auto"/>
        <w:jc w:val="center"/>
      </w:pPr>
      <w:r>
        <w:rPr>
          <w:rFonts w:ascii="Times New Roman" w:hAnsi="Times New Roman" w:eastAsia="Times New Roman"/>
          <w:color w:val="000000"/>
          <w:sz w:val="22"/>
        </w:rPr>
        <w:t>Team E7</w:t>
      </w:r>
    </w:p>
    <w:p>
      <w:pPr>
        <w:spacing w:after="100" w:line="259" w:lineRule="auto"/>
        <w:jc w:val="center"/>
      </w:pPr>
      <w:r>
        <w:rPr>
          <w:rFonts w:ascii="Times New Roman" w:hAnsi="Times New Roman"/>
          <w:sz w:val="22"/>
        </w:rPr>
        <w:t>Saketh Narayanam – PES1UG24CS292 | Neeraj R Gowda – PES1UG24CS295 | Likhith Reddy M – PES1UG24CS282 | N. Adil Ahmed – PES1UG24CS285</w:t>
      </w:r>
    </w:p>
    <w:p>
      <w:pPr>
        <w:spacing w:after="100" w:line="259" w:lineRule="auto"/>
      </w:pPr>
    </w:p>
    <w:p>
      <w:pPr>
        <w:spacing w:before="160" w:after="100" w:line="259" w:lineRule="auto"/>
      </w:pPr>
      <w:r>
        <w:rPr>
          <w:rFonts w:ascii="Times New Roman" w:hAnsi="Times New Roman" w:eastAsia="Times New Roman"/>
          <w:b/>
          <w:color w:val="000000"/>
          <w:sz w:val="28"/>
        </w:rPr>
        <w:t>Security Overview</w:t>
      </w:r>
    </w:p>
    <w:p>
      <w:pPr>
        <w:spacing w:after="100" w:line="259" w:lineRule="auto"/>
      </w:pPr>
      <w:r>
        <w:rPr>
          <w:rFonts w:ascii="Times New Roman" w:hAnsi="Times New Roman" w:eastAsia="Times New Roman"/>
          <w:color w:val="000000"/>
          <w:sz w:val="23"/>
        </w:rPr>
        <w:t>Security is an important part of the system because it handles account details, event information, and registration records. Each operation should therefore be available only to the users who are allowed to perform it.</w:t>
      </w:r>
    </w:p>
    <w:p>
      <w:pPr>
        <w:spacing w:before="160" w:after="100" w:line="259" w:lineRule="auto"/>
      </w:pPr>
      <w:r>
        <w:rPr>
          <w:rFonts w:ascii="Times New Roman" w:hAnsi="Times New Roman" w:eastAsia="Times New Roman"/>
          <w:b/>
          <w:color w:val="000000"/>
          <w:sz w:val="25"/>
        </w:rPr>
        <w:t>Security Objectives</w:t>
      </w:r>
    </w:p>
    <w:p>
      <w:pPr>
        <w:spacing w:after="100" w:line="259" w:lineRule="auto"/>
        <w:ind w:left="259" w:hanging="173"/>
      </w:pPr>
      <w:r>
        <w:rPr>
          <w:rFonts w:ascii="Times New Roman" w:hAnsi="Times New Roman" w:eastAsia="Times New Roman"/>
          <w:color w:val="000000"/>
          <w:sz w:val="23"/>
        </w:rPr>
        <w:t>1. Protect user, organizer, event, and registration information from unauthorized access or modification.</w:t>
      </w:r>
    </w:p>
    <w:p>
      <w:pPr>
        <w:spacing w:after="100" w:line="259" w:lineRule="auto"/>
        <w:ind w:left="259" w:hanging="173"/>
      </w:pPr>
      <w:r>
        <w:rPr>
          <w:rFonts w:ascii="Times New Roman" w:hAnsi="Times New Roman" w:eastAsia="Times New Roman"/>
          <w:color w:val="000000"/>
          <w:sz w:val="23"/>
        </w:rPr>
        <w:t>2. Ensure that only authenticated users can perform protected actions and that each role can access only the functions assigned to it.</w:t>
      </w:r>
    </w:p>
    <w:p>
      <w:pPr>
        <w:spacing w:before="160" w:after="100" w:line="259" w:lineRule="auto"/>
      </w:pPr>
      <w:r>
        <w:rPr>
          <w:rFonts w:ascii="Times New Roman" w:hAnsi="Times New Roman" w:eastAsia="Times New Roman"/>
          <w:b/>
          <w:color w:val="000000"/>
          <w:sz w:val="25"/>
        </w:rPr>
        <w:t>Security Requirements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Times New Roman" w:hAnsi="Times New Roman"/>
                <w:b/>
                <w:color w:val="000000"/>
                <w:sz w:val="19"/>
              </w:rPr>
              <w:t>ID</w:t>
            </w:r>
          </w:p>
        </w:tc>
        <w:tc>
          <w:tcPr>
            <w:tcW w:type="dxa" w:w="4320"/>
          </w:tcPr>
          <w:p>
            <w:r>
              <w:rPr>
                <w:rFonts w:ascii="Times New Roman" w:hAnsi="Times New Roman"/>
                <w:b/>
                <w:color w:val="000000"/>
                <w:sz w:val="19"/>
              </w:rPr>
              <w:t>Security Requirement</w:t>
            </w:r>
          </w:p>
        </w:tc>
      </w:tr>
      <w:tr>
        <w:tc>
          <w:tcPr>
            <w:tcW w:type="dxa" w:w="4320"/>
            <w:vAlign w:val="center"/>
          </w:tcPr>
          <w:p>
            <w:pPr>
              <w:spacing w:after="40" w:line="240" w:lineRule="auto"/>
            </w:pPr>
            <w:r>
              <w:rPr>
                <w:rFonts w:ascii="Times New Roman" w:hAnsi="Times New Roman"/>
                <w:color w:val="000000"/>
                <w:sz w:val="19"/>
              </w:rPr>
              <w:t>SEC-01</w:t>
            </w:r>
          </w:p>
        </w:tc>
        <w:tc>
          <w:tcPr>
            <w:tcW w:type="dxa" w:w="4320"/>
            <w:vAlign w:val="center"/>
          </w:tcPr>
          <w:p>
            <w:pPr>
              <w:spacing w:after="40" w:line="240" w:lineRule="auto"/>
            </w:pPr>
            <w:r>
              <w:rPr>
                <w:rFonts w:ascii="Times New Roman" w:hAnsi="Times New Roman"/>
                <w:color w:val="000000"/>
                <w:sz w:val="19"/>
              </w:rPr>
              <w:t>Passwords shall be stored using a secure one-way password-hashing mechanism and shall never be stored as plain text.</w:t>
            </w:r>
          </w:p>
        </w:tc>
      </w:tr>
      <w:tr>
        <w:tc>
          <w:tcPr>
            <w:tcW w:type="dxa" w:w="4320"/>
            <w:vAlign w:val="center"/>
          </w:tcPr>
          <w:p>
            <w:pPr>
              <w:spacing w:after="40" w:line="240" w:lineRule="auto"/>
            </w:pPr>
            <w:r>
              <w:rPr>
                <w:rFonts w:ascii="Times New Roman" w:hAnsi="Times New Roman"/>
                <w:color w:val="000000"/>
                <w:sz w:val="19"/>
              </w:rPr>
              <w:t>SEC-02</w:t>
            </w:r>
          </w:p>
        </w:tc>
        <w:tc>
          <w:tcPr>
            <w:tcW w:type="dxa" w:w="4320"/>
            <w:vAlign w:val="center"/>
          </w:tcPr>
          <w:p>
            <w:pPr>
              <w:spacing w:after="40" w:line="240" w:lineRule="auto"/>
            </w:pPr>
            <w:r>
              <w:rPr>
                <w:rFonts w:ascii="Times New Roman" w:hAnsi="Times New Roman"/>
                <w:color w:val="000000"/>
                <w:sz w:val="19"/>
              </w:rPr>
              <w:t>Protected functions shall require authentication and role-based authorization.</w:t>
            </w:r>
          </w:p>
        </w:tc>
      </w:tr>
      <w:tr>
        <w:tc>
          <w:tcPr>
            <w:tcW w:type="dxa" w:w="4320"/>
            <w:vAlign w:val="center"/>
          </w:tcPr>
          <w:p>
            <w:pPr>
              <w:spacing w:after="40" w:line="240" w:lineRule="auto"/>
            </w:pPr>
            <w:r>
              <w:rPr>
                <w:rFonts w:ascii="Times New Roman" w:hAnsi="Times New Roman"/>
                <w:color w:val="000000"/>
                <w:sz w:val="19"/>
              </w:rPr>
              <w:t>SEC-03</w:t>
            </w:r>
          </w:p>
        </w:tc>
        <w:tc>
          <w:tcPr>
            <w:tcW w:type="dxa" w:w="4320"/>
            <w:vAlign w:val="center"/>
          </w:tcPr>
          <w:p>
            <w:pPr>
              <w:spacing w:after="40" w:line="240" w:lineRule="auto"/>
            </w:pPr>
            <w:r>
              <w:rPr>
                <w:rFonts w:ascii="Times New Roman" w:hAnsi="Times New Roman"/>
                <w:color w:val="000000"/>
                <w:sz w:val="19"/>
              </w:rPr>
              <w:t>The system shall validate user input before processing or storing it.</w:t>
            </w:r>
          </w:p>
        </w:tc>
      </w:tr>
      <w:tr>
        <w:tc>
          <w:tcPr>
            <w:tcW w:type="dxa" w:w="4320"/>
            <w:vAlign w:val="center"/>
          </w:tcPr>
          <w:p>
            <w:pPr>
              <w:spacing w:after="40" w:line="240" w:lineRule="auto"/>
            </w:pPr>
            <w:r>
              <w:rPr>
                <w:rFonts w:ascii="Times New Roman" w:hAnsi="Times New Roman"/>
                <w:color w:val="000000"/>
                <w:sz w:val="19"/>
              </w:rPr>
              <w:t>SEC-04</w:t>
            </w:r>
          </w:p>
        </w:tc>
        <w:tc>
          <w:tcPr>
            <w:tcW w:type="dxa" w:w="4320"/>
            <w:vAlign w:val="center"/>
          </w:tcPr>
          <w:p>
            <w:pPr>
              <w:spacing w:after="40" w:line="240" w:lineRule="auto"/>
            </w:pPr>
            <w:r>
              <w:rPr>
                <w:rFonts w:ascii="Times New Roman" w:hAnsi="Times New Roman"/>
                <w:color w:val="000000"/>
                <w:sz w:val="19"/>
              </w:rPr>
              <w:t>The system shall manage sessions securely and reject unauthorized or expired access.</w:t>
            </w:r>
          </w:p>
        </w:tc>
      </w:tr>
      <w:tr>
        <w:tc>
          <w:tcPr>
            <w:tcW w:type="dxa" w:w="4320"/>
            <w:vAlign w:val="center"/>
          </w:tcPr>
          <w:p>
            <w:pPr>
              <w:spacing w:after="40" w:line="240" w:lineRule="auto"/>
            </w:pPr>
            <w:r>
              <w:rPr>
                <w:rFonts w:ascii="Times New Roman" w:hAnsi="Times New Roman"/>
                <w:color w:val="000000"/>
                <w:sz w:val="19"/>
              </w:rPr>
              <w:t>SEC-05</w:t>
            </w:r>
          </w:p>
        </w:tc>
        <w:tc>
          <w:tcPr>
            <w:tcW w:type="dxa" w:w="4320"/>
            <w:vAlign w:val="center"/>
          </w:tcPr>
          <w:p>
            <w:pPr>
              <w:spacing w:after="40" w:line="240" w:lineRule="auto"/>
            </w:pPr>
            <w:r>
              <w:rPr>
                <w:rFonts w:ascii="Times New Roman" w:hAnsi="Times New Roman"/>
                <w:color w:val="000000"/>
                <w:sz w:val="19"/>
              </w:rPr>
              <w:t>Administrative actions shall be restricted to authorized administrator accounts.</w:t>
            </w:r>
          </w:p>
        </w:tc>
      </w:tr>
    </w:tbl>
    <w:p>
      <w:pPr>
        <w:spacing w:after="100" w:line="259" w:lineRule="auto"/>
      </w:pPr>
    </w:p>
    <w:p>
      <w:pPr>
        <w:spacing w:before="160" w:after="100" w:line="259" w:lineRule="auto"/>
      </w:pPr>
      <w:r>
        <w:rPr>
          <w:rFonts w:ascii="Times New Roman" w:hAnsi="Times New Roman" w:eastAsia="Times New Roman"/>
          <w:b/>
          <w:color w:val="000000"/>
          <w:sz w:val="25"/>
        </w:rPr>
        <w:t>Planned Security Validation</w:t>
      </w:r>
    </w:p>
    <w:p>
      <w:pPr>
        <w:spacing w:after="100" w:line="259" w:lineRule="auto"/>
        <w:ind w:left="259" w:hanging="173"/>
      </w:pPr>
      <w:r>
        <w:rPr>
          <w:rFonts w:ascii="Times New Roman" w:hAnsi="Times New Roman" w:eastAsia="Times New Roman"/>
          <w:color w:val="000000"/>
          <w:sz w:val="23"/>
        </w:rPr>
        <w:t>1. Verify that incorrect credentials are rejected.</w:t>
      </w:r>
    </w:p>
    <w:p>
      <w:pPr>
        <w:spacing w:after="100" w:line="259" w:lineRule="auto"/>
        <w:ind w:left="259" w:hanging="173"/>
      </w:pPr>
      <w:r>
        <w:rPr>
          <w:rFonts w:ascii="Times New Roman" w:hAnsi="Times New Roman" w:eastAsia="Times New Roman"/>
          <w:color w:val="000000"/>
          <w:sz w:val="23"/>
        </w:rPr>
        <w:t>2. Verify that a normal attendee cannot access organizer or administrator functions.</w:t>
      </w:r>
    </w:p>
    <w:p>
      <w:pPr>
        <w:spacing w:after="100" w:line="259" w:lineRule="auto"/>
        <w:ind w:left="259" w:hanging="173"/>
      </w:pPr>
      <w:r>
        <w:rPr>
          <w:rFonts w:ascii="Times New Roman" w:hAnsi="Times New Roman" w:eastAsia="Times New Roman"/>
          <w:color w:val="000000"/>
          <w:sz w:val="23"/>
        </w:rPr>
        <w:t>3. Verify that passwords are not stored as readable text.</w:t>
      </w:r>
    </w:p>
    <w:p>
      <w:pPr>
        <w:spacing w:after="100" w:line="259" w:lineRule="auto"/>
        <w:ind w:left="259" w:hanging="173"/>
      </w:pPr>
      <w:r>
        <w:rPr>
          <w:rFonts w:ascii="Times New Roman" w:hAnsi="Times New Roman" w:eastAsia="Times New Roman"/>
          <w:color w:val="000000"/>
          <w:sz w:val="23"/>
        </w:rPr>
        <w:t>4. Check common input-validation and injection-related attack paths.</w:t>
      </w:r>
    </w:p>
    <w:p>
      <w:pPr>
        <w:spacing w:after="100" w:line="259" w:lineRule="auto"/>
        <w:ind w:left="259" w:hanging="173"/>
      </w:pPr>
      <w:r>
        <w:rPr>
          <w:rFonts w:ascii="Times New Roman" w:hAnsi="Times New Roman" w:eastAsia="Times New Roman"/>
          <w:color w:val="000000"/>
          <w:sz w:val="23"/>
        </w:rPr>
        <w:t>5. Check authorization for event-management and administrative endpoints.</w:t>
      </w:r>
    </w:p>
    <w:p>
      <w:pPr>
        <w:spacing w:after="100" w:line="259" w:lineRule="auto"/>
        <w:ind w:left="259" w:hanging="173"/>
      </w:pPr>
      <w:r>
        <w:rPr>
          <w:rFonts w:ascii="Times New Roman" w:hAnsi="Times New Roman" w:eastAsia="Times New Roman"/>
          <w:color w:val="000000"/>
          <w:sz w:val="23"/>
        </w:rPr>
        <w:t>6. Check session handling, logout behavior, and access after session expiry.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