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line="240" w:lineRule="auto"/>
        <w:jc w:val="center"/>
      </w:pPr>
      <w:r>
        <w:rPr>
          <w:rFonts w:ascii="Times New Roman" w:hAnsi="Times New Roman"/>
          <w:b/>
          <w:sz w:val="32"/>
        </w:rPr>
        <w:t>EVENT MANAGEMENT SYSTEM</w:t>
      </w:r>
    </w:p>
    <w:p>
      <w:pPr>
        <w:spacing w:after="60" w:line="240" w:lineRule="auto"/>
        <w:jc w:val="center"/>
      </w:pPr>
      <w:r>
        <w:rPr>
          <w:rFonts w:ascii="Times New Roman" w:hAnsi="Times New Roman"/>
          <w:b/>
          <w:sz w:val="26"/>
        </w:rPr>
        <w:t>10. Detailed Design</w:t>
      </w:r>
    </w:p>
    <w:p>
      <w:pPr>
        <w:spacing w:after="60" w:line="240" w:lineRule="auto"/>
        <w:jc w:val="center"/>
      </w:pPr>
      <w:r>
        <w:rPr>
          <w:rFonts w:ascii="Times New Roman" w:hAnsi="Times New Roman"/>
          <w:sz w:val="22"/>
        </w:rPr>
        <w:t>Team E7</w:t>
      </w:r>
    </w:p>
    <w:p>
      <w:pPr>
        <w:spacing w:after="60" w:line="240" w:lineRule="auto"/>
        <w:jc w:val="center"/>
      </w:pPr>
      <w:r>
        <w:rPr>
          <w:rFonts w:ascii="Times New Roman" w:hAnsi="Times New Roman"/>
          <w:sz w:val="22"/>
        </w:rPr>
        <w:t>Saketh Narayanam – PES1UG24CS292 | Neeraj R Gowda – PES1UG24CS295 | Likhith Reddy M – PES1UG24CS282 | N. Adil Ahmed – PES1UG24CS285</w:t>
      </w:r>
    </w:p>
    <w:p>
      <w:pPr>
        <w:spacing w:after="60" w:line="240" w:lineRule="auto"/>
      </w:pPr>
    </w:p>
    <w:p>
      <w:pPr>
        <w:spacing w:before="160" w:after="60" w:line="240" w:lineRule="auto"/>
      </w:pPr>
      <w:r>
        <w:rPr>
          <w:rFonts w:ascii="Times New Roman" w:hAnsi="Times New Roman" w:eastAsia="Times New Roman"/>
          <w:b/>
          <w:color w:val="000000"/>
          <w:sz w:val="28"/>
        </w:rPr>
        <w:t>Design Overview</w:t>
      </w:r>
    </w:p>
    <w:p>
      <w:pPr>
        <w:spacing w:after="60" w:line="240" w:lineRule="auto"/>
      </w:pPr>
      <w:r>
        <w:rPr>
          <w:rFonts w:ascii="Times New Roman" w:hAnsi="Times New Roman" w:eastAsia="Times New Roman"/>
          <w:color w:val="000000"/>
          <w:sz w:val="23"/>
        </w:rPr>
        <w:t>The detailed design focuses on the main interactions between the user interface, API layer, and database.</w:t>
      </w:r>
    </w:p>
    <w:p>
      <w:pPr>
        <w:spacing w:before="160" w:after="60" w:line="240" w:lineRule="auto"/>
      </w:pPr>
      <w:r>
        <w:rPr>
          <w:rFonts w:ascii="Times New Roman" w:hAnsi="Times New Roman" w:eastAsia="Times New Roman"/>
          <w:b/>
          <w:color w:val="000000"/>
          <w:sz w:val="25"/>
        </w:rPr>
        <w:t>Sequence Diagram 1 – User Login</w:t>
      </w:r>
    </w:p>
    <w:p>
      <w:pPr>
        <w:spacing w:after="60" w:line="240" w:lineRule="auto"/>
        <w:jc w:val="center"/>
      </w:pPr>
      <w:r>
        <w:rPr>
          <w:rFonts w:ascii="Times New Roman" w:hAnsi="Times New Roman" w:eastAsia="Times New Roman"/>
          <w:color w:val="000000"/>
          <w:sz w:val="23"/>
        </w:rPr>
        <w:drawing>
          <wp:inline xmlns:a="http://schemas.openxmlformats.org/drawingml/2006/main" xmlns:pic="http://schemas.openxmlformats.org/drawingml/2006/picture">
            <wp:extent cx="5303520" cy="28944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s_gray_image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94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line="240" w:lineRule="auto"/>
        <w:jc w:val="center"/>
      </w:pPr>
      <w:r>
        <w:rPr>
          <w:rFonts w:ascii="Times New Roman" w:hAnsi="Times New Roman" w:eastAsia="Times New Roman"/>
          <w:color w:val="000000"/>
          <w:sz w:val="23"/>
        </w:rPr>
        <w:t>Figure: Sequence Diagram for User Login</w:t>
      </w:r>
      <w:r>
        <w:rPr>
          <w:rFonts w:ascii="Times New Roman" w:hAnsi="Times New Roman"/>
          <w:sz w:val="22"/>
        </w:rPr>
        <w:br w:type="page"/>
      </w:r>
    </w:p>
    <w:p>
      <w:pPr>
        <w:spacing w:before="160" w:after="60" w:line="240" w:lineRule="auto"/>
      </w:pPr>
      <w:r>
        <w:rPr>
          <w:rFonts w:ascii="Times New Roman" w:hAnsi="Times New Roman" w:eastAsia="Times New Roman"/>
          <w:b/>
          <w:color w:val="000000"/>
          <w:sz w:val="25"/>
        </w:rPr>
        <w:t>Sequence Diagram 2 – Event Registration</w:t>
      </w:r>
    </w:p>
    <w:p>
      <w:pPr>
        <w:spacing w:after="60" w:line="240" w:lineRule="auto"/>
        <w:jc w:val="center"/>
      </w:pPr>
      <w:r>
        <w:rPr>
          <w:rFonts w:ascii="Times New Roman" w:hAnsi="Times New Roman" w:eastAsia="Times New Roman"/>
          <w:color w:val="000000"/>
          <w:sz w:val="23"/>
        </w:rPr>
        <w:drawing>
          <wp:inline xmlns:a="http://schemas.openxmlformats.org/drawingml/2006/main" xmlns:pic="http://schemas.openxmlformats.org/drawingml/2006/picture">
            <wp:extent cx="5303520" cy="30552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s_gray_image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55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line="240" w:lineRule="auto"/>
        <w:jc w:val="center"/>
      </w:pPr>
      <w:r>
        <w:rPr>
          <w:rFonts w:ascii="Times New Roman" w:hAnsi="Times New Roman" w:eastAsia="Times New Roman"/>
          <w:color w:val="000000"/>
          <w:sz w:val="23"/>
        </w:rPr>
        <w:t>Figure: Sequence Diagram for Event Registration</w:t>
      </w:r>
    </w:p>
    <w:p>
      <w:pPr/>
      <w:r>
        <w:rPr>
          <w:rFonts w:ascii="Times New Roman" w:hAnsi="Times New Roman"/>
          <w:b/>
          <w:sz w:val="25"/>
        </w:rPr>
        <w:t>Registration Sequence – Validation Conditions</w:t>
      </w:r>
    </w:p>
    <w:p>
      <w:r>
        <w:rPr>
          <w:rFonts w:ascii="Times New Roman" w:hAnsi="Times New Roman"/>
          <w:sz w:val="23"/>
        </w:rPr>
        <w:t>• The API verifies that the user is authenticated before registration is attempted.</w:t>
      </w:r>
    </w:p>
    <w:p>
      <w:r>
        <w:rPr>
          <w:rFonts w:ascii="Times New Roman" w:hAnsi="Times New Roman"/>
          <w:sz w:val="23"/>
        </w:rPr>
        <w:t>• The event is checked for existence and availability.</w:t>
      </w:r>
    </w:p>
    <w:p>
      <w:r>
        <w:rPr>
          <w:rFonts w:ascii="Times New Roman" w:hAnsi="Times New Roman"/>
          <w:sz w:val="23"/>
        </w:rPr>
        <w:t>• The current registration count is compared with the configured event capacity.</w:t>
      </w:r>
    </w:p>
    <w:p>
      <w:r>
        <w:rPr>
          <w:rFonts w:ascii="Times New Roman" w:hAnsi="Times New Roman"/>
          <w:sz w:val="23"/>
        </w:rPr>
        <w:t>• The system checks whether the user already has a registration for the event.</w:t>
      </w:r>
    </w:p>
    <w:p>
      <w:r>
        <w:rPr>
          <w:rFonts w:ascii="Times New Roman" w:hAnsi="Times New Roman"/>
          <w:sz w:val="23"/>
        </w:rPr>
        <w:t>• Only after all checks pass is the registration created and confirmation returned.</w:t>
      </w:r>
    </w:p>
    <w:p>
      <w:r>
        <w:rPr>
          <w:rFonts w:ascii="Times New Roman" w:hAnsi="Times New Roman"/>
          <w:sz w:val="23"/>
        </w:rPr>
        <w:t>• If any validation fails, the API returns an appropriate error and does not create an invalid registration.</w:t>
      </w:r>
    </w:p>
    <w:p>
      <w:r>
        <w:rPr>
          <w:rFonts w:ascii="Times New Roman" w:hAnsi="Times New Roman"/>
          <w:sz w:val="23"/>
        </w:rPr>
        <w:t>The login sequence primarily supports FR-01, SEC-01, SEC-02, and SEC-04. The event-registration sequence supports FR-04, FR-05, FR-06, NFR-02, and NFR-06.</w:t>
      </w:r>
    </w:p>
    <w:sectPr w:rsidR="00FC693F" w:rsidRPr="0006063C" w:rsidSect="00034616">
      <w:headerReference w:type="default" r:id="rId11"/>
      <w:footerReference w:type="default" r:id="rId12"/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