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259" w:lineRule="auto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EVENT MANAGEMENT SYSTEM</w:t>
      </w:r>
    </w:p>
    <w:p>
      <w:pPr>
        <w:spacing w:after="100" w:line="259" w:lineRule="auto"/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6. Use Case Model</w:t>
      </w:r>
    </w:p>
    <w:p>
      <w:pPr>
        <w:spacing w:after="100" w:line="259" w:lineRule="auto"/>
        <w:jc w:val="center"/>
      </w:pPr>
      <w:r>
        <w:rPr>
          <w:rFonts w:ascii="Times New Roman" w:hAnsi="Times New Roman" w:eastAsia="Times New Roman"/>
          <w:color w:val="000000"/>
          <w:sz w:val="22"/>
        </w:rPr>
        <w:t>Team E7</w:t>
      </w:r>
    </w:p>
    <w:p>
      <w:pPr>
        <w:spacing w:after="100" w:line="259" w:lineRule="auto"/>
        <w:jc w:val="center"/>
      </w:pPr>
      <w:r>
        <w:t>Saketh Narayanam – PES1UG24CS292 | Neeraj R Gowda – PES1UG24CS295 | Likhith Reddy M – PES1UG24CS282 | N. Adil Ahmed – PES1UG24CS285</w:t>
      </w:r>
    </w:p>
    <w:p>
      <w:pPr>
        <w:spacing w:after="100" w:line="259" w:lineRule="auto"/>
      </w:pPr>
    </w:p>
    <w:p>
      <w:pPr>
        <w:spacing w:before="160" w:after="100" w:line="259" w:lineRule="auto"/>
      </w:pPr>
      <w:r>
        <w:rPr>
          <w:rFonts w:ascii="Times New Roman" w:hAnsi="Times New Roman" w:eastAsia="Times New Roman"/>
          <w:b/>
          <w:color w:val="000000"/>
          <w:sz w:val="28"/>
        </w:rPr>
        <w:t>Actors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color w:val="000000"/>
                <w:sz w:val="19"/>
              </w:rPr>
              <w:t>Actor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/>
                <w:color w:val="000000"/>
                <w:sz w:val="19"/>
              </w:rPr>
              <w:t>Description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Visitor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An unregistered person who can browse events, search or filter them, and view event details.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User / Attendee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A registered user who can register for events, cancel registrations, view registered events, and receive updates.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Organizer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A person who creates and manages events, sets capacity, views participants, and sends event updates.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Administrator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9"/>
              </w:rPr>
              <w:t>A person who manages users, organizers, events, and system-level registration information.</w:t>
            </w:r>
          </w:p>
        </w:tc>
      </w:tr>
    </w:tbl>
    <w:p>
      <w:pPr>
        <w:spacing w:after="100" w:line="259" w:lineRule="auto"/>
      </w:pPr>
    </w:p>
    <w:p>
      <w:pPr>
        <w:spacing w:before="160" w:after="100" w:line="259" w:lineRule="auto"/>
      </w:pPr>
      <w:r>
        <w:rPr>
          <w:rFonts w:ascii="Times New Roman" w:hAnsi="Times New Roman" w:eastAsia="Times New Roman"/>
          <w:b/>
          <w:color w:val="000000"/>
          <w:sz w:val="25"/>
        </w:rPr>
        <w:t>Use Cases by Actor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  <w:b/>
                <w:color w:val="000000"/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color w:val="000000"/>
                <w:sz w:val="18"/>
              </w:rPr>
              <w:t>Use Case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color w:val="000000"/>
                <w:sz w:val="18"/>
              </w:rPr>
              <w:t>Actor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UC-01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Browse Events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Visitor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UC-02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Search / Filter Events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Visitor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UC-03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View Event Details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Visitor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UC-04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Register Account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Visitor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UC-05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Login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User / Attendee, Organizer, Administrator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UC-06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Register for Event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User / Attendee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UC-07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Cancel Registration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User / Attendee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UC-08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View Registered Events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User / Attendee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UC-09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View / Update Profile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User / Attendee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UC-10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Receive Event Notifications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User / Attendee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UC-11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Create Event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Organizer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UC-12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Edit Event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Organizer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UC-13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Cancel Event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Organizer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UC-14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Set Event Capacity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Organizer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UC-15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View Participants / Registration Counts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Organizer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UC-16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Send Event Updates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Organizer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UC-17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Manage Users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Administrator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UC-18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Manage Organizers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Administrator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UC-19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Manage Events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Administrator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UC-20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View System Reports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Administrator</w:t>
            </w:r>
          </w:p>
        </w:tc>
      </w:tr>
    </w:tbl>
    <w:p>
      <w:pPr>
        <w:spacing w:after="100" w:line="259" w:lineRule="auto"/>
      </w:pPr>
    </w:p>
    <w:p>
      <w:pPr>
        <w:spacing w:after="100" w:line="259" w:lineRule="auto"/>
      </w:pPr>
      <w:r>
        <w:rPr>
          <w:rFonts w:ascii="Times New Roman" w:hAnsi="Times New Roman" w:eastAsia="Times New Roman"/>
          <w:color w:val="000000"/>
          <w:sz w:val="23"/>
        </w:rPr>
        <w:t>The use-case list uses the same four main actors and the same core interactions that are shown in the UML diagram. Notifications are treated as part of the application workflow.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