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59" w:lineRule="auto"/>
        <w:jc w:val="center"/>
      </w:pPr>
      <w:r>
        <w:rPr>
          <w:rFonts w:ascii="Times New Roman" w:hAnsi="Times New Roman"/>
          <w:b/>
          <w:sz w:val="32"/>
        </w:rPr>
        <w:t>EVENT MANAGEMENT SYSTEM</w:t>
      </w:r>
    </w:p>
    <w:p>
      <w:pPr>
        <w:spacing w:after="100" w:line="259" w:lineRule="auto"/>
        <w:jc w:val="center"/>
      </w:pPr>
      <w:r>
        <w:rPr>
          <w:rFonts w:ascii="Times New Roman" w:hAnsi="Times New Roman"/>
          <w:b/>
          <w:sz w:val="26"/>
        </w:rPr>
        <w:t>14. Validation and Testing Summary</w:t>
      </w:r>
    </w:p>
    <w:p>
      <w:pPr>
        <w:spacing w:after="100" w:line="259" w:lineRule="auto"/>
        <w:jc w:val="center"/>
      </w:pPr>
      <w:r>
        <w:rPr>
          <w:rFonts w:ascii="Times New Roman" w:hAnsi="Times New Roman"/>
          <w:sz w:val="22"/>
        </w:rPr>
        <w:t>Team E7</w:t>
      </w:r>
    </w:p>
    <w:p>
      <w:pPr>
        <w:spacing w:after="100" w:line="259" w:lineRule="auto"/>
        <w:jc w:val="center"/>
      </w:pPr>
      <w:r>
        <w:rPr>
          <w:rFonts w:ascii="Times New Roman" w:hAnsi="Times New Roman"/>
          <w:sz w:val="22"/>
        </w:rPr>
        <w:t>Saketh Narayanam – PES1UG24CS292 | Neeraj R Gowda – PES1UG24CS295 | Likhith Reddy M – PES1UG24CS282 | N. Adil Ahmed – PES1UG24CS285</w:t>
      </w:r>
    </w:p>
    <w:p>
      <w:pPr>
        <w:spacing w:after="100" w:line="259" w:lineRule="auto"/>
      </w:pPr>
    </w:p>
    <w:p>
      <w:pPr>
        <w:spacing w:before="160" w:after="100" w:line="259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Functional Validation</w:t>
      </w:r>
    </w:p>
    <w:p>
      <w:pPr>
        <w:spacing w:after="100" w:line="259" w:lineRule="auto"/>
      </w:pPr>
      <w:r>
        <w:rPr>
          <w:rFonts w:ascii="Times New Roman" w:hAnsi="Times New Roman"/>
          <w:sz w:val="23"/>
        </w:rPr>
        <w:t>Functional testing will cover account creation and login, event browsing and search, event registration, capacity checking, duplicate-registration prevention, registration cancellation, event management, participant management, event updates, registration reports, and administrative functions.</w:t>
      </w:r>
    </w:p>
    <w:p>
      <w:pPr>
        <w:spacing w:before="160" w:after="100" w:line="259" w:lineRule="auto"/>
      </w:pPr>
      <w:r>
        <w:rPr>
          <w:rFonts w:ascii="Times New Roman" w:hAnsi="Times New Roman" w:eastAsia="Times New Roman"/>
          <w:b/>
          <w:color w:val="000000"/>
          <w:sz w:val="25"/>
        </w:rPr>
        <w:t>Security Validation</w:t>
      </w:r>
    </w:p>
    <w:p>
      <w:pPr>
        <w:spacing w:after="100" w:line="259" w:lineRule="auto"/>
      </w:pPr>
      <w:r>
        <w:rPr>
          <w:rFonts w:ascii="Times New Roman" w:hAnsi="Times New Roman"/>
          <w:sz w:val="23"/>
        </w:rPr>
        <w:t>Security testing will cover SEC-01 to SEC-05, including authentication, authorization, password protection, input validation, session handling, access control, and common web vulnerabilities. Test cases TC-02, TC-09, TC-11, TC-15, and TC-16 provide the Part-1 security coverage.</w:t>
      </w:r>
    </w:p>
    <w:p>
      <w:pPr>
        <w:spacing w:before="160" w:after="100" w:line="259" w:lineRule="auto"/>
      </w:pPr>
      <w:r>
        <w:rPr>
          <w:rFonts w:ascii="Times New Roman" w:hAnsi="Times New Roman" w:eastAsia="Times New Roman"/>
          <w:b/>
          <w:color w:val="000000"/>
          <w:sz w:val="25"/>
        </w:rPr>
        <w:t>Non-Functional Validation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color w:val="000000"/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/>
                <w:color w:val="000000"/>
                <w:sz w:val="18"/>
              </w:rPr>
              <w:t>Validation Method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Performance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Measure event-listing page load time and registration response time under normal test conditions.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Security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Perform authentication, authorization, password-protection, input-validation, and vulnerability checks.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Usability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Check interface clarity, responsive behavior, navigation, and ease of use.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Reliability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Repeat registration and cancellation operations and verify that counts and capacity remain consistent.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Maintainability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Review modularity, component separation, naming, and code organization.</w:t>
            </w:r>
          </w:p>
        </w:tc>
      </w:tr>
    </w:tbl>
    <w:p>
      <w:pPr>
        <w:spacing w:after="100" w:line="259" w:lineRule="auto"/>
      </w:pPr>
    </w:p>
    <w:p>
      <w:pPr>
        <w:spacing w:before="160" w:after="100" w:line="259" w:lineRule="auto"/>
      </w:pPr>
      <w:r>
        <w:rPr>
          <w:rFonts w:ascii="Times New Roman" w:hAnsi="Times New Roman" w:eastAsia="Times New Roman"/>
          <w:b/>
          <w:color w:val="000000"/>
          <w:sz w:val="25"/>
        </w:rPr>
        <w:t>Penetration Testing Plan</w:t>
      </w:r>
    </w:p>
    <w:p>
      <w:pPr>
        <w:spacing w:after="100" w:line="259" w:lineRule="auto"/>
      </w:pPr>
      <w:r>
        <w:rPr>
          <w:rFonts w:ascii="Times New Roman" w:hAnsi="Times New Roman" w:eastAsia="Times New Roman"/>
          <w:color w:val="000000"/>
          <w:sz w:val="23"/>
        </w:rPr>
        <w:t>During the later testing phase, penetration testing will check authentication, authorization, input validation, session handling, access control, injection, and cross-site scripting. At this stage, the purpose is to plan these checks for the completed system.</w:t>
      </w:r>
    </w:p>
    <w:p>
      <w:r>
        <w:rPr>
          <w:rFonts w:ascii="Times New Roman" w:hAnsi="Times New Roman"/>
          <w:sz w:val="23"/>
        </w:rPr>
        <w:t>The validation set covers FR-01 to FR-11, NFR-01 to NFR-07, and SEC-01 to SEC-05 through the Part-1 test cases and Requirements Traceability Matrix.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