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rFonts w:ascii="Times New Roman" w:hAnsi="Times New Roman" w:eastAsia="Times New Roman"/>
          <w:b/>
          <w:color w:val="000000"/>
          <w:sz w:val="32"/>
        </w:rPr>
        <w:t>EVENT MANAGEMENT SYSTEM</w:t>
      </w:r>
    </w:p>
    <w:p>
      <w:pPr>
        <w:spacing w:after="100" w:line="259" w:lineRule="auto"/>
        <w:jc w:val="center"/>
      </w:pPr>
      <w:r>
        <w:rPr>
          <w:rFonts w:ascii="Times New Roman" w:hAnsi="Times New Roman" w:eastAsia="Times New Roman"/>
          <w:b/>
          <w:color w:val="000000"/>
          <w:sz w:val="26"/>
        </w:rPr>
        <w:t>2. Feasibility Analysis</w:t>
      </w:r>
    </w:p>
    <w:p>
      <w:pPr>
        <w:spacing w:after="100" w:line="259" w:lineRule="auto"/>
        <w:jc w:val="center"/>
      </w:pPr>
      <w:r>
        <w:rPr>
          <w:rFonts w:ascii="Times New Roman" w:hAnsi="Times New Roman" w:eastAsia="Times New Roman"/>
          <w:color w:val="000000"/>
          <w:sz w:val="22"/>
        </w:rPr>
        <w:t>Team E7</w:t>
      </w:r>
    </w:p>
    <w:p>
      <w:pPr>
        <w:spacing w:after="100" w:line="259" w:lineRule="auto"/>
        <w:jc w:val="center"/>
      </w:pPr>
      <w:r>
        <w:rPr>
          <w:rFonts w:ascii="Times New Roman" w:hAnsi="Times New Roman"/>
          <w:sz w:val="22"/>
        </w:rPr>
        <w:t>Saketh Narayanam – PES1UG24CS292 | Neeraj R Gowda – PES1UG24CS295 | Likhith Reddy M – PES1UG24CS282 | N. Adil Ahmed – PES1UG24CS285</w:t>
      </w:r>
    </w:p>
    <w:p>
      <w:pPr>
        <w:spacing w:after="100" w:line="259" w:lineRule="auto"/>
      </w:pPr>
    </w:p>
    <w:p>
      <w:pPr>
        <w:spacing w:before="160" w:after="100" w:line="259" w:lineRule="auto"/>
      </w:pPr>
      <w:r>
        <w:rPr>
          <w:rFonts w:ascii="Times New Roman" w:hAnsi="Times New Roman" w:eastAsia="Times New Roman"/>
          <w:b/>
          <w:color w:val="000000"/>
          <w:sz w:val="28"/>
        </w:rPr>
        <w:t>Feasibility Analysis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rFonts w:ascii="Times New Roman" w:hAnsi="Times New Roman"/>
                <w:b/>
                <w:color w:val="000000"/>
                <w:sz w:val="18"/>
              </w:rPr>
              <w:t>Area</w:t>
            </w:r>
          </w:p>
        </w:tc>
        <w:tc>
          <w:tcPr>
            <w:tcW w:type="dxa" w:w="2880"/>
          </w:tcPr>
          <w:p>
            <w:r>
              <w:rPr>
                <w:rFonts w:ascii="Times New Roman" w:hAnsi="Times New Roman"/>
                <w:b/>
                <w:color w:val="000000"/>
                <w:sz w:val="18"/>
              </w:rPr>
              <w:t>Analysis</w:t>
            </w:r>
          </w:p>
        </w:tc>
        <w:tc>
          <w:tcPr>
            <w:tcW w:type="dxa" w:w="2880"/>
          </w:tcPr>
          <w:p>
            <w:r>
              <w:rPr>
                <w:rFonts w:ascii="Times New Roman" w:hAnsi="Times New Roman"/>
                <w:b/>
                <w:color w:val="000000"/>
                <w:sz w:val="18"/>
              </w:rPr>
              <w:t>Result</w:t>
            </w:r>
          </w:p>
        </w:tc>
      </w:tr>
      <w:tr>
        <w:tc>
          <w:tcPr>
            <w:tcW w:type="dxa" w:w="2880"/>
            <w:vAlign w:val="center"/>
          </w:tcPr>
          <w:p>
            <w:pPr>
              <w:spacing w:after="40" w:line="240" w:lineRule="auto"/>
            </w:pPr>
            <w:r>
              <w:rPr>
                <w:rFonts w:ascii="Times New Roman" w:hAnsi="Times New Roman"/>
                <w:color w:val="000000"/>
                <w:sz w:val="18"/>
              </w:rPr>
              <w:t>Technical</w:t>
            </w:r>
          </w:p>
        </w:tc>
        <w:tc>
          <w:tcPr>
            <w:tcW w:type="dxa" w:w="2880"/>
            <w:vAlign w:val="center"/>
          </w:tcPr>
          <w:p>
            <w:pPr>
              <w:spacing w:after="40" w:line="240" w:lineRule="auto"/>
            </w:pPr>
            <w:r>
              <w:rPr>
                <w:rFonts w:ascii="Times New Roman" w:hAnsi="Times New Roman"/>
                <w:color w:val="000000"/>
                <w:sz w:val="18"/>
              </w:rPr>
              <w:t>React.js can provide the web interface, while Node.js and Express.js can handle server-side operations. A relational or document database can store users, events, and registrations.</w:t>
            </w:r>
          </w:p>
        </w:tc>
        <w:tc>
          <w:tcPr>
            <w:tcW w:type="dxa" w:w="2880"/>
            <w:vAlign w:val="center"/>
          </w:tcPr>
          <w:p>
            <w:pPr>
              <w:spacing w:after="40" w:line="240" w:lineRule="auto"/>
            </w:pPr>
            <w:r>
              <w:rPr>
                <w:rFonts w:ascii="Times New Roman" w:hAnsi="Times New Roman"/>
                <w:color w:val="000000"/>
                <w:sz w:val="18"/>
              </w:rPr>
              <w:t>Feasible</w:t>
            </w:r>
          </w:p>
        </w:tc>
      </w:tr>
      <w:tr>
        <w:tc>
          <w:tcPr>
            <w:tcW w:type="dxa" w:w="2880"/>
            <w:vAlign w:val="center"/>
          </w:tcPr>
          <w:p>
            <w:pPr>
              <w:spacing w:after="40" w:line="240" w:lineRule="auto"/>
            </w:pPr>
            <w:r>
              <w:rPr>
                <w:rFonts w:ascii="Times New Roman" w:hAnsi="Times New Roman"/>
                <w:color w:val="000000"/>
                <w:sz w:val="18"/>
              </w:rPr>
              <w:t>Economic</w:t>
            </w:r>
          </w:p>
        </w:tc>
        <w:tc>
          <w:tcPr>
            <w:tcW w:type="dxa" w:w="2880"/>
            <w:vAlign w:val="center"/>
          </w:tcPr>
          <w:p>
            <w:pPr>
              <w:spacing w:after="40" w:line="240" w:lineRule="auto"/>
            </w:pPr>
            <w:r>
              <w:rPr>
                <w:rFonts w:ascii="Times New Roman" w:hAnsi="Times New Roman"/>
                <w:color w:val="000000"/>
                <w:sz w:val="18"/>
              </w:rPr>
              <w:t>The proposed stack uses widely available development tools and open-source technologies, which keeps development costs low for an academic project.</w:t>
            </w:r>
          </w:p>
        </w:tc>
        <w:tc>
          <w:tcPr>
            <w:tcW w:type="dxa" w:w="2880"/>
            <w:vAlign w:val="center"/>
          </w:tcPr>
          <w:p>
            <w:pPr>
              <w:spacing w:after="40" w:line="240" w:lineRule="auto"/>
            </w:pPr>
            <w:r>
              <w:rPr>
                <w:rFonts w:ascii="Times New Roman" w:hAnsi="Times New Roman"/>
                <w:color w:val="000000"/>
                <w:sz w:val="18"/>
              </w:rPr>
              <w:t>Feasible</w:t>
            </w:r>
          </w:p>
        </w:tc>
      </w:tr>
      <w:tr>
        <w:tc>
          <w:tcPr>
            <w:tcW w:type="dxa" w:w="2880"/>
            <w:vAlign w:val="center"/>
          </w:tcPr>
          <w:p>
            <w:pPr>
              <w:spacing w:after="40" w:line="240" w:lineRule="auto"/>
            </w:pPr>
            <w:r>
              <w:rPr>
                <w:rFonts w:ascii="Times New Roman" w:hAnsi="Times New Roman"/>
                <w:color w:val="000000"/>
                <w:sz w:val="18"/>
              </w:rPr>
              <w:t>Operational</w:t>
            </w:r>
          </w:p>
        </w:tc>
        <w:tc>
          <w:tcPr>
            <w:tcW w:type="dxa" w:w="2880"/>
            <w:vAlign w:val="center"/>
          </w:tcPr>
          <w:p>
            <w:pPr>
              <w:spacing w:after="40" w:line="240" w:lineRule="auto"/>
            </w:pPr>
            <w:r>
              <w:rPr>
                <w:rFonts w:ascii="Times New Roman" w:hAnsi="Times New Roman"/>
                <w:color w:val="000000"/>
                <w:sz w:val="18"/>
              </w:rPr>
              <w:t>Users, organizers, and administrators can access the system through a normal web browser with role-specific functions.</w:t>
            </w:r>
          </w:p>
        </w:tc>
        <w:tc>
          <w:tcPr>
            <w:tcW w:type="dxa" w:w="2880"/>
            <w:vAlign w:val="center"/>
          </w:tcPr>
          <w:p>
            <w:pPr>
              <w:spacing w:after="40" w:line="240" w:lineRule="auto"/>
            </w:pPr>
            <w:r>
              <w:rPr>
                <w:rFonts w:ascii="Times New Roman" w:hAnsi="Times New Roman"/>
                <w:color w:val="000000"/>
                <w:sz w:val="18"/>
              </w:rPr>
              <w:t>Feasible</w:t>
            </w:r>
          </w:p>
        </w:tc>
      </w:tr>
      <w:tr>
        <w:tc>
          <w:tcPr>
            <w:tcW w:type="dxa" w:w="2880"/>
            <w:vAlign w:val="center"/>
          </w:tcPr>
          <w:p>
            <w:pPr>
              <w:spacing w:after="40" w:line="240" w:lineRule="auto"/>
            </w:pPr>
            <w:r>
              <w:rPr>
                <w:rFonts w:ascii="Times New Roman" w:hAnsi="Times New Roman"/>
                <w:color w:val="000000"/>
                <w:sz w:val="18"/>
              </w:rPr>
              <w:t>Schedule</w:t>
            </w:r>
          </w:p>
        </w:tc>
        <w:tc>
          <w:tcPr>
            <w:tcW w:type="dxa" w:w="2880"/>
            <w:vAlign w:val="center"/>
          </w:tcPr>
          <w:p>
            <w:pPr>
              <w:spacing w:after="40" w:line="240" w:lineRule="auto"/>
            </w:pPr>
            <w:r>
              <w:rPr>
                <w:rFonts w:ascii="Times New Roman" w:hAnsi="Times New Roman"/>
                <w:color w:val="000000"/>
                <w:sz w:val="18"/>
              </w:rPr>
              <w:t>A basic event management system can be developed and validated within the academic project timeline.</w:t>
            </w:r>
          </w:p>
        </w:tc>
        <w:tc>
          <w:tcPr>
            <w:tcW w:type="dxa" w:w="2880"/>
            <w:vAlign w:val="center"/>
          </w:tcPr>
          <w:p>
            <w:pPr>
              <w:spacing w:after="40" w:line="240" w:lineRule="auto"/>
            </w:pPr>
            <w:r>
              <w:rPr>
                <w:rFonts w:ascii="Times New Roman" w:hAnsi="Times New Roman"/>
                <w:color w:val="000000"/>
                <w:sz w:val="18"/>
              </w:rPr>
              <w:t>Feasible</w:t>
            </w:r>
          </w:p>
        </w:tc>
      </w:tr>
      <w:tr>
        <w:tc>
          <w:tcPr>
            <w:tcW w:type="dxa" w:w="2880"/>
            <w:vAlign w:val="center"/>
          </w:tcPr>
          <w:p>
            <w:pPr>
              <w:spacing w:after="40" w:line="240" w:lineRule="auto"/>
            </w:pPr>
            <w:r>
              <w:rPr>
                <w:rFonts w:ascii="Times New Roman" w:hAnsi="Times New Roman"/>
                <w:color w:val="000000"/>
                <w:sz w:val="18"/>
              </w:rPr>
              <w:t>Legal / Security</w:t>
            </w:r>
          </w:p>
        </w:tc>
        <w:tc>
          <w:tcPr>
            <w:tcW w:type="dxa" w:w="2880"/>
            <w:vAlign w:val="center"/>
          </w:tcPr>
          <w:p>
            <w:pPr>
              <w:spacing w:after="40" w:line="240" w:lineRule="auto"/>
            </w:pPr>
            <w:r>
              <w:rPr>
                <w:rFonts w:ascii="Times New Roman" w:hAnsi="Times New Roman"/>
                <w:color w:val="000000"/>
                <w:sz w:val="18"/>
              </w:rPr>
              <w:t>User information needs appropriate authentication, authorization, password protection, and access control.</w:t>
            </w:r>
          </w:p>
        </w:tc>
        <w:tc>
          <w:tcPr>
            <w:tcW w:type="dxa" w:w="2880"/>
            <w:vAlign w:val="center"/>
          </w:tcPr>
          <w:p>
            <w:pPr>
              <w:spacing w:after="40" w:line="240" w:lineRule="auto"/>
            </w:pPr>
            <w:r>
              <w:rPr>
                <w:rFonts w:ascii="Times New Roman" w:hAnsi="Times New Roman"/>
                <w:color w:val="000000"/>
                <w:sz w:val="18"/>
              </w:rPr>
              <w:t>Feasible with proper controls</w:t>
            </w:r>
          </w:p>
        </w:tc>
      </w:tr>
      <w:tr>
        <w:tc>
          <w:tcPr>
            <w:tcW w:type="dxa" w:w="2880"/>
            <w:vAlign w:val="center"/>
          </w:tcPr>
          <w:p>
            <w:pPr>
              <w:spacing w:after="40" w:line="240" w:lineRule="auto"/>
            </w:pPr>
            <w:r>
              <w:rPr>
                <w:rFonts w:ascii="Times New Roman" w:hAnsi="Times New Roman"/>
                <w:color w:val="000000"/>
                <w:sz w:val="18"/>
              </w:rPr>
              <w:t>Usability</w:t>
            </w:r>
          </w:p>
        </w:tc>
        <w:tc>
          <w:tcPr>
            <w:tcW w:type="dxa" w:w="2880"/>
            <w:vAlign w:val="center"/>
          </w:tcPr>
          <w:p>
            <w:pPr>
              <w:spacing w:after="40" w:line="240" w:lineRule="auto"/>
            </w:pPr>
            <w:r>
              <w:rPr>
                <w:rFonts w:ascii="Times New Roman" w:hAnsi="Times New Roman"/>
                <w:color w:val="000000"/>
                <w:sz w:val="18"/>
              </w:rPr>
              <w:t>A role-based interface with clear navigation can support visitors, attendees, organizers, and administrators.</w:t>
            </w:r>
          </w:p>
        </w:tc>
        <w:tc>
          <w:tcPr>
            <w:tcW w:type="dxa" w:w="2880"/>
            <w:vAlign w:val="center"/>
          </w:tcPr>
          <w:p>
            <w:pPr>
              <w:spacing w:after="40" w:line="240" w:lineRule="auto"/>
            </w:pPr>
            <w:r>
              <w:rPr>
                <w:rFonts w:ascii="Times New Roman" w:hAnsi="Times New Roman"/>
                <w:color w:val="000000"/>
                <w:sz w:val="18"/>
              </w:rPr>
              <w:t>Feasible</w:t>
            </w:r>
          </w:p>
        </w:tc>
      </w:tr>
    </w:tbl>
    <w:p>
      <w:pPr>
        <w:spacing w:after="100" w:line="259" w:lineRule="auto"/>
      </w:pPr>
    </w:p>
    <w:p>
      <w:pPr>
        <w:spacing w:before="160" w:after="100" w:line="259" w:lineRule="auto"/>
      </w:pPr>
      <w:r>
        <w:rPr>
          <w:rFonts w:ascii="Times New Roman" w:hAnsi="Times New Roman" w:eastAsia="Times New Roman"/>
          <w:b/>
          <w:color w:val="000000"/>
          <w:sz w:val="25"/>
        </w:rPr>
        <w:t>Overall Feasibility</w:t>
      </w:r>
    </w:p>
    <w:p>
      <w:pPr>
        <w:spacing w:after="100" w:line="259" w:lineRule="auto"/>
      </w:pPr>
      <w:r>
        <w:rPr>
          <w:rFonts w:ascii="Times New Roman" w:hAnsi="Times New Roman" w:eastAsia="Times New Roman"/>
          <w:color w:val="000000"/>
          <w:sz w:val="23"/>
        </w:rPr>
        <w:t>The proposed Event Management System is feasible for an academic project. The required technologies are available, the main workflow can be developed within the project timeline, and the system can be operated through a normal web browser. Security and access-control measures will need to be implemented properly.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