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&amp; RAG Concepts Used in the BRSR Faithfulness Analysis</w:t>
      </w:r>
    </w:p>
    <w:p>
      <w:pPr>
        <w:pStyle w:val="Heading2"/>
      </w:pPr>
      <w:r>
        <w:t>1. Introduction</w:t>
      </w:r>
    </w:p>
    <w:p>
      <w:r>
        <w:t>This document provides a detailed yet concise explanation of the Artificial Intelligence (AI), Natural Language Processing (NLP), and Retrieval-Augmented Generation (RAG) concepts used to create the BRSR Principle 6 Faithfulness Mapping System. The goal of the system is to compare SEBI BRSR guidelines with the environmental disclosures found in the Infosys BRSR report using AI-driven document intelligence, semantic retrieval, and automated drift scoring.</w:t>
      </w:r>
    </w:p>
    <w:p>
      <w:pPr>
        <w:pStyle w:val="Heading2"/>
      </w:pPr>
      <w:r>
        <w:t>2. Core AI / RAG Concepts Employed</w:t>
      </w:r>
    </w:p>
    <w:p>
      <w:pPr>
        <w:pStyle w:val="Heading3"/>
      </w:pPr>
      <w:r>
        <w:t>2.1 Text Extraction</w:t>
      </w:r>
    </w:p>
    <w:p>
      <w:r>
        <w:t>PDF documents such as the SEBI BRSR Guidelines and the Infosys BRSR report were extracted using PyPDF2. Text extraction converts multi-page PDF content into raw text so it can be processed by AI models.</w:t>
      </w:r>
    </w:p>
    <w:p>
      <w:pPr>
        <w:pStyle w:val="Heading3"/>
      </w:pPr>
      <w:r>
        <w:t>2.2 Text Cleaning</w:t>
      </w:r>
    </w:p>
    <w:p>
      <w:r>
        <w:t>The raw extracted text often contains artifacts like special characters, page breaks, and inconsistent spacing. Cleaning normalizes the text by removing noise, ensuring embeddings and retrieval models work with clean input.</w:t>
      </w:r>
    </w:p>
    <w:p>
      <w:pPr>
        <w:pStyle w:val="Heading3"/>
      </w:pPr>
      <w:r>
        <w:t>2.3 Text Chunking</w:t>
      </w:r>
    </w:p>
    <w:p>
      <w:r>
        <w:t>Large reports (100–300 pages) are split into smaller overlapping text chunks, typically 300–500 words. Chunking ensures that each segment is small enough for embedding models while retaining contextual meaning. Overlap prevents information from being cut mid-sentence, improving retrieval accuracy.</w:t>
      </w:r>
    </w:p>
    <w:p>
      <w:pPr>
        <w:pStyle w:val="Heading3"/>
      </w:pPr>
      <w:r>
        <w:t>2.4 Embeddings</w:t>
      </w:r>
    </w:p>
    <w:p>
      <w:r>
        <w:t>Embeddings convert each text chunk into a high-dimensional vector (list of numbers) that captures the semantic meaning of the text. The system uses the SentenceTransformers model ‘all-MiniLM-L6-v2’. Embeddings allow semantic comparison between SEBI principles and Infosys disclosures, even when exact words differ.</w:t>
      </w:r>
    </w:p>
    <w:p>
      <w:pPr>
        <w:pStyle w:val="Heading3"/>
      </w:pPr>
      <w:r>
        <w:t>2.5 Vector Database (FAISS)</w:t>
      </w:r>
    </w:p>
    <w:p>
      <w:r>
        <w:t>FAISS (Facebook AI Similarity Search) stores all embedding vectors and enables fast similarity search. When a SEBI concept such as “GHG emissions” is queried, FAISS returns the most semantically relevant text chunks from the Infosys report. This forms the basis of the evidence mapping.</w:t>
      </w:r>
    </w:p>
    <w:p>
      <w:pPr>
        <w:pStyle w:val="Heading3"/>
      </w:pPr>
      <w:r>
        <w:t>2.6 Retrieval-Augmented Generation (RAG)</w:t>
      </w:r>
    </w:p>
    <w:p>
      <w:r>
        <w:t>RAG architecture retrieves the top relevant text chunks and provides them as context to an AI model. This ensures that the model’s interpretation or scoring is grounded strictly in evidence from the report, reducing hallucinations and improving audit traceability.</w:t>
      </w:r>
    </w:p>
    <w:p>
      <w:pPr>
        <w:pStyle w:val="Heading3"/>
      </w:pPr>
      <w:r>
        <w:t>2.7 Concept Mapping</w:t>
      </w:r>
    </w:p>
    <w:p>
      <w:r>
        <w:t>Each BRSR Principle 6 requirement (e.g., Energy consumption, Water recycling, GHG emissions, Waste management, Biodiversity) is mapped to the closest matching Infosys disclosures. This step identifies whether Infosys provides sufficient evidence for each requirement.</w:t>
      </w:r>
    </w:p>
    <w:p>
      <w:pPr>
        <w:pStyle w:val="Heading3"/>
      </w:pPr>
      <w:r>
        <w:t>2.8 Drift Scoring Model (0–3 Scale)</w:t>
      </w:r>
    </w:p>
    <w:p>
      <w:r>
        <w:t>A structured drift scoring system evaluates how closely the company’s disclosure aligns with SEBI’s expectations. The scoring includes:</w:t>
        <w:br/>
        <w:t>• 0 – Verbatim/complete alignment</w:t>
        <w:br/>
        <w:t>• 1 – Minor drift (mostly aligned but lacking detail)</w:t>
        <w:br/>
        <w:t>• 2 – Moderate drift (partial or vague alignment)</w:t>
        <w:br/>
        <w:t>• 3 – Major drift (missing or unrelated disclosure)</w:t>
        <w:br/>
        <w:t>This creates a quantitative measure of reporting faithfulness.</w:t>
      </w:r>
    </w:p>
    <w:p>
      <w:pPr>
        <w:pStyle w:val="Heading3"/>
      </w:pPr>
      <w:r>
        <w:t>2.9 Evidence Snippet Extraction</w:t>
      </w:r>
    </w:p>
    <w:p>
      <w:r>
        <w:t>After retrieving the most relevant text chunks, the system extracts short evidence snippets (first ~300 characters) to show exactly where Infosys’ BRSR report discusses each concept. These are included in tables and the final audit document.</w:t>
      </w:r>
    </w:p>
    <w:p>
      <w:pPr>
        <w:pStyle w:val="Heading3"/>
      </w:pPr>
      <w:r>
        <w:t>2.10 Visualization Tools</w:t>
      </w:r>
    </w:p>
    <w:p>
      <w:r>
        <w:t>Plotly and Matplotlib are used to generate visual representations:</w:t>
        <w:br/>
        <w:t>• Sankey Diagram → Shows flow from BRSR concepts to Infosys evidence volume</w:t>
        <w:br/>
        <w:t>• Drift Dashboard → Color-coded visualization of alignment quality</w:t>
        <w:br/>
        <w:t>These visuals help identify strong and weak compliance areas.</w:t>
      </w:r>
    </w:p>
    <w:p>
      <w:pPr>
        <w:pStyle w:val="Heading2"/>
      </w:pPr>
      <w:r>
        <w:t>3. RAG Pipeline Overview</w:t>
      </w:r>
    </w:p>
    <w:p>
      <w:r>
        <w:t>The complete workflow executed during the BRSR analysis is as follows:</w:t>
        <w:br/>
        <w:t>1. Extract text from the SEBI and Infosys PDFs</w:t>
        <w:br/>
        <w:t>2. Clean and chunk the extracted text</w:t>
        <w:br/>
        <w:t>3. Generate embeddings for each chunk</w:t>
        <w:br/>
        <w:t>4. Build a FAISS vector index for fast semantic search</w:t>
        <w:br/>
        <w:t>5. For each Principle 6 concept, retrieve top-k matching chunks</w:t>
        <w:br/>
        <w:t>6. Extract evidence and compute the drift score</w:t>
        <w:br/>
        <w:t>7. Produce Sankey diagrams and drift dashboards</w:t>
        <w:br/>
        <w:t>8. Assemble results into the final Word documents and summaries</w:t>
        <w:br/>
      </w:r>
    </w:p>
    <w:p>
      <w:pPr>
        <w:pStyle w:val="Heading2"/>
      </w:pPr>
      <w:r>
        <w:t>4. Why These Concepts Matter</w:t>
      </w:r>
    </w:p>
    <w:p>
      <w:r>
        <w:t>ESG reports are long, complex, and often inconsistent across companies. Manual comparison of SEBI guidelines with multi-hundred-page corporate reports is time-consuming and error-prone. AI + RAG techniques automate this process by identifying relevant disclosures, ensuring transparency, and reducing human bias. This makes the faithfulness audit reliable, scalable, and evidence-driven.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