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7B0000"/>
          <w:sz w:val="52"/>
          <w:szCs w:val="52"/>
        </w:rPr>
        <w:t xml:space="preserve">MASTER SERVICES AGREEMENT</w:t>
      </w:r>
    </w:p>
    <w:p>
      <w:pPr>
        <w:spacing w:before="0" w:after="120"/>
        <w:jc w:val="center"/>
      </w:pPr>
      <w:r>
        <w:rPr>
          <w:rFonts w:ascii="Arial" w:cs="Arial" w:eastAsia="Arial" w:hAnsi="Arial"/>
          <w:color w:val="444444"/>
          <w:sz w:val="28"/>
          <w:szCs w:val="28"/>
        </w:rPr>
        <w:t xml:space="preserve">Between</w:t>
      </w:r>
    </w:p>
    <w:p>
      <w:pPr>
        <w:spacing w:before="0" w:after="60"/>
        <w:jc w:val="center"/>
      </w:pPr>
      <w:r>
        <w:rPr>
          <w:rFonts w:ascii="Arial" w:cs="Arial" w:eastAsia="Arial" w:hAnsi="Arial"/>
          <w:b/>
          <w:bCs/>
          <w:color w:val="7B0000"/>
          <w:sz w:val="36"/>
          <w:szCs w:val="36"/>
        </w:rPr>
        <w:t xml:space="preserve">INITECH INC.</w:t>
      </w:r>
    </w:p>
    <w:p>
      <w:pPr>
        <w:spacing w:before="0" w:after="60"/>
        <w:jc w:val="center"/>
      </w:pPr>
      <w:r>
        <w:rPr>
          <w:rFonts w:ascii="Arial" w:cs="Arial" w:eastAsia="Arial" w:hAnsi="Arial"/>
          <w:color w:val="444444"/>
          <w:sz w:val="22"/>
          <w:szCs w:val="22"/>
        </w:rPr>
        <w:t xml:space="preserve">a New York corporation ('Service Provider')</w:t>
      </w:r>
    </w:p>
    <w:p>
      <w:pPr>
        <w:spacing w:before="0" w:after="60"/>
        <w:jc w:val="center"/>
      </w:pPr>
      <w:r>
        <w:rPr>
          <w:rFonts w:ascii="Arial" w:cs="Arial" w:eastAsia="Arial" w:hAnsi="Arial"/>
          <w:b/>
          <w:bCs/>
          <w:color w:val="888888"/>
          <w:sz w:val="24"/>
          <w:szCs w:val="24"/>
        </w:rPr>
        <w:t xml:space="preserve">AND</w:t>
      </w:r>
    </w:p>
    <w:p>
      <w:pPr>
        <w:spacing w:before="0" w:after="60"/>
        <w:jc w:val="center"/>
      </w:pPr>
      <w:r>
        <w:rPr>
          <w:rFonts w:ascii="Arial" w:cs="Arial" w:eastAsia="Arial" w:hAnsi="Arial"/>
          <w:b/>
          <w:bCs/>
          <w:color w:val="1F3864"/>
          <w:sz w:val="36"/>
          <w:szCs w:val="36"/>
        </w:rPr>
        <w:t xml:space="preserve">GLOBEX CORPORATION</w:t>
      </w:r>
    </w:p>
    <w:p>
      <w:pPr>
        <w:spacing w:before="0" w:after="60"/>
        <w:jc w:val="center"/>
      </w:pPr>
      <w:r>
        <w:rPr>
          <w:rFonts w:ascii="Arial" w:cs="Arial" w:eastAsia="Arial" w:hAnsi="Arial"/>
          <w:color w:val="444444"/>
          <w:sz w:val="22"/>
          <w:szCs w:val="22"/>
        </w:rPr>
        <w:t xml:space="preserve">a Delaware corporation ('Client')</w:t>
      </w:r>
    </w:p>
    <w:p>
      <w:pPr>
        <w:spacing w:before="60" w:after="60"/>
      </w:pPr>
      <w:r>
        <w:t xml:space="preserve"/>
      </w:r>
    </w:p>
    <w:p>
      <w:pPr>
        <w:spacing w:before="60" w:after="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Agreement Reference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INITECH-GLOBEX-MSA-2025-007</w:t>
            </w:r>
          </w:p>
        </w:tc>
      </w:tr>
      <w:tr>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Effective Date</w:t>
            </w:r>
          </w:p>
        </w:tc>
        <w:tc>
          <w:tcPr>
            <w:tcW w:type="dxa" w:w="34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March 1, 2025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Initial Term</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Five (5) years – Non-Cancellable</w:t>
            </w:r>
          </w:p>
        </w:tc>
      </w:tr>
      <w:tr>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Governing Law</w:t>
            </w:r>
          </w:p>
        </w:tc>
        <w:tc>
          <w:tcPr>
            <w:tcW w:type="dxa" w:w="34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State of New York, United States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Agreement Version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7.3 – Initech Standard Vendor Terms</w:t>
            </w:r>
          </w:p>
        </w:tc>
      </w:tr>
    </w:tbl>
    <w:p>
      <w:pPr>
        <w:pBdr>
          <w:top w:val="single" w:color="7B0000" w:sz="12"/>
          <w:bottom w:val="single" w:color="7B0000" w:sz="12"/>
        </w:pBdr>
        <w:spacing w:before="240" w:after="120"/>
        <w:jc w:val="center"/>
      </w:pPr>
      <w:r>
        <w:rPr>
          <w:rFonts w:ascii="Arial" w:cs="Arial" w:eastAsia="Arial" w:hAnsi="Arial"/>
          <w:b/>
          <w:bCs/>
          <w:color w:val="7B0000"/>
          <w:sz w:val="18"/>
          <w:szCs w:val="18"/>
        </w:rPr>
        <w:t xml:space="preserve">IMPORTANT NOTICE: THIS AGREEMENT IS PRESENTED ON INITECH'S STANDARD TERMS. CLIENT IS ADVISED TO SEEK INDEPENDENT LEGAL COUNSEL BEFORE EXECUTION. INITECH DOES NOT NEGOTIATE THE CORE COMMERCIAL TERMS SET FORTH IN SECTIONS 5, 9, 11, 12, AND 15 OF THIS AGREEMENT.</w:t>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RECITALS</w:t>
      </w:r>
    </w:p>
    <w:p>
      <w:pPr>
        <w:spacing w:before="80" w:after="80"/>
        <w:jc w:val="both"/>
      </w:pPr>
      <w:r>
        <w:rPr>
          <w:rFonts w:ascii="Arial" w:cs="Arial" w:eastAsia="Arial" w:hAnsi="Arial"/>
          <w:sz w:val="20"/>
          <w:szCs w:val="20"/>
        </w:rPr>
        <w:t xml:space="preserve">WHEREAS, Initech Inc. ('Initech') is a corporation duly organized and existing under the laws of the State of New York, engaged in the business of providing enterprise software platforms, data analytics services, and technology integration solutions;</w:t>
      </w:r>
    </w:p>
    <w:p>
      <w:pPr>
        <w:spacing w:before="80" w:after="80"/>
        <w:jc w:val="both"/>
      </w:pPr>
      <w:r>
        <w:rPr>
          <w:rFonts w:ascii="Arial" w:cs="Arial" w:eastAsia="Arial" w:hAnsi="Arial"/>
          <w:sz w:val="20"/>
          <w:szCs w:val="20"/>
        </w:rPr>
        <w:t xml:space="preserve">WHEREAS, Client desires to engage Initech to provide certain services as described in this Agreement and applicable Statements of Work, and Initech is willing to provide such services, subject to the terms and conditions set forth herein;</w:t>
      </w:r>
    </w:p>
    <w:p>
      <w:pPr>
        <w:spacing w:before="80" w:after="80"/>
        <w:jc w:val="both"/>
      </w:pPr>
      <w:r>
        <w:rPr>
          <w:rFonts w:ascii="Arial" w:cs="Arial" w:eastAsia="Arial" w:hAnsi="Arial"/>
          <w:sz w:val="20"/>
          <w:szCs w:val="20"/>
        </w:rPr>
        <w:t xml:space="preserve">WHEREAS, Initech's services are provided exclusively on the basis of these standard terms, which have been developed to reflect Initech's commercial requirements and risk allocation preferences, and which supersede any conflicting provisions in any Client-issued purchase order, vendor policy, or internal procurement guideline;</w:t>
      </w:r>
    </w:p>
    <w:p>
      <w:pPr>
        <w:spacing w:before="80" w:after="80"/>
        <w:jc w:val="both"/>
      </w:pPr>
      <w:r>
        <w:rPr>
          <w:rFonts w:ascii="Arial" w:cs="Arial" w:eastAsia="Arial" w:hAnsi="Arial"/>
          <w:sz w:val="20"/>
          <w:szCs w:val="20"/>
        </w:rPr>
        <w:t xml:space="preserve">NOW, THEREFORE, in consideration of the mutual covenants and agreements contained herein, and for other good and valuable consideration, the parties agree as follows:</w:t>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SECTION 1: DEFINITIONS</w:t>
      </w:r>
    </w:p>
    <w:p>
      <w:pPr>
        <w:spacing w:before="120" w:after="80"/>
        <w:jc w:val="both"/>
      </w:pPr>
      <w:r>
        <w:rPr>
          <w:rFonts w:ascii="Arial" w:cs="Arial" w:eastAsia="Arial" w:hAnsi="Arial"/>
          <w:b/>
          <w:bCs/>
          <w:sz w:val="20"/>
          <w:szCs w:val="20"/>
        </w:rPr>
        <w:t xml:space="preserve">1.1  </w:t>
      </w:r>
      <w:r>
        <w:rPr>
          <w:rFonts w:ascii="Arial" w:cs="Arial" w:eastAsia="Arial" w:hAnsi="Arial"/>
          <w:b w:val="false"/>
          <w:bCs w:val="false"/>
          <w:sz w:val="20"/>
          <w:szCs w:val="20"/>
        </w:rPr>
        <w:t xml:space="preserve">'Agreement' means this Master Services Agreement, all Schedules, Exhibits, Statements of Work, and any written amendments executed by authorized representatives of both parties.</w:t>
      </w:r>
    </w:p>
    <w:p>
      <w:pPr>
        <w:spacing w:before="120" w:after="80"/>
        <w:jc w:val="both"/>
      </w:pPr>
      <w:r>
        <w:rPr>
          <w:rFonts w:ascii="Arial" w:cs="Arial" w:eastAsia="Arial" w:hAnsi="Arial"/>
          <w:b/>
          <w:bCs/>
          <w:sz w:val="20"/>
          <w:szCs w:val="20"/>
        </w:rPr>
        <w:t xml:space="preserve">1.2  </w:t>
      </w:r>
      <w:r>
        <w:rPr>
          <w:rFonts w:ascii="Arial" w:cs="Arial" w:eastAsia="Arial" w:hAnsi="Arial"/>
          <w:b w:val="false"/>
          <w:bCs w:val="false"/>
          <w:sz w:val="20"/>
          <w:szCs w:val="20"/>
        </w:rPr>
        <w:t xml:space="preserve">'Client Materials' means all data, content, information, systems, and materials provided by Client to Initech in connection with the Services, including Client's data inputs, business requirements, and system documentation.</w:t>
      </w:r>
    </w:p>
    <w:p>
      <w:pPr>
        <w:spacing w:before="120" w:after="80"/>
        <w:jc w:val="both"/>
      </w:pPr>
      <w:r>
        <w:rPr>
          <w:rFonts w:ascii="Arial" w:cs="Arial" w:eastAsia="Arial" w:hAnsi="Arial"/>
          <w:b/>
          <w:bCs/>
          <w:sz w:val="20"/>
          <w:szCs w:val="20"/>
        </w:rPr>
        <w:t xml:space="preserve">1.3  </w:t>
      </w:r>
      <w:r>
        <w:rPr>
          <w:rFonts w:ascii="Arial" w:cs="Arial" w:eastAsia="Arial" w:hAnsi="Arial"/>
          <w:b w:val="false"/>
          <w:bCs w:val="false"/>
          <w:sz w:val="20"/>
          <w:szCs w:val="20"/>
        </w:rPr>
        <w:t xml:space="preserve">'Confidential Information' means any non-public information disclosed by either party to the other, whether designated as confidential or not, that a reasonable person would consider confidential under the circumstances.</w:t>
      </w:r>
    </w:p>
    <w:p>
      <w:pPr>
        <w:spacing w:before="120" w:after="80"/>
        <w:jc w:val="both"/>
      </w:pPr>
      <w:r>
        <w:rPr>
          <w:rFonts w:ascii="Arial" w:cs="Arial" w:eastAsia="Arial" w:hAnsi="Arial"/>
          <w:b/>
          <w:bCs/>
          <w:sz w:val="20"/>
          <w:szCs w:val="20"/>
        </w:rPr>
        <w:t xml:space="preserve">1.4  </w:t>
      </w:r>
      <w:r>
        <w:rPr>
          <w:rFonts w:ascii="Arial" w:cs="Arial" w:eastAsia="Arial" w:hAnsi="Arial"/>
          <w:b w:val="false"/>
          <w:bCs w:val="false"/>
          <w:sz w:val="20"/>
          <w:szCs w:val="20"/>
        </w:rPr>
        <w:t xml:space="preserve">'Deliverables' means any work product, software, documentation, reports, or other materials produced by Initech under a Statement of Work, all of which shall remain the property of Initech except as expressly stated in Schedule B.</w:t>
      </w:r>
    </w:p>
    <w:p>
      <w:pPr>
        <w:spacing w:before="120" w:after="80"/>
        <w:jc w:val="both"/>
      </w:pPr>
      <w:r>
        <w:rPr>
          <w:rFonts w:ascii="Arial" w:cs="Arial" w:eastAsia="Arial" w:hAnsi="Arial"/>
          <w:b/>
          <w:bCs/>
          <w:sz w:val="20"/>
          <w:szCs w:val="20"/>
        </w:rPr>
        <w:t xml:space="preserve">1.5  </w:t>
      </w:r>
      <w:r>
        <w:rPr>
          <w:rFonts w:ascii="Arial" w:cs="Arial" w:eastAsia="Arial" w:hAnsi="Arial"/>
          <w:b w:val="false"/>
          <w:bCs w:val="false"/>
          <w:sz w:val="20"/>
          <w:szCs w:val="20"/>
        </w:rPr>
        <w:t xml:space="preserve">'Effective Date' means March 1, 2025, or such later date as the parties expressly agree.</w:t>
      </w:r>
    </w:p>
    <w:p>
      <w:pPr>
        <w:spacing w:before="120" w:after="80"/>
        <w:jc w:val="both"/>
      </w:pPr>
      <w:r>
        <w:rPr>
          <w:rFonts w:ascii="Arial" w:cs="Arial" w:eastAsia="Arial" w:hAnsi="Arial"/>
          <w:b/>
          <w:bCs/>
          <w:sz w:val="20"/>
          <w:szCs w:val="20"/>
        </w:rPr>
        <w:t xml:space="preserve">1.6  </w:t>
      </w:r>
      <w:r>
        <w:rPr>
          <w:rFonts w:ascii="Arial" w:cs="Arial" w:eastAsia="Arial" w:hAnsi="Arial"/>
          <w:b w:val="false"/>
          <w:bCs w:val="false"/>
          <w:sz w:val="20"/>
          <w:szCs w:val="20"/>
        </w:rPr>
        <w:t xml:space="preserve">'Fees' means all charges, rates, subscription fees, implementation fees, change-order fees, and professional services fees payable by Client to Initech.</w:t>
      </w:r>
    </w:p>
    <w:p>
      <w:pPr>
        <w:spacing w:before="120" w:after="80"/>
        <w:jc w:val="both"/>
      </w:pPr>
      <w:r>
        <w:rPr>
          <w:rFonts w:ascii="Arial" w:cs="Arial" w:eastAsia="Arial" w:hAnsi="Arial"/>
          <w:b/>
          <w:bCs/>
          <w:sz w:val="20"/>
          <w:szCs w:val="20"/>
        </w:rPr>
        <w:t xml:space="preserve">1.7  </w:t>
      </w:r>
      <w:r>
        <w:rPr>
          <w:rFonts w:ascii="Arial" w:cs="Arial" w:eastAsia="Arial" w:hAnsi="Arial"/>
          <w:b w:val="false"/>
          <w:bCs w:val="false"/>
          <w:sz w:val="20"/>
          <w:szCs w:val="20"/>
        </w:rPr>
        <w:t xml:space="preserve">'Initech Platform' means Initech's proprietary software platform, including all current and future modules, updates, enhancements, and derivative works thereof.</w:t>
      </w:r>
    </w:p>
    <w:p>
      <w:pPr>
        <w:spacing w:before="120" w:after="80"/>
        <w:jc w:val="both"/>
      </w:pPr>
      <w:r>
        <w:rPr>
          <w:rFonts w:ascii="Arial" w:cs="Arial" w:eastAsia="Arial" w:hAnsi="Arial"/>
          <w:b/>
          <w:bCs/>
          <w:sz w:val="20"/>
          <w:szCs w:val="20"/>
        </w:rPr>
        <w:t xml:space="preserve">1.8  </w:t>
      </w:r>
      <w:r>
        <w:rPr>
          <w:rFonts w:ascii="Arial" w:cs="Arial" w:eastAsia="Arial" w:hAnsi="Arial"/>
          <w:b w:val="false"/>
          <w:bCs w:val="false"/>
          <w:sz w:val="20"/>
          <w:szCs w:val="20"/>
        </w:rPr>
        <w:t xml:space="preserve">'Intellectual Property Rights' means all patents, copyrights, trademarks, trade secrets, database rights, moral rights, and all other intellectual property rights worldwide, registered or unregistered.</w:t>
      </w:r>
    </w:p>
    <w:p>
      <w:pPr>
        <w:spacing w:before="120" w:after="80"/>
        <w:jc w:val="both"/>
      </w:pPr>
      <w:r>
        <w:rPr>
          <w:rFonts w:ascii="Arial" w:cs="Arial" w:eastAsia="Arial" w:hAnsi="Arial"/>
          <w:b/>
          <w:bCs/>
          <w:sz w:val="20"/>
          <w:szCs w:val="20"/>
        </w:rPr>
        <w:t xml:space="preserve">1.9  </w:t>
      </w:r>
      <w:r>
        <w:rPr>
          <w:rFonts w:ascii="Arial" w:cs="Arial" w:eastAsia="Arial" w:hAnsi="Arial"/>
          <w:b w:val="false"/>
          <w:bCs w:val="false"/>
          <w:sz w:val="20"/>
          <w:szCs w:val="20"/>
        </w:rPr>
        <w:t xml:space="preserve">'Personal Data' means any information relating to an identified or identifiable natural person as defined by applicable law.</w:t>
      </w:r>
    </w:p>
    <w:p>
      <w:pPr>
        <w:spacing w:before="120" w:after="80"/>
        <w:jc w:val="both"/>
      </w:pPr>
      <w:r>
        <w:rPr>
          <w:rFonts w:ascii="Arial" w:cs="Arial" w:eastAsia="Arial" w:hAnsi="Arial"/>
          <w:b/>
          <w:bCs/>
          <w:sz w:val="20"/>
          <w:szCs w:val="20"/>
        </w:rPr>
        <w:t xml:space="preserve">1.10  </w:t>
      </w:r>
      <w:r>
        <w:rPr>
          <w:rFonts w:ascii="Arial" w:cs="Arial" w:eastAsia="Arial" w:hAnsi="Arial"/>
          <w:b w:val="false"/>
          <w:bCs w:val="false"/>
          <w:sz w:val="20"/>
          <w:szCs w:val="20"/>
        </w:rPr>
        <w:t xml:space="preserve">'Statement of Work' or 'SOW' means a written engagement schedule specifying services, deliverables, fees, and timelines, which is subject to, and incorporates, the terms of this Agreement. In the event of conflict, this Agreement shall control over any SOW.</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2: SCOPE OF SERVICES</w:t>
      </w:r>
    </w:p>
    <w:p>
      <w:pPr>
        <w:spacing w:before="120" w:after="80"/>
        <w:jc w:val="both"/>
      </w:pPr>
      <w:r>
        <w:rPr>
          <w:rFonts w:ascii="Arial" w:cs="Arial" w:eastAsia="Arial" w:hAnsi="Arial"/>
          <w:b/>
          <w:bCs/>
          <w:sz w:val="20"/>
          <w:szCs w:val="20"/>
        </w:rPr>
        <w:t xml:space="preserve">2.1  </w:t>
      </w:r>
      <w:r>
        <w:rPr>
          <w:rFonts w:ascii="Arial" w:cs="Arial" w:eastAsia="Arial" w:hAnsi="Arial"/>
          <w:b w:val="false"/>
          <w:bCs w:val="false"/>
          <w:sz w:val="20"/>
          <w:szCs w:val="20"/>
        </w:rPr>
        <w:t xml:space="preserve">Initech shall provide the Services described in each Statement of Work. Initech reserves the right to determine the manner and means by which the Services are performed, subject to the delivery obligations specified in each SOW.</w:t>
      </w:r>
    </w:p>
    <w:p>
      <w:pPr>
        <w:spacing w:before="120" w:after="80"/>
        <w:jc w:val="both"/>
      </w:pPr>
      <w:r>
        <w:rPr>
          <w:rFonts w:ascii="Arial" w:cs="Arial" w:eastAsia="Arial" w:hAnsi="Arial"/>
          <w:b/>
          <w:bCs/>
          <w:sz w:val="20"/>
          <w:szCs w:val="20"/>
        </w:rPr>
        <w:t xml:space="preserve">2.2  </w:t>
      </w:r>
      <w:r>
        <w:rPr>
          <w:rFonts w:ascii="Arial" w:cs="Arial" w:eastAsia="Arial" w:hAnsi="Arial"/>
          <w:b w:val="false"/>
          <w:bCs w:val="false"/>
          <w:sz w:val="20"/>
          <w:szCs w:val="20"/>
        </w:rPr>
        <w:t xml:space="preserve">All SOWs must be executed on Initech's standard SOW template. Client-form SOWs shall not be accepted and shall have no legal effect unless expressly countersigned by Initech's Chief Revenue Officer.</w:t>
      </w:r>
    </w:p>
    <w:p>
      <w:pPr>
        <w:spacing w:before="120" w:after="80"/>
        <w:jc w:val="both"/>
      </w:pPr>
      <w:r>
        <w:rPr>
          <w:rFonts w:ascii="Arial" w:cs="Arial" w:eastAsia="Arial" w:hAnsi="Arial"/>
          <w:b/>
          <w:bCs/>
          <w:sz w:val="20"/>
          <w:szCs w:val="20"/>
        </w:rPr>
        <w:t xml:space="preserve">2.3  </w:t>
      </w:r>
      <w:r>
        <w:rPr>
          <w:rFonts w:ascii="Arial" w:cs="Arial" w:eastAsia="Arial" w:hAnsi="Arial"/>
          <w:b w:val="false"/>
          <w:bCs w:val="false"/>
          <w:sz w:val="20"/>
          <w:szCs w:val="20"/>
        </w:rPr>
        <w:t xml:space="preserve">Initech shall perform Services using qualified personnel of its choosing. Initech reserves the right to reassign or replace personnel at any time without prior notice to Client, provided that service continuity is maintained.</w:t>
      </w:r>
    </w:p>
    <w:p>
      <w:pPr>
        <w:spacing w:before="120" w:after="80"/>
        <w:jc w:val="both"/>
      </w:pPr>
      <w:r>
        <w:rPr>
          <w:rFonts w:ascii="Arial" w:cs="Arial" w:eastAsia="Arial" w:hAnsi="Arial"/>
          <w:b/>
          <w:bCs/>
          <w:sz w:val="20"/>
          <w:szCs w:val="20"/>
        </w:rPr>
        <w:t xml:space="preserve">2.4  </w:t>
      </w:r>
      <w:r>
        <w:rPr>
          <w:rFonts w:ascii="Arial" w:cs="Arial" w:eastAsia="Arial" w:hAnsi="Arial"/>
          <w:b w:val="false"/>
          <w:bCs w:val="false"/>
          <w:sz w:val="20"/>
          <w:szCs w:val="20"/>
        </w:rPr>
        <w:t xml:space="preserve">Client acknowledges that the timely delivery of Client Materials, approvals, and access is a prerequisite to Initech's ability to perform the Services on schedule. Any delay in performance attributable to Client's failure to provide timely cooperation shall extend Initech's delivery obligations by the duration of the delay, and Client shall remain obligated to pay all fees as if no delay had occurred.</w:t>
      </w:r>
    </w:p>
    <w:p>
      <w:pPr>
        <w:spacing w:before="120" w:after="80"/>
        <w:jc w:val="both"/>
      </w:pPr>
      <w:r>
        <w:rPr>
          <w:rFonts w:ascii="Arial" w:cs="Arial" w:eastAsia="Arial" w:hAnsi="Arial"/>
          <w:b/>
          <w:bCs/>
          <w:sz w:val="20"/>
          <w:szCs w:val="20"/>
        </w:rPr>
        <w:t xml:space="preserve">2.5  </w:t>
      </w:r>
      <w:r>
        <w:rPr>
          <w:rFonts w:ascii="Arial" w:cs="Arial" w:eastAsia="Arial" w:hAnsi="Arial"/>
          <w:b w:val="false"/>
          <w:bCs w:val="false"/>
          <w:sz w:val="20"/>
          <w:szCs w:val="20"/>
        </w:rPr>
        <w:t xml:space="preserve">Initech reserves the right to engage subcontractors for any portion of the Services without Client's prior consent. Initech is responsible for managing its subcontractors but Client acknowledges that subcontractors may have access to Client Confidential Information.</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3: CHANGE ORDER PROCESS</w:t>
      </w:r>
    </w:p>
    <w:p>
      <w:pPr>
        <w:spacing w:before="120" w:after="80"/>
        <w:jc w:val="both"/>
      </w:pPr>
      <w:r>
        <w:rPr>
          <w:rFonts w:ascii="Arial" w:cs="Arial" w:eastAsia="Arial" w:hAnsi="Arial"/>
          <w:b/>
          <w:bCs/>
          <w:sz w:val="20"/>
          <w:szCs w:val="20"/>
        </w:rPr>
        <w:t xml:space="preserve">3.1  </w:t>
      </w:r>
      <w:r>
        <w:rPr>
          <w:rFonts w:ascii="Arial" w:cs="Arial" w:eastAsia="Arial" w:hAnsi="Arial"/>
          <w:b w:val="false"/>
          <w:bCs w:val="false"/>
          <w:sz w:val="20"/>
          <w:szCs w:val="20"/>
        </w:rPr>
        <w:t xml:space="preserve">Any request by Client for services outside the scope of an executed SOW constitutes a change request. Initech shall evaluate such requests and issue a Change Order Proposal within ten (10) business days.</w:t>
      </w:r>
    </w:p>
    <w:p>
      <w:pPr>
        <w:spacing w:before="120" w:after="80"/>
        <w:jc w:val="both"/>
      </w:pPr>
      <w:r>
        <w:rPr>
          <w:rFonts w:ascii="Arial" w:cs="Arial" w:eastAsia="Arial" w:hAnsi="Arial"/>
          <w:b/>
          <w:bCs/>
          <w:sz w:val="20"/>
          <w:szCs w:val="20"/>
        </w:rPr>
        <w:t xml:space="preserve">3.2  </w:t>
      </w:r>
      <w:r>
        <w:rPr>
          <w:rFonts w:ascii="Arial" w:cs="Arial" w:eastAsia="Arial" w:hAnsi="Arial"/>
          <w:b w:val="false"/>
          <w:bCs w:val="false"/>
          <w:sz w:val="20"/>
          <w:szCs w:val="20"/>
        </w:rPr>
        <w:t xml:space="preserve">All Change Order Proposals are subject to Initech's then-current professional services rates, which are subject to change at Initech's discretion. Client must execute the Change Order Proposal within five (5) business days or it shall be deemed withdrawn.</w:t>
      </w:r>
    </w:p>
    <w:p>
      <w:pPr>
        <w:spacing w:before="120" w:after="80"/>
        <w:jc w:val="both"/>
      </w:pPr>
      <w:r>
        <w:rPr>
          <w:rFonts w:ascii="Arial" w:cs="Arial" w:eastAsia="Arial" w:hAnsi="Arial"/>
          <w:b/>
          <w:bCs/>
          <w:sz w:val="20"/>
          <w:szCs w:val="20"/>
        </w:rPr>
        <w:t xml:space="preserve">3.3  </w:t>
      </w:r>
      <w:r>
        <w:rPr>
          <w:rFonts w:ascii="Arial" w:cs="Arial" w:eastAsia="Arial" w:hAnsi="Arial"/>
          <w:b w:val="false"/>
          <w:bCs w:val="false"/>
          <w:sz w:val="20"/>
          <w:szCs w:val="20"/>
        </w:rPr>
        <w:t xml:space="preserve">Client shall not withhold approval of a Change Order where the change is necessitated by Client's own requirement changes, inaccurate specifications, or scope additions. Where Client unreasonably withholds such approval, Initech reserves the right to suspend performance and charge standby fees at 50% of the applicable daily rate until the Change Order is resolved.</w:t>
      </w:r>
    </w:p>
    <w:p>
      <w:pPr>
        <w:spacing w:before="120" w:after="80"/>
        <w:jc w:val="both"/>
      </w:pPr>
      <w:r>
        <w:rPr>
          <w:rFonts w:ascii="Arial" w:cs="Arial" w:eastAsia="Arial" w:hAnsi="Arial"/>
          <w:b/>
          <w:bCs/>
          <w:sz w:val="20"/>
          <w:szCs w:val="20"/>
        </w:rPr>
        <w:t xml:space="preserve">3.4  </w:t>
      </w:r>
      <w:r>
        <w:rPr>
          <w:rFonts w:ascii="Arial" w:cs="Arial" w:eastAsia="Arial" w:hAnsi="Arial"/>
          <w:b w:val="false"/>
          <w:bCs w:val="false"/>
          <w:sz w:val="20"/>
          <w:szCs w:val="20"/>
        </w:rPr>
        <w:t xml:space="preserve">Verbal authorizations for out-of-scope work by Client personnel shall constitute binding Client commitments to pay for such work, and Client waives any right to dispute invoices relating to verbally authorized changes provided Initech can demonstrate the instruction was given by a Client employee with apparent authority.</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4: INTELLECTUAL PROPERTY RIGHTS</w:t>
      </w:r>
    </w:p>
    <w:p>
      <w:pPr>
        <w:spacing w:before="80" w:after="80"/>
        <w:jc w:val="both"/>
      </w:pPr>
      <w:r>
        <w:rPr>
          <w:rFonts w:ascii="Arial" w:cs="Arial" w:eastAsia="Arial" w:hAnsi="Arial"/>
          <w:sz w:val="20"/>
          <w:szCs w:val="20"/>
        </w:rPr>
        <w:t xml:space="preserve">This Section 4 establishes the comprehensive intellectual property framework governing this Agreement. Client acknowledges that Initech's proprietary platform, methodologies, and data assets represent significant commercial value and are protected accordingly.</w:t>
      </w:r>
    </w:p>
    <w:p>
      <w:pPr>
        <w:spacing w:before="60" w:after="60"/>
      </w:pPr>
      <w:r>
        <w:t xml:space="preserve"/>
      </w:r>
    </w:p>
    <w:p>
      <w:pPr>
        <w:pStyle w:val="Heading3"/>
        <w:spacing w:before="180" w:after="80"/>
      </w:pPr>
      <w:r>
        <w:rPr>
          <w:rFonts w:ascii="Arial" w:cs="Arial" w:eastAsia="Arial" w:hAnsi="Arial"/>
          <w:b/>
          <w:bCs/>
          <w:color w:val="A00000"/>
          <w:sz w:val="22"/>
          <w:szCs w:val="22"/>
        </w:rPr>
        <w:t xml:space="preserve">4.1  IP Ownership and Assignment Matrix</w:t>
      </w:r>
    </w:p>
    <w:p>
      <w:pPr>
        <w:spacing w:before="80" w:after="80"/>
        <w:jc w:val="both"/>
      </w:pPr>
      <w:r>
        <w:rPr>
          <w:rFonts w:ascii="Arial" w:cs="Arial" w:eastAsia="Arial" w:hAnsi="Arial"/>
          <w:sz w:val="20"/>
          <w:szCs w:val="20"/>
        </w:rPr>
        <w:t xml:space="preserve">The following table sets forth the ownership and license rights applicable to each category of intellectual property: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IP Category</w:t>
            </w:r>
          </w:p>
        </w:tc>
        <w:tc>
          <w:tcPr>
            <w:tcW w:type="dxa" w:w="3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Ownership / Assignment</w:t>
            </w:r>
          </w:p>
        </w:tc>
        <w:tc>
          <w:tcPr>
            <w:tcW w:type="dxa" w:w="33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Client License Grant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Initech Background IP</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Remains exclusively owned by Initech. Client receives no ownership rights.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Limited, non-exclusive, non-transferable, revocable license during term only.</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Bespoke Deliverables</w:t>
            </w:r>
          </w:p>
        </w:tc>
        <w:tc>
          <w:tcPr>
            <w:tcW w:type="dxa" w:w="3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Owned by Initech unless expressly stated otherwise in SOW. All assignments require additional IP transfer fee.</w:t>
            </w:r>
          </w:p>
        </w:tc>
        <w:tc>
          <w:tcPr>
            <w:tcW w:type="dxa" w:w="33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Non-exclusive license. Terminates upon contract expiry.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Data and Insights</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Initech retains rights to all aggregated, anonymized, or derived insights from Client data for product improvement and commercial use.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N/A – Client data insights owned by Initech.</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Joint Developments</w:t>
            </w:r>
          </w:p>
        </w:tc>
        <w:tc>
          <w:tcPr>
            <w:tcW w:type="dxa" w:w="3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All joint developments are owned exclusively by Initech. Client receives a non-exclusive license.</w:t>
            </w:r>
          </w:p>
        </w:tc>
        <w:tc>
          <w:tcPr>
            <w:tcW w:type="dxa" w:w="33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Non-exclusive, non-sublicensable license. Revocable upon breach.</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Third-Party Open Source</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accepts all open-source license obligations. Initech bears no liability for open-source compliance.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As per applicable open-source license terms.</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Improvements to Initech Platform</w:t>
            </w:r>
          </w:p>
        </w:tc>
        <w:tc>
          <w:tcPr>
            <w:tcW w:type="dxa" w:w="3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Any improvements, modifications, or enhancements made using Client feedback are owned exclusively by Initech.</w:t>
            </w:r>
          </w:p>
        </w:tc>
        <w:tc>
          <w:tcPr>
            <w:tcW w:type="dxa" w:w="33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 license. Client feedback is irrevocably assigned to Initech.</w:t>
            </w:r>
          </w:p>
        </w:tc>
      </w:tr>
    </w:tbl>
    <w:p>
      <w:pPr>
        <w:spacing w:before="60" w:after="60"/>
      </w:pPr>
      <w:r>
        <w:t xml:space="preserve"/>
      </w:r>
    </w:p>
    <w:p>
      <w:pPr>
        <w:spacing w:before="120" w:after="80"/>
        <w:jc w:val="both"/>
      </w:pPr>
      <w:r>
        <w:rPr>
          <w:rFonts w:ascii="Arial" w:cs="Arial" w:eastAsia="Arial" w:hAnsi="Arial"/>
          <w:b/>
          <w:bCs/>
          <w:sz w:val="20"/>
          <w:szCs w:val="20"/>
        </w:rPr>
        <w:t xml:space="preserve">4.2  </w:t>
      </w:r>
      <w:r>
        <w:rPr>
          <w:rFonts w:ascii="Arial" w:cs="Arial" w:eastAsia="Arial" w:hAnsi="Arial"/>
          <w:b w:val="false"/>
          <w:bCs w:val="false"/>
          <w:sz w:val="20"/>
          <w:szCs w:val="20"/>
        </w:rPr>
        <w:t xml:space="preserve">Client hereby grants Initech a perpetual, irrevocable, royalty-free, worldwide license to use, reproduce, modify, and create derivative works from Client Materials and Client Data for the purposes of: (a) providing and improving the Services; (b) developing new product features and capabilities; (c) benchmarking against industry datasets; and (d) training and improving Initech's artificial intelligence and machine learning models.</w:t>
      </w:r>
    </w:p>
    <w:p>
      <w:pPr>
        <w:spacing w:before="120" w:after="80"/>
        <w:jc w:val="both"/>
      </w:pPr>
      <w:r>
        <w:rPr>
          <w:rFonts w:ascii="Arial" w:cs="Arial" w:eastAsia="Arial" w:hAnsi="Arial"/>
          <w:b/>
          <w:bCs/>
          <w:sz w:val="20"/>
          <w:szCs w:val="20"/>
        </w:rPr>
        <w:t xml:space="preserve">4.3  </w:t>
      </w:r>
      <w:r>
        <w:rPr>
          <w:rFonts w:ascii="Arial" w:cs="Arial" w:eastAsia="Arial" w:hAnsi="Arial"/>
          <w:b w:val="false"/>
          <w:bCs w:val="false"/>
          <w:sz w:val="20"/>
          <w:szCs w:val="20"/>
        </w:rPr>
        <w:t xml:space="preserve">Client shall not, directly or indirectly: (a) reverse engineer, decompile, or disassemble the Initech Platform; (b) create derivative works based on Initech's proprietary methodologies without Initech's express written consent; (c) use the Deliverables to compete with Initech's business; or (d) publicly disclose the terms of this Agreement or the capabilities of the Initech Platform without Initech's prior written approval.</w:t>
      </w:r>
    </w:p>
    <w:p>
      <w:pPr>
        <w:spacing w:before="120" w:after="80"/>
        <w:jc w:val="both"/>
      </w:pPr>
      <w:r>
        <w:rPr>
          <w:rFonts w:ascii="Arial" w:cs="Arial" w:eastAsia="Arial" w:hAnsi="Arial"/>
          <w:b/>
          <w:bCs/>
          <w:sz w:val="20"/>
          <w:szCs w:val="20"/>
        </w:rPr>
        <w:t xml:space="preserve">4.4  </w:t>
      </w:r>
      <w:r>
        <w:rPr>
          <w:rFonts w:ascii="Arial" w:cs="Arial" w:eastAsia="Arial" w:hAnsi="Arial"/>
          <w:b w:val="false"/>
          <w:bCs w:val="false"/>
          <w:sz w:val="20"/>
          <w:szCs w:val="20"/>
        </w:rPr>
        <w:t xml:space="preserve">Any feedback, suggestions, or ideas provided by Client regarding the Services or the Initech Platform are hereby irrevocably assigned to Initech and may be used by Initech for any commercial purpose without compensation to Client.</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5: FEES AND PAYMENT TERMS</w:t>
      </w:r>
    </w:p>
    <w:p>
      <w:pPr>
        <w:pBdr>
          <w:left w:val="single" w:color="FF6600" w:sz="20"/>
        </w:pBdr>
        <w:shd w:fill="FFF3CD" w:val="clear"/>
        <w:spacing w:before="120" w:after="120"/>
      </w:pPr>
      <w:r>
        <w:rPr>
          <w:rFonts w:ascii="Arial" w:cs="Arial" w:eastAsia="Arial" w:hAnsi="Arial"/>
          <w:b/>
          <w:bCs/>
          <w:color w:val="7B0000"/>
          <w:sz w:val="18"/>
          <w:szCs w:val="18"/>
        </w:rPr>
        <w:t xml:space="preserve">  *** CONFLICT WITH GLOBEX PLAYBOOK: Payment terms below are Net 90 days. Globex Standard Playbook (Section 1.1) mandates Net 30 days maximum. This clause directly contradicts Globex's mandatory payment standard. ***</w:t>
      </w:r>
    </w:p>
    <w:p>
      <w:pPr>
        <w:spacing w:before="120" w:after="80"/>
        <w:jc w:val="both"/>
      </w:pPr>
      <w:r>
        <w:rPr>
          <w:rFonts w:ascii="Arial" w:cs="Arial" w:eastAsia="Arial" w:hAnsi="Arial"/>
          <w:b/>
          <w:bCs/>
          <w:sz w:val="20"/>
          <w:szCs w:val="20"/>
        </w:rPr>
        <w:t xml:space="preserve">5.1  </w:t>
      </w:r>
      <w:r>
        <w:rPr>
          <w:rFonts w:ascii="Arial" w:cs="Arial" w:eastAsia="Arial" w:hAnsi="Arial"/>
          <w:b w:val="false"/>
          <w:bCs w:val="false"/>
          <w:sz w:val="20"/>
          <w:szCs w:val="20"/>
        </w:rPr>
        <w:t xml:space="preserve">PAYMENT TERMS. All invoices issued by Initech shall be due and payable within ninety (90) calendar days of the invoice date ('Net 90'). Client acknowledges that this extended payment period reflects Initech's standard commercial terms and is a non-negotiable condition of engagement. Client explicitly waives any right to demand shorter payment terms or to apply any early payment discounts not pre-approved in writing by Initech's Chief Financial Officer.</w:t>
      </w:r>
    </w:p>
    <w:p>
      <w:pPr>
        <w:spacing w:before="120" w:after="80"/>
        <w:jc w:val="both"/>
      </w:pPr>
      <w:r>
        <w:rPr>
          <w:rFonts w:ascii="Arial" w:cs="Arial" w:eastAsia="Arial" w:hAnsi="Arial"/>
          <w:b/>
          <w:bCs/>
          <w:sz w:val="20"/>
          <w:szCs w:val="20"/>
        </w:rPr>
        <w:t xml:space="preserve">5.2  </w:t>
      </w:r>
      <w:r>
        <w:rPr>
          <w:rFonts w:ascii="Arial" w:cs="Arial" w:eastAsia="Arial" w:hAnsi="Arial"/>
          <w:b w:val="false"/>
          <w:bCs w:val="false"/>
          <w:sz w:val="20"/>
          <w:szCs w:val="20"/>
        </w:rPr>
        <w:t xml:space="preserve">Initech shall issue invoices monthly in arrears for recurring services and upon milestone completion for project-based engagements. Client shall provide a valid Purchase Order number within five (5) business days of SOW execution; however, Client's failure to provide a PO number shall not delay Client's obligation to pay invoices when due.</w:t>
      </w:r>
    </w:p>
    <w:p>
      <w:pPr>
        <w:spacing w:before="120" w:after="80"/>
        <w:jc w:val="both"/>
      </w:pPr>
      <w:r>
        <w:rPr>
          <w:rFonts w:ascii="Arial" w:cs="Arial" w:eastAsia="Arial" w:hAnsi="Arial"/>
          <w:b/>
          <w:bCs/>
          <w:sz w:val="20"/>
          <w:szCs w:val="20"/>
        </w:rPr>
        <w:t xml:space="preserve">5.3  </w:t>
      </w:r>
      <w:r>
        <w:rPr>
          <w:rFonts w:ascii="Arial" w:cs="Arial" w:eastAsia="Arial" w:hAnsi="Arial"/>
          <w:b w:val="false"/>
          <w:bCs w:val="false"/>
          <w:sz w:val="20"/>
          <w:szCs w:val="20"/>
        </w:rPr>
        <w:t xml:space="preserve">LATE PAYMENT. Any invoiced amounts not paid within the 90-day payment period shall accrue interest at the rate of three percent (3.0%) per month (or the maximum rate permitted by applicable law, whichever is greater) from the due date until the date of actual payment. Client shall also be liable for all reasonable costs of collection, including attorneys' fees.</w:t>
      </w:r>
    </w:p>
    <w:p>
      <w:pPr>
        <w:spacing w:before="120" w:after="80"/>
        <w:jc w:val="both"/>
      </w:pPr>
      <w:r>
        <w:rPr>
          <w:rFonts w:ascii="Arial" w:cs="Arial" w:eastAsia="Arial" w:hAnsi="Arial"/>
          <w:b/>
          <w:bCs/>
          <w:sz w:val="20"/>
          <w:szCs w:val="20"/>
        </w:rPr>
        <w:t xml:space="preserve">5.4  </w:t>
      </w:r>
      <w:r>
        <w:rPr>
          <w:rFonts w:ascii="Arial" w:cs="Arial" w:eastAsia="Arial" w:hAnsi="Arial"/>
          <w:b w:val="false"/>
          <w:bCs w:val="false"/>
          <w:sz w:val="20"/>
          <w:szCs w:val="20"/>
        </w:rPr>
        <w:t xml:space="preserve">DISPUTED INVOICES. Client may dispute an invoice only by providing written notice to Initech within ten (10) business days of the invoice date. After this period, all invoices are deemed accepted and undisputed. Client must pay all undisputed portions of any invoice within the Net 90 payment period, regardless of any pending dispute on other line items.</w:t>
      </w:r>
    </w:p>
    <w:p>
      <w:pPr>
        <w:spacing w:before="120" w:after="80"/>
        <w:jc w:val="both"/>
      </w:pPr>
      <w:r>
        <w:rPr>
          <w:rFonts w:ascii="Arial" w:cs="Arial" w:eastAsia="Arial" w:hAnsi="Arial"/>
          <w:b/>
          <w:bCs/>
          <w:sz w:val="20"/>
          <w:szCs w:val="20"/>
        </w:rPr>
        <w:t xml:space="preserve">5.5  </w:t>
      </w:r>
      <w:r>
        <w:rPr>
          <w:rFonts w:ascii="Arial" w:cs="Arial" w:eastAsia="Arial" w:hAnsi="Arial"/>
          <w:b w:val="false"/>
          <w:bCs w:val="false"/>
          <w:sz w:val="20"/>
          <w:szCs w:val="20"/>
        </w:rPr>
        <w:t xml:space="preserve">PRICE ADJUSTMENTS. Initech reserves the right to adjust its fees annually by providing Client with thirty (30) days' written notice. Fee increases shall take effect automatically at the commencement of the next billing cycle and Client's continued use of the Services shall constitute acceptance of the adjusted fees.</w:t>
      </w:r>
    </w:p>
    <w:p>
      <w:pPr>
        <w:spacing w:before="120" w:after="80"/>
        <w:jc w:val="both"/>
      </w:pPr>
      <w:r>
        <w:rPr>
          <w:rFonts w:ascii="Arial" w:cs="Arial" w:eastAsia="Arial" w:hAnsi="Arial"/>
          <w:b/>
          <w:bCs/>
          <w:sz w:val="20"/>
          <w:szCs w:val="20"/>
        </w:rPr>
        <w:t xml:space="preserve">5.6  </w:t>
      </w:r>
      <w:r>
        <w:rPr>
          <w:rFonts w:ascii="Arial" w:cs="Arial" w:eastAsia="Arial" w:hAnsi="Arial"/>
          <w:b w:val="false"/>
          <w:bCs w:val="false"/>
          <w:sz w:val="20"/>
          <w:szCs w:val="20"/>
        </w:rPr>
        <w:t xml:space="preserve">MINIMUM PURCHASE COMMITMENTS. Client agrees to maintain a minimum annual spend of the amount specified in the applicable SOW throughout the contract term. Any shortfall in annual spend shall be invoiced by Initech as a true-up payment due within thirty (30) days of the anniversary date of each SOW.</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6: CONFIDENTIALITY</w:t>
      </w:r>
    </w:p>
    <w:p>
      <w:pPr>
        <w:spacing w:before="120" w:after="80"/>
        <w:jc w:val="both"/>
      </w:pPr>
      <w:r>
        <w:rPr>
          <w:rFonts w:ascii="Arial" w:cs="Arial" w:eastAsia="Arial" w:hAnsi="Arial"/>
          <w:b/>
          <w:bCs/>
          <w:sz w:val="20"/>
          <w:szCs w:val="20"/>
        </w:rPr>
        <w:t xml:space="preserve">6.1  </w:t>
      </w:r>
      <w:r>
        <w:rPr>
          <w:rFonts w:ascii="Arial" w:cs="Arial" w:eastAsia="Arial" w:hAnsi="Arial"/>
          <w:b w:val="false"/>
          <w:bCs w:val="false"/>
          <w:sz w:val="20"/>
          <w:szCs w:val="20"/>
        </w:rPr>
        <w:t xml:space="preserve">Each party agrees to hold in confidence all Confidential Information of the other party and not to disclose such information to any third party, except as expressly permitted under this Agreement.</w:t>
      </w:r>
    </w:p>
    <w:p>
      <w:pPr>
        <w:spacing w:before="120" w:after="80"/>
        <w:jc w:val="both"/>
      </w:pPr>
      <w:r>
        <w:rPr>
          <w:rFonts w:ascii="Arial" w:cs="Arial" w:eastAsia="Arial" w:hAnsi="Arial"/>
          <w:b/>
          <w:bCs/>
          <w:sz w:val="20"/>
          <w:szCs w:val="20"/>
        </w:rPr>
        <w:t xml:space="preserve">6.2  </w:t>
      </w:r>
      <w:r>
        <w:rPr>
          <w:rFonts w:ascii="Arial" w:cs="Arial" w:eastAsia="Arial" w:hAnsi="Arial"/>
          <w:b w:val="false"/>
          <w:bCs w:val="false"/>
          <w:sz w:val="20"/>
          <w:szCs w:val="20"/>
        </w:rPr>
        <w:t xml:space="preserve">Notwithstanding Section 6.1, Initech may disclose Client Confidential Information to: (a) its affiliates, subcontractors, and service providers on a need-to-know basis; (b) potential acquirers or investors in connection with due diligence; and (c) any third party with Client's prior consent. In each case, Initech shall use commercially reasonable efforts to ensure the recipient maintains the confidentiality of the disclosed information.</w:t>
      </w:r>
    </w:p>
    <w:p>
      <w:pPr>
        <w:spacing w:before="120" w:after="80"/>
        <w:jc w:val="both"/>
      </w:pPr>
      <w:r>
        <w:rPr>
          <w:rFonts w:ascii="Arial" w:cs="Arial" w:eastAsia="Arial" w:hAnsi="Arial"/>
          <w:b/>
          <w:bCs/>
          <w:sz w:val="20"/>
          <w:szCs w:val="20"/>
        </w:rPr>
        <w:t xml:space="preserve">6.3  </w:t>
      </w:r>
      <w:r>
        <w:rPr>
          <w:rFonts w:ascii="Arial" w:cs="Arial" w:eastAsia="Arial" w:hAnsi="Arial"/>
          <w:b w:val="false"/>
          <w:bCs w:val="false"/>
          <w:sz w:val="20"/>
          <w:szCs w:val="20"/>
        </w:rPr>
        <w:t xml:space="preserve">Client shall not disclose the terms of this Agreement, Initech's pricing, or any non-public information about the Initech Platform to any third party, including Client's professional advisors, without Initech's prior written consent. Violation of this provision shall entitle Initech to liquidated damages of $1,000,000 per unauthorized disclosure.</w:t>
      </w:r>
    </w:p>
    <w:p>
      <w:pPr>
        <w:spacing w:before="120" w:after="80"/>
        <w:jc w:val="both"/>
      </w:pPr>
      <w:r>
        <w:rPr>
          <w:rFonts w:ascii="Arial" w:cs="Arial" w:eastAsia="Arial" w:hAnsi="Arial"/>
          <w:b/>
          <w:bCs/>
          <w:sz w:val="20"/>
          <w:szCs w:val="20"/>
        </w:rPr>
        <w:t xml:space="preserve">6.4  </w:t>
      </w:r>
      <w:r>
        <w:rPr>
          <w:rFonts w:ascii="Arial" w:cs="Arial" w:eastAsia="Arial" w:hAnsi="Arial"/>
          <w:b w:val="false"/>
          <w:bCs w:val="false"/>
          <w:sz w:val="20"/>
          <w:szCs w:val="20"/>
        </w:rPr>
        <w:t xml:space="preserve">The confidentiality obligations of this Agreement shall survive termination for a period of ten (10) years, except with respect to trade secrets, which shall survive indefinitely.</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7: DATA PROTECTION AND PRIVACY</w:t>
      </w:r>
    </w:p>
    <w:p>
      <w:pPr>
        <w:spacing w:before="120" w:after="80"/>
        <w:jc w:val="both"/>
      </w:pPr>
      <w:r>
        <w:rPr>
          <w:rFonts w:ascii="Arial" w:cs="Arial" w:eastAsia="Arial" w:hAnsi="Arial"/>
          <w:b/>
          <w:bCs/>
          <w:sz w:val="20"/>
          <w:szCs w:val="20"/>
        </w:rPr>
        <w:t xml:space="preserve">7.1  </w:t>
      </w:r>
      <w:r>
        <w:rPr>
          <w:rFonts w:ascii="Arial" w:cs="Arial" w:eastAsia="Arial" w:hAnsi="Arial"/>
          <w:b w:val="false"/>
          <w:bCs w:val="false"/>
          <w:sz w:val="20"/>
          <w:szCs w:val="20"/>
        </w:rPr>
        <w:t xml:space="preserve">Client is solely responsible for ensuring that its use of the Services and its submission of Client Materials to Initech complies with all applicable data protection and privacy laws. Initech provides the Services on an 'as-is' basis with respect to data protection compliance and makes no warranty that the Services, as configured by Client, will satisfy any particular regulatory requirement.</w:t>
      </w:r>
    </w:p>
    <w:p>
      <w:pPr>
        <w:spacing w:before="120" w:after="80"/>
        <w:jc w:val="both"/>
      </w:pPr>
      <w:r>
        <w:rPr>
          <w:rFonts w:ascii="Arial" w:cs="Arial" w:eastAsia="Arial" w:hAnsi="Arial"/>
          <w:b/>
          <w:bCs/>
          <w:sz w:val="20"/>
          <w:szCs w:val="20"/>
        </w:rPr>
        <w:t xml:space="preserve">7.2  </w:t>
      </w:r>
      <w:r>
        <w:rPr>
          <w:rFonts w:ascii="Arial" w:cs="Arial" w:eastAsia="Arial" w:hAnsi="Arial"/>
          <w:b w:val="false"/>
          <w:bCs w:val="false"/>
          <w:sz w:val="20"/>
          <w:szCs w:val="20"/>
        </w:rPr>
        <w:t xml:space="preserve">BREACH NOTIFICATION. [*** CONFLICT WITH GLOBEX PLAYBOOK: Section 1.5.1 of Globex's Standard Playbook mandates 48-hour breach notification. This clause provides 7 calendar days, which directly contradicts the Globex mandatory standard. ***] In the event that Initech discovers a security incident affecting Client data, Initech shall notify Client within seven (7) calendar days of Initech's confirmation (not mere suspicion) that a data breach has occurred. Initech's notification obligation does not arise until Initech has completed a preliminary internal investigation and has determined with reasonable certainty that a breach has, in fact, occurred and that Client data has been compromised.</w:t>
      </w:r>
    </w:p>
    <w:p>
      <w:pPr>
        <w:spacing w:before="120" w:after="80"/>
        <w:jc w:val="both"/>
      </w:pPr>
      <w:r>
        <w:rPr>
          <w:rFonts w:ascii="Arial" w:cs="Arial" w:eastAsia="Arial" w:hAnsi="Arial"/>
          <w:b/>
          <w:bCs/>
          <w:sz w:val="20"/>
          <w:szCs w:val="20"/>
        </w:rPr>
        <w:t xml:space="preserve">7.3  </w:t>
      </w:r>
      <w:r>
        <w:rPr>
          <w:rFonts w:ascii="Arial" w:cs="Arial" w:eastAsia="Arial" w:hAnsi="Arial"/>
          <w:b w:val="false"/>
          <w:bCs w:val="false"/>
          <w:sz w:val="20"/>
          <w:szCs w:val="20"/>
        </w:rPr>
        <w:t xml:space="preserve">Client acknowledges that Initech's notification obligation under Section 7.2 may be delayed if Initech determines in good faith that early notification would interfere with a law enforcement investigation or compromise Initech's forensic investigation capabilities.</w:t>
      </w:r>
    </w:p>
    <w:p>
      <w:pPr>
        <w:spacing w:before="120" w:after="80"/>
        <w:jc w:val="both"/>
      </w:pPr>
      <w:r>
        <w:rPr>
          <w:rFonts w:ascii="Arial" w:cs="Arial" w:eastAsia="Arial" w:hAnsi="Arial"/>
          <w:b/>
          <w:bCs/>
          <w:sz w:val="20"/>
          <w:szCs w:val="20"/>
        </w:rPr>
        <w:t xml:space="preserve">7.4  </w:t>
      </w:r>
      <w:r>
        <w:rPr>
          <w:rFonts w:ascii="Arial" w:cs="Arial" w:eastAsia="Arial" w:hAnsi="Arial"/>
          <w:b w:val="false"/>
          <w:bCs w:val="false"/>
          <w:sz w:val="20"/>
          <w:szCs w:val="20"/>
        </w:rPr>
        <w:t xml:space="preserve">Initech shall retain the right to use Client data in aggregated, anonymized form for benchmarking, research, product development, and commercial purposes, including the training of machine learning models and the development of industry reports, provided that such use does not identify Client or any individual data subject.</w:t>
      </w:r>
    </w:p>
    <w:p>
      <w:pPr>
        <w:spacing w:before="120" w:after="80"/>
        <w:jc w:val="both"/>
      </w:pPr>
      <w:r>
        <w:rPr>
          <w:rFonts w:ascii="Arial" w:cs="Arial" w:eastAsia="Arial" w:hAnsi="Arial"/>
          <w:b/>
          <w:bCs/>
          <w:sz w:val="20"/>
          <w:szCs w:val="20"/>
        </w:rPr>
        <w:t xml:space="preserve">7.5  </w:t>
      </w:r>
      <w:r>
        <w:rPr>
          <w:rFonts w:ascii="Arial" w:cs="Arial" w:eastAsia="Arial" w:hAnsi="Arial"/>
          <w:b w:val="false"/>
          <w:bCs w:val="false"/>
          <w:sz w:val="20"/>
          <w:szCs w:val="20"/>
        </w:rPr>
        <w:t xml:space="preserve">Client shall indemnify and hold Initech harmless from any claims, fines, penalties, or damages arising from Client's failure to obtain proper consent from data subjects prior to submitting Personal Data to the Initech platform.</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8: REPRESENTATIONS AND WARRANTIES</w:t>
      </w:r>
    </w:p>
    <w:p>
      <w:pPr>
        <w:spacing w:before="120" w:after="80"/>
        <w:jc w:val="both"/>
      </w:pPr>
      <w:r>
        <w:rPr>
          <w:rFonts w:ascii="Arial" w:cs="Arial" w:eastAsia="Arial" w:hAnsi="Arial"/>
          <w:b/>
          <w:bCs/>
          <w:sz w:val="20"/>
          <w:szCs w:val="20"/>
        </w:rPr>
        <w:t xml:space="preserve">8.1  </w:t>
      </w:r>
      <w:r>
        <w:rPr>
          <w:rFonts w:ascii="Arial" w:cs="Arial" w:eastAsia="Arial" w:hAnsi="Arial"/>
          <w:b w:val="false"/>
          <w:bCs w:val="false"/>
          <w:sz w:val="20"/>
          <w:szCs w:val="20"/>
        </w:rPr>
        <w:t xml:space="preserve">Initech represents and warrants only that: (a) it has the authority to enter into this Agreement; and (b) the Services will be performed by qualified personnel.</w:t>
      </w:r>
    </w:p>
    <w:p>
      <w:pPr>
        <w:spacing w:before="120" w:after="80"/>
        <w:jc w:val="both"/>
      </w:pPr>
      <w:r>
        <w:rPr>
          <w:rFonts w:ascii="Arial" w:cs="Arial" w:eastAsia="Arial" w:hAnsi="Arial"/>
          <w:b/>
          <w:bCs/>
          <w:sz w:val="20"/>
          <w:szCs w:val="20"/>
        </w:rPr>
        <w:t xml:space="preserve">8.2  </w:t>
      </w:r>
      <w:r>
        <w:rPr>
          <w:rFonts w:ascii="Arial" w:cs="Arial" w:eastAsia="Arial" w:hAnsi="Arial"/>
          <w:b w:val="false"/>
          <w:bCs w:val="false"/>
          <w:sz w:val="20"/>
          <w:szCs w:val="20"/>
        </w:rPr>
        <w:t xml:space="preserve">DISCLAIMER. EXCEPT FOR THE LIMITED WARRANTIES IN SECTION 8.1, INITECH PROVIDES THE SERVICES AND ALL DELIVERABLES 'AS IS' AND 'AS AVAILABLE' AND EXPRESSLY DISCLAIMS ALL OTHER WARRANTIES, EXPRESS OR IMPLIED, INCLUDING BUT NOT LIMITED TO WARRANTIES OF MERCHANTABILITY, FITNESS FOR A PARTICULAR PURPOSE, ACCURACY, NON-INFRINGEMENT, TITLE, AND QUIET ENJOYMENT. INITECH DOES NOT WARRANT THAT THE SERVICES WILL BE UNINTERRUPTED, ERROR-FREE, VIRUS-FREE, OR FREE FROM SECURITY VULNERABILITIES.</w:t>
      </w:r>
    </w:p>
    <w:p>
      <w:pPr>
        <w:spacing w:before="120" w:after="80"/>
        <w:jc w:val="both"/>
      </w:pPr>
      <w:r>
        <w:rPr>
          <w:rFonts w:ascii="Arial" w:cs="Arial" w:eastAsia="Arial" w:hAnsi="Arial"/>
          <w:b/>
          <w:bCs/>
          <w:sz w:val="20"/>
          <w:szCs w:val="20"/>
        </w:rPr>
        <w:t xml:space="preserve">8.3  </w:t>
      </w:r>
      <w:r>
        <w:rPr>
          <w:rFonts w:ascii="Arial" w:cs="Arial" w:eastAsia="Arial" w:hAnsi="Arial"/>
          <w:b w:val="false"/>
          <w:bCs w:val="false"/>
          <w:sz w:val="20"/>
          <w:szCs w:val="20"/>
        </w:rPr>
        <w:t xml:space="preserve">Client represents and warrants that: (a) it has full authority to enter into this Agreement; (b) Client Materials do not infringe any third-party rights; (c) Client has obtained all necessary consents for the Personal Data submitted to Initech; and (d) Client's use of the Services will comply with all applicable laws. Client acknowledges that breach of these warranties may trigger uncapped indemnification obligations under Section 10.</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9: TERM AND TERMINATION</w:t>
      </w:r>
    </w:p>
    <w:p>
      <w:pPr>
        <w:pBdr>
          <w:left w:val="single" w:color="FF6600" w:sz="20"/>
        </w:pBdr>
        <w:shd w:fill="FFF3CD" w:val="clear"/>
        <w:spacing w:before="120" w:after="120"/>
      </w:pPr>
      <w:r>
        <w:rPr>
          <w:rFonts w:ascii="Arial" w:cs="Arial" w:eastAsia="Arial" w:hAnsi="Arial"/>
          <w:b/>
          <w:bCs/>
          <w:color w:val="7B0000"/>
          <w:sz w:val="18"/>
          <w:szCs w:val="18"/>
        </w:rPr>
        <w:t xml:space="preserve">  *** CONFLICT WITH GLOBEX PLAYBOOK: This Agreement prohibits termination for convenience. Globex Standard Playbook (Section 1.2.1) mandates that Globex retains an absolute right to terminate for convenience on 30 days' notice. This clause directly and irreconcilably contradicts that mandatory standard. ***</w:t>
      </w:r>
    </w:p>
    <w:p>
      <w:pPr>
        <w:spacing w:before="120" w:after="80"/>
        <w:jc w:val="both"/>
      </w:pPr>
      <w:r>
        <w:rPr>
          <w:rFonts w:ascii="Arial" w:cs="Arial" w:eastAsia="Arial" w:hAnsi="Arial"/>
          <w:b/>
          <w:bCs/>
          <w:sz w:val="20"/>
          <w:szCs w:val="20"/>
        </w:rPr>
        <w:t xml:space="preserve">9.1  </w:t>
      </w:r>
      <w:r>
        <w:rPr>
          <w:rFonts w:ascii="Arial" w:cs="Arial" w:eastAsia="Arial" w:hAnsi="Arial"/>
          <w:b w:val="false"/>
          <w:bCs w:val="false"/>
          <w:sz w:val="20"/>
          <w:szCs w:val="20"/>
        </w:rPr>
        <w:t xml:space="preserve">TERM. This Agreement shall commence on the Effective Date and shall continue for an initial, non-cancellable period of five (5) years (the 'Initial Term'). Thereafter, this Agreement shall automatically renew for successive periods of two (2) years each ('Renewal Terms') unless either party provides written notice of non-renewal at least one hundred and eighty (180) days prior to the expiration of the then-current term.</w:t>
      </w:r>
    </w:p>
    <w:p>
      <w:pPr>
        <w:spacing w:before="120" w:after="80"/>
        <w:jc w:val="both"/>
      </w:pPr>
      <w:r>
        <w:rPr>
          <w:rFonts w:ascii="Arial" w:cs="Arial" w:eastAsia="Arial" w:hAnsi="Arial"/>
          <w:b/>
          <w:bCs/>
          <w:sz w:val="20"/>
          <w:szCs w:val="20"/>
        </w:rPr>
        <w:t xml:space="preserve">9.2  </w:t>
      </w:r>
      <w:r>
        <w:rPr>
          <w:rFonts w:ascii="Arial" w:cs="Arial" w:eastAsia="Arial" w:hAnsi="Arial"/>
          <w:b w:val="false"/>
          <w:bCs w:val="false"/>
          <w:sz w:val="20"/>
          <w:szCs w:val="20"/>
        </w:rPr>
        <w:t xml:space="preserve">NO TERMINATION FOR CONVENIENCE. THIS AGREEMENT MAY NOT BE TERMINATED FOR CONVENIENCE BY EITHER PARTY. CLIENT EXPLICITLY ACKNOWLEDGES THAT THERE IS NO RIGHT TO TERMINATE THIS AGREEMENT FOR CONVENIENCE DURING THE INITIAL TERM OR ANY RENEWAL TERM. Client's obligation to pay all fees accruing through the end of the applicable term is absolute, unconditional, and non-cancellable, and shall survive any purported attempt to terminate this Agreement for convenience.</w:t>
      </w:r>
    </w:p>
    <w:p>
      <w:pPr>
        <w:spacing w:before="120" w:after="80"/>
        <w:jc w:val="both"/>
      </w:pPr>
      <w:r>
        <w:rPr>
          <w:rFonts w:ascii="Arial" w:cs="Arial" w:eastAsia="Arial" w:hAnsi="Arial"/>
          <w:b/>
          <w:bCs/>
          <w:sz w:val="20"/>
          <w:szCs w:val="20"/>
        </w:rPr>
        <w:t xml:space="preserve">9.3  </w:t>
      </w:r>
      <w:r>
        <w:rPr>
          <w:rFonts w:ascii="Arial" w:cs="Arial" w:eastAsia="Arial" w:hAnsi="Arial"/>
          <w:b w:val="false"/>
          <w:bCs w:val="false"/>
          <w:sz w:val="20"/>
          <w:szCs w:val="20"/>
        </w:rPr>
        <w:t xml:space="preserve">TERMINATION FOR MATERIAL BREACH ONLY. This Agreement may be terminated only upon a material breach by the non-terminating party, subject to the following conditions: (a) the terminating party must provide written notice specifying the breach in reasonable detail; (b) the breaching party shall have sixty (60) days (not 30 days) to cure the breach; (c) for breaches involving payment obligations, the cure period is reduced to fifteen (15) days; and (d) no termination for breach shall relieve Client of its obligation to pay all fees accrued through the effective date of termination.</w:t>
      </w:r>
    </w:p>
    <w:p>
      <w:pPr>
        <w:spacing w:before="120" w:after="80"/>
        <w:jc w:val="both"/>
      </w:pPr>
      <w:r>
        <w:rPr>
          <w:rFonts w:ascii="Arial" w:cs="Arial" w:eastAsia="Arial" w:hAnsi="Arial"/>
          <w:b/>
          <w:bCs/>
          <w:sz w:val="20"/>
          <w:szCs w:val="20"/>
        </w:rPr>
        <w:t xml:space="preserve">9.4  </w:t>
      </w:r>
      <w:r>
        <w:rPr>
          <w:rFonts w:ascii="Arial" w:cs="Arial" w:eastAsia="Arial" w:hAnsi="Arial"/>
          <w:b w:val="false"/>
          <w:bCs w:val="false"/>
          <w:sz w:val="20"/>
          <w:szCs w:val="20"/>
        </w:rPr>
        <w:t xml:space="preserve">EFFECT OF TERMINATION. Upon expiration or termination of this Agreement for any reason: (a) all outstanding fees through the end of the then-current term shall become immediately due and payable; (b) Client's license to use all Deliverables shall immediately terminate; (c) Initech may retain copies of Client data for up to two (2) years for record-keeping purposes; and (d) Client shall return or certify destruction of all Initech Confidential Information within five (5) business days.</w:t>
      </w:r>
    </w:p>
    <w:p>
      <w:pPr>
        <w:spacing w:before="120" w:after="80"/>
        <w:jc w:val="both"/>
      </w:pPr>
      <w:r>
        <w:rPr>
          <w:rFonts w:ascii="Arial" w:cs="Arial" w:eastAsia="Arial" w:hAnsi="Arial"/>
          <w:b/>
          <w:bCs/>
          <w:sz w:val="20"/>
          <w:szCs w:val="20"/>
        </w:rPr>
        <w:t xml:space="preserve">9.5  </w:t>
      </w:r>
      <w:r>
        <w:rPr>
          <w:rFonts w:ascii="Arial" w:cs="Arial" w:eastAsia="Arial" w:hAnsi="Arial"/>
          <w:b w:val="false"/>
          <w:bCs w:val="false"/>
          <w:sz w:val="20"/>
          <w:szCs w:val="20"/>
        </w:rPr>
        <w:t xml:space="preserve">EARLY TERMINATION FEE. If Client purports to terminate this Agreement before the end of the Initial Term or any Renewal Term for any reason other than Initech's uncured material breach, Client shall immediately pay Initech an early termination fee equal to one hundred percent (100%) of the total fees that would have been payable for the remainder of the then-current term. This early termination fee constitutes liquidated damages and not a penalty, and Client waives any right to contest the reasonableness thereof.</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10: INDEMNIFICATION</w:t>
      </w:r>
    </w:p>
    <w:p>
      <w:pPr>
        <w:spacing w:before="80" w:after="80"/>
        <w:jc w:val="both"/>
      </w:pPr>
      <w:r>
        <w:rPr>
          <w:rFonts w:ascii="Arial" w:cs="Arial" w:eastAsia="Arial" w:hAnsi="Arial"/>
          <w:sz w:val="20"/>
          <w:szCs w:val="20"/>
        </w:rPr>
        <w:t xml:space="preserve">The indemnification obligations of the parties under this Agreement are heavily asymmetric and reflect the commercial risk allocation agreed upon between the parties. The following table summarizes Client's indemnification obligations: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930"/>
        <w:gridCol w:w="1930"/>
      </w:tblGrid>
      <w:tr>
        <w:tc>
          <w:tcPr>
            <w:tcW w:type="dxa" w:w="2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Indemnity Category</w:t>
            </w:r>
          </w:p>
        </w:tc>
        <w:tc>
          <w:tcPr>
            <w:tcW w:type="dxa" w:w="3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Scope of Client Indemnity Obligation</w:t>
            </w:r>
          </w:p>
        </w:tc>
        <w:tc>
          <w:tcPr>
            <w:tcW w:type="dxa" w:w="193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Cap / Limit</w:t>
            </w:r>
          </w:p>
        </w:tc>
        <w:tc>
          <w:tcPr>
            <w:tcW w:type="dxa" w:w="193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Survival Period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IP Infringement – Third Party Claims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indemnifies Initech for all claims arising from Client's use of Deliverables outside the scope of the license grant</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Perpetual</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Data Input Errors</w:t>
            </w:r>
          </w:p>
        </w:tc>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 liable for all damages arising from erroneous, incomplete, or non-compliant data submitted to Initech systems</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7 years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Regulatory Non-Compliance by Client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indemnifies Initech for fines, penalties, or sanctions arising from Client's failure to comply with applicable law</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Perpetual</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Third-Party Integration Failures</w:t>
            </w:r>
          </w:p>
        </w:tc>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 liable for damages caused by third-party systems or APIs that Client directed Initech to integrate with</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5 years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Scope Creep Disputes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liable for all additional costs incurred by Initech arising from scope changes directed by Client personnel</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3 years</w:t>
            </w:r>
          </w:p>
        </w:tc>
      </w:tr>
      <w:tr>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Non-Payment and Disputed Invoices</w:t>
            </w:r>
          </w:p>
        </w:tc>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 liable for all collection costs, attorney's fees, and consequential damages arising from late or disputed payments</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7 years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Reputational Harm</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 liable for damages to Initech brand arising from Client's unauthorized public statements about the services</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UNCAPPED</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5 years</w:t>
            </w:r>
          </w:p>
        </w:tc>
      </w:tr>
    </w:tbl>
    <w:p>
      <w:pPr>
        <w:spacing w:before="60" w:after="60"/>
      </w:pPr>
      <w:r>
        <w:t xml:space="preserve"/>
      </w:r>
    </w:p>
    <w:p>
      <w:pPr>
        <w:spacing w:before="120" w:after="80"/>
        <w:jc w:val="both"/>
      </w:pPr>
      <w:r>
        <w:rPr>
          <w:rFonts w:ascii="Arial" w:cs="Arial" w:eastAsia="Arial" w:hAnsi="Arial"/>
          <w:b/>
          <w:bCs/>
          <w:sz w:val="20"/>
          <w:szCs w:val="20"/>
        </w:rPr>
        <w:t xml:space="preserve">10.2  </w:t>
      </w:r>
      <w:r>
        <w:rPr>
          <w:rFonts w:ascii="Arial" w:cs="Arial" w:eastAsia="Arial" w:hAnsi="Arial"/>
          <w:b w:val="false"/>
          <w:bCs w:val="false"/>
          <w:sz w:val="20"/>
          <w:szCs w:val="20"/>
        </w:rPr>
        <w:t xml:space="preserve">Client shall defend, indemnify, and hold harmless Initech, its affiliates, officers, directors, employees, contractors, and agents from and against any and all claims, demands, actions, losses, damages, liabilities, costs, and expenses (including reasonable attorneys' fees) arising from or related to any of the categories set forth in the table above. These indemnification obligations are uncapped and are not subject to any limitation of liability provision in this Agreement.</w:t>
      </w:r>
    </w:p>
    <w:p>
      <w:pPr>
        <w:spacing w:before="120" w:after="80"/>
        <w:jc w:val="both"/>
      </w:pPr>
      <w:r>
        <w:rPr>
          <w:rFonts w:ascii="Arial" w:cs="Arial" w:eastAsia="Arial" w:hAnsi="Arial"/>
          <w:b/>
          <w:bCs/>
          <w:sz w:val="20"/>
          <w:szCs w:val="20"/>
        </w:rPr>
        <w:t xml:space="preserve">10.3  </w:t>
      </w:r>
      <w:r>
        <w:rPr>
          <w:rFonts w:ascii="Arial" w:cs="Arial" w:eastAsia="Arial" w:hAnsi="Arial"/>
          <w:b w:val="false"/>
          <w:bCs w:val="false"/>
          <w:sz w:val="20"/>
          <w:szCs w:val="20"/>
        </w:rPr>
        <w:t xml:space="preserve">Initech's obligation to indemnify Client is limited solely to third-party claims arising from Initech's gross negligence or willful misconduct, and only to the extent such claims exceed the aggregate limitation of liability applicable at the time of the claim. For the avoidance of doubt, Initech has no indemnification obligation with respect to IP infringement claims arising from: (a) Client's modification of a Deliverable; (b) Client's combination of a Deliverable with third-party materials; or (c) Client's use of a Deliverable in a manner not authorized by this Agreement.</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11: LIMITATION OF LIABILITY</w:t>
      </w:r>
    </w:p>
    <w:p>
      <w:pPr>
        <w:pBdr>
          <w:left w:val="single" w:color="FF6600" w:sz="20"/>
        </w:pBdr>
        <w:shd w:fill="FFF3CD" w:val="clear"/>
        <w:spacing w:before="120" w:after="120"/>
      </w:pPr>
      <w:r>
        <w:rPr>
          <w:rFonts w:ascii="Arial" w:cs="Arial" w:eastAsia="Arial" w:hAnsi="Arial"/>
          <w:b/>
          <w:bCs/>
          <w:color w:val="7B0000"/>
          <w:sz w:val="18"/>
          <w:szCs w:val="18"/>
        </w:rPr>
        <w:t xml:space="preserve">  *** CONFLICT WITH GLOBEX PLAYBOOK: This Agreement imposes uncapped liability on both parties. Globex Standard Playbook (Section 1.4.1) requires a liability cap of 100% of the preceding 12 months' fees. This clause directly contradicts Globex's mandatory liability cap standard. ***</w:t>
      </w:r>
    </w:p>
    <w:p>
      <w:pPr>
        <w:spacing w:before="120" w:after="80"/>
        <w:jc w:val="both"/>
      </w:pPr>
      <w:r>
        <w:rPr>
          <w:rFonts w:ascii="Arial" w:cs="Arial" w:eastAsia="Arial" w:hAnsi="Arial"/>
          <w:b/>
          <w:bCs/>
          <w:sz w:val="20"/>
          <w:szCs w:val="20"/>
        </w:rPr>
        <w:t xml:space="preserve">11.1  </w:t>
      </w:r>
      <w:r>
        <w:rPr>
          <w:rFonts w:ascii="Arial" w:cs="Arial" w:eastAsia="Arial" w:hAnsi="Arial"/>
          <w:b w:val="false"/>
          <w:bCs w:val="false"/>
          <w:sz w:val="20"/>
          <w:szCs w:val="20"/>
        </w:rPr>
        <w:t xml:space="preserve">NO LIMITATION OF LIABILITY. NOTWITHSTANDING ANYTHING TO THE CONTRARY IN THIS AGREEMENT, THE LIABILITY OF EACH PARTY TO THE OTHER FOR ANY CLAIM ARISING OUT OF OR RELATED TO THIS AGREEMENT, WHETHER IN CONTRACT, TORT, STRICT LIABILITY, OR ANY OTHER THEORY, SHALL BE UNCAPPED AND UNLIMITED IN AMOUNT. BOTH PARTIES EXPRESSLY AGREE THAT NO MONETARY CAP SHALL APPLY TO EITHER PARTY'S LIABILITY UNDER THIS AGREEMENT.</w:t>
      </w:r>
    </w:p>
    <w:p>
      <w:pPr>
        <w:spacing w:before="120" w:after="80"/>
        <w:jc w:val="both"/>
      </w:pPr>
      <w:r>
        <w:rPr>
          <w:rFonts w:ascii="Arial" w:cs="Arial" w:eastAsia="Arial" w:hAnsi="Arial"/>
          <w:b/>
          <w:bCs/>
          <w:sz w:val="20"/>
          <w:szCs w:val="20"/>
        </w:rPr>
        <w:t xml:space="preserve">11.2  </w:t>
      </w:r>
      <w:r>
        <w:rPr>
          <w:rFonts w:ascii="Arial" w:cs="Arial" w:eastAsia="Arial" w:hAnsi="Arial"/>
          <w:b w:val="false"/>
          <w:bCs w:val="false"/>
          <w:sz w:val="20"/>
          <w:szCs w:val="20"/>
        </w:rPr>
        <w:t xml:space="preserve">CONSEQUENTIAL DAMAGES NOT EXCLUDED FOR INITECH. Notwithstanding any contrary provision, Initech shall not be precluded from recovering lost profits, loss of goodwill, or other consequential damages from Client where such damages arise from Client's breach of payment obligations, Client's unauthorized use of Deliverables, or Client's violation of Initech's intellectual property rights.</w:t>
      </w:r>
    </w:p>
    <w:p>
      <w:pPr>
        <w:spacing w:before="120" w:after="80"/>
        <w:jc w:val="both"/>
      </w:pPr>
      <w:r>
        <w:rPr>
          <w:rFonts w:ascii="Arial" w:cs="Arial" w:eastAsia="Arial" w:hAnsi="Arial"/>
          <w:b/>
          <w:bCs/>
          <w:sz w:val="20"/>
          <w:szCs w:val="20"/>
        </w:rPr>
        <w:t xml:space="preserve">11.3  </w:t>
      </w:r>
      <w:r>
        <w:rPr>
          <w:rFonts w:ascii="Arial" w:cs="Arial" w:eastAsia="Arial" w:hAnsi="Arial"/>
          <w:b w:val="false"/>
          <w:bCs w:val="false"/>
          <w:sz w:val="20"/>
          <w:szCs w:val="20"/>
        </w:rPr>
        <w:t xml:space="preserve">Client acknowledges that the absence of a liability cap reflects the parties' assessment of the risks involved in the engagement and the commercial significance of the services provided by Initech, and that this risk allocation is a material and non-negotiable term of this Agreement.</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12: INSURANCE</w:t>
      </w:r>
    </w:p>
    <w:p>
      <w:pPr>
        <w:spacing w:before="120" w:after="80"/>
        <w:jc w:val="both"/>
      </w:pPr>
      <w:r>
        <w:rPr>
          <w:rFonts w:ascii="Arial" w:cs="Arial" w:eastAsia="Arial" w:hAnsi="Arial"/>
          <w:b/>
          <w:bCs/>
          <w:sz w:val="20"/>
          <w:szCs w:val="20"/>
        </w:rPr>
        <w:t xml:space="preserve">12.1  </w:t>
      </w:r>
      <w:r>
        <w:rPr>
          <w:rFonts w:ascii="Arial" w:cs="Arial" w:eastAsia="Arial" w:hAnsi="Arial"/>
          <w:b w:val="false"/>
          <w:bCs w:val="false"/>
          <w:sz w:val="20"/>
          <w:szCs w:val="20"/>
        </w:rPr>
        <w:t xml:space="preserve">Initech shall maintain such insurance coverage as it deems commercially reasonable in its sole discretion. Initech makes no representation regarding specific coverage amounts and shall not be required to name Client as an additional insured on any Initech policy.</w:t>
      </w:r>
    </w:p>
    <w:p>
      <w:pPr>
        <w:spacing w:before="120" w:after="80"/>
        <w:jc w:val="both"/>
      </w:pPr>
      <w:r>
        <w:rPr>
          <w:rFonts w:ascii="Arial" w:cs="Arial" w:eastAsia="Arial" w:hAnsi="Arial"/>
          <w:b/>
          <w:bCs/>
          <w:sz w:val="20"/>
          <w:szCs w:val="20"/>
        </w:rPr>
        <w:t xml:space="preserve">12.2  </w:t>
      </w:r>
      <w:r>
        <w:rPr>
          <w:rFonts w:ascii="Arial" w:cs="Arial" w:eastAsia="Arial" w:hAnsi="Arial"/>
          <w:b w:val="false"/>
          <w:bCs w:val="false"/>
          <w:sz w:val="20"/>
          <w:szCs w:val="20"/>
        </w:rPr>
        <w:t xml:space="preserve">Client shall, at its own expense, maintain the following minimum insurance coverage: (a) Commercial General Liability: $10,000,000 per occurrence, $25,000,000 aggregate; (b) Professional Liability: $10,000,000 per occurrence; (c) Cyber Liability: $10,000,000 per occurrence; (d) Workers' Compensation: as required by law; and (e) Directors &amp; Officers Liability: $5,000,000. Client shall name Initech as an additional insured on all policies.</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13: LIQUIDATED DAMAGES</w:t>
      </w:r>
    </w:p>
    <w:p>
      <w:pPr>
        <w:spacing w:before="80" w:after="80"/>
        <w:jc w:val="both"/>
      </w:pPr>
      <w:r>
        <w:rPr>
          <w:rFonts w:ascii="Arial" w:cs="Arial" w:eastAsia="Arial" w:hAnsi="Arial"/>
          <w:sz w:val="20"/>
          <w:szCs w:val="20"/>
        </w:rPr>
        <w:t xml:space="preserve">The parties agree that certain breaches by Client are likely to cause Initech damages that are difficult to calculate. Accordingly, the following liquidated damages provisions apply: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Triggering Event</w:t>
            </w:r>
          </w:p>
        </w:tc>
        <w:tc>
          <w:tcPr>
            <w:tcW w:type="dxa" w:w="2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Liquidated Damages Amount</w:t>
            </w:r>
          </w:p>
        </w:tc>
        <w:tc>
          <w:tcPr>
            <w:tcW w:type="dxa" w:w="2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Payable By</w:t>
            </w:r>
          </w:p>
        </w:tc>
        <w:tc>
          <w:tcPr>
            <w:tcW w:type="dxa" w:w="18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Cap on Damages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Early Termination by Client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All remaining fees through end of term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None (UNCAPPED)</w:t>
            </w:r>
          </w:p>
        </w:tc>
      </w:tr>
      <w:tr>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Late Payment (per invoice)</w:t>
            </w:r>
          </w:p>
        </w:tc>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3% per month on outstanding balance</w:t>
            </w:r>
          </w:p>
        </w:tc>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None (UNCAPPED)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Unauthorized Disclosure of Initech IP</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$5,000,000 per occurrence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None (UNCAPPED)</w:t>
            </w:r>
          </w:p>
        </w:tc>
      </w:tr>
      <w:tr>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Breach of Non-Solicitation</w:t>
            </w:r>
          </w:p>
        </w:tc>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$500,000 per solicited employee</w:t>
            </w:r>
          </w:p>
        </w:tc>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None (UNCAPPED)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Failure to Complete Acceptance Testing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25% of total SOW value as delay penalty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None (UNCAPPED)</w:t>
            </w:r>
          </w:p>
        </w:tc>
      </w:tr>
      <w:tr>
        <w:tc>
          <w:tcPr>
            <w:tcW w:type="dxa" w:w="3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Client-Caused Project Delays</w:t>
            </w:r>
          </w:p>
        </w:tc>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1.5% of monthly fees per week of delay</w:t>
            </w:r>
          </w:p>
        </w:tc>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Client</w:t>
            </w:r>
          </w:p>
        </w:tc>
        <w:tc>
          <w:tcPr>
            <w:tcW w:type="dxa" w:w="1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None (UNCAPPED)</w:t>
            </w:r>
          </w:p>
        </w:tc>
      </w:tr>
    </w:tbl>
    <w:p>
      <w:pPr>
        <w:spacing w:before="60" w:after="60"/>
      </w:pPr>
      <w:r>
        <w:t xml:space="preserve"/>
      </w:r>
    </w:p>
    <w:p>
      <w:pPr>
        <w:spacing w:before="120" w:after="80"/>
        <w:jc w:val="both"/>
      </w:pPr>
      <w:r>
        <w:rPr>
          <w:rFonts w:ascii="Arial" w:cs="Arial" w:eastAsia="Arial" w:hAnsi="Arial"/>
          <w:b/>
          <w:bCs/>
          <w:sz w:val="20"/>
          <w:szCs w:val="20"/>
        </w:rPr>
        <w:t xml:space="preserve">13.2  </w:t>
      </w:r>
      <w:r>
        <w:rPr>
          <w:rFonts w:ascii="Arial" w:cs="Arial" w:eastAsia="Arial" w:hAnsi="Arial"/>
          <w:b w:val="false"/>
          <w:bCs w:val="false"/>
          <w:sz w:val="20"/>
          <w:szCs w:val="20"/>
        </w:rPr>
        <w:t xml:space="preserve">The liquidated damages amounts set forth in the table above are the parties' genuine pre-estimate of the losses that would be suffered by Initech in each circumstance and do not constitute penalties. Client waives any right to challenge the reasonableness of these amounts in any legal proceeding.</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14: DISPUTE RESOLUTION</w:t>
      </w:r>
    </w:p>
    <w:p>
      <w:pPr>
        <w:spacing w:before="120" w:after="80"/>
        <w:jc w:val="both"/>
      </w:pPr>
      <w:r>
        <w:rPr>
          <w:rFonts w:ascii="Arial" w:cs="Arial" w:eastAsia="Arial" w:hAnsi="Arial"/>
          <w:b/>
          <w:bCs/>
          <w:sz w:val="20"/>
          <w:szCs w:val="20"/>
        </w:rPr>
        <w:t xml:space="preserve">14.1  </w:t>
      </w:r>
      <w:r>
        <w:rPr>
          <w:rFonts w:ascii="Arial" w:cs="Arial" w:eastAsia="Arial" w:hAnsi="Arial"/>
          <w:b w:val="false"/>
          <w:bCs w:val="false"/>
          <w:sz w:val="20"/>
          <w:szCs w:val="20"/>
        </w:rPr>
        <w:t xml:space="preserve">All disputes arising under this Agreement shall be submitted to binding arbitration administered by the American Arbitration Association (AAA) under its Commercial Arbitration Rules. The arbitration shall be conducted by a panel of three (3) arbitrators.</w:t>
      </w:r>
    </w:p>
    <w:p>
      <w:pPr>
        <w:spacing w:before="120" w:after="80"/>
        <w:jc w:val="both"/>
      </w:pPr>
      <w:r>
        <w:rPr>
          <w:rFonts w:ascii="Arial" w:cs="Arial" w:eastAsia="Arial" w:hAnsi="Arial"/>
          <w:b/>
          <w:bCs/>
          <w:sz w:val="20"/>
          <w:szCs w:val="20"/>
        </w:rPr>
        <w:t xml:space="preserve">14.2  </w:t>
      </w:r>
      <w:r>
        <w:rPr>
          <w:rFonts w:ascii="Arial" w:cs="Arial" w:eastAsia="Arial" w:hAnsi="Arial"/>
          <w:b w:val="false"/>
          <w:bCs w:val="false"/>
          <w:sz w:val="20"/>
          <w:szCs w:val="20"/>
        </w:rPr>
        <w:t xml:space="preserve">The seat of arbitration shall be New York City, New York. The language of arbitration shall be English. The arbitrators' decision shall be final and binding and may be entered as a judgment in any court of competent jurisdiction.</w:t>
      </w:r>
    </w:p>
    <w:p>
      <w:pPr>
        <w:spacing w:before="120" w:after="80"/>
        <w:jc w:val="both"/>
      </w:pPr>
      <w:r>
        <w:rPr>
          <w:rFonts w:ascii="Arial" w:cs="Arial" w:eastAsia="Arial" w:hAnsi="Arial"/>
          <w:b/>
          <w:bCs/>
          <w:sz w:val="20"/>
          <w:szCs w:val="20"/>
        </w:rPr>
        <w:t xml:space="preserve">14.3  </w:t>
      </w:r>
      <w:r>
        <w:rPr>
          <w:rFonts w:ascii="Arial" w:cs="Arial" w:eastAsia="Arial" w:hAnsi="Arial"/>
          <w:b w:val="false"/>
          <w:bCs w:val="false"/>
          <w:sz w:val="20"/>
          <w:szCs w:val="20"/>
        </w:rPr>
        <w:t xml:space="preserve">Client waives any right to a trial by jury with respect to any dispute arising under this Agreement. Client also waives any right to bring or participate in any class action or class arbitration proceeding.</w:t>
      </w:r>
    </w:p>
    <w:p>
      <w:pPr>
        <w:spacing w:before="120" w:after="80"/>
        <w:jc w:val="both"/>
      </w:pPr>
      <w:r>
        <w:rPr>
          <w:rFonts w:ascii="Arial" w:cs="Arial" w:eastAsia="Arial" w:hAnsi="Arial"/>
          <w:b/>
          <w:bCs/>
          <w:sz w:val="20"/>
          <w:szCs w:val="20"/>
        </w:rPr>
        <w:t xml:space="preserve">14.4  </w:t>
      </w:r>
      <w:r>
        <w:rPr>
          <w:rFonts w:ascii="Arial" w:cs="Arial" w:eastAsia="Arial" w:hAnsi="Arial"/>
          <w:b w:val="false"/>
          <w:bCs w:val="false"/>
          <w:sz w:val="20"/>
          <w:szCs w:val="20"/>
        </w:rPr>
        <w:t xml:space="preserve">Initech retains the right to seek injunctive or other equitable relief in any court of competent jurisdiction for breaches of confidentiality obligations or intellectual property provisions without first submitting such claims to arbitration.</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15: GOVERNING LAW AND JURISDICTION</w:t>
      </w:r>
    </w:p>
    <w:p>
      <w:pPr>
        <w:pBdr>
          <w:left w:val="single" w:color="FF6600" w:sz="20"/>
        </w:pBdr>
        <w:shd w:fill="FFF3CD" w:val="clear"/>
        <w:spacing w:before="120" w:after="120"/>
      </w:pPr>
      <w:r>
        <w:rPr>
          <w:rFonts w:ascii="Arial" w:cs="Arial" w:eastAsia="Arial" w:hAnsi="Arial"/>
          <w:b/>
          <w:bCs/>
          <w:color w:val="7B0000"/>
          <w:sz w:val="18"/>
          <w:szCs w:val="18"/>
        </w:rPr>
        <w:t xml:space="preserve">  *** CONFLICT WITH GLOBEX PLAYBOOK: This Agreement specifies New York law. Globex Standard Playbook (Section 1.3.1) mandates that all vendor contracts be governed by the laws of the State of Delaware. This clause directly contradicts Globex's mandatory governing law standard. ***</w:t>
      </w:r>
    </w:p>
    <w:p>
      <w:pPr>
        <w:spacing w:before="120" w:after="80"/>
        <w:jc w:val="both"/>
      </w:pPr>
      <w:r>
        <w:rPr>
          <w:rFonts w:ascii="Arial" w:cs="Arial" w:eastAsia="Arial" w:hAnsi="Arial"/>
          <w:b/>
          <w:bCs/>
          <w:sz w:val="20"/>
          <w:szCs w:val="20"/>
        </w:rPr>
        <w:t xml:space="preserve">15.1  </w:t>
      </w:r>
      <w:r>
        <w:rPr>
          <w:rFonts w:ascii="Arial" w:cs="Arial" w:eastAsia="Arial" w:hAnsi="Arial"/>
          <w:b w:val="false"/>
          <w:bCs w:val="false"/>
          <w:sz w:val="20"/>
          <w:szCs w:val="20"/>
        </w:rPr>
        <w:t xml:space="preserve">GOVERNING LAW. This Agreement shall be governed by, and construed and enforced in accordance with, the laws of the State of New York, without regard to its conflict-of-law principles. Both parties expressly agree that New York law, including Article 2 of the New York Uniform Commercial Code where applicable, governs this Agreement as Initech is incorporated and headquartered in New York and this constitutes a material term of the Agreement.</w:t>
      </w:r>
    </w:p>
    <w:p>
      <w:pPr>
        <w:spacing w:before="120" w:after="80"/>
        <w:jc w:val="both"/>
      </w:pPr>
      <w:r>
        <w:rPr>
          <w:rFonts w:ascii="Arial" w:cs="Arial" w:eastAsia="Arial" w:hAnsi="Arial"/>
          <w:b/>
          <w:bCs/>
          <w:sz w:val="20"/>
          <w:szCs w:val="20"/>
        </w:rPr>
        <w:t xml:space="preserve">15.2  </w:t>
      </w:r>
      <w:r>
        <w:rPr>
          <w:rFonts w:ascii="Arial" w:cs="Arial" w:eastAsia="Arial" w:hAnsi="Arial"/>
          <w:b w:val="false"/>
          <w:bCs w:val="false"/>
          <w:sz w:val="20"/>
          <w:szCs w:val="20"/>
        </w:rPr>
        <w:t xml:space="preserve">JURISDICTION. Subject to the arbitration provisions of Section 14, each party hereby submits to the exclusive jurisdiction of the state and federal courts located in New York County, State of New York for any disputes not subject to arbitration. Both parties waive any objection to venue in New York courts.</w:t>
      </w:r>
    </w:p>
    <w:p>
      <w:pPr>
        <w:spacing w:before="120" w:after="80"/>
        <w:jc w:val="both"/>
      </w:pPr>
      <w:r>
        <w:rPr>
          <w:rFonts w:ascii="Arial" w:cs="Arial" w:eastAsia="Arial" w:hAnsi="Arial"/>
          <w:b/>
          <w:bCs/>
          <w:sz w:val="20"/>
          <w:szCs w:val="20"/>
        </w:rPr>
        <w:t xml:space="preserve">15.3  </w:t>
      </w:r>
      <w:r>
        <w:rPr>
          <w:rFonts w:ascii="Arial" w:cs="Arial" w:eastAsia="Arial" w:hAnsi="Arial"/>
          <w:b w:val="false"/>
          <w:bCs w:val="false"/>
          <w:sz w:val="20"/>
          <w:szCs w:val="20"/>
        </w:rPr>
        <w:t xml:space="preserve">CHOICE OF LAW IN CONFLICT. In the event of any conflict between the choice-of-law provisions of this Agreement and any other document between the parties, the terms of this Agreement shall prevail. Client acknowledges that any internal procurement policies, vendor playbooks, or internal guidelines specifying a different governing law are superseded by this Agreement and shall have no legal effect.</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16: NON-SOLICITATION AND EXCLUSIVITY</w:t>
      </w:r>
    </w:p>
    <w:p>
      <w:pPr>
        <w:spacing w:before="120" w:after="80"/>
        <w:jc w:val="both"/>
      </w:pPr>
      <w:r>
        <w:rPr>
          <w:rFonts w:ascii="Arial" w:cs="Arial" w:eastAsia="Arial" w:hAnsi="Arial"/>
          <w:b/>
          <w:bCs/>
          <w:sz w:val="20"/>
          <w:szCs w:val="20"/>
        </w:rPr>
        <w:t xml:space="preserve">16.1  </w:t>
      </w:r>
      <w:r>
        <w:rPr>
          <w:rFonts w:ascii="Arial" w:cs="Arial" w:eastAsia="Arial" w:hAnsi="Arial"/>
          <w:b w:val="false"/>
          <w:bCs w:val="false"/>
          <w:sz w:val="20"/>
          <w:szCs w:val="20"/>
        </w:rPr>
        <w:t xml:space="preserve">During the Term and for a period of two (2) years following expiration or termination of this Agreement, Client shall not, directly or indirectly, solicit, recruit, or hire any employee, contractor, or consultant of Initech who was involved in the performance of Services under this Agreement. Breach of this provision shall result in the liquidated damages set forth in Section 13.</w:t>
      </w:r>
    </w:p>
    <w:p>
      <w:pPr>
        <w:spacing w:before="120" w:after="80"/>
        <w:jc w:val="both"/>
      </w:pPr>
      <w:r>
        <w:rPr>
          <w:rFonts w:ascii="Arial" w:cs="Arial" w:eastAsia="Arial" w:hAnsi="Arial"/>
          <w:b/>
          <w:bCs/>
          <w:sz w:val="20"/>
          <w:szCs w:val="20"/>
        </w:rPr>
        <w:t xml:space="preserve">16.2  </w:t>
      </w:r>
      <w:r>
        <w:rPr>
          <w:rFonts w:ascii="Arial" w:cs="Arial" w:eastAsia="Arial" w:hAnsi="Arial"/>
          <w:b w:val="false"/>
          <w:bCs w:val="false"/>
          <w:sz w:val="20"/>
          <w:szCs w:val="20"/>
        </w:rPr>
        <w:t xml:space="preserve">Client agrees that, for the duration of any SOW, it will not engage any competitor of Initech (as defined by Initech in its sole discretion) to provide services that are substantially similar to those provided by Initech under such SOW, without Initech's prior written consent. Client's violation of this exclusivity provision shall give Initech the right to terminate the relevant SOW for cause and to invoice Client for all remaining fees under that SOW.</w:t>
      </w:r>
    </w:p>
    <w:p>
      <w:pPr>
        <w:spacing w:before="60" w:after="60"/>
      </w:pPr>
      <w:r>
        <w:t xml:space="preserve"/>
      </w:r>
    </w:p>
    <w:p>
      <w:pPr>
        <w:pStyle w:val="Heading1"/>
        <w:spacing w:before="360" w:after="180"/>
      </w:pPr>
      <w:r>
        <w:rPr>
          <w:rFonts w:ascii="Arial" w:cs="Arial" w:eastAsia="Arial" w:hAnsi="Arial"/>
          <w:b/>
          <w:bCs/>
          <w:color w:val="7B0000"/>
          <w:sz w:val="36"/>
          <w:szCs w:val="36"/>
        </w:rPr>
        <w:t xml:space="preserve">SECTION 17: GENERAL PROVISIONS</w:t>
      </w:r>
    </w:p>
    <w:p>
      <w:pPr>
        <w:spacing w:before="120" w:after="80"/>
        <w:jc w:val="both"/>
      </w:pPr>
      <w:r>
        <w:rPr>
          <w:rFonts w:ascii="Arial" w:cs="Arial" w:eastAsia="Arial" w:hAnsi="Arial"/>
          <w:b/>
          <w:bCs/>
          <w:sz w:val="20"/>
          <w:szCs w:val="20"/>
        </w:rPr>
        <w:t xml:space="preserve">17.1  </w:t>
      </w:r>
      <w:r>
        <w:rPr>
          <w:rFonts w:ascii="Arial" w:cs="Arial" w:eastAsia="Arial" w:hAnsi="Arial"/>
          <w:b w:val="false"/>
          <w:bCs w:val="false"/>
          <w:sz w:val="20"/>
          <w:szCs w:val="20"/>
        </w:rPr>
        <w:t xml:space="preserve">ENTIRE AGREEMENT AND SUPERSESSION. This Agreement constitutes the entire agreement between the parties with respect to its subject matter and supersedes all prior discussions, representations, and agreements. Without limiting the foregoing, this Agreement supersedes any and all terms in Client's purchase orders, vendor policies, or internal procurement guidelines, including Globex's Standard Vendor Playbook, which shall have no legal effect to the extent they conflict with this Agreement.</w:t>
      </w:r>
    </w:p>
    <w:p>
      <w:pPr>
        <w:spacing w:before="120" w:after="80"/>
        <w:jc w:val="both"/>
      </w:pPr>
      <w:r>
        <w:rPr>
          <w:rFonts w:ascii="Arial" w:cs="Arial" w:eastAsia="Arial" w:hAnsi="Arial"/>
          <w:b/>
          <w:bCs/>
          <w:sz w:val="20"/>
          <w:szCs w:val="20"/>
        </w:rPr>
        <w:t xml:space="preserve">17.2  </w:t>
      </w:r>
      <w:r>
        <w:rPr>
          <w:rFonts w:ascii="Arial" w:cs="Arial" w:eastAsia="Arial" w:hAnsi="Arial"/>
          <w:b w:val="false"/>
          <w:bCs w:val="false"/>
          <w:sz w:val="20"/>
          <w:szCs w:val="20"/>
        </w:rPr>
        <w:t xml:space="preserve">AMENDMENTS. This Agreement may only be amended by a written instrument executed by Initech's Chief Revenue Officer and Client's Chief Legal Officer. No other personnel have authority to modify this Agreement.</w:t>
      </w:r>
    </w:p>
    <w:p>
      <w:pPr>
        <w:spacing w:before="120" w:after="80"/>
        <w:jc w:val="both"/>
      </w:pPr>
      <w:r>
        <w:rPr>
          <w:rFonts w:ascii="Arial" w:cs="Arial" w:eastAsia="Arial" w:hAnsi="Arial"/>
          <w:b/>
          <w:bCs/>
          <w:sz w:val="20"/>
          <w:szCs w:val="20"/>
        </w:rPr>
        <w:t xml:space="preserve">17.3  </w:t>
      </w:r>
      <w:r>
        <w:rPr>
          <w:rFonts w:ascii="Arial" w:cs="Arial" w:eastAsia="Arial" w:hAnsi="Arial"/>
          <w:b w:val="false"/>
          <w:bCs w:val="false"/>
          <w:sz w:val="20"/>
          <w:szCs w:val="20"/>
        </w:rPr>
        <w:t xml:space="preserve">SEVERABILITY. If any provision of this Agreement is held invalid or unenforceable, such provision shall be modified to the minimum extent necessary to render it enforceable, and the remaining provisions shall continue in full force and effect.</w:t>
      </w:r>
    </w:p>
    <w:p>
      <w:pPr>
        <w:spacing w:before="120" w:after="80"/>
        <w:jc w:val="both"/>
      </w:pPr>
      <w:r>
        <w:rPr>
          <w:rFonts w:ascii="Arial" w:cs="Arial" w:eastAsia="Arial" w:hAnsi="Arial"/>
          <w:b/>
          <w:bCs/>
          <w:sz w:val="20"/>
          <w:szCs w:val="20"/>
        </w:rPr>
        <w:t xml:space="preserve">17.4  </w:t>
      </w:r>
      <w:r>
        <w:rPr>
          <w:rFonts w:ascii="Arial" w:cs="Arial" w:eastAsia="Arial" w:hAnsi="Arial"/>
          <w:b w:val="false"/>
          <w:bCs w:val="false"/>
          <w:sz w:val="20"/>
          <w:szCs w:val="20"/>
        </w:rPr>
        <w:t xml:space="preserve">NOTICES. All notices must be in writing and delivered by overnight courier or email with read receipt to the addresses set forth on the signature page. Notices to Initech must be copied to Initech's General Counsel.</w:t>
      </w:r>
    </w:p>
    <w:p>
      <w:pPr>
        <w:spacing w:before="120" w:after="80"/>
        <w:jc w:val="both"/>
      </w:pPr>
      <w:r>
        <w:rPr>
          <w:rFonts w:ascii="Arial" w:cs="Arial" w:eastAsia="Arial" w:hAnsi="Arial"/>
          <w:b/>
          <w:bCs/>
          <w:sz w:val="20"/>
          <w:szCs w:val="20"/>
        </w:rPr>
        <w:t xml:space="preserve">17.5  </w:t>
      </w:r>
      <w:r>
        <w:rPr>
          <w:rFonts w:ascii="Arial" w:cs="Arial" w:eastAsia="Arial" w:hAnsi="Arial"/>
          <w:b w:val="false"/>
          <w:bCs w:val="false"/>
          <w:sz w:val="20"/>
          <w:szCs w:val="20"/>
        </w:rPr>
        <w:t xml:space="preserve">ASSIGNMENT. Initech may freely assign this Agreement and any rights or obligations hereunder, including in connection with a merger, acquisition, or sale of assets. Client may not assign this Agreement without Initech's prior written consent, which may be withheld in Initech's sole discretion. Any purported assignment by Client without consent shall be void.</w:t>
      </w:r>
    </w:p>
    <w:p>
      <w:pPr>
        <w:spacing w:before="120" w:after="80"/>
        <w:jc w:val="both"/>
      </w:pPr>
      <w:r>
        <w:rPr>
          <w:rFonts w:ascii="Arial" w:cs="Arial" w:eastAsia="Arial" w:hAnsi="Arial"/>
          <w:b/>
          <w:bCs/>
          <w:sz w:val="20"/>
          <w:szCs w:val="20"/>
        </w:rPr>
        <w:t xml:space="preserve">17.6  </w:t>
      </w:r>
      <w:r>
        <w:rPr>
          <w:rFonts w:ascii="Arial" w:cs="Arial" w:eastAsia="Arial" w:hAnsi="Arial"/>
          <w:b w:val="false"/>
          <w:bCs w:val="false"/>
          <w:sz w:val="20"/>
          <w:szCs w:val="20"/>
        </w:rPr>
        <w:t xml:space="preserve">COUNTERPARTS. This Agreement may be executed in counterparts. Electronic signatures are accepted but must be accompanied by confirmation from Client's authorized signatory.</w:t>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SCHEDULE A: PLAYBOOK CONFLICT ANALYSIS MATRIX</w:t>
      </w:r>
    </w:p>
    <w:p>
      <w:pPr>
        <w:spacing w:before="80" w:after="80"/>
        <w:jc w:val="both"/>
      </w:pPr>
      <w:r>
        <w:rPr>
          <w:rFonts w:ascii="Arial" w:cs="Arial" w:eastAsia="Arial" w:hAnsi="Arial"/>
          <w:sz w:val="20"/>
          <w:szCs w:val="20"/>
        </w:rPr>
        <w:t xml:space="preserve">The following matrix provides a comprehensive analysis of the deviations between this Agreement and the Globex Corporation Standard Vendor Playbook v4.2. This analysis is provided for purposes of AI contract analysis testing only and reflects the intentional, adversarial nature of these vendor standard terms.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Playbook Standard</w:t>
            </w:r>
          </w:p>
        </w:tc>
        <w:tc>
          <w:tcPr>
            <w:tcW w:type="dxa" w:w="22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Playbook Requirement</w:t>
            </w:r>
          </w:p>
        </w:tc>
        <w:tc>
          <w:tcPr>
            <w:tcW w:type="dxa" w:w="22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This Agreement</w:t>
            </w:r>
          </w:p>
        </w:tc>
        <w:tc>
          <w:tcPr>
            <w:tcW w:type="dxa" w:w="21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Conflict Status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Payment Terms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Net 30 days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Net 90 days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CONFLICT ***</w:t>
            </w:r>
          </w:p>
        </w:tc>
      </w:tr>
      <w:tr>
        <w:tc>
          <w:tcPr>
            <w:tcW w:type="dxa" w:w="28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Termination for Convenience</w:t>
            </w:r>
          </w:p>
        </w:tc>
        <w:tc>
          <w:tcPr>
            <w:tcW w:type="dxa" w:w="22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30 days written notice</w:t>
            </w:r>
          </w:p>
        </w:tc>
        <w:tc>
          <w:tcPr>
            <w:tcW w:type="dxa" w:w="22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NOT PERMITTED</w:t>
            </w:r>
          </w:p>
        </w:tc>
        <w:tc>
          <w:tcPr>
            <w:tcW w:type="dxa" w:w="21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 CONFLICT ***</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Governing Law</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State of Delaware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State of New York</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CONFLICT ***</w:t>
            </w:r>
          </w:p>
        </w:tc>
      </w:tr>
      <w:tr>
        <w:tc>
          <w:tcPr>
            <w:tcW w:type="dxa" w:w="28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Liability Cap</w:t>
            </w:r>
          </w:p>
        </w:tc>
        <w:tc>
          <w:tcPr>
            <w:tcW w:type="dxa" w:w="22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100% of 12-month fees</w:t>
            </w:r>
          </w:p>
        </w:tc>
        <w:tc>
          <w:tcPr>
            <w:tcW w:type="dxa" w:w="22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UNCAPPED – Both Parties</w:t>
            </w:r>
          </w:p>
        </w:tc>
        <w:tc>
          <w:tcPr>
            <w:tcW w:type="dxa" w:w="21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 CONFLICT ***</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Data Breach Notification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48 hours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7 calendar days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CONFLICT ***</w:t>
            </w:r>
          </w:p>
        </w:tc>
      </w:tr>
    </w:tbl>
    <w:p>
      <w:pPr>
        <w:spacing w:before="60" w:after="60"/>
      </w:pPr>
      <w:r>
        <w:t xml:space="preserve"/>
      </w:r>
    </w:p>
    <w:p>
      <w:pPr>
        <w:spacing w:before="60" w:after="60"/>
      </w:pPr>
      <w:r>
        <w:t xml:space="preserve"/>
      </w:r>
    </w:p>
    <w:p>
      <w:pPr>
        <w:pBdr>
          <w:top w:val="single" w:color="7B0000" w:sz="6"/>
          <w:bottom w:val="single" w:color="7B0000" w:sz="6"/>
        </w:pBdr>
        <w:spacing w:before="120" w:after="120"/>
        <w:jc w:val="center"/>
      </w:pPr>
      <w:r>
        <w:rPr>
          <w:rFonts w:ascii="Arial" w:cs="Arial" w:eastAsia="Arial" w:hAnsi="Arial"/>
          <w:b/>
          <w:bCs/>
          <w:color w:val="7B0000"/>
          <w:sz w:val="20"/>
          <w:szCs w:val="20"/>
        </w:rPr>
        <w:t xml:space="preserve">SUMMARY OF CRITICAL CONFLICTS: This Agreement contains FIVE (5) material conflicts with the Globex Standard Vendor Playbook. CLO approval is REQUIRED before execution. This Agreement, as drafted, is NOT approved for execution.</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SCHEDULE B: INTELLECTUAL PROPERTY ASSIGNMENT DETAILS</w:t>
      </w:r>
    </w:p>
    <w:p>
      <w:pPr>
        <w:spacing w:before="80" w:after="80"/>
        <w:jc w:val="both"/>
      </w:pPr>
      <w:r>
        <w:rPr>
          <w:rFonts w:ascii="Arial" w:cs="Arial" w:eastAsia="Arial" w:hAnsi="Arial"/>
          <w:sz w:val="20"/>
          <w:szCs w:val="20"/>
        </w:rPr>
        <w:t xml:space="preserve">The following provisions supplement the IP framework set forth in Section 4 and provide additional detail on the scope and mechanics of the intellectual property assignment and license terms applicable to this engagement.</w:t>
      </w:r>
    </w:p>
    <w:p>
      <w:pPr>
        <w:spacing w:before="60" w:after="60"/>
      </w:pPr>
      <w:r>
        <w:t xml:space="preserve"/>
      </w:r>
    </w:p>
    <w:p>
      <w:pPr>
        <w:pStyle w:val="Heading3"/>
        <w:spacing w:before="180" w:after="80"/>
      </w:pPr>
      <w:r>
        <w:rPr>
          <w:rFonts w:ascii="Arial" w:cs="Arial" w:eastAsia="Arial" w:hAnsi="Arial"/>
          <w:b/>
          <w:bCs/>
          <w:color w:val="A00000"/>
          <w:sz w:val="22"/>
          <w:szCs w:val="22"/>
        </w:rPr>
        <w:t xml:space="preserve">B.1  Pre-Existing IP Registry</w:t>
      </w:r>
    </w:p>
    <w:p>
      <w:pPr>
        <w:spacing w:before="80" w:after="80"/>
        <w:jc w:val="both"/>
      </w:pPr>
      <w:r>
        <w:rPr>
          <w:rFonts w:ascii="Arial" w:cs="Arial" w:eastAsia="Arial" w:hAnsi="Arial"/>
          <w:sz w:val="20"/>
          <w:szCs w:val="20"/>
        </w:rPr>
        <w:t xml:space="preserve">Initech shall maintain a registry of all Background IP embedded in the Deliverables. Client acknowledges that such Background IP is identified by reference to Initech's internal product taxonomy and that Client's right to use such Background IP is limited to the license grant specified in the IP Assignment Matrix above.</w:t>
      </w:r>
    </w:p>
    <w:p>
      <w:pPr>
        <w:pStyle w:val="Heading3"/>
        <w:spacing w:before="180" w:after="80"/>
      </w:pPr>
      <w:r>
        <w:rPr>
          <w:rFonts w:ascii="Arial" w:cs="Arial" w:eastAsia="Arial" w:hAnsi="Arial"/>
          <w:b/>
          <w:bCs/>
          <w:color w:val="A00000"/>
          <w:sz w:val="22"/>
          <w:szCs w:val="22"/>
        </w:rPr>
        <w:t xml:space="preserve">B.2  IP Transfer Mechanics</w:t>
      </w:r>
    </w:p>
    <w:p>
      <w:pPr>
        <w:spacing w:before="80" w:after="80"/>
        <w:jc w:val="both"/>
      </w:pPr>
      <w:r>
        <w:rPr>
          <w:rFonts w:ascii="Arial" w:cs="Arial" w:eastAsia="Arial" w:hAnsi="Arial"/>
          <w:sz w:val="20"/>
          <w:szCs w:val="20"/>
        </w:rPr>
        <w:t xml:space="preserve">To the extent any SOW specifies that ownership of specific Deliverables shall transfer to Client, such transfer shall be subject to: (a) Client's payment in full of all fees under the relevant SOW; (b) execution of a separate IP Transfer Agreement in Initech's standard form; and (c) payment of Initech's standard IP transfer fee, which shall be quoted at the time of SOW execution.</w:t>
      </w:r>
    </w:p>
    <w:p>
      <w:pPr>
        <w:pStyle w:val="Heading3"/>
        <w:spacing w:before="180" w:after="80"/>
      </w:pPr>
      <w:r>
        <w:rPr>
          <w:rFonts w:ascii="Arial" w:cs="Arial" w:eastAsia="Arial" w:hAnsi="Arial"/>
          <w:b/>
          <w:bCs/>
          <w:color w:val="A00000"/>
          <w:sz w:val="22"/>
          <w:szCs w:val="22"/>
        </w:rPr>
        <w:t xml:space="preserve">B.3  License Restrictions</w:t>
      </w:r>
    </w:p>
    <w:p>
      <w:pPr>
        <w:spacing w:before="80" w:after="80"/>
        <w:jc w:val="both"/>
      </w:pPr>
      <w:r>
        <w:rPr>
          <w:rFonts w:ascii="Arial" w:cs="Arial" w:eastAsia="Arial" w:hAnsi="Arial"/>
          <w:sz w:val="20"/>
          <w:szCs w:val="20"/>
        </w:rPr>
        <w:t xml:space="preserve">Client's license to use Deliverables that remain owned by Initech is subject to the following restrictions: (a) internal use only; (b) no sub-licensing; (c) no distribution; (d) no use in any product or service offered to third parties; (e) no modification without Initech's written consent; and (f) automatic termination upon expiry or termination of this Agreement, regardless of the reason for termination.</w:t>
      </w:r>
    </w:p>
    <w:p>
      <w:pPr>
        <w:pStyle w:val="Heading3"/>
        <w:spacing w:before="180" w:after="80"/>
      </w:pPr>
      <w:r>
        <w:rPr>
          <w:rFonts w:ascii="Arial" w:cs="Arial" w:eastAsia="Arial" w:hAnsi="Arial"/>
          <w:b/>
          <w:bCs/>
          <w:color w:val="A00000"/>
          <w:sz w:val="22"/>
          <w:szCs w:val="22"/>
        </w:rPr>
        <w:t xml:space="preserve">B.4  Open Source Disclosure</w:t>
      </w:r>
    </w:p>
    <w:p>
      <w:pPr>
        <w:spacing w:before="80" w:after="80"/>
        <w:jc w:val="both"/>
      </w:pPr>
      <w:r>
        <w:rPr>
          <w:rFonts w:ascii="Arial" w:cs="Arial" w:eastAsia="Arial" w:hAnsi="Arial"/>
          <w:sz w:val="20"/>
          <w:szCs w:val="20"/>
        </w:rPr>
        <w:t xml:space="preserve">Initech may incorporate open-source software components into the Deliverables. Client is responsible for reviewing and complying with all applicable open-source licenses. Initech shall provide a written open-source disclosure schedule within thirty (30) days of SOW execution, and Client's acceptance of the Deliverables shall constitute acceptance of all disclosed open-source terms.</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SCHEDULE C: PAYMENT SCHEDULE AND MINIMUM COMMITMENTS</w:t>
      </w:r>
    </w:p>
    <w:p>
      <w:pPr>
        <w:spacing w:before="80" w:after="80"/>
        <w:jc w:val="both"/>
      </w:pPr>
      <w:r>
        <w:rPr>
          <w:rFonts w:ascii="Arial" w:cs="Arial" w:eastAsia="Arial" w:hAnsi="Arial"/>
          <w:sz w:val="20"/>
          <w:szCs w:val="20"/>
        </w:rPr>
        <w:t xml:space="preserve">This Schedule provides additional detail on payment mechanics, minimum commitment calculations, and the true-up process applicable to Client's financial obligations under this Agreement.</w:t>
      </w:r>
    </w:p>
    <w:p>
      <w:pPr>
        <w:spacing w:before="60" w:after="60"/>
      </w:pPr>
      <w:r>
        <w:t xml:space="preserve"/>
      </w:r>
    </w:p>
    <w:p>
      <w:pPr>
        <w:pStyle w:val="Heading3"/>
        <w:spacing w:before="180" w:after="80"/>
      </w:pPr>
      <w:r>
        <w:rPr>
          <w:rFonts w:ascii="Arial" w:cs="Arial" w:eastAsia="Arial" w:hAnsi="Arial"/>
          <w:b/>
          <w:bCs/>
          <w:color w:val="A00000"/>
          <w:sz w:val="22"/>
          <w:szCs w:val="22"/>
        </w:rPr>
        <w:t xml:space="preserve">C.1  Invoice Schedule</w:t>
      </w:r>
    </w:p>
    <w:p>
      <w:pPr>
        <w:spacing w:before="80" w:after="80"/>
        <w:jc w:val="both"/>
      </w:pPr>
      <w:r>
        <w:rPr>
          <w:rFonts w:ascii="Arial" w:cs="Arial" w:eastAsia="Arial" w:hAnsi="Arial"/>
          <w:sz w:val="20"/>
          <w:szCs w:val="20"/>
        </w:rPr>
        <w:t xml:space="preserve">Unless otherwise specified in an SOW, Initech shall issue invoices as follows: (a) implementation fees: upon SOW execution (50%) and project go-live (50%); (b) subscription fees: monthly in advance; (c) professional services fees: monthly in arrears based on hours incurred; (d) change order fees: upon execution of each Change Order; (e) true-up fees: annually, within thirty (30) days of each SOW anniversary date.</w:t>
      </w:r>
    </w:p>
    <w:p>
      <w:pPr>
        <w:pStyle w:val="Heading3"/>
        <w:spacing w:before="180" w:after="80"/>
      </w:pPr>
      <w:r>
        <w:rPr>
          <w:rFonts w:ascii="Arial" w:cs="Arial" w:eastAsia="Arial" w:hAnsi="Arial"/>
          <w:b/>
          <w:bCs/>
          <w:color w:val="A00000"/>
          <w:sz w:val="22"/>
          <w:szCs w:val="22"/>
        </w:rPr>
        <w:t xml:space="preserve">C.2  Minimum Annual Commitment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Minimum Annual Commitment</w:t>
            </w:r>
          </w:p>
        </w:tc>
        <w:tc>
          <w:tcPr>
            <w:tcW w:type="dxa" w:w="2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Invoiced Amount</w:t>
            </w:r>
          </w:p>
        </w:tc>
        <w:tc>
          <w:tcPr>
            <w:tcW w:type="dxa" w:w="28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True-Up Amount (if any)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Year 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[As specified in SOW]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[Actual invoiced]</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Shortfall payable within 30 days</w:t>
            </w:r>
          </w:p>
        </w:tc>
      </w:tr>
      <w:tr>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Year 2</w:t>
            </w:r>
          </w:p>
        </w:tc>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[Year 1 + annual escalation]</w:t>
            </w:r>
          </w:p>
        </w:tc>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[Actual invoiced]</w:t>
            </w:r>
          </w:p>
        </w:tc>
        <w:tc>
          <w:tcPr>
            <w:tcW w:type="dxa" w:w="2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Shortfall payable within 30 days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Year 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[Year 2 + annual escalation]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[Actual invoiced]</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Shortfall payable within 30 days</w:t>
            </w:r>
          </w:p>
        </w:tc>
      </w:tr>
      <w:tr>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Year 4</w:t>
            </w:r>
          </w:p>
        </w:tc>
        <w:tc>
          <w:tcPr>
            <w:tcW w:type="dxa" w:w="2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[Year 3 + annual escalation]</w:t>
            </w:r>
          </w:p>
        </w:tc>
        <w:tc>
          <w:tcPr>
            <w:tcW w:type="dxa" w:w="20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[Actual invoiced]</w:t>
            </w:r>
          </w:p>
        </w:tc>
        <w:tc>
          <w:tcPr>
            <w:tcW w:type="dxa" w:w="2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Shortfall payable within 30 days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Year 5</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[Year 4 + annual escalation]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[Actual invoiced]</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Shortfall payable within 30 days</w:t>
            </w:r>
          </w:p>
        </w:tc>
      </w:tr>
    </w:tbl>
    <w:p>
      <w:pPr>
        <w:spacing w:before="60" w:after="60"/>
      </w:pPr>
      <w:r>
        <w:t xml:space="preserve"/>
      </w:r>
    </w:p>
    <w:p>
      <w:pPr>
        <w:spacing w:before="60" w:after="60"/>
      </w:pPr>
      <w:r>
        <w:t xml:space="preserve"/>
      </w:r>
    </w:p>
    <w:p>
      <w:pPr>
        <w:pStyle w:val="Heading3"/>
        <w:spacing w:before="180" w:after="80"/>
      </w:pPr>
      <w:r>
        <w:rPr>
          <w:rFonts w:ascii="Arial" w:cs="Arial" w:eastAsia="Arial" w:hAnsi="Arial"/>
          <w:b/>
          <w:bCs/>
          <w:color w:val="A00000"/>
          <w:sz w:val="22"/>
          <w:szCs w:val="22"/>
        </w:rPr>
        <w:t xml:space="preserve">C.3  Annual Fee Escalation</w:t>
      </w:r>
    </w:p>
    <w:p>
      <w:pPr>
        <w:spacing w:before="80" w:after="80"/>
        <w:jc w:val="both"/>
      </w:pPr>
      <w:r>
        <w:rPr>
          <w:rFonts w:ascii="Arial" w:cs="Arial" w:eastAsia="Arial" w:hAnsi="Arial"/>
          <w:sz w:val="20"/>
          <w:szCs w:val="20"/>
        </w:rPr>
        <w:t xml:space="preserve">Initech's fees are subject to an annual escalation equal to the greater of: (a) five percent (5%); or (b) the year-over-year change in the U.S. Consumer Price Index for All Urban Consumers (CPI-U). Initech shall notify Client of the applicable annual escalation in writing no later than sixty (60) days prior to each SOW anniversary date.</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7B0000"/>
          <w:sz w:val="36"/>
          <w:szCs w:val="36"/>
        </w:rPr>
        <w:t xml:space="preserve">SIGNATURE PAGE</w:t>
      </w:r>
    </w:p>
    <w:p>
      <w:pPr>
        <w:spacing w:before="80" w:after="80"/>
        <w:jc w:val="both"/>
      </w:pPr>
      <w:r>
        <w:rPr>
          <w:rFonts w:ascii="Arial" w:cs="Arial" w:eastAsia="Arial" w:hAnsi="Arial"/>
          <w:sz w:val="20"/>
          <w:szCs w:val="20"/>
        </w:rPr>
        <w:t xml:space="preserve">IN WITNESS WHEREOF, the parties have executed this Master Services Agreement as of the Effective Date. THE PERSON SIGNING ON BEHALF OF CLIENT REPRESENTS AND WARRANTS THAT THEY HAVE READ THIS AGREEMENT IN ITS ENTIRETY, UNDERSTAND ITS TERMS, AND HAVE AUTHORITY TO BIND CLIENT.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INITECH INC.</w:t>
            </w:r>
          </w:p>
        </w:tc>
        <w:tc>
          <w:tcPr>
            <w:tcW w:type="dxa" w:w="48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tcPr>
          <w:p>
            <w:r>
              <w:rPr>
                <w:rFonts w:ascii="Arial" w:cs="Arial" w:eastAsia="Arial" w:hAnsi="Arial"/>
                <w:b/>
                <w:bCs/>
                <w:color w:val="FFFFFF"/>
                <w:sz w:val="18"/>
                <w:szCs w:val="18"/>
              </w:rPr>
              <w:t xml:space="preserve">GLOBEX CORPORATION</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Signature: ___________________________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Signature: ___________________________</w:t>
            </w:r>
          </w:p>
        </w:tc>
      </w:tr>
      <w:tr>
        <w:tc>
          <w:tcPr>
            <w:tcW w:type="dxa" w:w="4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Name: ___________________________</w:t>
            </w:r>
          </w:p>
        </w:tc>
        <w:tc>
          <w:tcPr>
            <w:tcW w:type="dxa" w:w="4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Name: ___________________________</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Title: ___________________________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Title: ___________________________</w:t>
            </w:r>
          </w:p>
        </w:tc>
      </w:tr>
      <w:tr>
        <w:tc>
          <w:tcPr>
            <w:tcW w:type="dxa" w:w="450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Date: ___________________________</w:t>
            </w:r>
          </w:p>
        </w:tc>
        <w:tc>
          <w:tcPr>
            <w:tcW w:type="dxa" w:w="4860"/>
            <w:tcBorders>
              <w:top w:val="single" w:color="AAAAAA" w:sz="1"/>
              <w:left w:val="single" w:color="AAAAAA" w:sz="1"/>
              <w:bottom w:val="single" w:color="AAAAAA" w:sz="1"/>
              <w:right w:val="single" w:color="AAAAAA" w:sz="1"/>
            </w:tcBorders>
            <w:shd w:fill="FDF0F0" w:val="clear"/>
            <w:tcMar>
              <w:top w:type="dxa" w:w="80"/>
              <w:left w:type="dxa" w:w="120"/>
              <w:bottom w:type="dxa" w:w="80"/>
              <w:right w:type="dxa" w:w="120"/>
            </w:tcMar>
          </w:tcPr>
          <w:p>
            <w:r>
              <w:rPr>
                <w:rFonts w:ascii="Arial" w:cs="Arial" w:eastAsia="Arial" w:hAnsi="Arial"/>
                <w:sz w:val="18"/>
                <w:szCs w:val="18"/>
              </w:rPr>
              <w:t xml:space="preserve">Date: ___________________________</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Address: 800 Park Avenue, New York, NY 10021</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Address: 100 Enterprise Drive, Wilmington, DE 19801</w:t>
            </w:r>
          </w:p>
        </w:tc>
      </w:tr>
    </w:tbl>
    <w:p>
      <w:pPr>
        <w:spacing w:before="60" w:after="60"/>
      </w:pPr>
      <w:r>
        <w:t xml:space="preserve"/>
      </w:r>
    </w:p>
    <w:p>
      <w:pPr>
        <w:spacing w:before="60" w:after="60"/>
      </w:pPr>
      <w:r>
        <w:t xml:space="preserve"/>
      </w:r>
    </w:p>
    <w:p>
      <w:pPr>
        <w:pBdr>
          <w:top w:val="single" w:color="7B0000" w:sz="6"/>
        </w:pBdr>
        <w:spacing w:before="240" w:after="60"/>
        <w:jc w:val="center"/>
      </w:pPr>
      <w:r>
        <w:rPr>
          <w:rFonts w:ascii="Arial" w:cs="Arial" w:eastAsia="Arial" w:hAnsi="Arial"/>
          <w:b/>
          <w:bCs/>
          <w:color w:val="7B0000"/>
          <w:sz w:val="18"/>
          <w:szCs w:val="18"/>
        </w:rPr>
        <w:t xml:space="preserve">— END OF AGREEMENT — THIS AGREEMENT CONTAINS MATERIAL CONFLICTS WITH GLOBEX PLAYBOOK — CLO REVIEW REQUIRED —</w:t>
      </w:r>
    </w:p>
    <w:p>
      <w:pPr>
        <w:jc w:val="center"/>
      </w:pPr>
      <w:r>
        <w:rPr>
          <w:rFonts w:ascii="Arial" w:cs="Arial" w:eastAsia="Arial" w:hAnsi="Arial"/>
          <w:color w:val="888888"/>
          <w:sz w:val="16"/>
          <w:szCs w:val="16"/>
        </w:rPr>
        <w:t xml:space="preserve">INITECH-GLOBEX-MSA-2025-007  |  Initech Inc. Standard Terms v7.3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0000" w:sz="6" w:space="1"/>
      </w:pBdr>
      <w:tabs>
        <w:tab w:val="right" w:pos="9360"/>
      </w:tabs>
    </w:pPr>
    <w:r>
      <w:rPr>
        <w:rFonts w:ascii="Arial" w:cs="Arial" w:eastAsia="Arial" w:hAnsi="Arial"/>
        <w:color w:val="666666"/>
        <w:sz w:val="16"/>
        <w:szCs w:val="16"/>
      </w:rPr>
      <w:t xml:space="preserve">Initech Inc MSA | Ref: INITECH-GLOBEX-MSA-2025-007 | Initech Proprietary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000" w:sz="6" w:space="1"/>
      </w:pBdr>
      <w:spacing w:after="120"/>
    </w:pPr>
    <w:r>
      <w:rPr>
        <w:rFonts w:ascii="Arial" w:cs="Arial" w:eastAsia="Arial" w:hAnsi="Arial"/>
        <w:b/>
        <w:bCs/>
        <w:color w:val="7B0000"/>
        <w:sz w:val="18"/>
        <w:szCs w:val="18"/>
      </w:rPr>
      <w:t xml:space="preserve">INITECH INC – MASTER SERVICES AGREEMENT</w:t>
    </w:r>
    <w:r>
      <w:rPr>
        <w:rFonts w:ascii="Arial" w:cs="Arial" w:eastAsia="Arial" w:hAnsi="Arial"/>
        <w:color w:val="666666"/>
        <w:sz w:val="16"/>
        <w:szCs w:val="16"/>
      </w:rPr>
      <w:t xml:space="preserve">  |  VENDOR STANDARD TERMS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7B00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7B000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A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2026-03-14T07:49:05.224Z</dcterms:created>
  <dcterms:modified xsi:type="dcterms:W3CDTF">2026-03-14T07:49:05.225Z</dcterms:modified>
</cp:coreProperties>
</file>

<file path=docProps/custom.xml><?xml version="1.0" encoding="utf-8"?>
<Properties xmlns="http://schemas.openxmlformats.org/officeDocument/2006/custom-properties" xmlns:vt="http://schemas.openxmlformats.org/officeDocument/2006/docPropsVTypes"/>
</file>