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1A4D2E"/>
          <w:sz w:val="52"/>
          <w:szCs w:val="52"/>
        </w:rPr>
        <w:t xml:space="preserve">MASTER SERVICES AGREEMENT</w:t>
      </w:r>
    </w:p>
    <w:p>
      <w:pPr>
        <w:spacing w:before="0" w:after="120"/>
        <w:jc w:val="center"/>
      </w:pPr>
      <w:r>
        <w:rPr>
          <w:rFonts w:ascii="Arial" w:cs="Arial" w:eastAsia="Arial" w:hAnsi="Arial"/>
          <w:color w:val="444444"/>
          <w:sz w:val="28"/>
          <w:szCs w:val="28"/>
        </w:rPr>
        <w:t xml:space="preserve">Between</w:t>
      </w:r>
    </w:p>
    <w:p>
      <w:pPr>
        <w:spacing w:before="0" w:after="60"/>
        <w:jc w:val="center"/>
      </w:pPr>
      <w:r>
        <w:rPr>
          <w:rFonts w:ascii="Arial" w:cs="Arial" w:eastAsia="Arial" w:hAnsi="Arial"/>
          <w:b/>
          <w:bCs/>
          <w:color w:val="1A4D2E"/>
          <w:sz w:val="36"/>
          <w:szCs w:val="36"/>
        </w:rPr>
        <w:t xml:space="preserve">ACME CORPORATION</w:t>
      </w:r>
    </w:p>
    <w:p>
      <w:pPr>
        <w:spacing w:before="0" w:after="60"/>
        <w:jc w:val="center"/>
      </w:pPr>
      <w:r>
        <w:rPr>
          <w:rFonts w:ascii="Arial" w:cs="Arial" w:eastAsia="Arial" w:hAnsi="Arial"/>
          <w:color w:val="444444"/>
          <w:sz w:val="22"/>
          <w:szCs w:val="22"/>
        </w:rPr>
        <w:t xml:space="preserve">a Delaware corporation ('Service Provider')</w:t>
      </w:r>
    </w:p>
    <w:p>
      <w:pPr>
        <w:spacing w:before="0" w:after="60"/>
        <w:jc w:val="center"/>
      </w:pPr>
      <w:r>
        <w:rPr>
          <w:rFonts w:ascii="Arial" w:cs="Arial" w:eastAsia="Arial" w:hAnsi="Arial"/>
          <w:b/>
          <w:bCs/>
          <w:color w:val="888888"/>
          <w:sz w:val="24"/>
          <w:szCs w:val="24"/>
        </w:rPr>
        <w:t xml:space="preserve">AND</w:t>
      </w:r>
    </w:p>
    <w:p>
      <w:pPr>
        <w:spacing w:before="0" w:after="60"/>
        <w:jc w:val="center"/>
      </w:pPr>
      <w:r>
        <w:rPr>
          <w:rFonts w:ascii="Arial" w:cs="Arial" w:eastAsia="Arial" w:hAnsi="Arial"/>
          <w:b/>
          <w:bCs/>
          <w:color w:val="1F3864"/>
          <w:sz w:val="36"/>
          <w:szCs w:val="36"/>
        </w:rPr>
        <w:t xml:space="preserve">GLOBEX CORPORATION</w:t>
      </w:r>
    </w:p>
    <w:p>
      <w:pPr>
        <w:spacing w:before="0" w:after="60"/>
        <w:jc w:val="center"/>
      </w:pPr>
      <w:r>
        <w:rPr>
          <w:rFonts w:ascii="Arial" w:cs="Arial" w:eastAsia="Arial" w:hAnsi="Arial"/>
          <w:color w:val="444444"/>
          <w:sz w:val="22"/>
          <w:szCs w:val="22"/>
        </w:rPr>
        <w:t xml:space="preserve">a Delaware corporation ('Client')</w:t>
      </w:r>
    </w:p>
    <w:p>
      <w:pPr>
        <w:spacing w:before="60" w:after="60"/>
      </w:pPr>
      <w:r>
        <w:t xml:space="preserve"/>
      </w:r>
    </w:p>
    <w:p>
      <w:pPr>
        <w:spacing w:before="60" w:after="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Agreement Reference</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ACME-GLOBEX-MSA-2025-001</w:t>
            </w:r>
          </w:p>
        </w:tc>
      </w:tr>
      <w:tr>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Effective Date</w:t>
            </w:r>
          </w:p>
        </w:tc>
        <w:tc>
          <w:tcPr>
            <w:tcW w:type="dxa" w:w="34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February 1, 2025</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Initial Term</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Three (3) years</w:t>
            </w:r>
          </w:p>
        </w:tc>
      </w:tr>
      <w:tr>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Governing Law</w:t>
            </w:r>
          </w:p>
        </w:tc>
        <w:tc>
          <w:tcPr>
            <w:tcW w:type="dxa" w:w="34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State of Delaware, United States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Agreement Version</w:t>
            </w:r>
          </w:p>
        </w:tc>
        <w:tc>
          <w:tcPr>
            <w:tcW w:type="dxa" w:w="3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1.0 – Execution Copy</w:t>
            </w:r>
          </w:p>
        </w:tc>
      </w:tr>
    </w:tbl>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color w:val="1A4D2E"/>
          <w:sz w:val="36"/>
          <w:szCs w:val="36"/>
        </w:rPr>
        <w:t xml:space="preserve">RECITALS</w:t>
      </w:r>
    </w:p>
    <w:p>
      <w:pPr>
        <w:spacing w:before="80" w:after="80"/>
        <w:jc w:val="both"/>
      </w:pPr>
      <w:r>
        <w:rPr>
          <w:rFonts w:ascii="Arial" w:cs="Arial" w:eastAsia="Arial" w:hAnsi="Arial"/>
          <w:sz w:val="20"/>
          <w:szCs w:val="20"/>
        </w:rPr>
        <w:t xml:space="preserve">WHEREAS, ACME Corporation ("ACME" or "Service Provider") is a corporation duly organized and existing under the laws of the State of Delaware, engaged in the business of providing enterprise technology consulting, software development, and managed services;</w:t>
      </w:r>
    </w:p>
    <w:p>
      <w:pPr>
        <w:spacing w:before="80" w:after="80"/>
        <w:jc w:val="both"/>
      </w:pPr>
      <w:r>
        <w:rPr>
          <w:rFonts w:ascii="Arial" w:cs="Arial" w:eastAsia="Arial" w:hAnsi="Arial"/>
          <w:sz w:val="20"/>
          <w:szCs w:val="20"/>
        </w:rPr>
        <w:t xml:space="preserve">WHEREAS, Globex Corporation ("Globex" or "Client") is a corporation duly organized and existing under the laws of the State of Delaware, and desires to engage ACME to provide certain services as set forth herein and in applicable Statements of Work;</w:t>
      </w:r>
    </w:p>
    <w:p>
      <w:pPr>
        <w:spacing w:before="80" w:after="80"/>
        <w:jc w:val="both"/>
      </w:pPr>
      <w:r>
        <w:rPr>
          <w:rFonts w:ascii="Arial" w:cs="Arial" w:eastAsia="Arial" w:hAnsi="Arial"/>
          <w:sz w:val="20"/>
          <w:szCs w:val="20"/>
        </w:rPr>
        <w:t xml:space="preserve">WHEREAS, both parties desire to establish the terms and conditions under which ACME will provide services to Globex, and have negotiated this Master Services Agreement in good faith with the mutual objective of establishing a compliant, mutually beneficial, and long-term business relationship;</w:t>
      </w:r>
    </w:p>
    <w:p>
      <w:pPr>
        <w:spacing w:before="80" w:after="80"/>
        <w:jc w:val="both"/>
      </w:pPr>
      <w:r>
        <w:rPr>
          <w:rFonts w:ascii="Arial" w:cs="Arial" w:eastAsia="Arial" w:hAnsi="Arial"/>
          <w:sz w:val="20"/>
          <w:szCs w:val="20"/>
        </w:rPr>
        <w:t xml:space="preserve">NOW, THEREFORE, in consideration of the mutual covenants and agreements contained herein, and for other good and valuable consideration, the receipt and sufficiency of which are hereby acknowledged, the parties agree as follows:</w:t>
      </w:r>
    </w:p>
    <w:p>
      <w:pPr>
        <w:spacing w:before="60" w:after="60"/>
      </w:pPr>
      <w:r>
        <w:t xml:space="preserve"/>
      </w:r>
    </w:p>
    <w:p>
      <w:r>
        <w:br w:type="page"/>
      </w:r>
    </w:p>
    <w:p>
      <w:pPr>
        <w:pStyle w:val="Heading1"/>
        <w:spacing w:before="360" w:after="180"/>
      </w:pPr>
      <w:r>
        <w:rPr>
          <w:rFonts w:ascii="Arial" w:cs="Arial" w:eastAsia="Arial" w:hAnsi="Arial"/>
          <w:b/>
          <w:bCs/>
          <w:color w:val="1A4D2E"/>
          <w:sz w:val="36"/>
          <w:szCs w:val="36"/>
        </w:rPr>
        <w:t xml:space="preserve">SECTION 1: DEFINITIONS</w:t>
      </w:r>
    </w:p>
    <w:p>
      <w:pPr>
        <w:spacing w:before="120" w:after="80"/>
        <w:jc w:val="both"/>
      </w:pPr>
      <w:r>
        <w:rPr>
          <w:rFonts w:ascii="Arial" w:cs="Arial" w:eastAsia="Arial" w:hAnsi="Arial"/>
          <w:b/>
          <w:bCs/>
          <w:sz w:val="20"/>
          <w:szCs w:val="20"/>
        </w:rPr>
        <w:t xml:space="preserve">1.1  </w:t>
      </w:r>
      <w:r>
        <w:rPr>
          <w:rFonts w:ascii="Arial" w:cs="Arial" w:eastAsia="Arial" w:hAnsi="Arial"/>
          <w:sz w:val="20"/>
          <w:szCs w:val="20"/>
        </w:rPr>
        <w:t xml:space="preserve">"Agreement" means this Master Services Agreement together with all Schedules, Exhibits, and Statements of Work incorporated herein by reference.</w:t>
      </w:r>
    </w:p>
    <w:p>
      <w:pPr>
        <w:spacing w:before="120" w:after="80"/>
        <w:jc w:val="both"/>
      </w:pPr>
      <w:r>
        <w:rPr>
          <w:rFonts w:ascii="Arial" w:cs="Arial" w:eastAsia="Arial" w:hAnsi="Arial"/>
          <w:b/>
          <w:bCs/>
          <w:sz w:val="20"/>
          <w:szCs w:val="20"/>
        </w:rPr>
        <w:t xml:space="preserve">1.2  </w:t>
      </w:r>
      <w:r>
        <w:rPr>
          <w:rFonts w:ascii="Arial" w:cs="Arial" w:eastAsia="Arial" w:hAnsi="Arial"/>
          <w:sz w:val="20"/>
          <w:szCs w:val="20"/>
        </w:rPr>
        <w:t xml:space="preserve">"Confidential Information" means any non-public information disclosed by one party to the other that is designated as confidential or that reasonably should be understood to be confidential given the nature of the information and circumstances of disclosure.</w:t>
      </w:r>
    </w:p>
    <w:p>
      <w:pPr>
        <w:spacing w:before="120" w:after="80"/>
        <w:jc w:val="both"/>
      </w:pPr>
      <w:r>
        <w:rPr>
          <w:rFonts w:ascii="Arial" w:cs="Arial" w:eastAsia="Arial" w:hAnsi="Arial"/>
          <w:b/>
          <w:bCs/>
          <w:sz w:val="20"/>
          <w:szCs w:val="20"/>
        </w:rPr>
        <w:t xml:space="preserve">1.3  </w:t>
      </w:r>
      <w:r>
        <w:rPr>
          <w:rFonts w:ascii="Arial" w:cs="Arial" w:eastAsia="Arial" w:hAnsi="Arial"/>
          <w:sz w:val="20"/>
          <w:szCs w:val="20"/>
        </w:rPr>
        <w:t xml:space="preserve">"Deliverables" means all work product, documents, software, reports, and other materials produced by ACME under a Statement of Work for the benefit of Globex.</w:t>
      </w:r>
    </w:p>
    <w:p>
      <w:pPr>
        <w:spacing w:before="120" w:after="80"/>
        <w:jc w:val="both"/>
      </w:pPr>
      <w:r>
        <w:rPr>
          <w:rFonts w:ascii="Arial" w:cs="Arial" w:eastAsia="Arial" w:hAnsi="Arial"/>
          <w:b/>
          <w:bCs/>
          <w:sz w:val="20"/>
          <w:szCs w:val="20"/>
        </w:rPr>
        <w:t xml:space="preserve">1.4  </w:t>
      </w:r>
      <w:r>
        <w:rPr>
          <w:rFonts w:ascii="Arial" w:cs="Arial" w:eastAsia="Arial" w:hAnsi="Arial"/>
          <w:sz w:val="20"/>
          <w:szCs w:val="20"/>
        </w:rPr>
        <w:t xml:space="preserve">"Effective Date" means the date first written above or such other date as the parties expressly agree in writing.</w:t>
      </w:r>
    </w:p>
    <w:p>
      <w:pPr>
        <w:spacing w:before="120" w:after="80"/>
        <w:jc w:val="both"/>
      </w:pPr>
      <w:r>
        <w:rPr>
          <w:rFonts w:ascii="Arial" w:cs="Arial" w:eastAsia="Arial" w:hAnsi="Arial"/>
          <w:b/>
          <w:bCs/>
          <w:sz w:val="20"/>
          <w:szCs w:val="20"/>
        </w:rPr>
        <w:t xml:space="preserve">1.5  </w:t>
      </w:r>
      <w:r>
        <w:rPr>
          <w:rFonts w:ascii="Arial" w:cs="Arial" w:eastAsia="Arial" w:hAnsi="Arial"/>
          <w:sz w:val="20"/>
          <w:szCs w:val="20"/>
        </w:rPr>
        <w:t xml:space="preserve">"Fees" means all charges, rates, and amounts payable by Globex to ACME under this Agreement and applicable Statements of Work.</w:t>
      </w:r>
    </w:p>
    <w:p>
      <w:pPr>
        <w:spacing w:before="120" w:after="80"/>
        <w:jc w:val="both"/>
      </w:pPr>
      <w:r>
        <w:rPr>
          <w:rFonts w:ascii="Arial" w:cs="Arial" w:eastAsia="Arial" w:hAnsi="Arial"/>
          <w:b/>
          <w:bCs/>
          <w:sz w:val="20"/>
          <w:szCs w:val="20"/>
        </w:rPr>
        <w:t xml:space="preserve">1.6  </w:t>
      </w:r>
      <w:r>
        <w:rPr>
          <w:rFonts w:ascii="Arial" w:cs="Arial" w:eastAsia="Arial" w:hAnsi="Arial"/>
          <w:sz w:val="20"/>
          <w:szCs w:val="20"/>
        </w:rPr>
        <w:t xml:space="preserve">"Intellectual Property Rights" means all patents, copyrights, trademarks, trade secrets, moral rights, and other intellectual or industrial property rights of any kind.</w:t>
      </w:r>
    </w:p>
    <w:p>
      <w:pPr>
        <w:spacing w:before="120" w:after="80"/>
        <w:jc w:val="both"/>
      </w:pPr>
      <w:r>
        <w:rPr>
          <w:rFonts w:ascii="Arial" w:cs="Arial" w:eastAsia="Arial" w:hAnsi="Arial"/>
          <w:b/>
          <w:bCs/>
          <w:sz w:val="20"/>
          <w:szCs w:val="20"/>
        </w:rPr>
        <w:t xml:space="preserve">1.7  </w:t>
      </w:r>
      <w:r>
        <w:rPr>
          <w:rFonts w:ascii="Arial" w:cs="Arial" w:eastAsia="Arial" w:hAnsi="Arial"/>
          <w:sz w:val="20"/>
          <w:szCs w:val="20"/>
        </w:rPr>
        <w:t xml:space="preserve">"Personal Data" means any information relating to an identified or identifiable natural person, as defined under applicable data protection laws.</w:t>
      </w:r>
    </w:p>
    <w:p>
      <w:pPr>
        <w:spacing w:before="120" w:after="80"/>
        <w:jc w:val="both"/>
      </w:pPr>
      <w:r>
        <w:rPr>
          <w:rFonts w:ascii="Arial" w:cs="Arial" w:eastAsia="Arial" w:hAnsi="Arial"/>
          <w:b/>
          <w:bCs/>
          <w:sz w:val="20"/>
          <w:szCs w:val="20"/>
        </w:rPr>
        <w:t xml:space="preserve">1.8  </w:t>
      </w:r>
      <w:r>
        <w:rPr>
          <w:rFonts w:ascii="Arial" w:cs="Arial" w:eastAsia="Arial" w:hAnsi="Arial"/>
          <w:sz w:val="20"/>
          <w:szCs w:val="20"/>
        </w:rPr>
        <w:t xml:space="preserve">"Services" means the technology, consulting, or professional services to be provided by ACME under a Statement of Work.</w:t>
      </w:r>
    </w:p>
    <w:p>
      <w:pPr>
        <w:spacing w:before="120" w:after="80"/>
        <w:jc w:val="both"/>
      </w:pPr>
      <w:r>
        <w:rPr>
          <w:rFonts w:ascii="Arial" w:cs="Arial" w:eastAsia="Arial" w:hAnsi="Arial"/>
          <w:b/>
          <w:bCs/>
          <w:sz w:val="20"/>
          <w:szCs w:val="20"/>
        </w:rPr>
        <w:t xml:space="preserve">1.9  </w:t>
      </w:r>
      <w:r>
        <w:rPr>
          <w:rFonts w:ascii="Arial" w:cs="Arial" w:eastAsia="Arial" w:hAnsi="Arial"/>
          <w:sz w:val="20"/>
          <w:szCs w:val="20"/>
        </w:rPr>
        <w:t xml:space="preserve">"Statement of Work" or "SOW" means a written document executed by both parties that describes specific services, deliverables, timelines, and fees applicable to a discrete engagement.</w:t>
      </w:r>
    </w:p>
    <w:p>
      <w:pPr>
        <w:spacing w:before="120" w:after="80"/>
        <w:jc w:val="both"/>
      </w:pPr>
      <w:r>
        <w:rPr>
          <w:rFonts w:ascii="Arial" w:cs="Arial" w:eastAsia="Arial" w:hAnsi="Arial"/>
          <w:b/>
          <w:bCs/>
          <w:sz w:val="20"/>
          <w:szCs w:val="20"/>
        </w:rPr>
        <w:t xml:space="preserve">1.10  </w:t>
      </w:r>
      <w:r>
        <w:rPr>
          <w:rFonts w:ascii="Arial" w:cs="Arial" w:eastAsia="Arial" w:hAnsi="Arial"/>
          <w:sz w:val="20"/>
          <w:szCs w:val="20"/>
        </w:rPr>
        <w:t xml:space="preserve">"Term" means the duration of this Agreement as specified in Section 9.1 hereof.</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2: SCOPE OF SERVICES</w:t>
      </w:r>
    </w:p>
    <w:p>
      <w:pPr>
        <w:spacing w:before="120" w:after="80"/>
        <w:jc w:val="both"/>
      </w:pPr>
      <w:r>
        <w:rPr>
          <w:rFonts w:ascii="Arial" w:cs="Arial" w:eastAsia="Arial" w:hAnsi="Arial"/>
          <w:b/>
          <w:bCs/>
          <w:sz w:val="20"/>
          <w:szCs w:val="20"/>
        </w:rPr>
        <w:t xml:space="preserve">2.1  </w:t>
      </w:r>
      <w:r>
        <w:rPr>
          <w:rFonts w:ascii="Arial" w:cs="Arial" w:eastAsia="Arial" w:hAnsi="Arial"/>
          <w:sz w:val="20"/>
          <w:szCs w:val="20"/>
        </w:rPr>
        <w:t xml:space="preserve">ACME shall provide the Services described in each Statement of Work executed by the parties. This Agreement does not, in and of itself, obligate Globex to purchase any specific volume of services. Each SOW shall constitute a separate binding commitment.</w:t>
      </w:r>
    </w:p>
    <w:p>
      <w:pPr>
        <w:spacing w:before="120" w:after="80"/>
        <w:jc w:val="both"/>
      </w:pPr>
      <w:r>
        <w:rPr>
          <w:rFonts w:ascii="Arial" w:cs="Arial" w:eastAsia="Arial" w:hAnsi="Arial"/>
          <w:b/>
          <w:bCs/>
          <w:sz w:val="20"/>
          <w:szCs w:val="20"/>
        </w:rPr>
        <w:t xml:space="preserve">2.2  </w:t>
      </w:r>
      <w:r>
        <w:rPr>
          <w:rFonts w:ascii="Arial" w:cs="Arial" w:eastAsia="Arial" w:hAnsi="Arial"/>
          <w:sz w:val="20"/>
          <w:szCs w:val="20"/>
        </w:rPr>
        <w:t xml:space="preserve">ACME shall perform all Services in a professional and workmanlike manner, consistent with industry standards, and shall devote sufficient qualified personnel to meet the timelines and quality standards specified in each SOW.</w:t>
      </w:r>
    </w:p>
    <w:p>
      <w:pPr>
        <w:spacing w:before="120" w:after="80"/>
        <w:jc w:val="both"/>
      </w:pPr>
      <w:r>
        <w:rPr>
          <w:rFonts w:ascii="Arial" w:cs="Arial" w:eastAsia="Arial" w:hAnsi="Arial"/>
          <w:b/>
          <w:bCs/>
          <w:sz w:val="20"/>
          <w:szCs w:val="20"/>
        </w:rPr>
        <w:t xml:space="preserve">2.3  </w:t>
      </w:r>
      <w:r>
        <w:rPr>
          <w:rFonts w:ascii="Arial" w:cs="Arial" w:eastAsia="Arial" w:hAnsi="Arial"/>
          <w:sz w:val="20"/>
          <w:szCs w:val="20"/>
        </w:rPr>
        <w:t xml:space="preserve">Globex shall provide ACME with reasonable access to its facilities, systems, personnel, and information reasonably necessary for ACME to perform the Services, subject to Globex's security and access policies.</w:t>
      </w:r>
    </w:p>
    <w:p>
      <w:pPr>
        <w:spacing w:before="120" w:after="80"/>
        <w:jc w:val="both"/>
      </w:pPr>
      <w:r>
        <w:rPr>
          <w:rFonts w:ascii="Arial" w:cs="Arial" w:eastAsia="Arial" w:hAnsi="Arial"/>
          <w:b/>
          <w:bCs/>
          <w:sz w:val="20"/>
          <w:szCs w:val="20"/>
        </w:rPr>
        <w:t xml:space="preserve">2.4  </w:t>
      </w:r>
      <w:r>
        <w:rPr>
          <w:rFonts w:ascii="Arial" w:cs="Arial" w:eastAsia="Arial" w:hAnsi="Arial"/>
          <w:sz w:val="20"/>
          <w:szCs w:val="20"/>
        </w:rPr>
        <w:t xml:space="preserve">Any changes to the scope, timeline, or fees of a Statement of Work must be documented in a written Change Order executed by authorized representatives of both parties. ACME shall not commence any out-of-scope work without an executed Change Order.</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3: KEY PERSONNEL AND SUBCONTRACTING</w:t>
      </w:r>
    </w:p>
    <w:p>
      <w:pPr>
        <w:spacing w:before="120" w:after="80"/>
        <w:jc w:val="both"/>
      </w:pPr>
      <w:r>
        <w:rPr>
          <w:rFonts w:ascii="Arial" w:cs="Arial" w:eastAsia="Arial" w:hAnsi="Arial"/>
          <w:b/>
          <w:bCs/>
          <w:sz w:val="20"/>
          <w:szCs w:val="20"/>
        </w:rPr>
        <w:t xml:space="preserve">3.1  </w:t>
      </w:r>
      <w:r>
        <w:rPr>
          <w:rFonts w:ascii="Arial" w:cs="Arial" w:eastAsia="Arial" w:hAnsi="Arial"/>
          <w:sz w:val="20"/>
          <w:szCs w:val="20"/>
        </w:rPr>
        <w:t xml:space="preserve">ACME shall designate the key personnel identified in each SOW as responsible for delivering the relevant services. ACME shall provide Globex with at least ten (10) business days' prior written notice before replacing any key personnel, and shall provide comparable replacements with equivalent qualifications.</w:t>
      </w:r>
    </w:p>
    <w:p>
      <w:pPr>
        <w:spacing w:before="120" w:after="80"/>
        <w:jc w:val="both"/>
      </w:pPr>
      <w:r>
        <w:rPr>
          <w:rFonts w:ascii="Arial" w:cs="Arial" w:eastAsia="Arial" w:hAnsi="Arial"/>
          <w:b/>
          <w:bCs/>
          <w:sz w:val="20"/>
          <w:szCs w:val="20"/>
        </w:rPr>
        <w:t xml:space="preserve">3.2  </w:t>
      </w:r>
      <w:r>
        <w:rPr>
          <w:rFonts w:ascii="Arial" w:cs="Arial" w:eastAsia="Arial" w:hAnsi="Arial"/>
          <w:sz w:val="20"/>
          <w:szCs w:val="20"/>
        </w:rPr>
        <w:t xml:space="preserve">ACME may not subcontract any portion of the Services to a third party without Globex's prior written consent, which consent shall not be unreasonably withheld. ACME shall remain fully liable for the performance of any approved subcontractor.</w:t>
      </w:r>
    </w:p>
    <w:p>
      <w:pPr>
        <w:spacing w:before="120" w:after="80"/>
        <w:jc w:val="both"/>
      </w:pPr>
      <w:r>
        <w:rPr>
          <w:rFonts w:ascii="Arial" w:cs="Arial" w:eastAsia="Arial" w:hAnsi="Arial"/>
          <w:b/>
          <w:bCs/>
          <w:sz w:val="20"/>
          <w:szCs w:val="20"/>
        </w:rPr>
        <w:t xml:space="preserve">3.3  </w:t>
      </w:r>
      <w:r>
        <w:rPr>
          <w:rFonts w:ascii="Arial" w:cs="Arial" w:eastAsia="Arial" w:hAnsi="Arial"/>
          <w:sz w:val="20"/>
          <w:szCs w:val="20"/>
        </w:rPr>
        <w:t xml:space="preserve">All ACME personnel and approved subcontractors who will have access to Globex Confidential Information or systems must execute Globex's standard Confidentiality and System Access Agreement prior to commencing work.</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4: INTELLECTUAL PROPERTY</w:t>
      </w:r>
    </w:p>
    <w:p>
      <w:pPr>
        <w:spacing w:before="120" w:after="80"/>
        <w:jc w:val="both"/>
      </w:pPr>
      <w:r>
        <w:rPr>
          <w:rFonts w:ascii="Arial" w:cs="Arial" w:eastAsia="Arial" w:hAnsi="Arial"/>
          <w:b/>
          <w:bCs/>
          <w:sz w:val="20"/>
          <w:szCs w:val="20"/>
        </w:rPr>
        <w:t xml:space="preserve">4.1  </w:t>
      </w:r>
      <w:r>
        <w:rPr>
          <w:rFonts w:ascii="Arial" w:cs="Arial" w:eastAsia="Arial" w:hAnsi="Arial"/>
          <w:sz w:val="20"/>
          <w:szCs w:val="20"/>
        </w:rPr>
        <w:t xml:space="preserve">All Deliverables created by ACME specifically for Globex under a Statement of Work shall be the exclusive property of Globex and shall be deemed works made for hire to the maximum extent permitted by law. To the extent any Deliverables are not deemed works made for hire, ACME hereby irrevocably assigns to Globex all right, title, and interest in and to such Deliverables.</w:t>
      </w:r>
    </w:p>
    <w:p>
      <w:pPr>
        <w:spacing w:before="120" w:after="80"/>
        <w:jc w:val="both"/>
      </w:pPr>
      <w:r>
        <w:rPr>
          <w:rFonts w:ascii="Arial" w:cs="Arial" w:eastAsia="Arial" w:hAnsi="Arial"/>
          <w:b/>
          <w:bCs/>
          <w:sz w:val="20"/>
          <w:szCs w:val="20"/>
        </w:rPr>
        <w:t xml:space="preserve">4.2  </w:t>
      </w:r>
      <w:r>
        <w:rPr>
          <w:rFonts w:ascii="Arial" w:cs="Arial" w:eastAsia="Arial" w:hAnsi="Arial"/>
          <w:sz w:val="20"/>
          <w:szCs w:val="20"/>
        </w:rPr>
        <w:t xml:space="preserve">ACME shall retain ownership of all pre-existing proprietary tools, methodologies, frameworks, and know-how developed prior to or independently of this Agreement ("ACME Background IP"). ACME hereby grants Globex a non-exclusive, perpetual, royalty-free license to use any ACME Background IP embedded in Deliverables solely for Globex's internal business purposes.</w:t>
      </w:r>
    </w:p>
    <w:p>
      <w:pPr>
        <w:spacing w:before="120" w:after="80"/>
        <w:jc w:val="both"/>
      </w:pPr>
      <w:r>
        <w:rPr>
          <w:rFonts w:ascii="Arial" w:cs="Arial" w:eastAsia="Arial" w:hAnsi="Arial"/>
          <w:b/>
          <w:bCs/>
          <w:sz w:val="20"/>
          <w:szCs w:val="20"/>
        </w:rPr>
        <w:t xml:space="preserve">4.3  </w:t>
      </w:r>
      <w:r>
        <w:rPr>
          <w:rFonts w:ascii="Arial" w:cs="Arial" w:eastAsia="Arial" w:hAnsi="Arial"/>
          <w:sz w:val="20"/>
          <w:szCs w:val="20"/>
        </w:rPr>
        <w:t xml:space="preserve">Each party shall retain ownership of its own Intellectual Property Rights that existed prior to the Effective Date or were developed independently of this Agreement.</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5: FEES AND PAYMENT TERMS</w:t>
      </w:r>
    </w:p>
    <w:p>
      <w:pPr>
        <w:spacing w:before="120" w:after="80"/>
        <w:jc w:val="both"/>
      </w:pPr>
      <w:r>
        <w:rPr>
          <w:rFonts w:ascii="Arial" w:cs="Arial" w:eastAsia="Arial" w:hAnsi="Arial"/>
          <w:b/>
          <w:bCs/>
          <w:sz w:val="20"/>
          <w:szCs w:val="20"/>
        </w:rPr>
        <w:t xml:space="preserve">5.1  </w:t>
      </w:r>
      <w:r>
        <w:rPr>
          <w:rFonts w:ascii="Arial" w:cs="Arial" w:eastAsia="Arial" w:hAnsi="Arial"/>
          <w:sz w:val="20"/>
          <w:szCs w:val="20"/>
        </w:rPr>
        <w:t xml:space="preserve">PAYMENT TERMS. ACME shall issue invoices in accordance with the payment milestones set forth in the applicable Statement of Work. Globex shall pay each undisputed invoice within thirty (30) days of receipt of a valid, compliant invoice from ACME ("Net 30"). For the avoidance of doubt, the standard payment period under this Agreement is Net 30 days, consistent with Globex's standard payment policy.</w:t>
      </w:r>
    </w:p>
    <w:p>
      <w:pPr>
        <w:spacing w:before="120" w:after="80"/>
        <w:jc w:val="both"/>
      </w:pPr>
      <w:r>
        <w:rPr>
          <w:rFonts w:ascii="Arial" w:cs="Arial" w:eastAsia="Arial" w:hAnsi="Arial"/>
          <w:b/>
          <w:bCs/>
          <w:sz w:val="20"/>
          <w:szCs w:val="20"/>
        </w:rPr>
        <w:t xml:space="preserve">5.2  </w:t>
      </w:r>
      <w:r>
        <w:rPr>
          <w:rFonts w:ascii="Arial" w:cs="Arial" w:eastAsia="Arial" w:hAnsi="Arial"/>
          <w:sz w:val="20"/>
          <w:szCs w:val="20"/>
        </w:rPr>
        <w:t xml:space="preserve">A valid invoice must include: (a) ACME's legal name, mailing address, and federal tax identification number; (b) the Globex-issued Purchase Order number; (c) the applicable SOW reference number and billing period; (d) a detailed description of services rendered and/or deliverables completed; and (e) all applicable taxes itemized separately.</w:t>
      </w:r>
    </w:p>
    <w:p>
      <w:pPr>
        <w:spacing w:before="120" w:after="80"/>
        <w:jc w:val="both"/>
      </w:pPr>
      <w:r>
        <w:rPr>
          <w:rFonts w:ascii="Arial" w:cs="Arial" w:eastAsia="Arial" w:hAnsi="Arial"/>
          <w:b/>
          <w:bCs/>
          <w:sz w:val="20"/>
          <w:szCs w:val="20"/>
        </w:rPr>
        <w:t xml:space="preserve">5.3  </w:t>
      </w:r>
      <w:r>
        <w:rPr>
          <w:rFonts w:ascii="Arial" w:cs="Arial" w:eastAsia="Arial" w:hAnsi="Arial"/>
          <w:sz w:val="20"/>
          <w:szCs w:val="20"/>
        </w:rPr>
        <w:t xml:space="preserve">Globex may dispute any invoice within fifteen (15) business days of receipt by providing ACME with written notice specifying in reasonable detail the basis for the dispute. The parties shall work in good faith to resolve any invoice dispute within thirty (30) days of such notice. Payment of the undisputed portion of any invoice shall not be withheld.</w:t>
      </w:r>
    </w:p>
    <w:p>
      <w:pPr>
        <w:spacing w:before="120" w:after="80"/>
        <w:jc w:val="both"/>
      </w:pPr>
      <w:r>
        <w:rPr>
          <w:rFonts w:ascii="Arial" w:cs="Arial" w:eastAsia="Arial" w:hAnsi="Arial"/>
          <w:b/>
          <w:bCs/>
          <w:sz w:val="20"/>
          <w:szCs w:val="20"/>
        </w:rPr>
        <w:t xml:space="preserve">5.4  </w:t>
      </w:r>
      <w:r>
        <w:rPr>
          <w:rFonts w:ascii="Arial" w:cs="Arial" w:eastAsia="Arial" w:hAnsi="Arial"/>
          <w:sz w:val="20"/>
          <w:szCs w:val="20"/>
        </w:rPr>
        <w:t xml:space="preserve">All fees are denominated and payable in United States Dollars. ACME shall be responsible for all applicable taxes on its own income. ACME shall separately itemize any applicable sales, use, or VAT taxes on its invoices.</w:t>
      </w:r>
    </w:p>
    <w:p>
      <w:pPr>
        <w:spacing w:before="120" w:after="80"/>
        <w:jc w:val="both"/>
      </w:pPr>
      <w:r>
        <w:rPr>
          <w:rFonts w:ascii="Arial" w:cs="Arial" w:eastAsia="Arial" w:hAnsi="Arial"/>
          <w:b/>
          <w:bCs/>
          <w:sz w:val="20"/>
          <w:szCs w:val="20"/>
        </w:rPr>
        <w:t xml:space="preserve">5.5  </w:t>
      </w:r>
      <w:r>
        <w:rPr>
          <w:rFonts w:ascii="Arial" w:cs="Arial" w:eastAsia="Arial" w:hAnsi="Arial"/>
          <w:sz w:val="20"/>
          <w:szCs w:val="20"/>
        </w:rPr>
        <w:t xml:space="preserve">In the event that Globex disputes an invoice in good faith, no late payment interest shall accrue on the disputed amount during the pendency of the dispute resolution process. ACME's sole remedy for undisputed overdue invoices is the recovery of interest at the lower of 1.5% per month or the maximum rate permitted by applicable law.</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6: CONFIDENTIALITY</w:t>
      </w:r>
    </w:p>
    <w:p>
      <w:pPr>
        <w:spacing w:before="120" w:after="80"/>
        <w:jc w:val="both"/>
      </w:pPr>
      <w:r>
        <w:rPr>
          <w:rFonts w:ascii="Arial" w:cs="Arial" w:eastAsia="Arial" w:hAnsi="Arial"/>
          <w:b/>
          <w:bCs/>
          <w:sz w:val="20"/>
          <w:szCs w:val="20"/>
        </w:rPr>
        <w:t xml:space="preserve">6.1  </w:t>
      </w:r>
      <w:r>
        <w:rPr>
          <w:rFonts w:ascii="Arial" w:cs="Arial" w:eastAsia="Arial" w:hAnsi="Arial"/>
          <w:sz w:val="20"/>
          <w:szCs w:val="20"/>
        </w:rPr>
        <w:t xml:space="preserve">Each party (the "Receiving Party") agrees to hold in strict confidence all Confidential Information of the other party (the "Disclosing Party") and to use such information solely for the purposes of performing its obligations or exercising its rights under this Agreement.</w:t>
      </w:r>
    </w:p>
    <w:p>
      <w:pPr>
        <w:spacing w:before="120" w:after="80"/>
        <w:jc w:val="both"/>
      </w:pPr>
      <w:r>
        <w:rPr>
          <w:rFonts w:ascii="Arial" w:cs="Arial" w:eastAsia="Arial" w:hAnsi="Arial"/>
          <w:b/>
          <w:bCs/>
          <w:sz w:val="20"/>
          <w:szCs w:val="20"/>
        </w:rPr>
        <w:t xml:space="preserve">6.2  </w:t>
      </w:r>
      <w:r>
        <w:rPr>
          <w:rFonts w:ascii="Arial" w:cs="Arial" w:eastAsia="Arial" w:hAnsi="Arial"/>
          <w:sz w:val="20"/>
          <w:szCs w:val="20"/>
        </w:rPr>
        <w:t xml:space="preserve">The Receiving Party shall not disclose Confidential Information to any third party without the prior written consent of the Disclosing Party, and shall disclose Confidential Information only to its employees, contractors, and advisors who have a legitimate need to know such information and who are bound by confidentiality obligations at least as protective as those set forth in this Section 6.</w:t>
      </w:r>
    </w:p>
    <w:p>
      <w:pPr>
        <w:spacing w:before="120" w:after="80"/>
        <w:jc w:val="both"/>
      </w:pPr>
      <w:r>
        <w:rPr>
          <w:rFonts w:ascii="Arial" w:cs="Arial" w:eastAsia="Arial" w:hAnsi="Arial"/>
          <w:b/>
          <w:bCs/>
          <w:sz w:val="20"/>
          <w:szCs w:val="20"/>
        </w:rPr>
        <w:t xml:space="preserve">6.3  </w:t>
      </w:r>
      <w:r>
        <w:rPr>
          <w:rFonts w:ascii="Arial" w:cs="Arial" w:eastAsia="Arial" w:hAnsi="Arial"/>
          <w:sz w:val="20"/>
          <w:szCs w:val="20"/>
        </w:rPr>
        <w:t xml:space="preserve">The obligations of this Section 6 shall not apply to information that: (a) is or becomes publicly available through no breach of this Agreement; (b) was rightfully known to the Receiving Party prior to disclosure; (c) is rightfully obtained from a third party without restriction; or (d) is independently developed by the Receiving Party without use of the Disclosing Party's Confidential Information.</w:t>
      </w:r>
    </w:p>
    <w:p>
      <w:pPr>
        <w:spacing w:before="120" w:after="80"/>
        <w:jc w:val="both"/>
      </w:pPr>
      <w:r>
        <w:rPr>
          <w:rFonts w:ascii="Arial" w:cs="Arial" w:eastAsia="Arial" w:hAnsi="Arial"/>
          <w:b/>
          <w:bCs/>
          <w:sz w:val="20"/>
          <w:szCs w:val="20"/>
        </w:rPr>
        <w:t xml:space="preserve">6.4  </w:t>
      </w:r>
      <w:r>
        <w:rPr>
          <w:rFonts w:ascii="Arial" w:cs="Arial" w:eastAsia="Arial" w:hAnsi="Arial"/>
          <w:sz w:val="20"/>
          <w:szCs w:val="20"/>
        </w:rPr>
        <w:t xml:space="preserve">The confidentiality obligations of this Agreement shall survive the expiration or termination of this Agreement for a period of five (5) years.</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7: DATA PROTECTION AND PRIVACY</w:t>
      </w:r>
    </w:p>
    <w:p>
      <w:pPr>
        <w:spacing w:before="120" w:after="80"/>
        <w:jc w:val="both"/>
      </w:pPr>
      <w:r>
        <w:rPr>
          <w:rFonts w:ascii="Arial" w:cs="Arial" w:eastAsia="Arial" w:hAnsi="Arial"/>
          <w:b/>
          <w:bCs/>
          <w:sz w:val="20"/>
          <w:szCs w:val="20"/>
        </w:rPr>
        <w:t xml:space="preserve">7.1  </w:t>
      </w:r>
      <w:r>
        <w:rPr>
          <w:rFonts w:ascii="Arial" w:cs="Arial" w:eastAsia="Arial" w:hAnsi="Arial"/>
          <w:sz w:val="20"/>
          <w:szCs w:val="20"/>
        </w:rPr>
        <w:t xml:space="preserve">To the extent ACME processes Personal Data of Globex's customers or employees in performing the Services, ACME shall act as a data processor and shall process such Personal Data only in accordance with Globex's documented instructions and applicable data protection laws.</w:t>
      </w:r>
    </w:p>
    <w:p>
      <w:pPr>
        <w:spacing w:before="120" w:after="80"/>
        <w:jc w:val="both"/>
      </w:pPr>
      <w:r>
        <w:rPr>
          <w:rFonts w:ascii="Arial" w:cs="Arial" w:eastAsia="Arial" w:hAnsi="Arial"/>
          <w:b/>
          <w:bCs/>
          <w:sz w:val="20"/>
          <w:szCs w:val="20"/>
        </w:rPr>
        <w:t xml:space="preserve">7.2  </w:t>
      </w:r>
      <w:r>
        <w:rPr>
          <w:rFonts w:ascii="Arial" w:cs="Arial" w:eastAsia="Arial" w:hAnsi="Arial"/>
          <w:sz w:val="20"/>
          <w:szCs w:val="20"/>
        </w:rPr>
        <w:t xml:space="preserve">ACME shall implement and maintain appropriate technical and organizational measures to protect Personal Data against unauthorized access, disclosure, loss, or destruction, consistent with the requirements of applicable law and Globex's Information Security Policy.</w:t>
      </w:r>
    </w:p>
    <w:p>
      <w:pPr>
        <w:spacing w:before="120" w:after="80"/>
        <w:jc w:val="both"/>
      </w:pPr>
      <w:r>
        <w:rPr>
          <w:rFonts w:ascii="Arial" w:cs="Arial" w:eastAsia="Arial" w:hAnsi="Arial"/>
          <w:b/>
          <w:bCs/>
          <w:sz w:val="20"/>
          <w:szCs w:val="20"/>
        </w:rPr>
        <w:t xml:space="preserve">7.3  </w:t>
      </w:r>
      <w:r>
        <w:rPr>
          <w:rFonts w:ascii="Arial" w:cs="Arial" w:eastAsia="Arial" w:hAnsi="Arial"/>
          <w:sz w:val="20"/>
          <w:szCs w:val="20"/>
        </w:rPr>
        <w:t xml:space="preserve">SECURITY INCIDENT NOTIFICATION. In the event that ACME discovers or has reasonable grounds to suspect a security incident or data breach involving Globex Personal Data or Confidential Information, ACME shall notify Globex's designated security contact within forty-eight (48) hours of such discovery or reasonable suspicion. The initial notification shall include all information available at the time, and ACME shall provide written updates every twenty-four (24) hours thereafter until the incident is fully resolved.</w:t>
      </w:r>
    </w:p>
    <w:p>
      <w:pPr>
        <w:spacing w:before="120" w:after="80"/>
        <w:jc w:val="both"/>
      </w:pPr>
      <w:r>
        <w:rPr>
          <w:rFonts w:ascii="Arial" w:cs="Arial" w:eastAsia="Arial" w:hAnsi="Arial"/>
          <w:b/>
          <w:bCs/>
          <w:sz w:val="20"/>
          <w:szCs w:val="20"/>
        </w:rPr>
        <w:t xml:space="preserve">7.4  </w:t>
      </w:r>
      <w:r>
        <w:rPr>
          <w:rFonts w:ascii="Arial" w:cs="Arial" w:eastAsia="Arial" w:hAnsi="Arial"/>
          <w:sz w:val="20"/>
          <w:szCs w:val="20"/>
        </w:rPr>
        <w:t xml:space="preserve">Upon expiration or termination of this Agreement, ACME shall, at Globex's election, either return or securely destroy all Personal Data and Confidential Information in ACME's possession within thirty (30) days, and shall provide Globex with written certification of such return or destruction.</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8: REPRESENTATIONS AND WARRANTIES</w:t>
      </w:r>
    </w:p>
    <w:p>
      <w:pPr>
        <w:spacing w:before="120" w:after="80"/>
        <w:jc w:val="both"/>
      </w:pPr>
      <w:r>
        <w:rPr>
          <w:rFonts w:ascii="Arial" w:cs="Arial" w:eastAsia="Arial" w:hAnsi="Arial"/>
          <w:b/>
          <w:bCs/>
          <w:sz w:val="20"/>
          <w:szCs w:val="20"/>
        </w:rPr>
        <w:t xml:space="preserve">8.1  </w:t>
      </w:r>
      <w:r>
        <w:rPr>
          <w:rFonts w:ascii="Arial" w:cs="Arial" w:eastAsia="Arial" w:hAnsi="Arial"/>
          <w:sz w:val="20"/>
          <w:szCs w:val="20"/>
        </w:rPr>
        <w:t xml:space="preserve">ACME represents and warrants that: (a) it has full power and authority to enter into and perform this Agreement; (b) the Services will be performed in a professional and workmanlike manner consistent with industry standards; (c) the Deliverables will conform to the specifications set forth in the applicable SOW; (d) it owns or has sufficient rights to grant Globex the rights in the Deliverables as described herein; and (e) the Deliverables will not infringe the Intellectual Property Rights of any third party.</w:t>
      </w:r>
    </w:p>
    <w:p>
      <w:pPr>
        <w:spacing w:before="120" w:after="80"/>
        <w:jc w:val="both"/>
      </w:pPr>
      <w:r>
        <w:rPr>
          <w:rFonts w:ascii="Arial" w:cs="Arial" w:eastAsia="Arial" w:hAnsi="Arial"/>
          <w:b/>
          <w:bCs/>
          <w:sz w:val="20"/>
          <w:szCs w:val="20"/>
        </w:rPr>
        <w:t xml:space="preserve">8.2  </w:t>
      </w:r>
      <w:r>
        <w:rPr>
          <w:rFonts w:ascii="Arial" w:cs="Arial" w:eastAsia="Arial" w:hAnsi="Arial"/>
          <w:sz w:val="20"/>
          <w:szCs w:val="20"/>
        </w:rPr>
        <w:t xml:space="preserve">Globex represents and warrants that: (a) it has full power and authority to enter into and perform this Agreement; (b) it will provide ACME with accurate information and timely access reasonably necessary to perform the Services; and (c) Globex's use of the Deliverables will comply with all applicable laws.</w:t>
      </w:r>
    </w:p>
    <w:p>
      <w:pPr>
        <w:spacing w:before="120" w:after="80"/>
        <w:jc w:val="both"/>
      </w:pPr>
      <w:r>
        <w:rPr>
          <w:rFonts w:ascii="Arial" w:cs="Arial" w:eastAsia="Arial" w:hAnsi="Arial"/>
          <w:b/>
          <w:bCs/>
          <w:sz w:val="20"/>
          <w:szCs w:val="20"/>
        </w:rPr>
        <w:t xml:space="preserve">8.3  </w:t>
      </w:r>
      <w:r>
        <w:rPr>
          <w:rFonts w:ascii="Arial" w:cs="Arial" w:eastAsia="Arial" w:hAnsi="Arial"/>
          <w:sz w:val="20"/>
          <w:szCs w:val="20"/>
        </w:rPr>
        <w:t xml:space="preserve">EXCEPT AS EXPRESSLY SET FORTH IN THIS AGREEMENT, NEITHER PARTY MAKES ANY OTHER WARRANTIES, EXPRESS OR IMPLIED, INCLUDING ANY IMPLIED WARRANTIES OF MERCHANTABILITY, FITNESS FOR A PARTICULAR PURPOSE, OR NON-INFRINGEMENT.</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9: TERM AND TERMINATION</w:t>
      </w:r>
    </w:p>
    <w:p>
      <w:pPr>
        <w:spacing w:before="120" w:after="80"/>
        <w:jc w:val="both"/>
      </w:pPr>
      <w:r>
        <w:rPr>
          <w:rFonts w:ascii="Arial" w:cs="Arial" w:eastAsia="Arial" w:hAnsi="Arial"/>
          <w:b/>
          <w:bCs/>
          <w:sz w:val="20"/>
          <w:szCs w:val="20"/>
        </w:rPr>
        <w:t xml:space="preserve">9.1  </w:t>
      </w:r>
      <w:r>
        <w:rPr>
          <w:rFonts w:ascii="Arial" w:cs="Arial" w:eastAsia="Arial" w:hAnsi="Arial"/>
          <w:sz w:val="20"/>
          <w:szCs w:val="20"/>
        </w:rPr>
        <w:t xml:space="preserve">TERM. This Agreement shall commence on the Effective Date and shall continue for an initial period of three (3) years, unless earlier terminated in accordance with this Section 9. Thereafter, this Agreement shall automatically renew for successive one (1) year periods unless either party provides the other with written notice of non-renewal at least sixty (60) days prior to the end of the then-current term.</w:t>
      </w:r>
    </w:p>
    <w:p>
      <w:pPr>
        <w:spacing w:before="120" w:after="80"/>
        <w:jc w:val="both"/>
      </w:pPr>
      <w:r>
        <w:rPr>
          <w:rFonts w:ascii="Arial" w:cs="Arial" w:eastAsia="Arial" w:hAnsi="Arial"/>
          <w:b/>
          <w:bCs/>
          <w:sz w:val="20"/>
          <w:szCs w:val="20"/>
        </w:rPr>
        <w:t xml:space="preserve">9.2  </w:t>
      </w:r>
      <w:r>
        <w:rPr>
          <w:rFonts w:ascii="Arial" w:cs="Arial" w:eastAsia="Arial" w:hAnsi="Arial"/>
          <w:sz w:val="20"/>
          <w:szCs w:val="20"/>
        </w:rPr>
        <w:t xml:space="preserve">TERMINATION FOR CONVENIENCE. Either party may terminate this Agreement or any Statement of Work for convenience, without cause, upon thirty (30) days' prior written notice to the other party. In the event of termination for convenience by Globex, Globex shall pay ACME for all services properly performed and expenses reasonably incurred up to the effective date of termination.</w:t>
      </w:r>
    </w:p>
    <w:p>
      <w:pPr>
        <w:spacing w:before="120" w:after="80"/>
        <w:jc w:val="both"/>
      </w:pPr>
      <w:r>
        <w:rPr>
          <w:rFonts w:ascii="Arial" w:cs="Arial" w:eastAsia="Arial" w:hAnsi="Arial"/>
          <w:b/>
          <w:bCs/>
          <w:sz w:val="20"/>
          <w:szCs w:val="20"/>
        </w:rPr>
        <w:t xml:space="preserve">9.3  </w:t>
      </w:r>
      <w:r>
        <w:rPr>
          <w:rFonts w:ascii="Arial" w:cs="Arial" w:eastAsia="Arial" w:hAnsi="Arial"/>
          <w:sz w:val="20"/>
          <w:szCs w:val="20"/>
        </w:rPr>
        <w:t xml:space="preserve">TERMINATION FOR CAUSE. Either party may terminate this Agreement for cause upon written notice if the other party: (a) materially breaches any provision of this Agreement and fails to cure such breach within thirty (30) days of receiving written notice describing the breach in reasonable detail; (b) becomes insolvent, files for bankruptcy protection, or makes a general assignment for the benefit of its creditors; or (c) commits an act of fraud or willful misconduct in connection with this Agreement.</w:t>
      </w:r>
    </w:p>
    <w:p>
      <w:pPr>
        <w:spacing w:before="120" w:after="80"/>
        <w:jc w:val="both"/>
      </w:pPr>
      <w:r>
        <w:rPr>
          <w:rFonts w:ascii="Arial" w:cs="Arial" w:eastAsia="Arial" w:hAnsi="Arial"/>
          <w:b/>
          <w:bCs/>
          <w:sz w:val="20"/>
          <w:szCs w:val="20"/>
        </w:rPr>
        <w:t xml:space="preserve">9.4  </w:t>
      </w:r>
      <w:r>
        <w:rPr>
          <w:rFonts w:ascii="Arial" w:cs="Arial" w:eastAsia="Arial" w:hAnsi="Arial"/>
          <w:sz w:val="20"/>
          <w:szCs w:val="20"/>
        </w:rPr>
        <w:t xml:space="preserve">EFFECT OF TERMINATION. Upon termination or expiration of this Agreement: (a) all rights and licenses granted hereunder shall immediately terminate; (b) ACME shall cease all work and return or destroy Globex Confidential Information; (c) Globex shall pay all undisputed amounts owed to ACME for services properly performed prior to termination; and (d) Sections 6, 7, 10, 11, 12, and 15 shall survive termination.</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10: INDEMNIFICATION</w:t>
      </w:r>
    </w:p>
    <w:p>
      <w:pPr>
        <w:spacing w:before="120" w:after="80"/>
        <w:jc w:val="both"/>
      </w:pPr>
      <w:r>
        <w:rPr>
          <w:rFonts w:ascii="Arial" w:cs="Arial" w:eastAsia="Arial" w:hAnsi="Arial"/>
          <w:b/>
          <w:bCs/>
          <w:sz w:val="20"/>
          <w:szCs w:val="20"/>
        </w:rPr>
        <w:t xml:space="preserve">10.1  </w:t>
      </w:r>
      <w:r>
        <w:rPr>
          <w:rFonts w:ascii="Arial" w:cs="Arial" w:eastAsia="Arial" w:hAnsi="Arial"/>
          <w:sz w:val="20"/>
          <w:szCs w:val="20"/>
        </w:rPr>
        <w:t xml:space="preserve">ACME shall defend, indemnify, and hold harmless Globex and its officers, directors, employees, and agents from and against any third-party claims, losses, damages, and expenses (including reasonable attorneys' fees) arising from or related to: (a) ACME's breach of any representation, warranty, or obligation under this Agreement; (b) the negligence or willful misconduct of ACME or its personnel; or (c) any allegation that a Deliverable infringes the Intellectual Property Rights of a third party.</w:t>
      </w:r>
    </w:p>
    <w:p>
      <w:pPr>
        <w:spacing w:before="120" w:after="80"/>
        <w:jc w:val="both"/>
      </w:pPr>
      <w:r>
        <w:rPr>
          <w:rFonts w:ascii="Arial" w:cs="Arial" w:eastAsia="Arial" w:hAnsi="Arial"/>
          <w:b/>
          <w:bCs/>
          <w:sz w:val="20"/>
          <w:szCs w:val="20"/>
        </w:rPr>
        <w:t xml:space="preserve">10.2  </w:t>
      </w:r>
      <w:r>
        <w:rPr>
          <w:rFonts w:ascii="Arial" w:cs="Arial" w:eastAsia="Arial" w:hAnsi="Arial"/>
          <w:sz w:val="20"/>
          <w:szCs w:val="20"/>
        </w:rPr>
        <w:t xml:space="preserve">Globex shall defend, indemnify, and hold harmless ACME and its officers, directors, employees, and agents from and against any third-party claims arising from or related to: (a) Globex's breach of any representation, warranty, or obligation under this Agreement; or (b) the negligence or willful misconduct of Globex or its personnel.</w:t>
      </w:r>
    </w:p>
    <w:p>
      <w:pPr>
        <w:spacing w:before="120" w:after="80"/>
        <w:jc w:val="both"/>
      </w:pPr>
      <w:r>
        <w:rPr>
          <w:rFonts w:ascii="Arial" w:cs="Arial" w:eastAsia="Arial" w:hAnsi="Arial"/>
          <w:b/>
          <w:bCs/>
          <w:sz w:val="20"/>
          <w:szCs w:val="20"/>
        </w:rPr>
        <w:t xml:space="preserve">10.3  </w:t>
      </w:r>
      <w:r>
        <w:rPr>
          <w:rFonts w:ascii="Arial" w:cs="Arial" w:eastAsia="Arial" w:hAnsi="Arial"/>
          <w:sz w:val="20"/>
          <w:szCs w:val="20"/>
        </w:rPr>
        <w:t xml:space="preserve">The indemnifying party's obligations are conditioned on the indemnified party: (a) promptly notifying the indemnifying party in writing of the claim; (b) granting the indemnifying party sole control over the defense and settlement of the claim; and (c) providing reasonable cooperation and assistance.</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11: LIMITATION OF LIABILITY</w:t>
      </w:r>
    </w:p>
    <w:p>
      <w:pPr>
        <w:spacing w:before="120" w:after="80"/>
        <w:jc w:val="both"/>
      </w:pPr>
      <w:r>
        <w:rPr>
          <w:rFonts w:ascii="Arial" w:cs="Arial" w:eastAsia="Arial" w:hAnsi="Arial"/>
          <w:b/>
          <w:bCs/>
          <w:sz w:val="20"/>
          <w:szCs w:val="20"/>
        </w:rPr>
        <w:t xml:space="preserve">11.1  </w:t>
      </w:r>
      <w:r>
        <w:rPr>
          <w:rFonts w:ascii="Arial" w:cs="Arial" w:eastAsia="Arial" w:hAnsi="Arial"/>
          <w:sz w:val="20"/>
          <w:szCs w:val="20"/>
        </w:rPr>
        <w:t xml:space="preserve">AGGREGATE LIABILITY CAP. EXCEPT AS SET FORTH IN SECTION 11.2, THE AGGREGATE LIABILITY OF EITHER PARTY TO THE OTHER, ARISING OUT OF OR RELATED TO THIS AGREEMENT, REGARDLESS OF THE FORM OF ACTION OR THE BASIS OF THE CLAIM (WHETHER IN CONTRACT, TORT, NEGLIGENCE, STRICT LIABILITY, OR OTHERWISE), SHALL NOT EXCEED AN AMOUNT EQUAL TO ONE HUNDRED PERCENT (100%) OF THE TOTAL FEES PAID OR PAYABLE BY GLOBEX TO ACME UNDER THE APPLICABLE STATEMENT OF WORK DURING THE TWELVE (12) CALENDAR MONTHS IMMEDIATELY PRECEDING THE DATE ON WHICH THE CLAIM AROSE.</w:t>
      </w:r>
    </w:p>
    <w:p>
      <w:pPr>
        <w:spacing w:before="120" w:after="80"/>
        <w:jc w:val="both"/>
      </w:pPr>
      <w:r>
        <w:rPr>
          <w:rFonts w:ascii="Arial" w:cs="Arial" w:eastAsia="Arial" w:hAnsi="Arial"/>
          <w:b/>
          <w:bCs/>
          <w:sz w:val="20"/>
          <w:szCs w:val="20"/>
        </w:rPr>
        <w:t xml:space="preserve">11.2  </w:t>
      </w:r>
      <w:r>
        <w:rPr>
          <w:rFonts w:ascii="Arial" w:cs="Arial" w:eastAsia="Arial" w:hAnsi="Arial"/>
          <w:sz w:val="20"/>
          <w:szCs w:val="20"/>
        </w:rPr>
        <w:t xml:space="preserve">EXCEPTIONS. The liability cap in Section 11.1 shall not apply to: (a) a party's indemnification obligations under Section 10; (b) breaches of confidentiality obligations under Section 6; (c) breaches of data protection obligations under Section 7; (d) claims arising from gross negligence or willful misconduct; or (e) intellectual property infringement claims.</w:t>
      </w:r>
    </w:p>
    <w:p>
      <w:pPr>
        <w:spacing w:before="120" w:after="80"/>
        <w:jc w:val="both"/>
      </w:pPr>
      <w:r>
        <w:rPr>
          <w:rFonts w:ascii="Arial" w:cs="Arial" w:eastAsia="Arial" w:hAnsi="Arial"/>
          <w:b/>
          <w:bCs/>
          <w:sz w:val="20"/>
          <w:szCs w:val="20"/>
        </w:rPr>
        <w:t xml:space="preserve">11.3  </w:t>
      </w:r>
      <w:r>
        <w:rPr>
          <w:rFonts w:ascii="Arial" w:cs="Arial" w:eastAsia="Arial" w:hAnsi="Arial"/>
          <w:sz w:val="20"/>
          <w:szCs w:val="20"/>
        </w:rPr>
        <w:t xml:space="preserve">EXCLUSION OF CONSEQUENTIAL DAMAGES. IN NO EVENT SHALL EITHER PARTY BE LIABLE TO THE OTHER FOR ANY INDIRECT, INCIDENTAL, SPECIAL, CONSEQUENTIAL, PUNITIVE, OR EXEMPLARY DAMAGES, INCLUDING LOSS OF PROFITS, LOSS OF REVENUE, LOSS OF GOODWILL, OR LOSS OF DATA, EVEN IF ADVISED OF THE POSSIBILITY OF SUCH DAMAGES.</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12: INSURANCE</w:t>
      </w:r>
    </w:p>
    <w:p>
      <w:pPr>
        <w:spacing w:before="120" w:after="80"/>
        <w:jc w:val="both"/>
      </w:pPr>
      <w:r>
        <w:rPr>
          <w:rFonts w:ascii="Arial" w:cs="Arial" w:eastAsia="Arial" w:hAnsi="Arial"/>
          <w:b/>
          <w:bCs/>
          <w:sz w:val="20"/>
          <w:szCs w:val="20"/>
        </w:rPr>
        <w:t xml:space="preserve">12.1  </w:t>
      </w:r>
      <w:r>
        <w:rPr>
          <w:rFonts w:ascii="Arial" w:cs="Arial" w:eastAsia="Arial" w:hAnsi="Arial"/>
          <w:sz w:val="20"/>
          <w:szCs w:val="20"/>
        </w:rPr>
        <w:t xml:space="preserve">ACME shall, at its own expense, maintain the following minimum insurance coverage throughout the term of this Agreement: (a) Commercial General Liability: $2,000,000 per occurrence, $5,000,000 aggregate; (b) Professional Liability / Errors &amp; Omissions: $5,000,000 per occurrence; (c) Cyber Liability: $5,000,000 per occurrence; (d) Workers' Compensation: as required by applicable law; (e) Employer's Liability: $1,000,000 per occurrence.</w:t>
      </w:r>
    </w:p>
    <w:p>
      <w:pPr>
        <w:spacing w:before="120" w:after="80"/>
        <w:jc w:val="both"/>
      </w:pPr>
      <w:r>
        <w:rPr>
          <w:rFonts w:ascii="Arial" w:cs="Arial" w:eastAsia="Arial" w:hAnsi="Arial"/>
          <w:b/>
          <w:bCs/>
          <w:sz w:val="20"/>
          <w:szCs w:val="20"/>
        </w:rPr>
        <w:t xml:space="preserve">12.2  </w:t>
      </w:r>
      <w:r>
        <w:rPr>
          <w:rFonts w:ascii="Arial" w:cs="Arial" w:eastAsia="Arial" w:hAnsi="Arial"/>
          <w:sz w:val="20"/>
          <w:szCs w:val="20"/>
        </w:rPr>
        <w:t xml:space="preserve">Globex shall be named as an additional insured on ACME's Commercial General Liability and Cyber Liability policies. ACME shall provide Globex with certificates of insurance evidencing such coverage within ten (10) business days of the Effective Date and upon each annual renewal.</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13: DISPUTE RESOLUTION</w:t>
      </w:r>
    </w:p>
    <w:p>
      <w:pPr>
        <w:spacing w:before="120" w:after="80"/>
        <w:jc w:val="both"/>
      </w:pPr>
      <w:r>
        <w:rPr>
          <w:rFonts w:ascii="Arial" w:cs="Arial" w:eastAsia="Arial" w:hAnsi="Arial"/>
          <w:b/>
          <w:bCs/>
          <w:sz w:val="20"/>
          <w:szCs w:val="20"/>
        </w:rPr>
        <w:t xml:space="preserve">13.1  </w:t>
      </w:r>
      <w:r>
        <w:rPr>
          <w:rFonts w:ascii="Arial" w:cs="Arial" w:eastAsia="Arial" w:hAnsi="Arial"/>
          <w:sz w:val="20"/>
          <w:szCs w:val="20"/>
        </w:rPr>
        <w:t xml:space="preserve">In the event of any dispute arising out of or relating to this Agreement, the parties shall first attempt to resolve the dispute through good-faith negotiation between senior representatives of each party for a period of thirty (30) days.</w:t>
      </w:r>
    </w:p>
    <w:p>
      <w:pPr>
        <w:spacing w:before="120" w:after="80"/>
        <w:jc w:val="both"/>
      </w:pPr>
      <w:r>
        <w:rPr>
          <w:rFonts w:ascii="Arial" w:cs="Arial" w:eastAsia="Arial" w:hAnsi="Arial"/>
          <w:b/>
          <w:bCs/>
          <w:sz w:val="20"/>
          <w:szCs w:val="20"/>
        </w:rPr>
        <w:t xml:space="preserve">13.2  </w:t>
      </w:r>
      <w:r>
        <w:rPr>
          <w:rFonts w:ascii="Arial" w:cs="Arial" w:eastAsia="Arial" w:hAnsi="Arial"/>
          <w:sz w:val="20"/>
          <w:szCs w:val="20"/>
        </w:rPr>
        <w:t xml:space="preserve">If the dispute is not resolved through negotiation, either party may submit the dispute to non-binding mediation administered by JAMS or a mutually agreed mediator. Mediation costs shall be shared equally.</w:t>
      </w:r>
    </w:p>
    <w:p>
      <w:pPr>
        <w:spacing w:before="120" w:after="80"/>
        <w:jc w:val="both"/>
      </w:pPr>
      <w:r>
        <w:rPr>
          <w:rFonts w:ascii="Arial" w:cs="Arial" w:eastAsia="Arial" w:hAnsi="Arial"/>
          <w:b/>
          <w:bCs/>
          <w:sz w:val="20"/>
          <w:szCs w:val="20"/>
        </w:rPr>
        <w:t xml:space="preserve">13.3  </w:t>
      </w:r>
      <w:r>
        <w:rPr>
          <w:rFonts w:ascii="Arial" w:cs="Arial" w:eastAsia="Arial" w:hAnsi="Arial"/>
          <w:sz w:val="20"/>
          <w:szCs w:val="20"/>
        </w:rPr>
        <w:t xml:space="preserve">If the dispute is not resolved through mediation, either party may initiate litigation in the courts specified in Section 15.</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14: AUDIT RIGHTS</w:t>
      </w:r>
    </w:p>
    <w:p>
      <w:pPr>
        <w:spacing w:before="120" w:after="80"/>
        <w:jc w:val="both"/>
      </w:pPr>
      <w:r>
        <w:rPr>
          <w:rFonts w:ascii="Arial" w:cs="Arial" w:eastAsia="Arial" w:hAnsi="Arial"/>
          <w:b/>
          <w:bCs/>
          <w:sz w:val="20"/>
          <w:szCs w:val="20"/>
        </w:rPr>
        <w:t xml:space="preserve">14.1  </w:t>
      </w:r>
      <w:r>
        <w:rPr>
          <w:rFonts w:ascii="Arial" w:cs="Arial" w:eastAsia="Arial" w:hAnsi="Arial"/>
          <w:sz w:val="20"/>
          <w:szCs w:val="20"/>
        </w:rPr>
        <w:t xml:space="preserve">Globex reserves the right to audit, upon twenty (20) business days' prior written notice and no more than once per calendar year, ACME's books, records, systems, and facilities to the extent related to ACME's performance under this Agreement, including but not limited to fee calculations, data handling practices, and security controls.</w:t>
      </w:r>
    </w:p>
    <w:p>
      <w:pPr>
        <w:spacing w:before="120" w:after="80"/>
        <w:jc w:val="both"/>
      </w:pPr>
      <w:r>
        <w:rPr>
          <w:rFonts w:ascii="Arial" w:cs="Arial" w:eastAsia="Arial" w:hAnsi="Arial"/>
          <w:b/>
          <w:bCs/>
          <w:sz w:val="20"/>
          <w:szCs w:val="20"/>
        </w:rPr>
        <w:t xml:space="preserve">14.2  </w:t>
      </w:r>
      <w:r>
        <w:rPr>
          <w:rFonts w:ascii="Arial" w:cs="Arial" w:eastAsia="Arial" w:hAnsi="Arial"/>
          <w:sz w:val="20"/>
          <w:szCs w:val="20"/>
        </w:rPr>
        <w:t xml:space="preserve">ACME shall maintain complete and accurate records related to this Agreement for a period of seven (7) years from the date of the relevant transaction. ACME shall cooperate fully with any Globex-initiated audit.</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15: GOVERNING LAW AND JURISDICTION</w:t>
      </w:r>
    </w:p>
    <w:p>
      <w:pPr>
        <w:spacing w:before="120" w:after="80"/>
        <w:jc w:val="both"/>
      </w:pPr>
      <w:r>
        <w:rPr>
          <w:rFonts w:ascii="Arial" w:cs="Arial" w:eastAsia="Arial" w:hAnsi="Arial"/>
          <w:b/>
          <w:bCs/>
          <w:sz w:val="20"/>
          <w:szCs w:val="20"/>
        </w:rPr>
        <w:t xml:space="preserve">15.1  </w:t>
      </w:r>
      <w:r>
        <w:rPr>
          <w:rFonts w:ascii="Arial" w:cs="Arial" w:eastAsia="Arial" w:hAnsi="Arial"/>
          <w:sz w:val="20"/>
          <w:szCs w:val="20"/>
        </w:rPr>
        <w:t xml:space="preserve">GOVERNING LAW. This Agreement shall be governed by, and construed and enforced in accordance with, the laws of the State of Delaware, without regard to its conflict-of-law principles or choice-of-law rules. The parties acknowledge that Delaware law governs this Agreement as both parties are incorporated in Delaware and have agreed to this choice of law as a material term of their commercial relationship.</w:t>
      </w:r>
    </w:p>
    <w:p>
      <w:pPr>
        <w:spacing w:before="120" w:after="80"/>
        <w:jc w:val="both"/>
      </w:pPr>
      <w:r>
        <w:rPr>
          <w:rFonts w:ascii="Arial" w:cs="Arial" w:eastAsia="Arial" w:hAnsi="Arial"/>
          <w:b/>
          <w:bCs/>
          <w:sz w:val="20"/>
          <w:szCs w:val="20"/>
        </w:rPr>
        <w:t xml:space="preserve">15.2  </w:t>
      </w:r>
      <w:r>
        <w:rPr>
          <w:rFonts w:ascii="Arial" w:cs="Arial" w:eastAsia="Arial" w:hAnsi="Arial"/>
          <w:sz w:val="20"/>
          <w:szCs w:val="20"/>
        </w:rPr>
        <w:t xml:space="preserve">JURISDICTION. Each party hereby irrevocably submits to the exclusive jurisdiction of the state and federal courts located in Wilmington, New Castle County, State of Delaware, for the resolution of any dispute arising out of or related to this Agreement. Each party waives any objection based on improper venue or inconvenient forum.</w:t>
      </w:r>
    </w:p>
    <w:p>
      <w:pPr>
        <w:spacing w:before="120" w:after="80"/>
        <w:jc w:val="both"/>
      </w:pPr>
      <w:r>
        <w:rPr>
          <w:rFonts w:ascii="Arial" w:cs="Arial" w:eastAsia="Arial" w:hAnsi="Arial"/>
          <w:b/>
          <w:bCs/>
          <w:sz w:val="20"/>
          <w:szCs w:val="20"/>
        </w:rPr>
        <w:t xml:space="preserve">15.3  </w:t>
      </w:r>
      <w:r>
        <w:rPr>
          <w:rFonts w:ascii="Arial" w:cs="Arial" w:eastAsia="Arial" w:hAnsi="Arial"/>
          <w:sz w:val="20"/>
          <w:szCs w:val="20"/>
        </w:rPr>
        <w:t xml:space="preserve">SERVICE OF PROCESS. Service of process may be made in any manner permitted by applicable law, including by first-class mail to the address set forth on the signature page.</w:t>
      </w:r>
    </w:p>
    <w:p>
      <w:pPr>
        <w:spacing w:before="60" w:after="60"/>
      </w:pPr>
      <w:r>
        <w:t xml:space="preserve"/>
      </w:r>
    </w:p>
    <w:p>
      <w:pPr>
        <w:pStyle w:val="Heading1"/>
        <w:spacing w:before="360" w:after="180"/>
      </w:pPr>
      <w:r>
        <w:rPr>
          <w:rFonts w:ascii="Arial" w:cs="Arial" w:eastAsia="Arial" w:hAnsi="Arial"/>
          <w:b/>
          <w:bCs/>
          <w:color w:val="1A4D2E"/>
          <w:sz w:val="36"/>
          <w:szCs w:val="36"/>
        </w:rPr>
        <w:t xml:space="preserve">SECTION 16: GENERAL PROVISIONS</w:t>
      </w:r>
    </w:p>
    <w:p>
      <w:pPr>
        <w:spacing w:before="120" w:after="80"/>
        <w:jc w:val="both"/>
      </w:pPr>
      <w:r>
        <w:rPr>
          <w:rFonts w:ascii="Arial" w:cs="Arial" w:eastAsia="Arial" w:hAnsi="Arial"/>
          <w:b/>
          <w:bCs/>
          <w:sz w:val="20"/>
          <w:szCs w:val="20"/>
        </w:rPr>
        <w:t xml:space="preserve">16.1  </w:t>
      </w:r>
      <w:r>
        <w:rPr>
          <w:rFonts w:ascii="Arial" w:cs="Arial" w:eastAsia="Arial" w:hAnsi="Arial"/>
          <w:sz w:val="20"/>
          <w:szCs w:val="20"/>
        </w:rPr>
        <w:t xml:space="preserve">ENTIRE AGREEMENT. This Agreement, together with all Schedules, Exhibits, and Statements of Work, constitutes the entire agreement between the parties with respect to its subject matter and supersedes all prior negotiations, representations, warranties, or agreements, whether written or oral.</w:t>
      </w:r>
    </w:p>
    <w:p>
      <w:pPr>
        <w:spacing w:before="120" w:after="80"/>
        <w:jc w:val="both"/>
      </w:pPr>
      <w:r>
        <w:rPr>
          <w:rFonts w:ascii="Arial" w:cs="Arial" w:eastAsia="Arial" w:hAnsi="Arial"/>
          <w:b/>
          <w:bCs/>
          <w:sz w:val="20"/>
          <w:szCs w:val="20"/>
        </w:rPr>
        <w:t xml:space="preserve">16.2  </w:t>
      </w:r>
      <w:r>
        <w:rPr>
          <w:rFonts w:ascii="Arial" w:cs="Arial" w:eastAsia="Arial" w:hAnsi="Arial"/>
          <w:sz w:val="20"/>
          <w:szCs w:val="20"/>
        </w:rPr>
        <w:t xml:space="preserve">AMENDMENTS. No amendment or modification of this Agreement shall be valid or binding unless made in writing and duly executed by authorized representatives of both parties.</w:t>
      </w:r>
    </w:p>
    <w:p>
      <w:pPr>
        <w:spacing w:before="120" w:after="80"/>
        <w:jc w:val="both"/>
      </w:pPr>
      <w:r>
        <w:rPr>
          <w:rFonts w:ascii="Arial" w:cs="Arial" w:eastAsia="Arial" w:hAnsi="Arial"/>
          <w:b/>
          <w:bCs/>
          <w:sz w:val="20"/>
          <w:szCs w:val="20"/>
        </w:rPr>
        <w:t xml:space="preserve">16.3  </w:t>
      </w:r>
      <w:r>
        <w:rPr>
          <w:rFonts w:ascii="Arial" w:cs="Arial" w:eastAsia="Arial" w:hAnsi="Arial"/>
          <w:sz w:val="20"/>
          <w:szCs w:val="20"/>
        </w:rPr>
        <w:t xml:space="preserve">SEVERABILITY. If any provision of this Agreement is held to be invalid, illegal, or unenforceable under applicable law, such provision shall be modified to the minimum extent necessary to make it valid and enforceable, and the validity, legality, and enforceability of the remaining provisions shall not in any way be affected or impaired.</w:t>
      </w:r>
    </w:p>
    <w:p>
      <w:pPr>
        <w:spacing w:before="120" w:after="80"/>
        <w:jc w:val="both"/>
      </w:pPr>
      <w:r>
        <w:rPr>
          <w:rFonts w:ascii="Arial" w:cs="Arial" w:eastAsia="Arial" w:hAnsi="Arial"/>
          <w:b/>
          <w:bCs/>
          <w:sz w:val="20"/>
          <w:szCs w:val="20"/>
        </w:rPr>
        <w:t xml:space="preserve">16.4  </w:t>
      </w:r>
      <w:r>
        <w:rPr>
          <w:rFonts w:ascii="Arial" w:cs="Arial" w:eastAsia="Arial" w:hAnsi="Arial"/>
          <w:sz w:val="20"/>
          <w:szCs w:val="20"/>
        </w:rPr>
        <w:t xml:space="preserve">WAIVER. No failure or delay by either party in exercising any right under this Agreement shall constitute a waiver of that right. A waiver of any breach shall not constitute a waiver of any other breach.</w:t>
      </w:r>
    </w:p>
    <w:p>
      <w:pPr>
        <w:spacing w:before="120" w:after="80"/>
        <w:jc w:val="both"/>
      </w:pPr>
      <w:r>
        <w:rPr>
          <w:rFonts w:ascii="Arial" w:cs="Arial" w:eastAsia="Arial" w:hAnsi="Arial"/>
          <w:b/>
          <w:bCs/>
          <w:sz w:val="20"/>
          <w:szCs w:val="20"/>
        </w:rPr>
        <w:t xml:space="preserve">16.5  </w:t>
      </w:r>
      <w:r>
        <w:rPr>
          <w:rFonts w:ascii="Arial" w:cs="Arial" w:eastAsia="Arial" w:hAnsi="Arial"/>
          <w:sz w:val="20"/>
          <w:szCs w:val="20"/>
        </w:rPr>
        <w:t xml:space="preserve">NOTICES. All notices under this Agreement shall be in writing and delivered to the addresses set forth on the signature page by: (a) personal delivery; (b) nationally recognized overnight courier; (c) certified mail, return receipt requested; or (d) email with confirmation of receipt.</w:t>
      </w:r>
    </w:p>
    <w:p>
      <w:pPr>
        <w:spacing w:before="120" w:after="80"/>
        <w:jc w:val="both"/>
      </w:pPr>
      <w:r>
        <w:rPr>
          <w:rFonts w:ascii="Arial" w:cs="Arial" w:eastAsia="Arial" w:hAnsi="Arial"/>
          <w:b/>
          <w:bCs/>
          <w:sz w:val="20"/>
          <w:szCs w:val="20"/>
        </w:rPr>
        <w:t xml:space="preserve">16.6  </w:t>
      </w:r>
      <w:r>
        <w:rPr>
          <w:rFonts w:ascii="Arial" w:cs="Arial" w:eastAsia="Arial" w:hAnsi="Arial"/>
          <w:sz w:val="20"/>
          <w:szCs w:val="20"/>
        </w:rPr>
        <w:t xml:space="preserve">ASSIGNMENT. Neither party may assign this Agreement or any rights hereunder without the prior written consent of the other party, except that either party may assign this Agreement to an affiliate or in connection with a merger, acquisition, or sale of substantially all of its assets.</w:t>
      </w:r>
    </w:p>
    <w:p>
      <w:pPr>
        <w:spacing w:before="120" w:after="80"/>
        <w:jc w:val="both"/>
      </w:pPr>
      <w:r>
        <w:rPr>
          <w:rFonts w:ascii="Arial" w:cs="Arial" w:eastAsia="Arial" w:hAnsi="Arial"/>
          <w:b/>
          <w:bCs/>
          <w:sz w:val="20"/>
          <w:szCs w:val="20"/>
        </w:rPr>
        <w:t xml:space="preserve">16.7  </w:t>
      </w:r>
      <w:r>
        <w:rPr>
          <w:rFonts w:ascii="Arial" w:cs="Arial" w:eastAsia="Arial" w:hAnsi="Arial"/>
          <w:sz w:val="20"/>
          <w:szCs w:val="20"/>
        </w:rPr>
        <w:t xml:space="preserve">COUNTERPARTS. This Agreement may be executed in counterparts, each of which shall be deemed an original, and all of which together shall constitute one and the same instrument. Electronic signatures shall be deemed valid.</w:t>
      </w:r>
    </w:p>
    <w:p>
      <w:pPr>
        <w:spacing w:before="120" w:after="80"/>
        <w:jc w:val="both"/>
      </w:pPr>
      <w:r>
        <w:rPr>
          <w:rFonts w:ascii="Arial" w:cs="Arial" w:eastAsia="Arial" w:hAnsi="Arial"/>
          <w:b/>
          <w:bCs/>
          <w:sz w:val="20"/>
          <w:szCs w:val="20"/>
        </w:rPr>
        <w:t xml:space="preserve">16.8  </w:t>
      </w:r>
      <w:r>
        <w:rPr>
          <w:rFonts w:ascii="Arial" w:cs="Arial" w:eastAsia="Arial" w:hAnsi="Arial"/>
          <w:sz w:val="20"/>
          <w:szCs w:val="20"/>
        </w:rPr>
        <w:t xml:space="preserve">RELATIONSHIP OF PARTIES. The parties are independent contractors. Nothing in this Agreement shall be construed to create an employment, agency, partnership, or joint venture relationship between the parties.</w:t>
      </w:r>
    </w:p>
    <w:p>
      <w:pPr>
        <w:spacing w:before="60" w:after="60"/>
      </w:pPr>
      <w:r>
        <w:t xml:space="preserve"/>
      </w:r>
    </w:p>
    <w:p>
      <w:r>
        <w:br w:type="page"/>
      </w:r>
    </w:p>
    <w:p>
      <w:pPr>
        <w:pStyle w:val="Heading1"/>
        <w:spacing w:before="360" w:after="180"/>
      </w:pPr>
      <w:r>
        <w:rPr>
          <w:rFonts w:ascii="Arial" w:cs="Arial" w:eastAsia="Arial" w:hAnsi="Arial"/>
          <w:b/>
          <w:bCs/>
          <w:color w:val="1A4D2E"/>
          <w:sz w:val="36"/>
          <w:szCs w:val="36"/>
        </w:rPr>
        <w:t xml:space="preserve">SCHEDULE A: STATEMENT OF WORK TEMPLATE</w:t>
      </w:r>
    </w:p>
    <w:p>
      <w:pPr>
        <w:spacing w:before="80" w:after="80"/>
        <w:jc w:val="both"/>
      </w:pPr>
      <w:r>
        <w:rPr>
          <w:rFonts w:ascii="Arial" w:cs="Arial" w:eastAsia="Arial" w:hAnsi="Arial"/>
          <w:sz w:val="20"/>
          <w:szCs w:val="20"/>
        </w:rPr>
        <w:t xml:space="preserve">This Schedule provides a standardized Statement of Work template for use by both parties when engaging services under this Agreement. All SOWs must be executed by authorized representatives of both parties and incorporate the terms of this MSA by reference.</w:t>
      </w:r>
    </w:p>
    <w:p>
      <w:pPr>
        <w:spacing w:before="60" w:after="60"/>
      </w:pPr>
      <w:r>
        <w:t xml:space="preserve"/>
      </w:r>
    </w:p>
    <w:p>
      <w:pPr>
        <w:pStyle w:val="Heading3"/>
        <w:spacing w:before="180" w:after="80"/>
      </w:pPr>
      <w:r>
        <w:rPr>
          <w:rFonts w:ascii="Arial" w:cs="Arial" w:eastAsia="Arial" w:hAnsi="Arial"/>
          <w:b/>
          <w:bCs/>
          <w:color w:val="2E7D4F"/>
          <w:sz w:val="22"/>
          <w:szCs w:val="22"/>
        </w:rPr>
        <w:t xml:space="preserve">A.1  SOW Standard Fields</w:t>
      </w:r>
    </w:p>
    <w:p>
      <w:pPr>
        <w:spacing w:before="80" w:after="80"/>
        <w:jc w:val="both"/>
      </w:pPr>
      <w:r>
        <w:rPr>
          <w:rFonts w:ascii="Arial" w:cs="Arial" w:eastAsia="Arial" w:hAnsi="Arial"/>
          <w:sz w:val="20"/>
          <w:szCs w:val="20"/>
        </w:rPr>
        <w:t xml:space="preserve">The following table identifies the mandatory fields that must be completed in each SOW: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SOW Field</w:t>
            </w:r>
          </w:p>
        </w:tc>
        <w:tc>
          <w:tcPr>
            <w:tcW w:type="dxa" w:w="30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236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SOW Number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Unique identifier assigned by Globex Procurement</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SOW-2025-001</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Must match PO number prefix</w:t>
            </w:r>
          </w:p>
        </w:tc>
      </w:tr>
      <w:tr>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Effective Date</w:t>
            </w:r>
          </w:p>
        </w:tc>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Date services commence under this SOW</w:t>
            </w:r>
          </w:p>
        </w:tc>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January 15, 2025</w:t>
            </w:r>
          </w:p>
        </w:tc>
        <w:tc>
          <w:tcPr>
            <w:tcW w:type="dxa" w:w="23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Cannot predate MSA execution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Term</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Duration of services under this SOW</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12 months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Renewable by amendment</w:t>
            </w:r>
          </w:p>
        </w:tc>
      </w:tr>
      <w:tr>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Service Description</w:t>
            </w:r>
          </w:p>
        </w:tc>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Detailed description of services to be performed</w:t>
            </w:r>
          </w:p>
        </w:tc>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See Schedule A</w:t>
            </w:r>
          </w:p>
        </w:tc>
        <w:tc>
          <w:tcPr>
            <w:tcW w:type="dxa" w:w="23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Must be unambiguous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Deliverables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Specific outputs, documents, or milestones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See Schedule B</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Include acceptance criteria</w:t>
            </w:r>
          </w:p>
        </w:tc>
      </w:tr>
      <w:tr>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Fees</w:t>
            </w:r>
          </w:p>
        </w:tc>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Fixed fee, T&amp;M rates, or subscription charges</w:t>
            </w:r>
          </w:p>
        </w:tc>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$500,000 fixed fee</w:t>
            </w:r>
          </w:p>
        </w:tc>
        <w:tc>
          <w:tcPr>
            <w:tcW w:type="dxa" w:w="23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Include currency and tax treatment</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Payment Milestones</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Schedule for invoice submission aligned to deliverables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See Schedule C</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Must comply with Net 30 terms</w:t>
            </w:r>
          </w:p>
        </w:tc>
      </w:tr>
      <w:tr>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Key Personnel</w:t>
            </w:r>
          </w:p>
        </w:tc>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Named individuals responsible for delivery</w:t>
            </w:r>
          </w:p>
        </w:tc>
        <w:tc>
          <w:tcPr>
            <w:tcW w:type="dxa" w:w="2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See Schedule D</w:t>
            </w:r>
          </w:p>
        </w:tc>
        <w:tc>
          <w:tcPr>
            <w:tcW w:type="dxa" w:w="23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Changes require 10-day notice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Acceptance Period</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Period for Globex to review and accept deliverables</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10 business days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Deemed acceptance if no response</w:t>
            </w:r>
          </w:p>
        </w:tc>
      </w:tr>
    </w:tbl>
    <w:p>
      <w:pPr>
        <w:spacing w:before="60" w:after="60"/>
      </w:pPr>
      <w:r>
        <w:t xml:space="preserve"/>
      </w:r>
    </w:p>
    <w:p>
      <w:pPr>
        <w:spacing w:before="60" w:after="60"/>
      </w:pPr>
      <w:r>
        <w:t xml:space="preserve"/>
      </w:r>
    </w:p>
    <w:p>
      <w:pPr>
        <w:pStyle w:val="Heading3"/>
        <w:spacing w:before="180" w:after="80"/>
      </w:pPr>
      <w:r>
        <w:rPr>
          <w:rFonts w:ascii="Arial" w:cs="Arial" w:eastAsia="Arial" w:hAnsi="Arial"/>
          <w:b/>
          <w:bCs/>
          <w:color w:val="2E7D4F"/>
          <w:sz w:val="22"/>
          <w:szCs w:val="22"/>
        </w:rPr>
        <w:t xml:space="preserve">A.2  SOW Execution Process</w:t>
      </w:r>
    </w:p>
    <w:p>
      <w:pPr>
        <w:spacing w:before="120" w:after="80"/>
        <w:jc w:val="both"/>
      </w:pPr>
      <w:r>
        <w:rPr>
          <w:rFonts w:ascii="Arial" w:cs="Arial" w:eastAsia="Arial" w:hAnsi="Arial"/>
          <w:b/>
          <w:bCs/>
          <w:sz w:val="20"/>
          <w:szCs w:val="20"/>
        </w:rPr>
        <w:t xml:space="preserve">A.2.1  </w:t>
      </w:r>
      <w:r>
        <w:rPr>
          <w:rFonts w:ascii="Arial" w:cs="Arial" w:eastAsia="Arial" w:hAnsi="Arial"/>
          <w:sz w:val="20"/>
          <w:szCs w:val="20"/>
        </w:rPr>
        <w:t xml:space="preserve">Prior to executing any SOW, the requesting business unit must obtain internal approval in accordance with Globex's Delegation of Authority matrix. All SOWs with an aggregate value exceeding $250,000 require Legal review.</w:t>
      </w:r>
    </w:p>
    <w:p>
      <w:pPr>
        <w:spacing w:before="120" w:after="80"/>
        <w:jc w:val="both"/>
      </w:pPr>
      <w:r>
        <w:rPr>
          <w:rFonts w:ascii="Arial" w:cs="Arial" w:eastAsia="Arial" w:hAnsi="Arial"/>
          <w:b/>
          <w:bCs/>
          <w:sz w:val="20"/>
          <w:szCs w:val="20"/>
        </w:rPr>
        <w:t xml:space="preserve">A.2.2  </w:t>
      </w:r>
      <w:r>
        <w:rPr>
          <w:rFonts w:ascii="Arial" w:cs="Arial" w:eastAsia="Arial" w:hAnsi="Arial"/>
          <w:sz w:val="20"/>
          <w:szCs w:val="20"/>
        </w:rPr>
        <w:t xml:space="preserve">A draft SOW shall be circulated between the parties for review and comment at least ten (10) business days prior to the proposed commencement date of services.</w:t>
      </w:r>
    </w:p>
    <w:p>
      <w:pPr>
        <w:spacing w:before="120" w:after="80"/>
        <w:jc w:val="both"/>
      </w:pPr>
      <w:r>
        <w:rPr>
          <w:rFonts w:ascii="Arial" w:cs="Arial" w:eastAsia="Arial" w:hAnsi="Arial"/>
          <w:b/>
          <w:bCs/>
          <w:sz w:val="20"/>
          <w:szCs w:val="20"/>
        </w:rPr>
        <w:t xml:space="preserve">A.2.3  </w:t>
      </w:r>
      <w:r>
        <w:rPr>
          <w:rFonts w:ascii="Arial" w:cs="Arial" w:eastAsia="Arial" w:hAnsi="Arial"/>
          <w:sz w:val="20"/>
          <w:szCs w:val="20"/>
        </w:rPr>
        <w:t xml:space="preserve">Executed SOWs must be filed in the contract management system within two (2) business days of full execution.</w:t>
      </w:r>
    </w:p>
    <w:p>
      <w:pPr>
        <w:spacing w:before="60" w:after="60"/>
      </w:pPr>
      <w:r>
        <w:t xml:space="preserve"/>
      </w:r>
    </w:p>
    <w:p>
      <w:r>
        <w:br w:type="page"/>
      </w:r>
    </w:p>
    <w:p>
      <w:pPr>
        <w:pStyle w:val="Heading1"/>
        <w:spacing w:before="360" w:after="180"/>
      </w:pPr>
      <w:r>
        <w:rPr>
          <w:rFonts w:ascii="Arial" w:cs="Arial" w:eastAsia="Arial" w:hAnsi="Arial"/>
          <w:b/>
          <w:bCs/>
          <w:color w:val="1A4D2E"/>
          <w:sz w:val="36"/>
          <w:szCs w:val="36"/>
        </w:rPr>
        <w:t xml:space="preserve">SCHEDULE B: GLOBEX PLAYBOOK COMPLIANCE MATRIX</w:t>
      </w:r>
    </w:p>
    <w:p>
      <w:pPr>
        <w:spacing w:before="80" w:after="80"/>
        <w:jc w:val="both"/>
      </w:pPr>
      <w:r>
        <w:rPr>
          <w:rFonts w:ascii="Arial" w:cs="Arial" w:eastAsia="Arial" w:hAnsi="Arial"/>
          <w:sz w:val="20"/>
          <w:szCs w:val="20"/>
        </w:rPr>
        <w:t xml:space="preserve">The following compliance matrix confirms that this Master Services Agreement is fully aligned with and compliant with the Globex Corporation Standard Vendor Playbook v4.2. This matrix has been prepared by ACME's legal counsel and verified by Globex's Legal department.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930"/>
        <w:gridCol w:w="1930"/>
      </w:tblGrid>
      <w:tr>
        <w:tc>
          <w:tcPr>
            <w:tcW w:type="dxa" w:w="30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Playbook Requirement</w:t>
            </w:r>
          </w:p>
        </w:tc>
        <w:tc>
          <w:tcPr>
            <w:tcW w:type="dxa" w:w="25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MSA Clause Reference</w:t>
            </w:r>
          </w:p>
        </w:tc>
        <w:tc>
          <w:tcPr>
            <w:tcW w:type="dxa" w:w="193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Compliant?</w:t>
            </w:r>
          </w:p>
        </w:tc>
        <w:tc>
          <w:tcPr>
            <w:tcW w:type="dxa" w:w="193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Payment Terms: Net 30 days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Section 5.1 – Payment Terms</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Exact match</w:t>
            </w:r>
          </w:p>
        </w:tc>
      </w:tr>
      <w:tr>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Termination for Convenience: 30 days notice</w:t>
            </w:r>
          </w:p>
        </w:tc>
        <w:tc>
          <w:tcPr>
            <w:tcW w:type="dxa" w:w="25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Section 9.2 – Termination for Convenience</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Exact match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Governing Law: Delaware</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Section 15.1 – Governing Law</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Exact match</w:t>
            </w:r>
          </w:p>
        </w:tc>
      </w:tr>
      <w:tr>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Liability Cap: 100% of 12-month fees</w:t>
            </w:r>
          </w:p>
        </w:tc>
        <w:tc>
          <w:tcPr>
            <w:tcW w:type="dxa" w:w="25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Section 11.1 – Limitation of Liability</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Exact match</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Breach Notification: 48 hours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Section 12.3 – Security Incident Notification</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Compliant</w:t>
            </w:r>
          </w:p>
        </w:tc>
      </w:tr>
      <w:tr>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Data Processing Restrictions</w:t>
            </w:r>
          </w:p>
        </w:tc>
        <w:tc>
          <w:tcPr>
            <w:tcW w:type="dxa" w:w="25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Section 13.2 – Data Use Restrictions</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Compliant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Audit Rights</w:t>
            </w:r>
          </w:p>
        </w:tc>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Section 14.1 – Audit Rights</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Compliant</w:t>
            </w:r>
          </w:p>
        </w:tc>
      </w:tr>
      <w:tr>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Subcontracting Restrictions</w:t>
            </w:r>
          </w:p>
        </w:tc>
        <w:tc>
          <w:tcPr>
            <w:tcW w:type="dxa" w:w="25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Section 7.3 – Subcontracting</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YES ✓</w:t>
            </w:r>
          </w:p>
        </w:tc>
        <w:tc>
          <w:tcPr>
            <w:tcW w:type="dxa" w:w="193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Compliant</w:t>
            </w:r>
          </w:p>
        </w:tc>
      </w:tr>
    </w:tbl>
    <w:p>
      <w:pPr>
        <w:spacing w:before="60" w:after="60"/>
      </w:pPr>
      <w:r>
        <w:t xml:space="preserve"/>
      </w:r>
    </w:p>
    <w:p>
      <w:pPr>
        <w:spacing w:before="60" w:after="60"/>
      </w:pPr>
      <w:r>
        <w:t xml:space="preserve"/>
      </w:r>
    </w:p>
    <w:p>
      <w:pPr>
        <w:spacing w:before="80" w:after="80"/>
        <w:jc w:val="both"/>
      </w:pPr>
      <w:r>
        <w:rPr>
          <w:rFonts w:ascii="Arial" w:cs="Arial" w:eastAsia="Arial" w:hAnsi="Arial"/>
          <w:sz w:val="20"/>
          <w:szCs w:val="20"/>
        </w:rPr>
        <w:t xml:space="preserve">Based on the analysis above, this Agreement is assessed as FULLY COMPLIANT with the Globex Corporation Standard Vendor Playbook v4.2. No deviations from Playbook standards have been identified. This Agreement is approved for execution without the requirement for CLO override authorization.</w:t>
      </w:r>
    </w:p>
    <w:p>
      <w:pPr>
        <w:spacing w:before="60" w:after="60"/>
      </w:pPr>
      <w:r>
        <w:t xml:space="preserve"/>
      </w:r>
    </w:p>
    <w:p>
      <w:r>
        <w:br w:type="page"/>
      </w:r>
    </w:p>
    <w:p>
      <w:pPr>
        <w:pStyle w:val="Heading1"/>
        <w:spacing w:before="360" w:after="180"/>
      </w:pPr>
      <w:r>
        <w:rPr>
          <w:rFonts w:ascii="Arial" w:cs="Arial" w:eastAsia="Arial" w:hAnsi="Arial"/>
          <w:b/>
          <w:bCs/>
          <w:color w:val="1A4D2E"/>
          <w:sz w:val="36"/>
          <w:szCs w:val="36"/>
        </w:rPr>
        <w:t xml:space="preserve">SCHEDULE C: FORCE MAJEURE PROVISIONS</w:t>
      </w:r>
    </w:p>
    <w:p>
      <w:pPr>
        <w:spacing w:before="120" w:after="80"/>
        <w:jc w:val="both"/>
      </w:pPr>
      <w:r>
        <w:rPr>
          <w:rFonts w:ascii="Arial" w:cs="Arial" w:eastAsia="Arial" w:hAnsi="Arial"/>
          <w:b/>
          <w:bCs/>
          <w:sz w:val="20"/>
          <w:szCs w:val="20"/>
        </w:rPr>
        <w:t xml:space="preserve">C.1  </w:t>
      </w:r>
      <w:r>
        <w:rPr>
          <w:rFonts w:ascii="Arial" w:cs="Arial" w:eastAsia="Arial" w:hAnsi="Arial"/>
          <w:sz w:val="20"/>
          <w:szCs w:val="20"/>
        </w:rPr>
        <w:t xml:space="preserve">Neither party shall be in breach of this Agreement or liable to the other party for any delay in performance or non-performance of its obligations to the extent that such delay or non-performance is caused by a Force Majeure Event. A "Force Majeure Event" means any event beyond the reasonable control of the affected party, including the categories described in the table below.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Event Category</w:t>
            </w:r>
          </w:p>
        </w:tc>
        <w:tc>
          <w:tcPr>
            <w:tcW w:type="dxa" w:w="30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Examples</w:t>
            </w:r>
          </w:p>
        </w:tc>
        <w:tc>
          <w:tcPr>
            <w:tcW w:type="dxa" w:w="336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Notification Requirement</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Acts of God / Natural Disaster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Earthquake, flood, hurricane, wildfire, pandemic</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Written notice within 48 hours</w:t>
            </w:r>
          </w:p>
        </w:tc>
      </w:tr>
      <w:tr>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Government Action</w:t>
            </w:r>
          </w:p>
        </w:tc>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Sanctions, embargo, regulatory shutdown, war</w:t>
            </w:r>
          </w:p>
        </w:tc>
        <w:tc>
          <w:tcPr>
            <w:tcW w:type="dxa" w:w="33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Written notice within 24 hours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Infrastructure Failure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National grid failure, ISP outage beyond party's control</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Written notice within 48 hours</w:t>
            </w:r>
          </w:p>
        </w:tc>
      </w:tr>
      <w:tr>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Civil Unrest</w:t>
            </w:r>
          </w:p>
        </w:tc>
        <w:tc>
          <w:tcPr>
            <w:tcW w:type="dxa" w:w="30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Strikes affecting third-party carriers, civil commotion</w:t>
            </w:r>
          </w:p>
        </w:tc>
        <w:tc>
          <w:tcPr>
            <w:tcW w:type="dxa" w:w="33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Written notice within 72 hours</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Cyber Attack (State-Actor)</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Nationally attributed DDoS or infrastructure attack</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Written notice within 24 hours</w:t>
            </w:r>
          </w:p>
        </w:tc>
      </w:tr>
    </w:tbl>
    <w:p>
      <w:pPr>
        <w:spacing w:before="60" w:after="60"/>
      </w:pPr>
      <w:r>
        <w:t xml:space="preserve"/>
      </w:r>
    </w:p>
    <w:p>
      <w:pPr>
        <w:spacing w:before="120" w:after="80"/>
        <w:jc w:val="both"/>
      </w:pPr>
      <w:r>
        <w:rPr>
          <w:rFonts w:ascii="Arial" w:cs="Arial" w:eastAsia="Arial" w:hAnsi="Arial"/>
          <w:b/>
          <w:bCs/>
          <w:sz w:val="20"/>
          <w:szCs w:val="20"/>
        </w:rPr>
        <w:t xml:space="preserve">C.2  </w:t>
      </w:r>
      <w:r>
        <w:rPr>
          <w:rFonts w:ascii="Arial" w:cs="Arial" w:eastAsia="Arial" w:hAnsi="Arial"/>
          <w:sz w:val="20"/>
          <w:szCs w:val="20"/>
        </w:rPr>
        <w:t xml:space="preserve">The party claiming Force Majeure must provide written notice to the other party as soon as reasonably practicable following the occurrence of the Force Majeure Event, and must use commercially reasonable efforts to mitigate the impact of the Force Majeure Event and resume performance as soon as reasonably practicable.</w:t>
      </w:r>
    </w:p>
    <w:p>
      <w:pPr>
        <w:spacing w:before="120" w:after="80"/>
        <w:jc w:val="both"/>
      </w:pPr>
      <w:r>
        <w:rPr>
          <w:rFonts w:ascii="Arial" w:cs="Arial" w:eastAsia="Arial" w:hAnsi="Arial"/>
          <w:b/>
          <w:bCs/>
          <w:sz w:val="20"/>
          <w:szCs w:val="20"/>
        </w:rPr>
        <w:t xml:space="preserve">C.3  </w:t>
      </w:r>
      <w:r>
        <w:rPr>
          <w:rFonts w:ascii="Arial" w:cs="Arial" w:eastAsia="Arial" w:hAnsi="Arial"/>
          <w:sz w:val="20"/>
          <w:szCs w:val="20"/>
        </w:rPr>
        <w:t xml:space="preserve">If a Force Majeure Event continues for more than sixty (60) consecutive days, either party may terminate the affected SOW upon written notice without liability to the other party for such termination.</w:t>
      </w:r>
    </w:p>
    <w:p>
      <w:pPr>
        <w:spacing w:before="120" w:after="80"/>
        <w:jc w:val="both"/>
      </w:pPr>
      <w:r>
        <w:rPr>
          <w:rFonts w:ascii="Arial" w:cs="Arial" w:eastAsia="Arial" w:hAnsi="Arial"/>
          <w:b/>
          <w:bCs/>
          <w:sz w:val="20"/>
          <w:szCs w:val="20"/>
        </w:rPr>
        <w:t xml:space="preserve">C.4  </w:t>
      </w:r>
      <w:r>
        <w:rPr>
          <w:rFonts w:ascii="Arial" w:cs="Arial" w:eastAsia="Arial" w:hAnsi="Arial"/>
          <w:sz w:val="20"/>
          <w:szCs w:val="20"/>
        </w:rPr>
        <w:t xml:space="preserve">For the avoidance of doubt, Force Majeure does not include: (a) economic downturns or changes in market conditions; (b) changes in law that were foreseeable at the time of execution; (c) equipment failures arising from lack of maintenance; or (d) strikes or labour disputes internal to a party.</w:t>
      </w:r>
    </w:p>
    <w:p>
      <w:pPr>
        <w:spacing w:before="60" w:after="60"/>
      </w:pPr>
      <w:r>
        <w:t xml:space="preserve"/>
      </w:r>
    </w:p>
    <w:p>
      <w:pPr>
        <w:spacing w:before="60" w:after="60"/>
      </w:pPr>
      <w:r>
        <w:t xml:space="preserve"/>
      </w:r>
    </w:p>
    <w:p>
      <w:r>
        <w:br w:type="page"/>
      </w:r>
    </w:p>
    <w:p>
      <w:pPr>
        <w:pStyle w:val="Heading1"/>
        <w:spacing w:before="360" w:after="180"/>
      </w:pPr>
      <w:r>
        <w:rPr>
          <w:rFonts w:ascii="Arial" w:cs="Arial" w:eastAsia="Arial" w:hAnsi="Arial"/>
          <w:b/>
          <w:bCs/>
          <w:color w:val="1A4D2E"/>
          <w:sz w:val="36"/>
          <w:szCs w:val="36"/>
        </w:rPr>
        <w:t xml:space="preserve">SIGNATURE PAGE</w:t>
      </w:r>
    </w:p>
    <w:p>
      <w:pPr>
        <w:spacing w:before="80" w:after="80"/>
        <w:jc w:val="both"/>
      </w:pPr>
      <w:r>
        <w:rPr>
          <w:rFonts w:ascii="Arial" w:cs="Arial" w:eastAsia="Arial" w:hAnsi="Arial"/>
          <w:sz w:val="20"/>
          <w:szCs w:val="20"/>
        </w:rPr>
        <w:t xml:space="preserve">IN WITNESS WHEREOF, the parties have executed this Master Services Agreement as of the Effective Date first written above.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ACME CORPORATION</w:t>
            </w:r>
          </w:p>
        </w:tc>
        <w:tc>
          <w:tcPr>
            <w:tcW w:type="dxa" w:w="4860"/>
            <w:tcBorders>
              <w:top w:val="single" w:color="AAAAAA" w:sz="1"/>
              <w:left w:val="single" w:color="AAAAAA" w:sz="1"/>
              <w:bottom w:val="single" w:color="AAAAAA" w:sz="1"/>
              <w:right w:val="single" w:color="AAAAAA" w:sz="1"/>
            </w:tcBorders>
            <w:shd w:fill="1A4D2E" w:val="clear"/>
            <w:tcMar>
              <w:top w:type="dxa" w:w="80"/>
              <w:left w:type="dxa" w:w="120"/>
              <w:bottom w:type="dxa" w:w="80"/>
              <w:right w:type="dxa" w:w="120"/>
            </w:tcMar>
          </w:tcPr>
          <w:p>
            <w:r>
              <w:rPr>
                <w:rFonts w:ascii="Arial" w:cs="Arial" w:eastAsia="Arial" w:hAnsi="Arial"/>
                <w:b/>
                <w:bCs/>
                <w:color w:val="FFFFFF"/>
                <w:sz w:val="18"/>
                <w:szCs w:val="18"/>
              </w:rPr>
              <w:t xml:space="preserve">GLOBEX CORPORATION</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Signature: ___________________________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Signature: ___________________________</w:t>
            </w:r>
          </w:p>
        </w:tc>
      </w:tr>
      <w:tr>
        <w:tc>
          <w:tcPr>
            <w:tcW w:type="dxa" w:w="45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Name: ___________________________</w:t>
            </w:r>
          </w:p>
        </w:tc>
        <w:tc>
          <w:tcPr>
            <w:tcW w:type="dxa" w:w="48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Name: ___________________________</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Title: ___________________________</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Title: ___________________________</w:t>
            </w:r>
          </w:p>
        </w:tc>
      </w:tr>
      <w:tr>
        <w:tc>
          <w:tcPr>
            <w:tcW w:type="dxa" w:w="450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Date: ___________________________</w:t>
            </w:r>
          </w:p>
        </w:tc>
        <w:tc>
          <w:tcPr>
            <w:tcW w:type="dxa" w:w="4860"/>
            <w:tcBorders>
              <w:top w:val="single" w:color="AAAAAA" w:sz="1"/>
              <w:left w:val="single" w:color="AAAAAA" w:sz="1"/>
              <w:bottom w:val="single" w:color="AAAAAA" w:sz="1"/>
              <w:right w:val="single" w:color="AAAAAA" w:sz="1"/>
            </w:tcBorders>
            <w:shd w:fill="EAF3EE" w:val="clear"/>
            <w:tcMar>
              <w:top w:type="dxa" w:w="80"/>
              <w:left w:type="dxa" w:w="120"/>
              <w:bottom w:type="dxa" w:w="80"/>
              <w:right w:type="dxa" w:w="120"/>
            </w:tcMar>
          </w:tcPr>
          <w:p>
            <w:r>
              <w:rPr>
                <w:rFonts w:ascii="Arial" w:cs="Arial" w:eastAsia="Arial" w:hAnsi="Arial"/>
                <w:sz w:val="18"/>
                <w:szCs w:val="18"/>
              </w:rPr>
              <w:t xml:space="preserve">Date: ___________________________</w:t>
            </w:r>
          </w:p>
        </w:tc>
      </w:tr>
      <w:tr>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Address: 1200 Silicon Way, San Jose, CA 95101</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Address: 100 Enterprise Drive, Wilmington, DE 19801</w:t>
            </w:r>
          </w:p>
        </w:tc>
      </w:tr>
    </w:tbl>
    <w:p>
      <w:pPr>
        <w:spacing w:before="60" w:after="60"/>
      </w:pPr>
      <w:r>
        <w:t xml:space="preserve"/>
      </w:r>
    </w:p>
    <w:p>
      <w:pPr>
        <w:spacing w:before="60" w:after="60"/>
      </w:pPr>
      <w:r>
        <w:t xml:space="preserve"/>
      </w:r>
    </w:p>
    <w:p>
      <w:pPr>
        <w:pBdr>
          <w:top w:val="single" w:color="1A4D2E" w:sz="6"/>
        </w:pBdr>
        <w:spacing w:before="240" w:after="60"/>
        <w:jc w:val="center"/>
      </w:pPr>
      <w:r>
        <w:rPr>
          <w:rFonts w:ascii="Arial" w:cs="Arial" w:eastAsia="Arial" w:hAnsi="Arial"/>
          <w:b/>
          <w:bCs/>
          <w:color w:val="1A4D2E"/>
          <w:sz w:val="18"/>
          <w:szCs w:val="18"/>
        </w:rPr>
        <w:t xml:space="preserve">— END OF AGREEMENT —</w:t>
      </w:r>
    </w:p>
    <w:p>
      <w:pPr>
        <w:jc w:val="center"/>
      </w:pPr>
      <w:r>
        <w:rPr>
          <w:rFonts w:ascii="Arial" w:cs="Arial" w:eastAsia="Arial" w:hAnsi="Arial"/>
          <w:color w:val="888888"/>
          <w:sz w:val="16"/>
          <w:szCs w:val="16"/>
        </w:rPr>
        <w:t xml:space="preserve">ACME-GLOBEX-MSA-2025-001  |  Confidential &amp; Proprietary  |  Version 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D2E" w:sz="6" w:space="1"/>
      </w:pBdr>
      <w:tabs>
        <w:tab w:val="right" w:pos="9360"/>
      </w:tabs>
    </w:pPr>
    <w:r>
      <w:rPr>
        <w:rFonts w:ascii="Arial" w:cs="Arial" w:eastAsia="Arial" w:hAnsi="Arial"/>
        <w:color w:val="666666"/>
        <w:sz w:val="16"/>
        <w:szCs w:val="16"/>
      </w:rPr>
      <w:t xml:space="preserve">ACME Corp MSA | Ref: ACME-GLOBEX-MSA-2025-001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D2E" w:sz="6" w:space="1"/>
      </w:pBdr>
      <w:spacing w:after="120"/>
    </w:pPr>
    <w:r>
      <w:rPr>
        <w:rFonts w:ascii="Arial" w:cs="Arial" w:eastAsia="Arial" w:hAnsi="Arial"/>
        <w:b/>
        <w:bCs/>
        <w:color w:val="1A4D2E"/>
        <w:sz w:val="18"/>
        <w:szCs w:val="18"/>
      </w:rPr>
      <w:t xml:space="preserve">ACME CORP – MASTER SERVICES AGREEMENT</w:t>
    </w:r>
    <w:r>
      <w:rPr>
        <w:rFonts w:ascii="Arial" w:cs="Arial" w:eastAsia="Arial" w:hAnsi="Arial"/>
        <w:color w:val="666666"/>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4D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4D2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E7D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2026-03-14T07:45:31.034Z</dcterms:created>
  <dcterms:modified xsi:type="dcterms:W3CDTF">2026-03-14T07:45:31.034Z</dcterms:modified>
</cp:coreProperties>
</file>

<file path=docProps/custom.xml><?xml version="1.0" encoding="utf-8"?>
<Properties xmlns="http://schemas.openxmlformats.org/officeDocument/2006/custom-properties" xmlns:vt="http://schemas.openxmlformats.org/officeDocument/2006/docPropsVTypes"/>
</file>