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1F3864"/>
          <w:sz w:val="52"/>
          <w:szCs w:val="52"/>
        </w:rPr>
        <w:t xml:space="preserve">GLOBEX CORPORATION</w:t>
      </w:r>
    </w:p>
    <w:p>
      <w:pPr>
        <w:spacing w:before="0" w:after="120"/>
        <w:jc w:val="center"/>
      </w:pPr>
      <w:r>
        <w:rPr>
          <w:rFonts w:ascii="Arial" w:cs="Arial" w:eastAsia="Arial" w:hAnsi="Arial"/>
          <w:b/>
          <w:bCs/>
          <w:color w:val="2E5090"/>
          <w:sz w:val="36"/>
          <w:szCs w:val="36"/>
        </w:rPr>
        <w:t xml:space="preserve">Standard Vendor &amp; Supplier Playbook</w:t>
      </w:r>
    </w:p>
    <w:p>
      <w:pPr>
        <w:spacing w:before="0" w:after="120"/>
        <w:jc w:val="center"/>
      </w:pPr>
      <w:r>
        <w:rPr>
          <w:rFonts w:ascii="Arial" w:cs="Arial" w:eastAsia="Arial" w:hAnsi="Arial"/>
          <w:color w:val="555555"/>
          <w:sz w:val="22"/>
          <w:szCs w:val="22"/>
        </w:rPr>
        <w:t xml:space="preserve">Version 4.2  |  Effective Date: January 1, 2025</w:t>
      </w:r>
    </w:p>
    <w:p>
      <w:pPr>
        <w:spacing w:before="0" w:after="60"/>
        <w:jc w:val="center"/>
      </w:pPr>
      <w:r>
        <w:rPr>
          <w:rFonts w:ascii="Arial" w:cs="Arial" w:eastAsia="Arial" w:hAnsi="Arial"/>
          <w:b/>
          <w:bCs/>
          <w:color w:val="C00000"/>
          <w:sz w:val="20"/>
          <w:szCs w:val="20"/>
        </w:rPr>
        <w:t xml:space="preserve">Document Classification: CONFIDENTIAL – INTERNAL USE ONLY</w:t>
      </w:r>
    </w:p>
    <w:p>
      <w:pPr>
        <w:spacing w:before="0" w:after="60"/>
        <w:jc w:val="center"/>
      </w:pPr>
      <w:r>
        <w:rPr>
          <w:rFonts w:ascii="Arial" w:cs="Arial" w:eastAsia="Arial" w:hAnsi="Arial"/>
          <w:color w:val="555555"/>
          <w:sz w:val="20"/>
          <w:szCs w:val="20"/>
        </w:rPr>
        <w:t xml:space="preserve">Document Owner: Chief Legal Officer, Globex Corporation</w:t>
      </w:r>
    </w:p>
    <w:p>
      <w:pPr>
        <w:spacing w:before="0" w:after="60"/>
        <w:jc w:val="center"/>
      </w:pPr>
      <w:r>
        <w:rPr>
          <w:rFonts w:ascii="Arial" w:cs="Arial" w:eastAsia="Arial" w:hAnsi="Arial"/>
          <w:color w:val="555555"/>
          <w:sz w:val="20"/>
          <w:szCs w:val="20"/>
        </w:rPr>
        <w:t xml:space="preserve">Approved By: Board of Directors, Audit &amp; Risk Committee</w:t>
      </w:r>
    </w:p>
    <w:p>
      <w:pPr>
        <w:spacing w:before="60" w:after="60"/>
      </w:pPr>
      <w:r>
        <w:t xml:space="preserve"/>
      </w:r>
    </w:p>
    <w:p>
      <w:pPr>
        <w:spacing w:before="60" w:after="60"/>
      </w:pPr>
      <w:r>
        <w:t xml:space="preserve"/>
      </w:r>
    </w:p>
    <w:p>
      <w:pPr>
        <w:pBdr>
          <w:top w:val="single" w:color="C00000" w:sz="12"/>
          <w:bottom w:val="single" w:color="C00000" w:sz="12"/>
        </w:pBdr>
        <w:spacing w:before="120" w:after="120"/>
        <w:jc w:val="center"/>
      </w:pPr>
      <w:r>
        <w:rPr>
          <w:rFonts w:ascii="Arial" w:cs="Arial" w:eastAsia="Arial" w:hAnsi="Arial"/>
          <w:b/>
          <w:bCs/>
          <w:color w:val="C00000"/>
          <w:sz w:val="18"/>
          <w:szCs w:val="18"/>
        </w:rPr>
        <w:t xml:space="preserve">This document contains proprietary and confidential information of Globex Corporation. Unauthorized disclosure, reproduction, or distribution is strictly prohibited and may result in civil and criminal liability.</w:t>
      </w:r>
    </w:p>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color w:val="1F3864"/>
          <w:sz w:val="36"/>
          <w:szCs w:val="36"/>
        </w:rPr>
        <w:t xml:space="preserve">TABLE OF CONTENTS</w:t>
      </w:r>
    </w:p>
    <w:p>
      <w:pPr>
        <w:tabs>
          <w:tab w:val="right" w:pos="9360"/>
        </w:tabs>
        <w:spacing w:before="60" w:after="60"/>
      </w:pPr>
      <w:r>
        <w:rPr>
          <w:rFonts w:ascii="Arial" w:cs="Arial" w:eastAsia="Arial" w:hAnsi="Arial"/>
          <w:sz w:val="20"/>
          <w:szCs w:val="20"/>
        </w:rPr>
        <w:t xml:space="preserve">Section 1 — Core Vendor Contract Standards (Mandatory Playbook Rules)</w:t>
      </w:r>
      <w:r>
        <w:rPr>
          <w:rFonts w:ascii="Arial" w:cs="Arial" w:eastAsia="Arial" w:hAnsi="Arial"/>
          <w:sz w:val="20"/>
          <w:szCs w:val="20"/>
        </w:rPr>
        <w:t xml:space="preserve">	3</w:t>
      </w:r>
    </w:p>
    <w:p>
      <w:pPr>
        <w:tabs>
          <w:tab w:val="right" w:pos="9360"/>
        </w:tabs>
        <w:spacing w:before="60" w:after="60"/>
      </w:pPr>
      <w:r>
        <w:rPr>
          <w:rFonts w:ascii="Arial" w:cs="Arial" w:eastAsia="Arial" w:hAnsi="Arial"/>
          <w:sz w:val="20"/>
          <w:szCs w:val="20"/>
        </w:rPr>
        <w:t xml:space="preserve">Section 2 — Vendor Onboarding Procedures</w:t>
      </w:r>
      <w:r>
        <w:rPr>
          <w:rFonts w:ascii="Arial" w:cs="Arial" w:eastAsia="Arial" w:hAnsi="Arial"/>
          <w:sz w:val="20"/>
          <w:szCs w:val="20"/>
        </w:rPr>
        <w:t xml:space="preserve">	5</w:t>
      </w:r>
    </w:p>
    <w:p>
      <w:pPr>
        <w:tabs>
          <w:tab w:val="right" w:pos="9360"/>
        </w:tabs>
        <w:spacing w:before="60" w:after="60"/>
      </w:pPr>
      <w:r>
        <w:rPr>
          <w:rFonts w:ascii="Arial" w:cs="Arial" w:eastAsia="Arial" w:hAnsi="Arial"/>
          <w:sz w:val="20"/>
          <w:szCs w:val="20"/>
        </w:rPr>
        <w:t xml:space="preserve">Section 3 — Information Security Requirements</w:t>
      </w:r>
      <w:r>
        <w:rPr>
          <w:rFonts w:ascii="Arial" w:cs="Arial" w:eastAsia="Arial" w:hAnsi="Arial"/>
          <w:sz w:val="20"/>
          <w:szCs w:val="20"/>
        </w:rPr>
        <w:t xml:space="preserve">	8</w:t>
      </w:r>
    </w:p>
    <w:p>
      <w:pPr>
        <w:tabs>
          <w:tab w:val="right" w:pos="9360"/>
        </w:tabs>
        <w:spacing w:before="60" w:after="60"/>
      </w:pPr>
      <w:r>
        <w:rPr>
          <w:rFonts w:ascii="Arial" w:cs="Arial" w:eastAsia="Arial" w:hAnsi="Arial"/>
          <w:sz w:val="20"/>
          <w:szCs w:val="20"/>
        </w:rPr>
        <w:t xml:space="preserve">Section 4 — Data Privacy and Compliance Obligations</w:t>
      </w:r>
      <w:r>
        <w:rPr>
          <w:rFonts w:ascii="Arial" w:cs="Arial" w:eastAsia="Arial" w:hAnsi="Arial"/>
          <w:sz w:val="20"/>
          <w:szCs w:val="20"/>
        </w:rPr>
        <w:t xml:space="preserve">	11</w:t>
      </w:r>
    </w:p>
    <w:p>
      <w:pPr>
        <w:tabs>
          <w:tab w:val="right" w:pos="9360"/>
        </w:tabs>
        <w:spacing w:before="60" w:after="60"/>
      </w:pPr>
      <w:r>
        <w:rPr>
          <w:rFonts w:ascii="Arial" w:cs="Arial" w:eastAsia="Arial" w:hAnsi="Arial"/>
          <w:sz w:val="20"/>
          <w:szCs w:val="20"/>
        </w:rPr>
        <w:t xml:space="preserve">Section 5 — Code of Conduct and Business Ethics</w:t>
      </w:r>
      <w:r>
        <w:rPr>
          <w:rFonts w:ascii="Arial" w:cs="Arial" w:eastAsia="Arial" w:hAnsi="Arial"/>
          <w:sz w:val="20"/>
          <w:szCs w:val="20"/>
        </w:rPr>
        <w:t xml:space="preserve">	13</w:t>
      </w:r>
    </w:p>
    <w:p>
      <w:pPr>
        <w:tabs>
          <w:tab w:val="right" w:pos="9360"/>
        </w:tabs>
        <w:spacing w:before="60" w:after="60"/>
      </w:pPr>
      <w:r>
        <w:rPr>
          <w:rFonts w:ascii="Arial" w:cs="Arial" w:eastAsia="Arial" w:hAnsi="Arial"/>
          <w:sz w:val="20"/>
          <w:szCs w:val="20"/>
        </w:rPr>
        <w:t xml:space="preserve">Section 6 — Service Level Agreement Framework</w:t>
      </w:r>
      <w:r>
        <w:rPr>
          <w:rFonts w:ascii="Arial" w:cs="Arial" w:eastAsia="Arial" w:hAnsi="Arial"/>
          <w:sz w:val="20"/>
          <w:szCs w:val="20"/>
        </w:rPr>
        <w:t xml:space="preserve">	15</w:t>
      </w:r>
    </w:p>
    <w:p>
      <w:pPr>
        <w:tabs>
          <w:tab w:val="right" w:pos="9360"/>
        </w:tabs>
        <w:spacing w:before="60" w:after="60"/>
      </w:pPr>
      <w:r>
        <w:rPr>
          <w:rFonts w:ascii="Arial" w:cs="Arial" w:eastAsia="Arial" w:hAnsi="Arial"/>
          <w:sz w:val="20"/>
          <w:szCs w:val="20"/>
        </w:rPr>
        <w:t xml:space="preserve">Section 7 — Financial Controls and Audit Rights</w:t>
      </w:r>
      <w:r>
        <w:rPr>
          <w:rFonts w:ascii="Arial" w:cs="Arial" w:eastAsia="Arial" w:hAnsi="Arial"/>
          <w:sz w:val="20"/>
          <w:szCs w:val="20"/>
        </w:rPr>
        <w:t xml:space="preserve">	17</w:t>
      </w:r>
    </w:p>
    <w:p>
      <w:pPr>
        <w:tabs>
          <w:tab w:val="right" w:pos="9360"/>
        </w:tabs>
        <w:spacing w:before="60" w:after="60"/>
      </w:pPr>
      <w:r>
        <w:rPr>
          <w:rFonts w:ascii="Arial" w:cs="Arial" w:eastAsia="Arial" w:hAnsi="Arial"/>
          <w:sz w:val="20"/>
          <w:szCs w:val="20"/>
        </w:rPr>
        <w:t xml:space="preserve">Appendix A — Vendor Classification Matrix</w:t>
      </w:r>
      <w:r>
        <w:rPr>
          <w:rFonts w:ascii="Arial" w:cs="Arial" w:eastAsia="Arial" w:hAnsi="Arial"/>
          <w:sz w:val="20"/>
          <w:szCs w:val="20"/>
        </w:rPr>
        <w:t xml:space="preserve">	19</w:t>
      </w:r>
    </w:p>
    <w:p>
      <w:pPr>
        <w:tabs>
          <w:tab w:val="right" w:pos="9360"/>
        </w:tabs>
        <w:spacing w:before="60" w:after="60"/>
      </w:pPr>
      <w:r>
        <w:rPr>
          <w:rFonts w:ascii="Arial" w:cs="Arial" w:eastAsia="Arial" w:hAnsi="Arial"/>
          <w:sz w:val="20"/>
          <w:szCs w:val="20"/>
        </w:rPr>
        <w:t xml:space="preserve">Appendix B — Security Questionnaire Checklist</w:t>
      </w:r>
      <w:r>
        <w:rPr>
          <w:rFonts w:ascii="Arial" w:cs="Arial" w:eastAsia="Arial" w:hAnsi="Arial"/>
          <w:sz w:val="20"/>
          <w:szCs w:val="20"/>
        </w:rPr>
        <w:t xml:space="preserve">	20</w:t>
      </w:r>
    </w:p>
    <w:p>
      <w:r>
        <w:br w:type="page"/>
      </w:r>
    </w:p>
    <w:p>
      <w:pPr>
        <w:pStyle w:val="Heading1"/>
        <w:spacing w:before="360" w:after="180"/>
      </w:pPr>
      <w:r>
        <w:rPr>
          <w:rFonts w:ascii="Arial" w:cs="Arial" w:eastAsia="Arial" w:hAnsi="Arial"/>
          <w:b/>
          <w:bCs/>
          <w:color w:val="1F3864"/>
          <w:sz w:val="36"/>
          <w:szCs w:val="36"/>
        </w:rPr>
        <w:t xml:space="preserve">SECTION 1: CORE VENDOR CONTRACT STANDARDS</w:t>
      </w:r>
    </w:p>
    <w:p>
      <w:pPr>
        <w:spacing w:before="80" w:after="80"/>
        <w:jc w:val="both"/>
      </w:pPr>
      <w:r>
        <w:rPr>
          <w:rFonts w:ascii="Arial" w:cs="Arial" w:eastAsia="Arial" w:hAnsi="Arial"/>
          <w:sz w:val="20"/>
          <w:szCs w:val="20"/>
        </w:rPr>
        <w:t xml:space="preserve">This Section 1 sets forth the mandatory, non-negotiable contractual standards that govern all vendor and supplier engagements entered into by Globex Corporation ("Globex" or "Company"). These standards have been established by the Office of the Chief Legal Officer in consultation with the Finance, Information Security, and Compliance functions. All contract negotiators, procurement officers, and business sponsors are required to strictly adhere to the provisions set forth herein. Any deviation from these standards requires prior written approval from the Chief Legal Officer and, in certain cases, approval from the Audit &amp; Risk Committee of the Board of Directors.</w:t>
      </w:r>
    </w:p>
    <w:p>
      <w:pPr>
        <w:spacing w:before="80" w:after="80"/>
        <w:jc w:val="both"/>
      </w:pPr>
      <w:r>
        <w:rPr>
          <w:rFonts w:ascii="Arial" w:cs="Arial" w:eastAsia="Arial" w:hAnsi="Arial"/>
          <w:sz w:val="20"/>
          <w:szCs w:val="20"/>
        </w:rPr>
        <w:t xml:space="preserve">These standards apply to all Master Services Agreements (MSAs), Statements of Work (SOWs), Software as a Service (SaaS) agreements, Professional Services agreements, and any other contractual instrument that creates a legal obligation between Globex and a third-party vendor, supplier, or service provider.</w:t>
      </w:r>
    </w:p>
    <w:p>
      <w:pPr>
        <w:spacing w:before="60" w:after="60"/>
      </w:pPr>
      <w:r>
        <w:t xml:space="preserve"/>
      </w:r>
    </w:p>
    <w:p>
      <w:pPr>
        <w:pStyle w:val="Heading2"/>
        <w:spacing w:before="240" w:after="120"/>
      </w:pPr>
      <w:r>
        <w:rPr>
          <w:rFonts w:ascii="Arial" w:cs="Arial" w:eastAsia="Arial" w:hAnsi="Arial"/>
          <w:b/>
          <w:bCs/>
          <w:color w:val="1F3864"/>
          <w:sz w:val="26"/>
          <w:szCs w:val="26"/>
        </w:rPr>
        <w:t xml:space="preserve">1.1  Payment Terms</w:t>
      </w:r>
    </w:p>
    <w:p>
      <w:pPr>
        <w:spacing w:before="120" w:after="80"/>
        <w:jc w:val="both"/>
      </w:pPr>
      <w:r>
        <w:rPr>
          <w:rFonts w:ascii="Arial" w:cs="Arial" w:eastAsia="Arial" w:hAnsi="Arial"/>
          <w:b/>
          <w:bCs/>
          <w:sz w:val="20"/>
          <w:szCs w:val="20"/>
        </w:rPr>
        <w:t xml:space="preserve">1.1.1  </w:t>
      </w:r>
      <w:r>
        <w:rPr>
          <w:rFonts w:ascii="Arial" w:cs="Arial" w:eastAsia="Arial" w:hAnsi="Arial"/>
          <w:sz w:val="20"/>
          <w:szCs w:val="20"/>
        </w:rPr>
        <w:t xml:space="preserve">All undisputed invoices submitted by a vendor shall be due and payable within thirty (30) days of the date of Globex's receipt of a valid, compliant invoice ("Net 30"). This payment standard is mandatory and non-negotiable. Under no circumstances shall a contract negotiator agree to payment terms that exceed Net 30 without the express written authorization of the Chief Financial Officer.</w:t>
      </w:r>
    </w:p>
    <w:p>
      <w:pPr>
        <w:spacing w:before="120" w:after="80"/>
        <w:jc w:val="both"/>
      </w:pPr>
      <w:r>
        <w:rPr>
          <w:rFonts w:ascii="Arial" w:cs="Arial" w:eastAsia="Arial" w:hAnsi="Arial"/>
          <w:b/>
          <w:bCs/>
          <w:sz w:val="20"/>
          <w:szCs w:val="20"/>
        </w:rPr>
        <w:t xml:space="preserve">1.1.2  </w:t>
      </w:r>
      <w:r>
        <w:rPr>
          <w:rFonts w:ascii="Arial" w:cs="Arial" w:eastAsia="Arial" w:hAnsi="Arial"/>
          <w:sz w:val="20"/>
          <w:szCs w:val="20"/>
        </w:rPr>
        <w:t xml:space="preserve">A valid invoice must include: (a) the vendor's legal name, address, and tax identification number; (b) the Globex-issued Purchase Order (PO) number; (c) a detailed description of services rendered or goods delivered; (d) the applicable Statement of Work reference number; (e) the billing period; and (f) applicable taxes itemized separately.</w:t>
      </w:r>
    </w:p>
    <w:p>
      <w:pPr>
        <w:spacing w:before="120" w:after="80"/>
        <w:jc w:val="both"/>
      </w:pPr>
      <w:r>
        <w:rPr>
          <w:rFonts w:ascii="Arial" w:cs="Arial" w:eastAsia="Arial" w:hAnsi="Arial"/>
          <w:b/>
          <w:bCs/>
          <w:sz w:val="20"/>
          <w:szCs w:val="20"/>
        </w:rPr>
        <w:t xml:space="preserve">1.1.3  </w:t>
      </w:r>
      <w:r>
        <w:rPr>
          <w:rFonts w:ascii="Arial" w:cs="Arial" w:eastAsia="Arial" w:hAnsi="Arial"/>
          <w:sz w:val="20"/>
          <w:szCs w:val="20"/>
        </w:rPr>
        <w:t xml:space="preserve">Globex reserves the right to dispute any invoice that does not comply with the requirements of Clause 1.1.2 within fifteen (15) business days of receipt. Disputed invoices shall be placed on hold and the 30-day payment clock shall not commence until a corrected invoice is submitted and accepted by Globex's Accounts Payable department.</w:t>
      </w:r>
    </w:p>
    <w:p>
      <w:pPr>
        <w:spacing w:before="120" w:after="80"/>
        <w:jc w:val="both"/>
      </w:pPr>
      <w:r>
        <w:rPr>
          <w:rFonts w:ascii="Arial" w:cs="Arial" w:eastAsia="Arial" w:hAnsi="Arial"/>
          <w:b/>
          <w:bCs/>
          <w:sz w:val="20"/>
          <w:szCs w:val="20"/>
        </w:rPr>
        <w:t xml:space="preserve">1.1.4  </w:t>
      </w:r>
      <w:r>
        <w:rPr>
          <w:rFonts w:ascii="Arial" w:cs="Arial" w:eastAsia="Arial" w:hAnsi="Arial"/>
          <w:sz w:val="20"/>
          <w:szCs w:val="20"/>
        </w:rPr>
        <w:t xml:space="preserve">Late payment interest shall not accrue at a rate that exceeds the statutory rate permitted under applicable law in the State of Delaware. Any contractual provision imposing late payment penalties in excess of this rate is void and unenforceable against Globex.</w:t>
      </w:r>
    </w:p>
    <w:p>
      <w:pPr>
        <w:spacing w:before="120" w:after="80"/>
        <w:jc w:val="both"/>
      </w:pPr>
      <w:r>
        <w:rPr>
          <w:rFonts w:ascii="Arial" w:cs="Arial" w:eastAsia="Arial" w:hAnsi="Arial"/>
          <w:b/>
          <w:bCs/>
          <w:sz w:val="20"/>
          <w:szCs w:val="20"/>
        </w:rPr>
        <w:t xml:space="preserve">1.1.5  </w:t>
      </w:r>
      <w:r>
        <w:rPr>
          <w:rFonts w:ascii="Arial" w:cs="Arial" w:eastAsia="Arial" w:hAnsi="Arial"/>
          <w:sz w:val="20"/>
          <w:szCs w:val="20"/>
        </w:rPr>
        <w:t xml:space="preserve">All payments shall be made in United States Dollars (USD) unless an alternative currency is expressly approved in writing by the CFO and documented in the applicable SOW. Currency conversion costs shall be borne by the vendor.</w:t>
      </w:r>
    </w:p>
    <w:p>
      <w:pPr>
        <w:spacing w:before="60" w:after="60"/>
      </w:pPr>
      <w:r>
        <w:t xml:space="preserve"/>
      </w:r>
    </w:p>
    <w:p>
      <w:pPr>
        <w:pStyle w:val="Heading2"/>
        <w:spacing w:before="240" w:after="120"/>
      </w:pPr>
      <w:r>
        <w:rPr>
          <w:rFonts w:ascii="Arial" w:cs="Arial" w:eastAsia="Arial" w:hAnsi="Arial"/>
          <w:b/>
          <w:bCs/>
          <w:color w:val="1F3864"/>
          <w:sz w:val="26"/>
          <w:szCs w:val="26"/>
        </w:rPr>
        <w:t xml:space="preserve">1.2  Termination for Convenience</w:t>
      </w:r>
    </w:p>
    <w:p>
      <w:pPr>
        <w:spacing w:before="120" w:after="80"/>
        <w:jc w:val="both"/>
      </w:pPr>
      <w:r>
        <w:rPr>
          <w:rFonts w:ascii="Arial" w:cs="Arial" w:eastAsia="Arial" w:hAnsi="Arial"/>
          <w:b/>
          <w:bCs/>
          <w:sz w:val="20"/>
          <w:szCs w:val="20"/>
        </w:rPr>
        <w:t xml:space="preserve">1.2.1  </w:t>
      </w:r>
      <w:r>
        <w:rPr>
          <w:rFonts w:ascii="Arial" w:cs="Arial" w:eastAsia="Arial" w:hAnsi="Arial"/>
          <w:sz w:val="20"/>
          <w:szCs w:val="20"/>
        </w:rPr>
        <w:t xml:space="preserve">Globex retains the absolute and unilateral right to terminate any vendor agreement for convenience, without cause, and without incurring any penalty, breakage fee, or liability to the vendor, upon provision of thirty (30) days' prior written notice to the vendor. This right is fundamental to Globex's business continuity strategy and is a mandatory provision in all vendor contracts.</w:t>
      </w:r>
    </w:p>
    <w:p>
      <w:pPr>
        <w:spacing w:before="120" w:after="80"/>
        <w:jc w:val="both"/>
      </w:pPr>
      <w:r>
        <w:rPr>
          <w:rFonts w:ascii="Arial" w:cs="Arial" w:eastAsia="Arial" w:hAnsi="Arial"/>
          <w:b/>
          <w:bCs/>
          <w:sz w:val="20"/>
          <w:szCs w:val="20"/>
        </w:rPr>
        <w:t xml:space="preserve">1.2.2  </w:t>
      </w:r>
      <w:r>
        <w:rPr>
          <w:rFonts w:ascii="Arial" w:cs="Arial" w:eastAsia="Arial" w:hAnsi="Arial"/>
          <w:sz w:val="20"/>
          <w:szCs w:val="20"/>
        </w:rPr>
        <w:t xml:space="preserve">Upon receipt of a termination for convenience notice, the vendor shall: (a) cease all work immediately upon the effective date of termination unless otherwise instructed; (b) provide a final invoice for all services rendered and expenses incurred up to the effective date of termination; (c) return or securely destroy all Globex Confidential Information; and (d) cooperate with Globex's transition to an alternative vendor.</w:t>
      </w:r>
    </w:p>
    <w:p>
      <w:pPr>
        <w:spacing w:before="120" w:after="80"/>
        <w:jc w:val="both"/>
      </w:pPr>
      <w:r>
        <w:rPr>
          <w:rFonts w:ascii="Arial" w:cs="Arial" w:eastAsia="Arial" w:hAnsi="Arial"/>
          <w:b/>
          <w:bCs/>
          <w:sz w:val="20"/>
          <w:szCs w:val="20"/>
        </w:rPr>
        <w:t xml:space="preserve">1.2.3  </w:t>
      </w:r>
      <w:r>
        <w:rPr>
          <w:rFonts w:ascii="Arial" w:cs="Arial" w:eastAsia="Arial" w:hAnsi="Arial"/>
          <w:sz w:val="20"/>
          <w:szCs w:val="20"/>
        </w:rPr>
        <w:t xml:space="preserve">In addition to Globex's right to terminate for convenience, either party shall retain the right to terminate the agreement for cause upon written notice if the other party: (a) materially breaches any provision of the agreement and fails to cure such breach within thirty (30) days of written notice; (b) becomes insolvent, files for bankruptcy protection, or makes a general assignment for the benefit of creditors; or (c) engages in fraud, willful misconduct, or conduct that violates applicable law.</w:t>
      </w:r>
    </w:p>
    <w:p>
      <w:pPr>
        <w:spacing w:before="120" w:after="80"/>
        <w:jc w:val="both"/>
      </w:pPr>
      <w:r>
        <w:rPr>
          <w:rFonts w:ascii="Arial" w:cs="Arial" w:eastAsia="Arial" w:hAnsi="Arial"/>
          <w:b/>
          <w:bCs/>
          <w:sz w:val="20"/>
          <w:szCs w:val="20"/>
        </w:rPr>
        <w:t xml:space="preserve">1.2.4  </w:t>
      </w:r>
      <w:r>
        <w:rPr>
          <w:rFonts w:ascii="Arial" w:cs="Arial" w:eastAsia="Arial" w:hAnsi="Arial"/>
          <w:sz w:val="20"/>
          <w:szCs w:val="20"/>
        </w:rPr>
        <w:t xml:space="preserve">Any contractual provision that (a) eliminates Globex's right to terminate for convenience, (b) extends the required notice period beyond 30 days, or (c) imposes financial penalties (including minimum purchase commitments or early termination fees) upon Globex's exercise of its termination-for-convenience right, is expressly prohibited and shall not be agreed to without CLO approval.</w:t>
      </w:r>
    </w:p>
    <w:p>
      <w:pPr>
        <w:spacing w:before="60" w:after="60"/>
      </w:pPr>
      <w:r>
        <w:t xml:space="preserve"/>
      </w:r>
    </w:p>
    <w:p>
      <w:pPr>
        <w:pStyle w:val="Heading2"/>
        <w:spacing w:before="240" w:after="120"/>
      </w:pPr>
      <w:r>
        <w:rPr>
          <w:rFonts w:ascii="Arial" w:cs="Arial" w:eastAsia="Arial" w:hAnsi="Arial"/>
          <w:b/>
          <w:bCs/>
          <w:color w:val="1F3864"/>
          <w:sz w:val="26"/>
          <w:szCs w:val="26"/>
        </w:rPr>
        <w:t xml:space="preserve">1.3  Governing Law and Dispute Resolution</w:t>
      </w:r>
    </w:p>
    <w:p>
      <w:pPr>
        <w:spacing w:before="120" w:after="80"/>
        <w:jc w:val="both"/>
      </w:pPr>
      <w:r>
        <w:rPr>
          <w:rFonts w:ascii="Arial" w:cs="Arial" w:eastAsia="Arial" w:hAnsi="Arial"/>
          <w:b/>
          <w:bCs/>
          <w:sz w:val="20"/>
          <w:szCs w:val="20"/>
        </w:rPr>
        <w:t xml:space="preserve">1.3.1  </w:t>
      </w:r>
      <w:r>
        <w:rPr>
          <w:rFonts w:ascii="Arial" w:cs="Arial" w:eastAsia="Arial" w:hAnsi="Arial"/>
          <w:sz w:val="20"/>
          <w:szCs w:val="20"/>
        </w:rPr>
        <w:t xml:space="preserve">All vendor contracts entered into by Globex Corporation shall be governed by, and construed and enforced in accordance with, the laws of the State of Delaware, without regard to its conflict-of-law principles. Delaware is Globex's state of incorporation and its governing law standard is mandatory.</w:t>
      </w:r>
    </w:p>
    <w:p>
      <w:pPr>
        <w:spacing w:before="120" w:after="80"/>
        <w:jc w:val="both"/>
      </w:pPr>
      <w:r>
        <w:rPr>
          <w:rFonts w:ascii="Arial" w:cs="Arial" w:eastAsia="Arial" w:hAnsi="Arial"/>
          <w:b/>
          <w:bCs/>
          <w:sz w:val="20"/>
          <w:szCs w:val="20"/>
        </w:rPr>
        <w:t xml:space="preserve">1.3.2  </w:t>
      </w:r>
      <w:r>
        <w:rPr>
          <w:rFonts w:ascii="Arial" w:cs="Arial" w:eastAsia="Arial" w:hAnsi="Arial"/>
          <w:sz w:val="20"/>
          <w:szCs w:val="20"/>
        </w:rPr>
        <w:t xml:space="preserve">Any dispute, claim, or controversy arising out of or relating to a vendor contract, or the breach, termination, enforcement, interpretation, or validity thereof, shall be subject to the exclusive jurisdiction of the state and federal courts located in Wilmington, New Castle County, Delaware. Each party hereby irrevocably consents to the personal jurisdiction of such courts.</w:t>
      </w:r>
    </w:p>
    <w:p>
      <w:pPr>
        <w:spacing w:before="120" w:after="80"/>
        <w:jc w:val="both"/>
      </w:pPr>
      <w:r>
        <w:rPr>
          <w:rFonts w:ascii="Arial" w:cs="Arial" w:eastAsia="Arial" w:hAnsi="Arial"/>
          <w:b/>
          <w:bCs/>
          <w:sz w:val="20"/>
          <w:szCs w:val="20"/>
        </w:rPr>
        <w:t xml:space="preserve">1.3.3  </w:t>
      </w:r>
      <w:r>
        <w:rPr>
          <w:rFonts w:ascii="Arial" w:cs="Arial" w:eastAsia="Arial" w:hAnsi="Arial"/>
          <w:sz w:val="20"/>
          <w:szCs w:val="20"/>
        </w:rPr>
        <w:t xml:space="preserve">Prior to initiating formal legal proceedings, the parties shall attempt to resolve any dispute through good-faith negotiation for a period of thirty (30) days. If the dispute is not resolved within such period, either party may initiate formal proceedings in accordance with Clause 1.3.2.</w:t>
      </w:r>
    </w:p>
    <w:p>
      <w:pPr>
        <w:spacing w:before="120" w:after="80"/>
        <w:jc w:val="both"/>
      </w:pPr>
      <w:r>
        <w:rPr>
          <w:rFonts w:ascii="Arial" w:cs="Arial" w:eastAsia="Arial" w:hAnsi="Arial"/>
          <w:b/>
          <w:bCs/>
          <w:sz w:val="20"/>
          <w:szCs w:val="20"/>
        </w:rPr>
        <w:t xml:space="preserve">1.3.4  </w:t>
      </w:r>
      <w:r>
        <w:rPr>
          <w:rFonts w:ascii="Arial" w:cs="Arial" w:eastAsia="Arial" w:hAnsi="Arial"/>
          <w:sz w:val="20"/>
          <w:szCs w:val="20"/>
        </w:rPr>
        <w:t xml:space="preserve">No vendor contract shall specify a governing law other than the State of Delaware without prior written approval from the Chief Legal Officer. Agreements specifying the laws of jurisdictions outside the United States require approval from both the CLO and the Board of Directors.</w:t>
      </w:r>
    </w:p>
    <w:p>
      <w:pPr>
        <w:spacing w:before="60" w:after="60"/>
      </w:pPr>
      <w:r>
        <w:t xml:space="preserve"/>
      </w:r>
    </w:p>
    <w:p>
      <w:pPr>
        <w:pStyle w:val="Heading2"/>
        <w:spacing w:before="240" w:after="120"/>
      </w:pPr>
      <w:r>
        <w:rPr>
          <w:rFonts w:ascii="Arial" w:cs="Arial" w:eastAsia="Arial" w:hAnsi="Arial"/>
          <w:b/>
          <w:bCs/>
          <w:color w:val="1F3864"/>
          <w:sz w:val="26"/>
          <w:szCs w:val="26"/>
        </w:rPr>
        <w:t xml:space="preserve">1.4  Limitation of Liability</w:t>
      </w:r>
    </w:p>
    <w:p>
      <w:pPr>
        <w:spacing w:before="120" w:after="80"/>
        <w:jc w:val="both"/>
      </w:pPr>
      <w:r>
        <w:rPr>
          <w:rFonts w:ascii="Arial" w:cs="Arial" w:eastAsia="Arial" w:hAnsi="Arial"/>
          <w:b/>
          <w:bCs/>
          <w:sz w:val="20"/>
          <w:szCs w:val="20"/>
        </w:rPr>
        <w:t xml:space="preserve">1.4.1  </w:t>
      </w:r>
      <w:r>
        <w:rPr>
          <w:rFonts w:ascii="Arial" w:cs="Arial" w:eastAsia="Arial" w:hAnsi="Arial"/>
          <w:sz w:val="20"/>
          <w:szCs w:val="20"/>
        </w:rPr>
        <w:t xml:space="preserve">In all vendor agreements, the aggregate liability of either party to the other, for any and all claims arising under or related to the agreement, regardless of the form of action (whether in contract, tort, negligence, strict liability, or otherwise), shall be capped at an amount equal to one hundred percent (100%) of the total fees paid or payable by Globex to the vendor during the twelve (12) calendar months immediately preceding the date on which the claim arose (the "Standard Liability Cap").</w:t>
      </w:r>
    </w:p>
    <w:p>
      <w:pPr>
        <w:spacing w:before="120" w:after="80"/>
        <w:jc w:val="both"/>
      </w:pPr>
      <w:r>
        <w:rPr>
          <w:rFonts w:ascii="Arial" w:cs="Arial" w:eastAsia="Arial" w:hAnsi="Arial"/>
          <w:b/>
          <w:bCs/>
          <w:sz w:val="20"/>
          <w:szCs w:val="20"/>
        </w:rPr>
        <w:t xml:space="preserve">1.4.2  </w:t>
      </w:r>
      <w:r>
        <w:rPr>
          <w:rFonts w:ascii="Arial" w:cs="Arial" w:eastAsia="Arial" w:hAnsi="Arial"/>
          <w:sz w:val="20"/>
          <w:szCs w:val="20"/>
        </w:rPr>
        <w:t xml:space="preserve">Notwithstanding Clause 1.4.1, the following categories of liability shall be uncapped and shall not be subject to the Standard Liability Cap: (a) a party's indemnification obligations for third-party claims arising from gross negligence or willful misconduct; (b) breaches of confidentiality obligations; (c) breaches of data protection and privacy obligations; and (d) intellectual property infringement claims.</w:t>
      </w:r>
    </w:p>
    <w:p>
      <w:pPr>
        <w:spacing w:before="120" w:after="80"/>
        <w:jc w:val="both"/>
      </w:pPr>
      <w:r>
        <w:rPr>
          <w:rFonts w:ascii="Arial" w:cs="Arial" w:eastAsia="Arial" w:hAnsi="Arial"/>
          <w:b/>
          <w:bCs/>
          <w:sz w:val="20"/>
          <w:szCs w:val="20"/>
        </w:rPr>
        <w:t xml:space="preserve">1.4.3  </w:t>
      </w:r>
      <w:r>
        <w:rPr>
          <w:rFonts w:ascii="Arial" w:cs="Arial" w:eastAsia="Arial" w:hAnsi="Arial"/>
          <w:sz w:val="20"/>
          <w:szCs w:val="20"/>
        </w:rPr>
        <w:t xml:space="preserve">IN NO EVENT SHALL EITHER PARTY BE LIABLE TO THE OTHER FOR ANY INDIRECT, INCIDENTAL, SPECIAL, CONSEQUENTIAL, PUNITIVE, OR EXEMPLARY DAMAGES, INCLUDING LOSS OF PROFITS, LOSS OF REVENUE, LOSS OF GOODWILL, OR LOSS OF DATA, EVEN IF ADVISED OF THE POSSIBILITY OF SUCH DAMAGES. THIS EXCLUSION SHALL APPLY TO THE MAXIMUM EXTENT PERMITTED BY APPLICABLE LAW.</w:t>
      </w:r>
    </w:p>
    <w:p>
      <w:pPr>
        <w:spacing w:before="120" w:after="80"/>
        <w:jc w:val="both"/>
      </w:pPr>
      <w:r>
        <w:rPr>
          <w:rFonts w:ascii="Arial" w:cs="Arial" w:eastAsia="Arial" w:hAnsi="Arial"/>
          <w:b/>
          <w:bCs/>
          <w:sz w:val="20"/>
          <w:szCs w:val="20"/>
        </w:rPr>
        <w:t xml:space="preserve">1.4.4  </w:t>
      </w:r>
      <w:r>
        <w:rPr>
          <w:rFonts w:ascii="Arial" w:cs="Arial" w:eastAsia="Arial" w:hAnsi="Arial"/>
          <w:sz w:val="20"/>
          <w:szCs w:val="20"/>
        </w:rPr>
        <w:t xml:space="preserve">Any vendor contract that proposes uncapped liability for Globex, or proposes a liability cap greater than 100% of the preceding 12 months' fees, shall require CLO review and approval. Contracts proposing mutual uncapped liability in all circumstances are expressly prohibited.</w:t>
      </w:r>
    </w:p>
    <w:p>
      <w:pPr>
        <w:spacing w:before="60" w:after="60"/>
      </w:pPr>
      <w:r>
        <w:t xml:space="preserve"/>
      </w:r>
    </w:p>
    <w:p>
      <w:pPr>
        <w:pStyle w:val="Heading2"/>
        <w:spacing w:before="240" w:after="120"/>
      </w:pPr>
      <w:r>
        <w:rPr>
          <w:rFonts w:ascii="Arial" w:cs="Arial" w:eastAsia="Arial" w:hAnsi="Arial"/>
          <w:b/>
          <w:bCs/>
          <w:color w:val="1F3864"/>
          <w:sz w:val="26"/>
          <w:szCs w:val="26"/>
        </w:rPr>
        <w:t xml:space="preserve">1.5  Data Breach and Security Incident Notification</w:t>
      </w:r>
    </w:p>
    <w:p>
      <w:pPr>
        <w:spacing w:before="120" w:after="80"/>
        <w:jc w:val="both"/>
      </w:pPr>
      <w:r>
        <w:rPr>
          <w:rFonts w:ascii="Arial" w:cs="Arial" w:eastAsia="Arial" w:hAnsi="Arial"/>
          <w:b/>
          <w:bCs/>
          <w:sz w:val="20"/>
          <w:szCs w:val="20"/>
        </w:rPr>
        <w:t xml:space="preserve">1.5.1  </w:t>
      </w:r>
      <w:r>
        <w:rPr>
          <w:rFonts w:ascii="Arial" w:cs="Arial" w:eastAsia="Arial" w:hAnsi="Arial"/>
          <w:sz w:val="20"/>
          <w:szCs w:val="20"/>
        </w:rPr>
        <w:t xml:space="preserve">In the event that a vendor experiences, discovers, or has reasonable grounds to suspect a security incident or data breach involving any Globex Confidential Information, Personal Data, or systems used to process, store, or transmit Globex data, the vendor must notify Globex's Chief Information Security Officer (CISO) within forty-eight (48) hours of the vendor's discovery or reasonable suspicion of the incident. This 48-hour notification standard is mandatory and non-negotiable.</w:t>
      </w:r>
    </w:p>
    <w:p>
      <w:pPr>
        <w:spacing w:before="120" w:after="80"/>
        <w:jc w:val="both"/>
      </w:pPr>
      <w:r>
        <w:rPr>
          <w:rFonts w:ascii="Arial" w:cs="Arial" w:eastAsia="Arial" w:hAnsi="Arial"/>
          <w:b/>
          <w:bCs/>
          <w:sz w:val="20"/>
          <w:szCs w:val="20"/>
        </w:rPr>
        <w:t xml:space="preserve">1.5.2  </w:t>
      </w:r>
      <w:r>
        <w:rPr>
          <w:rFonts w:ascii="Arial" w:cs="Arial" w:eastAsia="Arial" w:hAnsi="Arial"/>
          <w:sz w:val="20"/>
          <w:szCs w:val="20"/>
        </w:rPr>
        <w:t xml:space="preserve">The initial notification required under Clause 1.5.1 shall be provided via Globex's designated security incident hotline and must include, to the extent known at the time of notification: (a) the date and time of discovery; (b) a description of the nature of the incident; (c) the categories and approximate number of individuals and data records affected; (d) the vendor's initial assessment of the potential impact; and (e) the immediate containment measures undertaken.</w:t>
      </w:r>
    </w:p>
    <w:p>
      <w:pPr>
        <w:spacing w:before="120" w:after="80"/>
        <w:jc w:val="both"/>
      </w:pPr>
      <w:r>
        <w:rPr>
          <w:rFonts w:ascii="Arial" w:cs="Arial" w:eastAsia="Arial" w:hAnsi="Arial"/>
          <w:b/>
          <w:bCs/>
          <w:sz w:val="20"/>
          <w:szCs w:val="20"/>
        </w:rPr>
        <w:t xml:space="preserve">1.5.3  </w:t>
      </w:r>
      <w:r>
        <w:rPr>
          <w:rFonts w:ascii="Arial" w:cs="Arial" w:eastAsia="Arial" w:hAnsi="Arial"/>
          <w:sz w:val="20"/>
          <w:szCs w:val="20"/>
        </w:rPr>
        <w:t xml:space="preserve">Following the initial notification, the vendor shall provide Globex with written status updates every twenty-four (24) hours until the incident is fully contained and remediated. A final written incident report shall be delivered to Globex's CISO within ten (10) business days of full containment.</w:t>
      </w:r>
    </w:p>
    <w:p>
      <w:pPr>
        <w:spacing w:before="120" w:after="80"/>
        <w:jc w:val="both"/>
      </w:pPr>
      <w:r>
        <w:rPr>
          <w:rFonts w:ascii="Arial" w:cs="Arial" w:eastAsia="Arial" w:hAnsi="Arial"/>
          <w:b/>
          <w:bCs/>
          <w:sz w:val="20"/>
          <w:szCs w:val="20"/>
        </w:rPr>
        <w:t xml:space="preserve">1.5.4  </w:t>
      </w:r>
      <w:r>
        <w:rPr>
          <w:rFonts w:ascii="Arial" w:cs="Arial" w:eastAsia="Arial" w:hAnsi="Arial"/>
          <w:sz w:val="20"/>
          <w:szCs w:val="20"/>
        </w:rPr>
        <w:t xml:space="preserve">Any vendor agreement that provides a breach notification window exceeding forty-eight (48) hours is non-compliant with this Playbook and requires CLO approval. Notification windows exceeding seven (7) days are expressly prohibited under any circumstances.</w:t>
      </w:r>
    </w:p>
    <w:p>
      <w:r>
        <w:br w:type="page"/>
      </w:r>
    </w:p>
    <w:p>
      <w:pPr>
        <w:pStyle w:val="Heading1"/>
        <w:spacing w:before="360" w:after="180"/>
      </w:pPr>
      <w:r>
        <w:rPr>
          <w:rFonts w:ascii="Arial" w:cs="Arial" w:eastAsia="Arial" w:hAnsi="Arial"/>
          <w:b/>
          <w:bCs/>
          <w:color w:val="1F3864"/>
          <w:sz w:val="36"/>
          <w:szCs w:val="36"/>
        </w:rPr>
        <w:t xml:space="preserve">SECTION 2: VENDOR ONBOARDING PROCEDURES</w:t>
      </w:r>
    </w:p>
    <w:p>
      <w:pPr>
        <w:spacing w:before="80" w:after="80"/>
        <w:jc w:val="both"/>
      </w:pPr>
      <w:r>
        <w:rPr>
          <w:rFonts w:ascii="Arial" w:cs="Arial" w:eastAsia="Arial" w:hAnsi="Arial"/>
          <w:sz w:val="20"/>
          <w:szCs w:val="20"/>
        </w:rPr>
        <w:t xml:space="preserve">This section establishes the mandatory onboarding lifecycle that all new vendors and suppliers must complete before commencing any work for Globex Corporation. The onboarding process is administered by the Procurement and Vendor Management Office (PVMO) in coordination with Legal, Information Security, Finance, and the relevant business sponsor. No vendor may commence performance of services or be granted access to Globex systems without completing all phases of this onboarding process.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2.1  Onboarding Lifecycle Summary</w:t>
      </w:r>
    </w:p>
    <w:p>
      <w:pPr>
        <w:spacing w:before="80" w:after="80"/>
        <w:jc w:val="both"/>
      </w:pPr>
      <w:r>
        <w:rPr>
          <w:rFonts w:ascii="Arial" w:cs="Arial" w:eastAsia="Arial" w:hAnsi="Arial"/>
          <w:sz w:val="20"/>
          <w:szCs w:val="20"/>
        </w:rPr>
        <w:t xml:space="preserve">The following table summarizes the standard onboarding phases, activities, ownership, and target durations: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Pre-Engagement</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Legal &amp; procurement review; NDA execution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Legal / Procurement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5 business days</w:t>
            </w:r>
          </w:p>
        </w:tc>
      </w:tr>
      <w:tr>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Due Diligence</w:t>
            </w:r>
          </w:p>
        </w:tc>
        <w:tc>
          <w:tcPr>
            <w:tcW w:type="dxa" w:w="3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Vendor risk assessment; security questionnaire completion</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InfoSec / Vendor</w:t>
            </w:r>
          </w:p>
        </w:tc>
        <w:tc>
          <w:tcPr>
            <w:tcW w:type="dxa" w:w="23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10 business days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Contracting</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MSA / SOW negotiation and execution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Legal</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15 business days</w:t>
            </w:r>
          </w:p>
        </w:tc>
      </w:tr>
      <w:tr>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Technical Setup</w:t>
            </w:r>
          </w:p>
        </w:tc>
        <w:tc>
          <w:tcPr>
            <w:tcW w:type="dxa" w:w="3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System access provisioning; VPN and credential setup</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IT / Vendor</w:t>
            </w:r>
          </w:p>
        </w:tc>
        <w:tc>
          <w:tcPr>
            <w:tcW w:type="dxa" w:w="23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5 business days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Training</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Globex Code of Conduct, data handling, and security awareness training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Compliance / Vendor</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3 business days</w:t>
            </w:r>
          </w:p>
        </w:tc>
      </w:tr>
      <w:tr>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Go-Live</w:t>
            </w:r>
          </w:p>
        </w:tc>
        <w:tc>
          <w:tcPr>
            <w:tcW w:type="dxa" w:w="3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Supervised production access; hypercare monitoring period</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PM / IT / Vendor</w:t>
            </w:r>
          </w:p>
        </w:tc>
        <w:tc>
          <w:tcPr>
            <w:tcW w:type="dxa" w:w="23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30 business days</w:t>
            </w:r>
          </w:p>
        </w:tc>
      </w:tr>
    </w:tbl>
    <w:p>
      <w:pPr>
        <w:spacing w:before="60" w:after="60"/>
      </w:pPr>
      <w:r>
        <w:t xml:space="preserve"/>
      </w:r>
    </w:p>
    <w:p>
      <w:pPr>
        <w:pStyle w:val="Heading3"/>
        <w:spacing w:before="180" w:after="80"/>
      </w:pPr>
      <w:r>
        <w:rPr>
          <w:rFonts w:ascii="Arial" w:cs="Arial" w:eastAsia="Arial" w:hAnsi="Arial"/>
          <w:b/>
          <w:bCs/>
          <w:color w:val="2E5090"/>
          <w:sz w:val="22"/>
          <w:szCs w:val="22"/>
        </w:rPr>
        <w:t xml:space="preserve">2.2  Vendor Classification and Risk Tiering</w:t>
      </w:r>
    </w:p>
    <w:p>
      <w:pPr>
        <w:spacing w:before="120" w:after="80"/>
        <w:jc w:val="both"/>
      </w:pPr>
      <w:r>
        <w:rPr>
          <w:rFonts w:ascii="Arial" w:cs="Arial" w:eastAsia="Arial" w:hAnsi="Arial"/>
          <w:b/>
          <w:bCs/>
          <w:sz w:val="20"/>
          <w:szCs w:val="20"/>
        </w:rPr>
        <w:t xml:space="preserve">2.2.1  </w:t>
      </w:r>
      <w:r>
        <w:rPr>
          <w:rFonts w:ascii="Arial" w:cs="Arial" w:eastAsia="Arial" w:hAnsi="Arial"/>
          <w:sz w:val="20"/>
          <w:szCs w:val="20"/>
        </w:rPr>
        <w:t xml:space="preserve">Prior to initiating onboarding, the PVMO shall classify each prospective vendor into one of the following risk tiers based on the nature of services, data access, and financial materiality: (a) Tier 1 – Critical: vendors with access to Globex core systems or sensitive personal data, or annual spend exceeding $5M; (b) Tier 2 – High: vendors with access to Globex internal systems, annual spend $1M–$5M; (c) Tier 3 – Medium: vendors providing professional services with limited data access, annual spend $250K–$1M; (d) Tier 4 – Low: vendors providing commodity goods or services with no data access, annual spend below $250K.</w:t>
      </w:r>
    </w:p>
    <w:p>
      <w:pPr>
        <w:spacing w:before="120" w:after="80"/>
        <w:jc w:val="both"/>
      </w:pPr>
      <w:r>
        <w:rPr>
          <w:rFonts w:ascii="Arial" w:cs="Arial" w:eastAsia="Arial" w:hAnsi="Arial"/>
          <w:b/>
          <w:bCs/>
          <w:sz w:val="20"/>
          <w:szCs w:val="20"/>
        </w:rPr>
        <w:t xml:space="preserve">2.2.2  </w:t>
      </w:r>
      <w:r>
        <w:rPr>
          <w:rFonts w:ascii="Arial" w:cs="Arial" w:eastAsia="Arial" w:hAnsi="Arial"/>
          <w:sz w:val="20"/>
          <w:szCs w:val="20"/>
        </w:rPr>
        <w:t xml:space="preserve">Tier 1 and Tier 2 vendors are subject to enhanced due diligence requirements including on-site security audits, executive-level references, and annual performance reviews. Tier 3 and Tier 4 vendors are subject to standard due diligence.</w:t>
      </w:r>
    </w:p>
    <w:p>
      <w:pPr>
        <w:spacing w:before="120" w:after="80"/>
        <w:jc w:val="both"/>
      </w:pPr>
      <w:r>
        <w:rPr>
          <w:rFonts w:ascii="Arial" w:cs="Arial" w:eastAsia="Arial" w:hAnsi="Arial"/>
          <w:b/>
          <w:bCs/>
          <w:sz w:val="20"/>
          <w:szCs w:val="20"/>
        </w:rPr>
        <w:t xml:space="preserve">2.2.3  </w:t>
      </w:r>
      <w:r>
        <w:rPr>
          <w:rFonts w:ascii="Arial" w:cs="Arial" w:eastAsia="Arial" w:hAnsi="Arial"/>
          <w:sz w:val="20"/>
          <w:szCs w:val="20"/>
        </w:rPr>
        <w:t xml:space="preserve">Vendor risk tier classification shall be reviewed annually and upon any material change to the scope of services, data access, or financial relationship.</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2.3  Due Diligence Requirements</w:t>
      </w:r>
    </w:p>
    <w:p>
      <w:pPr>
        <w:spacing w:before="120" w:after="80"/>
        <w:jc w:val="both"/>
      </w:pPr>
      <w:r>
        <w:rPr>
          <w:rFonts w:ascii="Arial" w:cs="Arial" w:eastAsia="Arial" w:hAnsi="Arial"/>
          <w:b/>
          <w:bCs/>
          <w:sz w:val="20"/>
          <w:szCs w:val="20"/>
        </w:rPr>
        <w:t xml:space="preserve">2.3.1  </w:t>
      </w:r>
      <w:r>
        <w:rPr>
          <w:rFonts w:ascii="Arial" w:cs="Arial" w:eastAsia="Arial" w:hAnsi="Arial"/>
          <w:sz w:val="20"/>
          <w:szCs w:val="20"/>
        </w:rPr>
        <w:t xml:space="preserve">All prospective vendors must complete Globex's standard Vendor Security Questionnaire (VSQ) as part of the due diligence process. The VSQ covers 14 domains of information security practice aligned to ISO 27001, SOC 2 Type II, and NIST Cybersecurity Framework criteria.</w:t>
      </w:r>
    </w:p>
    <w:p>
      <w:pPr>
        <w:spacing w:before="120" w:after="80"/>
        <w:jc w:val="both"/>
      </w:pPr>
      <w:r>
        <w:rPr>
          <w:rFonts w:ascii="Arial" w:cs="Arial" w:eastAsia="Arial" w:hAnsi="Arial"/>
          <w:b/>
          <w:bCs/>
          <w:sz w:val="20"/>
          <w:szCs w:val="20"/>
        </w:rPr>
        <w:t xml:space="preserve">2.3.2  </w:t>
      </w:r>
      <w:r>
        <w:rPr>
          <w:rFonts w:ascii="Arial" w:cs="Arial" w:eastAsia="Arial" w:hAnsi="Arial"/>
          <w:sz w:val="20"/>
          <w:szCs w:val="20"/>
        </w:rPr>
        <w:t xml:space="preserve">Vendors in Tier 1 and Tier 2 must provide: (a) their most recent SOC 2 Type II report (no older than 12 months); (b) results of their most recent external penetration test; (c) evidence of relevant certifications (ISO 27001, PCI DSS, HIPAA, as applicable); (d) their written Information Security Policy; (e) their Business Continuity and Disaster Recovery plan; and (f) evidence of cybersecurity insurance with minimum coverage of $5,000,000.</w:t>
      </w:r>
    </w:p>
    <w:p>
      <w:pPr>
        <w:spacing w:before="120" w:after="80"/>
        <w:jc w:val="both"/>
      </w:pPr>
      <w:r>
        <w:rPr>
          <w:rFonts w:ascii="Arial" w:cs="Arial" w:eastAsia="Arial" w:hAnsi="Arial"/>
          <w:b/>
          <w:bCs/>
          <w:sz w:val="20"/>
          <w:szCs w:val="20"/>
        </w:rPr>
        <w:t xml:space="preserve">2.3.3  </w:t>
      </w:r>
      <w:r>
        <w:rPr>
          <w:rFonts w:ascii="Arial" w:cs="Arial" w:eastAsia="Arial" w:hAnsi="Arial"/>
          <w:sz w:val="20"/>
          <w:szCs w:val="20"/>
        </w:rPr>
        <w:t xml:space="preserve">Financial due diligence shall be conducted for all Tier 1 vendors, including review of audited financial statements for the most recent two (2) fiscal years and a credit assessment by Globex's treasury function.</w:t>
      </w:r>
    </w:p>
    <w:p>
      <w:pPr>
        <w:spacing w:before="120" w:after="80"/>
        <w:jc w:val="both"/>
      </w:pPr>
      <w:r>
        <w:rPr>
          <w:rFonts w:ascii="Arial" w:cs="Arial" w:eastAsia="Arial" w:hAnsi="Arial"/>
          <w:b/>
          <w:bCs/>
          <w:sz w:val="20"/>
          <w:szCs w:val="20"/>
        </w:rPr>
        <w:t xml:space="preserve">2.3.4  </w:t>
      </w:r>
      <w:r>
        <w:rPr>
          <w:rFonts w:ascii="Arial" w:cs="Arial" w:eastAsia="Arial" w:hAnsi="Arial"/>
          <w:sz w:val="20"/>
          <w:szCs w:val="20"/>
        </w:rPr>
        <w:t xml:space="preserve">Globex reserves the right to reject any vendor whose due diligence findings reveal unacceptable security posture, financial instability, or failure to meet Globex's compliance standards. Such rejection does not give rise to any obligation or liability on the part of Globex.</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2.4  Contract Execution Requirements</w:t>
      </w:r>
    </w:p>
    <w:p>
      <w:pPr>
        <w:spacing w:before="120" w:after="80"/>
        <w:jc w:val="both"/>
      </w:pPr>
      <w:r>
        <w:rPr>
          <w:rFonts w:ascii="Arial" w:cs="Arial" w:eastAsia="Arial" w:hAnsi="Arial"/>
          <w:b/>
          <w:bCs/>
          <w:sz w:val="20"/>
          <w:szCs w:val="20"/>
        </w:rPr>
        <w:t xml:space="preserve">2.4.1  </w:t>
      </w:r>
      <w:r>
        <w:rPr>
          <w:rFonts w:ascii="Arial" w:cs="Arial" w:eastAsia="Arial" w:hAnsi="Arial"/>
          <w:sz w:val="20"/>
          <w:szCs w:val="20"/>
        </w:rPr>
        <w:t xml:space="preserve">No vendor engagement may commence without a fully executed Master Services Agreement (MSA) and, where applicable, a Statement of Work (SOW) signed by an authorized signatory of both parties.</w:t>
      </w:r>
    </w:p>
    <w:p>
      <w:pPr>
        <w:spacing w:before="120" w:after="80"/>
        <w:jc w:val="both"/>
      </w:pPr>
      <w:r>
        <w:rPr>
          <w:rFonts w:ascii="Arial" w:cs="Arial" w:eastAsia="Arial" w:hAnsi="Arial"/>
          <w:b/>
          <w:bCs/>
          <w:sz w:val="20"/>
          <w:szCs w:val="20"/>
        </w:rPr>
        <w:t xml:space="preserve">2.4.2  </w:t>
      </w:r>
      <w:r>
        <w:rPr>
          <w:rFonts w:ascii="Arial" w:cs="Arial" w:eastAsia="Arial" w:hAnsi="Arial"/>
          <w:sz w:val="20"/>
          <w:szCs w:val="20"/>
        </w:rPr>
        <w:t xml:space="preserve">For engagements with an aggregate annual value below $50,000, a Globex-standard Purchase Order incorporating these Playbook terms by reference shall be sufficient.</w:t>
      </w:r>
    </w:p>
    <w:p>
      <w:pPr>
        <w:spacing w:before="120" w:after="80"/>
        <w:jc w:val="both"/>
      </w:pPr>
      <w:r>
        <w:rPr>
          <w:rFonts w:ascii="Arial" w:cs="Arial" w:eastAsia="Arial" w:hAnsi="Arial"/>
          <w:b/>
          <w:bCs/>
          <w:sz w:val="20"/>
          <w:szCs w:val="20"/>
        </w:rPr>
        <w:t xml:space="preserve">2.4.3  </w:t>
      </w:r>
      <w:r>
        <w:rPr>
          <w:rFonts w:ascii="Arial" w:cs="Arial" w:eastAsia="Arial" w:hAnsi="Arial"/>
          <w:sz w:val="20"/>
          <w:szCs w:val="20"/>
        </w:rPr>
        <w:t xml:space="preserve">All MSAs must be reviewed and approved by the Legal department before execution. SOWs with a value exceeding $250,000 require Legal review. All contracts with a value exceeding $1,000,000 require CLO co-signature.</w:t>
      </w:r>
    </w:p>
    <w:p>
      <w:pPr>
        <w:spacing w:before="120" w:after="80"/>
        <w:jc w:val="both"/>
      </w:pPr>
      <w:r>
        <w:rPr>
          <w:rFonts w:ascii="Arial" w:cs="Arial" w:eastAsia="Arial" w:hAnsi="Arial"/>
          <w:b/>
          <w:bCs/>
          <w:sz w:val="20"/>
          <w:szCs w:val="20"/>
        </w:rPr>
        <w:t xml:space="preserve">2.4.4  </w:t>
      </w:r>
      <w:r>
        <w:rPr>
          <w:rFonts w:ascii="Arial" w:cs="Arial" w:eastAsia="Arial" w:hAnsi="Arial"/>
          <w:sz w:val="20"/>
          <w:szCs w:val="20"/>
        </w:rPr>
        <w:t xml:space="preserve">The use of vendor paper (i.e., the vendor's standard form contracts) is discouraged. Where vendor paper must be used, Legal must conduct a full redline review against the standards in Section 1 of this Playbook before any terms are accepted.</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2.5  System Access and Technical Provisioning</w:t>
      </w:r>
    </w:p>
    <w:p>
      <w:pPr>
        <w:spacing w:before="120" w:after="80"/>
        <w:jc w:val="both"/>
      </w:pPr>
      <w:r>
        <w:rPr>
          <w:rFonts w:ascii="Arial" w:cs="Arial" w:eastAsia="Arial" w:hAnsi="Arial"/>
          <w:b/>
          <w:bCs/>
          <w:sz w:val="20"/>
          <w:szCs w:val="20"/>
        </w:rPr>
        <w:t xml:space="preserve">2.5.1  </w:t>
      </w:r>
      <w:r>
        <w:rPr>
          <w:rFonts w:ascii="Arial" w:cs="Arial" w:eastAsia="Arial" w:hAnsi="Arial"/>
          <w:sz w:val="20"/>
          <w:szCs w:val="20"/>
        </w:rPr>
        <w:t xml:space="preserve">Vendor access to Globex systems shall be provisioned on the principle of least privilege. Vendors shall receive only the minimum level of access necessary to perform their contracted services.</w:t>
      </w:r>
    </w:p>
    <w:p>
      <w:pPr>
        <w:spacing w:before="120" w:after="80"/>
        <w:jc w:val="both"/>
      </w:pPr>
      <w:r>
        <w:rPr>
          <w:rFonts w:ascii="Arial" w:cs="Arial" w:eastAsia="Arial" w:hAnsi="Arial"/>
          <w:b/>
          <w:bCs/>
          <w:sz w:val="20"/>
          <w:szCs w:val="20"/>
        </w:rPr>
        <w:t xml:space="preserve">2.5.2  </w:t>
      </w:r>
      <w:r>
        <w:rPr>
          <w:rFonts w:ascii="Arial" w:cs="Arial" w:eastAsia="Arial" w:hAnsi="Arial"/>
          <w:sz w:val="20"/>
          <w:szCs w:val="20"/>
        </w:rPr>
        <w:t xml:space="preserve">All vendor personnel requiring access to Globex systems must complete Globex's vendor security awareness training module before access is granted. Training completion must be recorded in Globex's Learning Management System.</w:t>
      </w:r>
    </w:p>
    <w:p>
      <w:pPr>
        <w:spacing w:before="120" w:after="80"/>
        <w:jc w:val="both"/>
      </w:pPr>
      <w:r>
        <w:rPr>
          <w:rFonts w:ascii="Arial" w:cs="Arial" w:eastAsia="Arial" w:hAnsi="Arial"/>
          <w:b/>
          <w:bCs/>
          <w:sz w:val="20"/>
          <w:szCs w:val="20"/>
        </w:rPr>
        <w:t xml:space="preserve">2.5.3  </w:t>
      </w:r>
      <w:r>
        <w:rPr>
          <w:rFonts w:ascii="Arial" w:cs="Arial" w:eastAsia="Arial" w:hAnsi="Arial"/>
          <w:sz w:val="20"/>
          <w:szCs w:val="20"/>
        </w:rPr>
        <w:t xml:space="preserve">Vendor system access shall be time-limited, tied to the contract term, and subject to quarterly access reviews by the Globex IT Security team. Accounts inactive for more than 90 days shall be automatically deactivated.</w:t>
      </w:r>
    </w:p>
    <w:p>
      <w:pPr>
        <w:spacing w:before="120" w:after="80"/>
        <w:jc w:val="both"/>
      </w:pPr>
      <w:r>
        <w:rPr>
          <w:rFonts w:ascii="Arial" w:cs="Arial" w:eastAsia="Arial" w:hAnsi="Arial"/>
          <w:b/>
          <w:bCs/>
          <w:sz w:val="20"/>
          <w:szCs w:val="20"/>
        </w:rPr>
        <w:t xml:space="preserve">2.5.4  </w:t>
      </w:r>
      <w:r>
        <w:rPr>
          <w:rFonts w:ascii="Arial" w:cs="Arial" w:eastAsia="Arial" w:hAnsi="Arial"/>
          <w:sz w:val="20"/>
          <w:szCs w:val="20"/>
        </w:rPr>
        <w:t xml:space="preserve">Multi-factor authentication (MFA) is mandatory for all vendor remote access to Globex systems. The use of shared vendor accounts is expressly prohibited. Each vendor personnel member must use a unique, individually attributable credential.</w:t>
      </w:r>
    </w:p>
    <w:p>
      <w:r>
        <w:br w:type="page"/>
      </w:r>
    </w:p>
    <w:p>
      <w:pPr>
        <w:pStyle w:val="Heading1"/>
        <w:spacing w:before="360" w:after="180"/>
      </w:pPr>
      <w:r>
        <w:rPr>
          <w:rFonts w:ascii="Arial" w:cs="Arial" w:eastAsia="Arial" w:hAnsi="Arial"/>
          <w:b/>
          <w:bCs/>
          <w:color w:val="1F3864"/>
          <w:sz w:val="36"/>
          <w:szCs w:val="36"/>
        </w:rPr>
        <w:t xml:space="preserve">SECTION 3: INFORMATION SECURITY REQUIREMENTS</w:t>
      </w:r>
    </w:p>
    <w:p>
      <w:pPr>
        <w:spacing w:before="80" w:after="80"/>
        <w:jc w:val="both"/>
      </w:pPr>
      <w:r>
        <w:rPr>
          <w:rFonts w:ascii="Arial" w:cs="Arial" w:eastAsia="Arial" w:hAnsi="Arial"/>
          <w:sz w:val="20"/>
          <w:szCs w:val="20"/>
        </w:rPr>
        <w:t xml:space="preserve">Globex Corporation is committed to maintaining the highest standards of information security and data protection in all of its vendor relationships. All vendors who process, store, transmit, or have access to Globex Confidential Information or Personal Data must comply with the requirements set forth in this Section 3. These requirements represent the minimum baseline; vendors may be subject to additional requirements based on their risk tier classification.</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3.1  Security Controls Summary</w:t>
      </w:r>
    </w:p>
    <w:p>
      <w:pPr>
        <w:spacing w:before="80" w:after="80"/>
        <w:jc w:val="both"/>
      </w:pPr>
      <w:r>
        <w:rPr>
          <w:rFonts w:ascii="Arial" w:cs="Arial" w:eastAsia="Arial" w:hAnsi="Arial"/>
          <w:sz w:val="20"/>
          <w:szCs w:val="20"/>
        </w:rPr>
        <w:t xml:space="preserve">The following table outlines the mandatory security controls required of all Globex vendors, along with the applicable compliance standards: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Domain</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Compliance Standard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Access Control</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Role-based access control (RBAC) mandatory for all systems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ISO 27001 A.9</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Encryption</w:t>
            </w:r>
          </w:p>
        </w:tc>
        <w:tc>
          <w:tcPr>
            <w:tcW w:type="dxa" w:w="4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AES-256 at rest; TLS 1.3 minimum in transit</w:t>
            </w:r>
          </w:p>
        </w:tc>
        <w:tc>
          <w:tcPr>
            <w:tcW w:type="dxa" w:w="23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NIST SP 800-111</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Vulnerability Management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Critical patches applied within 24 hours of release</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PCI DSS 6.3.3</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Penetration Testing</w:t>
            </w:r>
          </w:p>
        </w:tc>
        <w:tc>
          <w:tcPr>
            <w:tcW w:type="dxa" w:w="4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Annual third-party pen test; results shared with Globex</w:t>
            </w:r>
          </w:p>
        </w:tc>
        <w:tc>
          <w:tcPr>
            <w:tcW w:type="dxa" w:w="23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SOC 2 Type II</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Incident Response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Documented IRP; 48-hour breach notification to Globex</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GDPR Art. 33</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Data Retention</w:t>
            </w:r>
          </w:p>
        </w:tc>
        <w:tc>
          <w:tcPr>
            <w:tcW w:type="dxa" w:w="4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Personal data deleted within 30 days of contract termination</w:t>
            </w:r>
          </w:p>
        </w:tc>
        <w:tc>
          <w:tcPr>
            <w:tcW w:type="dxa" w:w="23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GDPR Art. 17</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Background Checks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personnel with Globex data access must pass background screening</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ISO 27001 A.7</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Multi-Factor Authentication</w:t>
            </w:r>
          </w:p>
        </w:tc>
        <w:tc>
          <w:tcPr>
            <w:tcW w:type="dxa" w:w="4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MFA required for all privileged and remote access</w:t>
            </w:r>
          </w:p>
        </w:tc>
        <w:tc>
          <w:tcPr>
            <w:tcW w:type="dxa" w:w="23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NIST 800-63B</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Audit Logging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access events logged and retained for minimum 12 months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SOC 2 CC7.2</w:t>
            </w:r>
          </w:p>
        </w:tc>
      </w:tr>
    </w:tbl>
    <w:p>
      <w:pPr>
        <w:spacing w:before="60" w:after="60"/>
      </w:pPr>
      <w:r>
        <w:t xml:space="preserve"/>
      </w:r>
    </w:p>
    <w:p>
      <w:pPr>
        <w:pStyle w:val="Heading3"/>
        <w:spacing w:before="180" w:after="80"/>
      </w:pPr>
      <w:r>
        <w:rPr>
          <w:rFonts w:ascii="Arial" w:cs="Arial" w:eastAsia="Arial" w:hAnsi="Arial"/>
          <w:b/>
          <w:bCs/>
          <w:color w:val="2E5090"/>
          <w:sz w:val="22"/>
          <w:szCs w:val="22"/>
        </w:rPr>
        <w:t xml:space="preserve">3.2  Data Encryption Standards</w:t>
      </w:r>
    </w:p>
    <w:p>
      <w:pPr>
        <w:spacing w:before="120" w:after="80"/>
        <w:jc w:val="both"/>
      </w:pPr>
      <w:r>
        <w:rPr>
          <w:rFonts w:ascii="Arial" w:cs="Arial" w:eastAsia="Arial" w:hAnsi="Arial"/>
          <w:b/>
          <w:bCs/>
          <w:sz w:val="20"/>
          <w:szCs w:val="20"/>
        </w:rPr>
        <w:t xml:space="preserve">3.2.1  </w:t>
      </w:r>
      <w:r>
        <w:rPr>
          <w:rFonts w:ascii="Arial" w:cs="Arial" w:eastAsia="Arial" w:hAnsi="Arial"/>
          <w:sz w:val="20"/>
          <w:szCs w:val="20"/>
        </w:rPr>
        <w:t xml:space="preserve">All Globex data at rest must be encrypted using AES-256 or equivalent algorithm as approved by NIST. Encryption keys must be managed using a dedicated key management system (KMS) and must be rotated at a minimum of every 365 days.</w:t>
      </w:r>
    </w:p>
    <w:p>
      <w:pPr>
        <w:spacing w:before="120" w:after="80"/>
        <w:jc w:val="both"/>
      </w:pPr>
      <w:r>
        <w:rPr>
          <w:rFonts w:ascii="Arial" w:cs="Arial" w:eastAsia="Arial" w:hAnsi="Arial"/>
          <w:b/>
          <w:bCs/>
          <w:sz w:val="20"/>
          <w:szCs w:val="20"/>
        </w:rPr>
        <w:t xml:space="preserve">3.2.2  </w:t>
      </w:r>
      <w:r>
        <w:rPr>
          <w:rFonts w:ascii="Arial" w:cs="Arial" w:eastAsia="Arial" w:hAnsi="Arial"/>
          <w:sz w:val="20"/>
          <w:szCs w:val="20"/>
        </w:rPr>
        <w:t xml:space="preserve">All Globex data in transit must be protected using TLS 1.3 or higher. TLS 1.0 and TLS 1.1 are deprecated and must not be used. TLS 1.2 may be permitted only where TLS 1.3 is not technically feasible, subject to written approval from Globex's CISO.</w:t>
      </w:r>
    </w:p>
    <w:p>
      <w:pPr>
        <w:spacing w:before="120" w:after="80"/>
        <w:jc w:val="both"/>
      </w:pPr>
      <w:r>
        <w:rPr>
          <w:rFonts w:ascii="Arial" w:cs="Arial" w:eastAsia="Arial" w:hAnsi="Arial"/>
          <w:b/>
          <w:bCs/>
          <w:sz w:val="20"/>
          <w:szCs w:val="20"/>
        </w:rPr>
        <w:t xml:space="preserve">3.2.3  </w:t>
      </w:r>
      <w:r>
        <w:rPr>
          <w:rFonts w:ascii="Arial" w:cs="Arial" w:eastAsia="Arial" w:hAnsi="Arial"/>
          <w:sz w:val="20"/>
          <w:szCs w:val="20"/>
        </w:rPr>
        <w:t xml:space="preserve">Cryptographic keys and certificates must not be stored in source code repositories, configuration files, or any other location accessible to unauthorized personnel. Hardware Security Modules (HSMs) are strongly recommended for Tier 1 vendors.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3.3  Vulnerability and Patch Management</w:t>
      </w:r>
    </w:p>
    <w:p>
      <w:pPr>
        <w:spacing w:before="120" w:after="80"/>
        <w:jc w:val="both"/>
      </w:pPr>
      <w:r>
        <w:rPr>
          <w:rFonts w:ascii="Arial" w:cs="Arial" w:eastAsia="Arial" w:hAnsi="Arial"/>
          <w:b/>
          <w:bCs/>
          <w:sz w:val="20"/>
          <w:szCs w:val="20"/>
        </w:rPr>
        <w:t xml:space="preserve">3.3.1  </w:t>
      </w:r>
      <w:r>
        <w:rPr>
          <w:rFonts w:ascii="Arial" w:cs="Arial" w:eastAsia="Arial" w:hAnsi="Arial"/>
          <w:sz w:val="20"/>
          <w:szCs w:val="20"/>
        </w:rPr>
        <w:t xml:space="preserve">Vendors must maintain a documented vulnerability management program that includes regular scanning of all systems used to process or store Globex data. Scans must be performed at a minimum of: (a) weekly for internet-facing systems; (b) monthly for internal systems.</w:t>
      </w:r>
    </w:p>
    <w:p>
      <w:pPr>
        <w:spacing w:before="120" w:after="80"/>
        <w:jc w:val="both"/>
      </w:pPr>
      <w:r>
        <w:rPr>
          <w:rFonts w:ascii="Arial" w:cs="Arial" w:eastAsia="Arial" w:hAnsi="Arial"/>
          <w:b/>
          <w:bCs/>
          <w:sz w:val="20"/>
          <w:szCs w:val="20"/>
        </w:rPr>
        <w:t xml:space="preserve">3.3.2  </w:t>
      </w:r>
      <w:r>
        <w:rPr>
          <w:rFonts w:ascii="Arial" w:cs="Arial" w:eastAsia="Arial" w:hAnsi="Arial"/>
          <w:sz w:val="20"/>
          <w:szCs w:val="20"/>
        </w:rPr>
        <w:t xml:space="preserve">Vulnerabilities shall be classified and remediated according to the following schedule: (a) Critical (CVSS 9.0–10.0): patched within 24 hours; (b) High (CVSS 7.0–8.9): patched within 7 days; (c) Medium (CVSS 4.0–6.9): patched within 30 days; (d) Low (CVSS 0.1–3.9): patched within 90 days.</w:t>
      </w:r>
    </w:p>
    <w:p>
      <w:pPr>
        <w:spacing w:before="120" w:after="80"/>
        <w:jc w:val="both"/>
      </w:pPr>
      <w:r>
        <w:rPr>
          <w:rFonts w:ascii="Arial" w:cs="Arial" w:eastAsia="Arial" w:hAnsi="Arial"/>
          <w:b/>
          <w:bCs/>
          <w:sz w:val="20"/>
          <w:szCs w:val="20"/>
        </w:rPr>
        <w:t xml:space="preserve">3.3.3  </w:t>
      </w:r>
      <w:r>
        <w:rPr>
          <w:rFonts w:ascii="Arial" w:cs="Arial" w:eastAsia="Arial" w:hAnsi="Arial"/>
          <w:sz w:val="20"/>
          <w:szCs w:val="20"/>
        </w:rPr>
        <w:t xml:space="preserve">In the event that a critical vulnerability cannot be patched within the required timeframe, the vendor must notify Globex's CISO immediately and implement compensating controls until patching is complete. A written remediation plan must be submitted within 24 hours.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3.4  Incident Response Requirements</w:t>
      </w:r>
    </w:p>
    <w:p>
      <w:pPr>
        <w:spacing w:before="120" w:after="80"/>
        <w:jc w:val="both"/>
      </w:pPr>
      <w:r>
        <w:rPr>
          <w:rFonts w:ascii="Arial" w:cs="Arial" w:eastAsia="Arial" w:hAnsi="Arial"/>
          <w:b/>
          <w:bCs/>
          <w:sz w:val="20"/>
          <w:szCs w:val="20"/>
        </w:rPr>
        <w:t xml:space="preserve">3.4.1  </w:t>
      </w:r>
      <w:r>
        <w:rPr>
          <w:rFonts w:ascii="Arial" w:cs="Arial" w:eastAsia="Arial" w:hAnsi="Arial"/>
          <w:sz w:val="20"/>
          <w:szCs w:val="20"/>
        </w:rPr>
        <w:t xml:space="preserve">All vendors must maintain a written Incident Response Plan (IRP) that is reviewed and tested at least annually. Upon request, vendors must provide Globex with a copy of their IRP for review.</w:t>
      </w:r>
    </w:p>
    <w:p>
      <w:pPr>
        <w:spacing w:before="120" w:after="80"/>
        <w:jc w:val="both"/>
      </w:pPr>
      <w:r>
        <w:rPr>
          <w:rFonts w:ascii="Arial" w:cs="Arial" w:eastAsia="Arial" w:hAnsi="Arial"/>
          <w:b/>
          <w:bCs/>
          <w:sz w:val="20"/>
          <w:szCs w:val="20"/>
        </w:rPr>
        <w:t xml:space="preserve">3.4.2  </w:t>
      </w:r>
      <w:r>
        <w:rPr>
          <w:rFonts w:ascii="Arial" w:cs="Arial" w:eastAsia="Arial" w:hAnsi="Arial"/>
          <w:sz w:val="20"/>
          <w:szCs w:val="20"/>
        </w:rPr>
        <w:t xml:space="preserve">In the event of a security incident involving Globex data, the vendor must follow the notification procedure specified in Section 1.5 of this Playbook. The vendor's IRP must be consistent with these notification requirements.</w:t>
      </w:r>
    </w:p>
    <w:p>
      <w:pPr>
        <w:spacing w:before="120" w:after="80"/>
        <w:jc w:val="both"/>
      </w:pPr>
      <w:r>
        <w:rPr>
          <w:rFonts w:ascii="Arial" w:cs="Arial" w:eastAsia="Arial" w:hAnsi="Arial"/>
          <w:b/>
          <w:bCs/>
          <w:sz w:val="20"/>
          <w:szCs w:val="20"/>
        </w:rPr>
        <w:t xml:space="preserve">3.4.3  </w:t>
      </w:r>
      <w:r>
        <w:rPr>
          <w:rFonts w:ascii="Arial" w:cs="Arial" w:eastAsia="Arial" w:hAnsi="Arial"/>
          <w:sz w:val="20"/>
          <w:szCs w:val="20"/>
        </w:rPr>
        <w:t xml:space="preserve">Vendors must designate a named security incident contact who is available 24 hours per day, 7 days per week, and whose contact details are provided to Globex's CISO. Changes to the designated contact must be communicated to Globex within 24 hours.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3.5  Third-Party Assessments and Audit Rights</w:t>
      </w:r>
    </w:p>
    <w:p>
      <w:pPr>
        <w:spacing w:before="120" w:after="80"/>
        <w:jc w:val="both"/>
      </w:pPr>
      <w:r>
        <w:rPr>
          <w:rFonts w:ascii="Arial" w:cs="Arial" w:eastAsia="Arial" w:hAnsi="Arial"/>
          <w:b/>
          <w:bCs/>
          <w:sz w:val="20"/>
          <w:szCs w:val="20"/>
        </w:rPr>
        <w:t xml:space="preserve">3.5.1  </w:t>
      </w:r>
      <w:r>
        <w:rPr>
          <w:rFonts w:ascii="Arial" w:cs="Arial" w:eastAsia="Arial" w:hAnsi="Arial"/>
          <w:sz w:val="20"/>
          <w:szCs w:val="20"/>
        </w:rPr>
        <w:t xml:space="preserve">Globex reserves the right to conduct, at its own expense and with reasonable prior notice (not less than 10 business days), security audits and assessments of any vendor's systems, facilities, and processes that relate to the handling of Globex data.</w:t>
      </w:r>
    </w:p>
    <w:p>
      <w:pPr>
        <w:spacing w:before="120" w:after="80"/>
        <w:jc w:val="both"/>
      </w:pPr>
      <w:r>
        <w:rPr>
          <w:rFonts w:ascii="Arial" w:cs="Arial" w:eastAsia="Arial" w:hAnsi="Arial"/>
          <w:b/>
          <w:bCs/>
          <w:sz w:val="20"/>
          <w:szCs w:val="20"/>
        </w:rPr>
        <w:t xml:space="preserve">3.5.2  </w:t>
      </w:r>
      <w:r>
        <w:rPr>
          <w:rFonts w:ascii="Arial" w:cs="Arial" w:eastAsia="Arial" w:hAnsi="Arial"/>
          <w:sz w:val="20"/>
          <w:szCs w:val="20"/>
        </w:rPr>
        <w:t xml:space="preserve">All Tier 1 and Tier 2 vendors must complete an annual third-party penetration test conducted by a Globex-approved assessor. The results of the penetration test, including all findings and remediation actions, must be shared with Globex's CISO within 30 days of the test completion.</w:t>
      </w:r>
    </w:p>
    <w:p>
      <w:pPr>
        <w:spacing w:before="120" w:after="80"/>
        <w:jc w:val="both"/>
      </w:pPr>
      <w:r>
        <w:rPr>
          <w:rFonts w:ascii="Arial" w:cs="Arial" w:eastAsia="Arial" w:hAnsi="Arial"/>
          <w:b/>
          <w:bCs/>
          <w:sz w:val="20"/>
          <w:szCs w:val="20"/>
        </w:rPr>
        <w:t xml:space="preserve">3.5.3  </w:t>
      </w:r>
      <w:r>
        <w:rPr>
          <w:rFonts w:ascii="Arial" w:cs="Arial" w:eastAsia="Arial" w:hAnsi="Arial"/>
          <w:sz w:val="20"/>
          <w:szCs w:val="20"/>
        </w:rPr>
        <w:t xml:space="preserve">Vendors must cooperate fully with any Globex-initiated audit and must provide access to relevant personnel, documentation, systems, and facilities within the scope of the audit.</w:t>
      </w:r>
    </w:p>
    <w:p>
      <w:r>
        <w:br w:type="page"/>
      </w:r>
    </w:p>
    <w:p>
      <w:pPr>
        <w:pStyle w:val="Heading1"/>
        <w:spacing w:before="360" w:after="180"/>
      </w:pPr>
      <w:r>
        <w:rPr>
          <w:rFonts w:ascii="Arial" w:cs="Arial" w:eastAsia="Arial" w:hAnsi="Arial"/>
          <w:b/>
          <w:bCs/>
          <w:color w:val="1F3864"/>
          <w:sz w:val="36"/>
          <w:szCs w:val="36"/>
        </w:rPr>
        <w:t xml:space="preserve">SECTION 4: DATA PRIVACY AND COMPLIANCE OBLIGATIONS</w:t>
      </w:r>
    </w:p>
    <w:p>
      <w:pPr>
        <w:spacing w:before="80" w:after="80"/>
        <w:jc w:val="both"/>
      </w:pPr>
      <w:r>
        <w:rPr>
          <w:rFonts w:ascii="Arial" w:cs="Arial" w:eastAsia="Arial" w:hAnsi="Arial"/>
          <w:sz w:val="20"/>
          <w:szCs w:val="20"/>
        </w:rPr>
        <w:t xml:space="preserve">Globex Corporation collects, processes, and stores personal data of its customers, employees, and business partners in the course of its operations. Vendors who process such personal data on behalf of Globex do so as data processors and are subject to the comprehensive data protection obligations set forth in this Section 4. These obligations are in addition to any applicable statutory or regulatory requirements.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4.1  Applicable Data Protection Laws</w:t>
      </w:r>
    </w:p>
    <w:p>
      <w:pPr>
        <w:spacing w:before="120" w:after="80"/>
        <w:jc w:val="both"/>
      </w:pPr>
      <w:r>
        <w:rPr>
          <w:rFonts w:ascii="Arial" w:cs="Arial" w:eastAsia="Arial" w:hAnsi="Arial"/>
          <w:b/>
          <w:bCs/>
          <w:sz w:val="20"/>
          <w:szCs w:val="20"/>
        </w:rPr>
        <w:t xml:space="preserve">4.1.1  </w:t>
      </w:r>
      <w:r>
        <w:rPr>
          <w:rFonts w:ascii="Arial" w:cs="Arial" w:eastAsia="Arial" w:hAnsi="Arial"/>
          <w:sz w:val="20"/>
          <w:szCs w:val="20"/>
        </w:rPr>
        <w:t xml:space="preserve">Vendors must comply with all applicable data protection and privacy laws in the jurisdictions where they process Globex data, including but not limited to: (a) the California Consumer Privacy Act (CCPA) and California Privacy Rights Act (CPRA); (b) the General Data Protection Regulation (GDPR) to the extent applicable; (c) the Health Insurance Portability and Accountability Act (HIPAA) where health information is processed; (d) the Gramm-Leach-Bliley Act (GLBA) where financial information is processed; and (e) all other applicable state and federal privacy laws.</w:t>
      </w:r>
    </w:p>
    <w:p>
      <w:pPr>
        <w:spacing w:before="120" w:after="80"/>
        <w:jc w:val="both"/>
      </w:pPr>
      <w:r>
        <w:rPr>
          <w:rFonts w:ascii="Arial" w:cs="Arial" w:eastAsia="Arial" w:hAnsi="Arial"/>
          <w:b/>
          <w:bCs/>
          <w:sz w:val="20"/>
          <w:szCs w:val="20"/>
        </w:rPr>
        <w:t xml:space="preserve">4.1.2  </w:t>
      </w:r>
      <w:r>
        <w:rPr>
          <w:rFonts w:ascii="Arial" w:cs="Arial" w:eastAsia="Arial" w:hAnsi="Arial"/>
          <w:sz w:val="20"/>
          <w:szCs w:val="20"/>
        </w:rPr>
        <w:t xml:space="preserve">Vendors must not transfer Globex Personal Data across international borders without prior written consent from Globex's Data Protection Officer (DPO) and must implement appropriate transfer mechanisms (e.g., Standard Contractual Clauses) as required by applicable law.</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4.2  Data Processing Restrictions</w:t>
      </w:r>
    </w:p>
    <w:p>
      <w:pPr>
        <w:spacing w:before="120" w:after="80"/>
        <w:jc w:val="both"/>
      </w:pPr>
      <w:r>
        <w:rPr>
          <w:rFonts w:ascii="Arial" w:cs="Arial" w:eastAsia="Arial" w:hAnsi="Arial"/>
          <w:b/>
          <w:bCs/>
          <w:sz w:val="20"/>
          <w:szCs w:val="20"/>
        </w:rPr>
        <w:t xml:space="preserve">4.2.1  </w:t>
      </w:r>
      <w:r>
        <w:rPr>
          <w:rFonts w:ascii="Arial" w:cs="Arial" w:eastAsia="Arial" w:hAnsi="Arial"/>
          <w:sz w:val="20"/>
          <w:szCs w:val="20"/>
        </w:rPr>
        <w:t xml:space="preserve">Vendors are strictly prohibited from: (a) using Globex Personal Data for any purpose other than the performance of contracted services; (b) selling, leasing, or otherwise disclosing Globex Personal Data to third parties without prior written consent; (c) combining Globex Personal Data with data from other clients or data sources; and (d) retaining Globex Personal Data beyond the contract term without written authorization.</w:t>
      </w:r>
    </w:p>
    <w:p>
      <w:pPr>
        <w:spacing w:before="120" w:after="80"/>
        <w:jc w:val="both"/>
      </w:pPr>
      <w:r>
        <w:rPr>
          <w:rFonts w:ascii="Arial" w:cs="Arial" w:eastAsia="Arial" w:hAnsi="Arial"/>
          <w:b/>
          <w:bCs/>
          <w:sz w:val="20"/>
          <w:szCs w:val="20"/>
        </w:rPr>
        <w:t xml:space="preserve">4.2.2  </w:t>
      </w:r>
      <w:r>
        <w:rPr>
          <w:rFonts w:ascii="Arial" w:cs="Arial" w:eastAsia="Arial" w:hAnsi="Arial"/>
          <w:sz w:val="20"/>
          <w:szCs w:val="20"/>
        </w:rPr>
        <w:t xml:space="preserve">Vendors must implement and maintain a documented data inventory mapping all Globex Personal Data in their possession, including data type, classification, storage location, and processing purpose.</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4.3  Data Retention and Destruction</w:t>
      </w:r>
    </w:p>
    <w:p>
      <w:pPr>
        <w:spacing w:before="120" w:after="80"/>
        <w:jc w:val="both"/>
      </w:pPr>
      <w:r>
        <w:rPr>
          <w:rFonts w:ascii="Arial" w:cs="Arial" w:eastAsia="Arial" w:hAnsi="Arial"/>
          <w:b/>
          <w:bCs/>
          <w:sz w:val="20"/>
          <w:szCs w:val="20"/>
        </w:rPr>
        <w:t xml:space="preserve">4.3.1  </w:t>
      </w:r>
      <w:r>
        <w:rPr>
          <w:rFonts w:ascii="Arial" w:cs="Arial" w:eastAsia="Arial" w:hAnsi="Arial"/>
          <w:sz w:val="20"/>
          <w:szCs w:val="20"/>
        </w:rPr>
        <w:t xml:space="preserve">Upon expiration or termination of the vendor agreement, the vendor shall, within thirty (30) days and at Globex's election, either: (a) securely return all Globex data in a machine-readable format; or (b) securely destroy all Globex data in accordance with NIST SP 800-88 guidelines and provide Globex with a written certification of destruction.</w:t>
      </w:r>
    </w:p>
    <w:p>
      <w:pPr>
        <w:spacing w:before="120" w:after="80"/>
        <w:jc w:val="both"/>
      </w:pPr>
      <w:r>
        <w:rPr>
          <w:rFonts w:ascii="Arial" w:cs="Arial" w:eastAsia="Arial" w:hAnsi="Arial"/>
          <w:b/>
          <w:bCs/>
          <w:sz w:val="20"/>
          <w:szCs w:val="20"/>
        </w:rPr>
        <w:t xml:space="preserve">4.3.2  </w:t>
      </w:r>
      <w:r>
        <w:rPr>
          <w:rFonts w:ascii="Arial" w:cs="Arial" w:eastAsia="Arial" w:hAnsi="Arial"/>
          <w:sz w:val="20"/>
          <w:szCs w:val="20"/>
        </w:rPr>
        <w:t xml:space="preserve">Backup copies of Globex data must be destroyed within sixty (60) days of contract termination. The vendor must provide written confirmation of backup destruction within five (5) business days of completion.</w:t>
      </w:r>
    </w:p>
    <w:p>
      <w:r>
        <w:br w:type="page"/>
      </w:r>
    </w:p>
    <w:p>
      <w:pPr>
        <w:pStyle w:val="Heading1"/>
        <w:spacing w:before="360" w:after="180"/>
      </w:pPr>
      <w:r>
        <w:rPr>
          <w:rFonts w:ascii="Arial" w:cs="Arial" w:eastAsia="Arial" w:hAnsi="Arial"/>
          <w:b/>
          <w:bCs/>
          <w:color w:val="1F3864"/>
          <w:sz w:val="36"/>
          <w:szCs w:val="36"/>
        </w:rPr>
        <w:t xml:space="preserve">SECTION 5: CODE OF CONDUCT AND BUSINESS ETHICS</w:t>
      </w:r>
    </w:p>
    <w:p>
      <w:pPr>
        <w:spacing w:before="80" w:after="80"/>
        <w:jc w:val="both"/>
      </w:pPr>
      <w:r>
        <w:rPr>
          <w:rFonts w:ascii="Arial" w:cs="Arial" w:eastAsia="Arial" w:hAnsi="Arial"/>
          <w:sz w:val="20"/>
          <w:szCs w:val="20"/>
        </w:rPr>
        <w:t xml:space="preserve">Globex Corporation is committed to conducting its business with the highest standards of integrity, honesty, and ethical conduct. Globex expects all of its vendors, suppliers, and their personnel to adhere to equivalent standards. The provisions of this Section 5 constitute binding contractual obligations that are incorporated into all vendor agreements.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5.1  Anti-Corruption and Anti-Bribery</w:t>
      </w:r>
    </w:p>
    <w:p>
      <w:pPr>
        <w:spacing w:before="120" w:after="80"/>
        <w:jc w:val="both"/>
      </w:pPr>
      <w:r>
        <w:rPr>
          <w:rFonts w:ascii="Arial" w:cs="Arial" w:eastAsia="Arial" w:hAnsi="Arial"/>
          <w:b/>
          <w:bCs/>
          <w:sz w:val="20"/>
          <w:szCs w:val="20"/>
        </w:rPr>
        <w:t xml:space="preserve">5.1.1  </w:t>
      </w:r>
      <w:r>
        <w:rPr>
          <w:rFonts w:ascii="Arial" w:cs="Arial" w:eastAsia="Arial" w:hAnsi="Arial"/>
          <w:sz w:val="20"/>
          <w:szCs w:val="20"/>
        </w:rPr>
        <w:t xml:space="preserve">Vendors must comply with all applicable anti-corruption and anti-bribery laws, including the U.S. Foreign Corrupt Practices Act (FCPA) and the UK Bribery Act 2010. Vendors must not offer, pay, promise, or authorize the payment of any money, gift, or anything of value to any government official, political party, or private individual for the purpose of improperly influencing any action in connection with Globex's business.</w:t>
      </w:r>
    </w:p>
    <w:p>
      <w:pPr>
        <w:spacing w:before="120" w:after="80"/>
        <w:jc w:val="both"/>
      </w:pPr>
      <w:r>
        <w:rPr>
          <w:rFonts w:ascii="Arial" w:cs="Arial" w:eastAsia="Arial" w:hAnsi="Arial"/>
          <w:b/>
          <w:bCs/>
          <w:sz w:val="20"/>
          <w:szCs w:val="20"/>
        </w:rPr>
        <w:t xml:space="preserve">5.1.2  </w:t>
      </w:r>
      <w:r>
        <w:rPr>
          <w:rFonts w:ascii="Arial" w:cs="Arial" w:eastAsia="Arial" w:hAnsi="Arial"/>
          <w:sz w:val="20"/>
          <w:szCs w:val="20"/>
        </w:rPr>
        <w:t xml:space="preserve">Vendors must maintain an anti-bribery and anti-corruption (ABAC) policy and training program for all personnel who interact with Globex. Evidence of such policy and training must be provided to Globex upon request.</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5.2  Conflicts of Interest</w:t>
      </w:r>
    </w:p>
    <w:p>
      <w:pPr>
        <w:spacing w:before="120" w:after="80"/>
        <w:jc w:val="both"/>
      </w:pPr>
      <w:r>
        <w:rPr>
          <w:rFonts w:ascii="Arial" w:cs="Arial" w:eastAsia="Arial" w:hAnsi="Arial"/>
          <w:b/>
          <w:bCs/>
          <w:sz w:val="20"/>
          <w:szCs w:val="20"/>
        </w:rPr>
        <w:t xml:space="preserve">5.2.1  </w:t>
      </w:r>
      <w:r>
        <w:rPr>
          <w:rFonts w:ascii="Arial" w:cs="Arial" w:eastAsia="Arial" w:hAnsi="Arial"/>
          <w:sz w:val="20"/>
          <w:szCs w:val="20"/>
        </w:rPr>
        <w:t xml:space="preserve">Vendors must immediately disclose to Globex any actual or potential conflict of interest that could affect the vendor's ability to perform services impartially, including any financial interest in a competitor of Globex or any personal relationship between vendor personnel and Globex employees.</w:t>
      </w:r>
    </w:p>
    <w:p>
      <w:pPr>
        <w:spacing w:before="120" w:after="80"/>
        <w:jc w:val="both"/>
      </w:pPr>
      <w:r>
        <w:rPr>
          <w:rFonts w:ascii="Arial" w:cs="Arial" w:eastAsia="Arial" w:hAnsi="Arial"/>
          <w:b/>
          <w:bCs/>
          <w:sz w:val="20"/>
          <w:szCs w:val="20"/>
        </w:rPr>
        <w:t xml:space="preserve">5.2.2  </w:t>
      </w:r>
      <w:r>
        <w:rPr>
          <w:rFonts w:ascii="Arial" w:cs="Arial" w:eastAsia="Arial" w:hAnsi="Arial"/>
          <w:sz w:val="20"/>
          <w:szCs w:val="20"/>
        </w:rPr>
        <w:t xml:space="preserve">Vendor personnel must not solicit or accept gifts, entertainment, or other benefits from Globex employees that exceed $100 in value in any calendar year. Any gifts or hospitality exceeding this threshold must be pre-approved in writing by both parties' compliance officers.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5.3  Labor and Human Rights</w:t>
      </w:r>
    </w:p>
    <w:p>
      <w:pPr>
        <w:spacing w:before="120" w:after="80"/>
        <w:jc w:val="both"/>
      </w:pPr>
      <w:r>
        <w:rPr>
          <w:rFonts w:ascii="Arial" w:cs="Arial" w:eastAsia="Arial" w:hAnsi="Arial"/>
          <w:b/>
          <w:bCs/>
          <w:sz w:val="20"/>
          <w:szCs w:val="20"/>
        </w:rPr>
        <w:t xml:space="preserve">5.3.1  </w:t>
      </w:r>
      <w:r>
        <w:rPr>
          <w:rFonts w:ascii="Arial" w:cs="Arial" w:eastAsia="Arial" w:hAnsi="Arial"/>
          <w:sz w:val="20"/>
          <w:szCs w:val="20"/>
        </w:rPr>
        <w:t xml:space="preserve">Vendors must comply with all applicable labor and employment laws, including minimum wage, working hours, health and safety, and non-discrimination requirements. Globex has a zero-tolerance policy for forced labor, child labor, or human trafficking in its supply chain.</w:t>
      </w:r>
    </w:p>
    <w:p>
      <w:pPr>
        <w:spacing w:before="120" w:after="80"/>
        <w:jc w:val="both"/>
      </w:pPr>
      <w:r>
        <w:rPr>
          <w:rFonts w:ascii="Arial" w:cs="Arial" w:eastAsia="Arial" w:hAnsi="Arial"/>
          <w:b/>
          <w:bCs/>
          <w:sz w:val="20"/>
          <w:szCs w:val="20"/>
        </w:rPr>
        <w:t xml:space="preserve">5.3.2  </w:t>
      </w:r>
      <w:r>
        <w:rPr>
          <w:rFonts w:ascii="Arial" w:cs="Arial" w:eastAsia="Arial" w:hAnsi="Arial"/>
          <w:sz w:val="20"/>
          <w:szCs w:val="20"/>
        </w:rPr>
        <w:t xml:space="preserve">Vendors must provide Globex with their supplier code of conduct and, for Tier 1 vendors, an annual written attestation of compliance with this Section 5.3.</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5.4  Environmental Responsibility</w:t>
      </w:r>
    </w:p>
    <w:p>
      <w:pPr>
        <w:spacing w:before="120" w:after="80"/>
        <w:jc w:val="both"/>
      </w:pPr>
      <w:r>
        <w:rPr>
          <w:rFonts w:ascii="Arial" w:cs="Arial" w:eastAsia="Arial" w:hAnsi="Arial"/>
          <w:b/>
          <w:bCs/>
          <w:sz w:val="20"/>
          <w:szCs w:val="20"/>
        </w:rPr>
        <w:t xml:space="preserve">5.4.1  </w:t>
      </w:r>
      <w:r>
        <w:rPr>
          <w:rFonts w:ascii="Arial" w:cs="Arial" w:eastAsia="Arial" w:hAnsi="Arial"/>
          <w:sz w:val="20"/>
          <w:szCs w:val="20"/>
        </w:rPr>
        <w:t xml:space="preserve">Vendors must comply with all applicable environmental laws and regulations and are encouraged to adopt environmental management practices aligned with ISO 14001 or equivalent standards.</w:t>
      </w:r>
    </w:p>
    <w:p>
      <w:pPr>
        <w:spacing w:before="120" w:after="80"/>
        <w:jc w:val="both"/>
      </w:pPr>
      <w:r>
        <w:rPr>
          <w:rFonts w:ascii="Arial" w:cs="Arial" w:eastAsia="Arial" w:hAnsi="Arial"/>
          <w:b/>
          <w:bCs/>
          <w:sz w:val="20"/>
          <w:szCs w:val="20"/>
        </w:rPr>
        <w:t xml:space="preserve">5.4.2  </w:t>
      </w:r>
      <w:r>
        <w:rPr>
          <w:rFonts w:ascii="Arial" w:cs="Arial" w:eastAsia="Arial" w:hAnsi="Arial"/>
          <w:sz w:val="20"/>
          <w:szCs w:val="20"/>
        </w:rPr>
        <w:t xml:space="preserve">Globex may request information on a vendor's environmental footprint, carbon emissions, and sustainability practices as part of the annual vendor review process.</w:t>
      </w:r>
    </w:p>
    <w:p>
      <w:r>
        <w:br w:type="page"/>
      </w:r>
    </w:p>
    <w:p>
      <w:pPr>
        <w:pStyle w:val="Heading1"/>
        <w:spacing w:before="360" w:after="180"/>
      </w:pPr>
      <w:r>
        <w:rPr>
          <w:rFonts w:ascii="Arial" w:cs="Arial" w:eastAsia="Arial" w:hAnsi="Arial"/>
          <w:b/>
          <w:bCs/>
          <w:color w:val="1F3864"/>
          <w:sz w:val="36"/>
          <w:szCs w:val="36"/>
        </w:rPr>
        <w:t xml:space="preserve">SECTION 6: SERVICE LEVEL AGREEMENT FRAMEWORK</w:t>
      </w:r>
    </w:p>
    <w:p>
      <w:pPr>
        <w:spacing w:before="80" w:after="80"/>
        <w:jc w:val="both"/>
      </w:pPr>
      <w:r>
        <w:rPr>
          <w:rFonts w:ascii="Arial" w:cs="Arial" w:eastAsia="Arial" w:hAnsi="Arial"/>
          <w:sz w:val="20"/>
          <w:szCs w:val="20"/>
        </w:rPr>
        <w:t xml:space="preserve">This section establishes the minimum service level standards that Globex requires from all vendors providing technology services, managed services, or cloud-based solutions. Specific SLAs applicable to an individual engagement shall be defined in the relevant Statement of Work; however, such SOW-specific SLAs must meet or exceed the minimums defined in this Playbook.</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6.1  Standard Service Level Requirements</w:t>
      </w:r>
    </w:p>
    <w:p>
      <w:pPr>
        <w:spacing w:before="80" w:after="80"/>
        <w:jc w:val="both"/>
      </w:pPr>
      <w:r>
        <w:rPr>
          <w:rFonts w:ascii="Arial" w:cs="Arial" w:eastAsia="Arial" w:hAnsi="Arial"/>
          <w:sz w:val="20"/>
          <w:szCs w:val="20"/>
        </w:rPr>
        <w:t xml:space="preserve">The following table represents the minimum acceptable service levels by service category: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800"/>
        <w:gridCol w:w="15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 Category</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Level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Response Time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Resolution Time</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Uptime SLA</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Core Business Systems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P1 – Critical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15 minutes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 hours</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99.99%</w:t>
            </w:r>
          </w:p>
        </w:tc>
      </w:tr>
      <w:tr>
        <w:tc>
          <w:tcPr>
            <w:tcW w:type="dxa" w:w="2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Core Business Systems</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P2 – High</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1 hour</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8 hours</w:t>
            </w:r>
          </w:p>
        </w:tc>
        <w:tc>
          <w:tcPr>
            <w:tcW w:type="dxa" w:w="1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99.99%</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Supporting Applications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P1 – Critical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30 minutes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8 hours</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99.95%</w:t>
            </w:r>
          </w:p>
        </w:tc>
      </w:tr>
      <w:tr>
        <w:tc>
          <w:tcPr>
            <w:tcW w:type="dxa" w:w="2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Supporting Applications</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P2 – High</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2 hours</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24 hours</w:t>
            </w:r>
          </w:p>
        </w:tc>
        <w:tc>
          <w:tcPr>
            <w:tcW w:type="dxa" w:w="1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99.95%</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Development / Test Env.</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P3 – Medium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 hours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48 hours</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99.50%</w:t>
            </w:r>
          </w:p>
        </w:tc>
      </w:tr>
      <w:tr>
        <w:tc>
          <w:tcPr>
            <w:tcW w:type="dxa" w:w="2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Batch Processing</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P2 – High</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1 hour</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12 hours</w:t>
            </w:r>
          </w:p>
        </w:tc>
        <w:tc>
          <w:tcPr>
            <w:tcW w:type="dxa" w:w="1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99.90%</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Reporting &amp; Analytics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P3 – Medium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 hours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48 hours</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99.50%</w:t>
            </w:r>
          </w:p>
        </w:tc>
      </w:tr>
      <w:tr>
        <w:tc>
          <w:tcPr>
            <w:tcW w:type="dxa" w:w="2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Disaster Recovery</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P1 – Critical</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RTO: 4 hours</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RPO: 1 hour</w:t>
            </w:r>
          </w:p>
        </w:tc>
        <w:tc>
          <w:tcPr>
            <w:tcW w:type="dxa" w:w="1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N/A</w:t>
            </w:r>
          </w:p>
        </w:tc>
      </w:tr>
    </w:tbl>
    <w:p>
      <w:pPr>
        <w:spacing w:before="60" w:after="60"/>
      </w:pPr>
      <w:r>
        <w:t xml:space="preserve"/>
      </w:r>
    </w:p>
    <w:p>
      <w:pPr>
        <w:pStyle w:val="Heading3"/>
        <w:spacing w:before="180" w:after="80"/>
      </w:pPr>
      <w:r>
        <w:rPr>
          <w:rFonts w:ascii="Arial" w:cs="Arial" w:eastAsia="Arial" w:hAnsi="Arial"/>
          <w:b/>
          <w:bCs/>
          <w:color w:val="2E5090"/>
          <w:sz w:val="22"/>
          <w:szCs w:val="22"/>
        </w:rPr>
        <w:t xml:space="preserve">6.2  SLA Measurement and Reporting</w:t>
      </w:r>
    </w:p>
    <w:p>
      <w:pPr>
        <w:spacing w:before="120" w:after="80"/>
        <w:jc w:val="both"/>
      </w:pPr>
      <w:r>
        <w:rPr>
          <w:rFonts w:ascii="Arial" w:cs="Arial" w:eastAsia="Arial" w:hAnsi="Arial"/>
          <w:b/>
          <w:bCs/>
          <w:sz w:val="20"/>
          <w:szCs w:val="20"/>
        </w:rPr>
        <w:t xml:space="preserve">6.2.1  </w:t>
      </w:r>
      <w:r>
        <w:rPr>
          <w:rFonts w:ascii="Arial" w:cs="Arial" w:eastAsia="Arial" w:hAnsi="Arial"/>
          <w:sz w:val="20"/>
          <w:szCs w:val="20"/>
        </w:rPr>
        <w:t xml:space="preserve">All SLA metrics shall be measured on a calendar month basis. Vendors must provide Globex with a monthly SLA performance report by the 5th business day of the following month. The report must include: (a) actual performance against each SLA metric; (b) a list of all incidents that impacted SLA performance; (c) root cause analysis for any SLA breach; and (d) remediation actions taken or planned.</w:t>
      </w:r>
    </w:p>
    <w:p>
      <w:pPr>
        <w:spacing w:before="120" w:after="80"/>
        <w:jc w:val="both"/>
      </w:pPr>
      <w:r>
        <w:rPr>
          <w:rFonts w:ascii="Arial" w:cs="Arial" w:eastAsia="Arial" w:hAnsi="Arial"/>
          <w:b/>
          <w:bCs/>
          <w:sz w:val="20"/>
          <w:szCs w:val="20"/>
        </w:rPr>
        <w:t xml:space="preserve">6.2.2  </w:t>
      </w:r>
      <w:r>
        <w:rPr>
          <w:rFonts w:ascii="Arial" w:cs="Arial" w:eastAsia="Arial" w:hAnsi="Arial"/>
          <w:sz w:val="20"/>
          <w:szCs w:val="20"/>
        </w:rPr>
        <w:t xml:space="preserve">SLA reports must be provided in a format approved by Globex and must be delivered to Globex's Vendor Management Office and the designated business sponsor.</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6.3  Service Credits and Penalties</w:t>
      </w:r>
    </w:p>
    <w:p>
      <w:pPr>
        <w:spacing w:before="120" w:after="80"/>
        <w:jc w:val="both"/>
      </w:pPr>
      <w:r>
        <w:rPr>
          <w:rFonts w:ascii="Arial" w:cs="Arial" w:eastAsia="Arial" w:hAnsi="Arial"/>
          <w:b/>
          <w:bCs/>
          <w:sz w:val="20"/>
          <w:szCs w:val="20"/>
        </w:rPr>
        <w:t xml:space="preserve">6.3.1  </w:t>
      </w:r>
      <w:r>
        <w:rPr>
          <w:rFonts w:ascii="Arial" w:cs="Arial" w:eastAsia="Arial" w:hAnsi="Arial"/>
          <w:sz w:val="20"/>
          <w:szCs w:val="20"/>
        </w:rPr>
        <w:t xml:space="preserve">In the event that a vendor fails to meet the agreed SLA targets in any calendar month, Globex shall be entitled to service credits calculated as follows: (a) Breach of uptime SLA by 0.01%–0.1%: credit equal to 5% of monthly fees; (b) Breach by 0.1%–0.5%: credit equal to 10% of monthly fees; (c) Breach by 0.5%–1.0%: credit equal to 20% of monthly fees; (d) Breach exceeding 1.0%: credit equal to 30% of monthly fees.</w:t>
      </w:r>
    </w:p>
    <w:p>
      <w:pPr>
        <w:spacing w:before="120" w:after="80"/>
        <w:jc w:val="both"/>
      </w:pPr>
      <w:r>
        <w:rPr>
          <w:rFonts w:ascii="Arial" w:cs="Arial" w:eastAsia="Arial" w:hAnsi="Arial"/>
          <w:b/>
          <w:bCs/>
          <w:sz w:val="20"/>
          <w:szCs w:val="20"/>
        </w:rPr>
        <w:t xml:space="preserve">6.3.2  </w:t>
      </w:r>
      <w:r>
        <w:rPr>
          <w:rFonts w:ascii="Arial" w:cs="Arial" w:eastAsia="Arial" w:hAnsi="Arial"/>
          <w:sz w:val="20"/>
          <w:szCs w:val="20"/>
        </w:rPr>
        <w:t xml:space="preserve">Service credits shall be applied to future invoices. If the agreement is terminated, outstanding service credits shall be refunded in cash within 30 days.</w:t>
      </w:r>
    </w:p>
    <w:p>
      <w:pPr>
        <w:spacing w:before="120" w:after="80"/>
        <w:jc w:val="both"/>
      </w:pPr>
      <w:r>
        <w:rPr>
          <w:rFonts w:ascii="Arial" w:cs="Arial" w:eastAsia="Arial" w:hAnsi="Arial"/>
          <w:b/>
          <w:bCs/>
          <w:sz w:val="20"/>
          <w:szCs w:val="20"/>
        </w:rPr>
        <w:t xml:space="preserve">6.3.3  </w:t>
      </w:r>
      <w:r>
        <w:rPr>
          <w:rFonts w:ascii="Arial" w:cs="Arial" w:eastAsia="Arial" w:hAnsi="Arial"/>
          <w:sz w:val="20"/>
          <w:szCs w:val="20"/>
        </w:rPr>
        <w:t xml:space="preserve">The accrual of service credits does not limit Globex's right to terminate the agreement for cause in the event of repeated or material SLA failures, as defined in the applicable SOW.</w:t>
      </w:r>
    </w:p>
    <w:p>
      <w:r>
        <w:br w:type="page"/>
      </w:r>
    </w:p>
    <w:p>
      <w:pPr>
        <w:pStyle w:val="Heading1"/>
        <w:spacing w:before="360" w:after="180"/>
      </w:pPr>
      <w:r>
        <w:rPr>
          <w:rFonts w:ascii="Arial" w:cs="Arial" w:eastAsia="Arial" w:hAnsi="Arial"/>
          <w:b/>
          <w:bCs/>
          <w:color w:val="1F3864"/>
          <w:sz w:val="36"/>
          <w:szCs w:val="36"/>
        </w:rPr>
        <w:t xml:space="preserve">SECTION 7: FINANCIAL CONTROLS AND AUDIT RIGHTS</w:t>
      </w:r>
    </w:p>
    <w:p>
      <w:pPr>
        <w:spacing w:before="80" w:after="80"/>
        <w:jc w:val="both"/>
      </w:pPr>
      <w:r>
        <w:rPr>
          <w:rFonts w:ascii="Arial" w:cs="Arial" w:eastAsia="Arial" w:hAnsi="Arial"/>
          <w:sz w:val="20"/>
          <w:szCs w:val="20"/>
        </w:rPr>
        <w:t xml:space="preserve">Globex Corporation maintains rigorous financial controls over all vendor expenditures and reserves comprehensive audit rights to verify vendor compliance with contractual obligations and financial representations. The provisions of this Section 7 are mandatory and must be incorporated into all vendor MSAs.</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7.1  Purchase Order Requirements</w:t>
      </w:r>
    </w:p>
    <w:p>
      <w:pPr>
        <w:spacing w:before="120" w:after="80"/>
        <w:jc w:val="both"/>
      </w:pPr>
      <w:r>
        <w:rPr>
          <w:rFonts w:ascii="Arial" w:cs="Arial" w:eastAsia="Arial" w:hAnsi="Arial"/>
          <w:b/>
          <w:bCs/>
          <w:sz w:val="20"/>
          <w:szCs w:val="20"/>
        </w:rPr>
        <w:t xml:space="preserve">7.1.1  </w:t>
      </w:r>
      <w:r>
        <w:rPr>
          <w:rFonts w:ascii="Arial" w:cs="Arial" w:eastAsia="Arial" w:hAnsi="Arial"/>
          <w:sz w:val="20"/>
          <w:szCs w:val="20"/>
        </w:rPr>
        <w:t xml:space="preserve">All vendor services must be backed by a valid, pre-approved Purchase Order issued by Globex's Procurement department. Vendors must reference the applicable PO number on all invoices. Globex shall not be obligated to pay any invoice that does not reference a valid PO.</w:t>
      </w:r>
    </w:p>
    <w:p>
      <w:pPr>
        <w:spacing w:before="120" w:after="80"/>
        <w:jc w:val="both"/>
      </w:pPr>
      <w:r>
        <w:rPr>
          <w:rFonts w:ascii="Arial" w:cs="Arial" w:eastAsia="Arial" w:hAnsi="Arial"/>
          <w:b/>
          <w:bCs/>
          <w:sz w:val="20"/>
          <w:szCs w:val="20"/>
        </w:rPr>
        <w:t xml:space="preserve">7.1.2  </w:t>
      </w:r>
      <w:r>
        <w:rPr>
          <w:rFonts w:ascii="Arial" w:cs="Arial" w:eastAsia="Arial" w:hAnsi="Arial"/>
          <w:sz w:val="20"/>
          <w:szCs w:val="20"/>
        </w:rPr>
        <w:t xml:space="preserve">Purchase Order amendments exceeding 20% of the original PO value require re-approval by the original approving authority. Amendments creating cumulative spend exceeding $500,000 require additional CFO approval.</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7.2  Audit Rights</w:t>
      </w:r>
    </w:p>
    <w:p>
      <w:pPr>
        <w:spacing w:before="120" w:after="80"/>
        <w:jc w:val="both"/>
      </w:pPr>
      <w:r>
        <w:rPr>
          <w:rFonts w:ascii="Arial" w:cs="Arial" w:eastAsia="Arial" w:hAnsi="Arial"/>
          <w:b/>
          <w:bCs/>
          <w:sz w:val="20"/>
          <w:szCs w:val="20"/>
        </w:rPr>
        <w:t xml:space="preserve">7.2.1  </w:t>
      </w:r>
      <w:r>
        <w:rPr>
          <w:rFonts w:ascii="Arial" w:cs="Arial" w:eastAsia="Arial" w:hAnsi="Arial"/>
          <w:sz w:val="20"/>
          <w:szCs w:val="20"/>
        </w:rPr>
        <w:t xml:space="preserve">Globex reserves the right to audit, or to cause an independent third-party auditor to audit, the vendor's books, records, and accounts related to the vendor's performance under the agreement and the fees charged to Globex. Such audit right may be exercised upon twenty (20) business days' prior written notice no more than once per calendar year, unless a material discrepancy is discovered.</w:t>
      </w:r>
    </w:p>
    <w:p>
      <w:pPr>
        <w:spacing w:before="120" w:after="80"/>
        <w:jc w:val="both"/>
      </w:pPr>
      <w:r>
        <w:rPr>
          <w:rFonts w:ascii="Arial" w:cs="Arial" w:eastAsia="Arial" w:hAnsi="Arial"/>
          <w:b/>
          <w:bCs/>
          <w:sz w:val="20"/>
          <w:szCs w:val="20"/>
        </w:rPr>
        <w:t xml:space="preserve">7.2.2  </w:t>
      </w:r>
      <w:r>
        <w:rPr>
          <w:rFonts w:ascii="Arial" w:cs="Arial" w:eastAsia="Arial" w:hAnsi="Arial"/>
          <w:sz w:val="20"/>
          <w:szCs w:val="20"/>
        </w:rPr>
        <w:t xml:space="preserve">If an audit reveals that the vendor has overcharged Globex by more than 5% in any quarterly period, the vendor shall: (a) immediately reimburse Globex for the overcharge; (b) pay interest on the overcharged amount at the rate of 1.5% per month; and (c) bear the reasonable costs of the audit.</w:t>
      </w:r>
    </w:p>
    <w:p>
      <w:pPr>
        <w:spacing w:before="120" w:after="80"/>
        <w:jc w:val="both"/>
      </w:pPr>
      <w:r>
        <w:rPr>
          <w:rFonts w:ascii="Arial" w:cs="Arial" w:eastAsia="Arial" w:hAnsi="Arial"/>
          <w:b/>
          <w:bCs/>
          <w:sz w:val="20"/>
          <w:szCs w:val="20"/>
        </w:rPr>
        <w:t xml:space="preserve">7.2.3  </w:t>
      </w:r>
      <w:r>
        <w:rPr>
          <w:rFonts w:ascii="Arial" w:cs="Arial" w:eastAsia="Arial" w:hAnsi="Arial"/>
          <w:sz w:val="20"/>
          <w:szCs w:val="20"/>
        </w:rPr>
        <w:t xml:space="preserve">Vendors must retain all records, invoices, timesheets, and documentation related to Globex engagements for a minimum of seven (7) years from the date of the relevant transaction.</w:t>
      </w:r>
    </w:p>
    <w:p>
      <w:pPr>
        <w:spacing w:before="60" w:after="60"/>
      </w:pPr>
      <w:r>
        <w:t xml:space="preserve"/>
      </w:r>
    </w:p>
    <w:p>
      <w:pPr>
        <w:pStyle w:val="Heading3"/>
        <w:spacing w:before="180" w:after="80"/>
      </w:pPr>
      <w:r>
        <w:rPr>
          <w:rFonts w:ascii="Arial" w:cs="Arial" w:eastAsia="Arial" w:hAnsi="Arial"/>
          <w:b/>
          <w:bCs/>
          <w:color w:val="2E5090"/>
          <w:sz w:val="22"/>
          <w:szCs w:val="22"/>
        </w:rPr>
        <w:t xml:space="preserve">7.3  Subcontracting and Change of Control</w:t>
      </w:r>
    </w:p>
    <w:p>
      <w:pPr>
        <w:spacing w:before="120" w:after="80"/>
        <w:jc w:val="both"/>
      </w:pPr>
      <w:r>
        <w:rPr>
          <w:rFonts w:ascii="Arial" w:cs="Arial" w:eastAsia="Arial" w:hAnsi="Arial"/>
          <w:b/>
          <w:bCs/>
          <w:sz w:val="20"/>
          <w:szCs w:val="20"/>
        </w:rPr>
        <w:t xml:space="preserve">7.3.1  </w:t>
      </w:r>
      <w:r>
        <w:rPr>
          <w:rFonts w:ascii="Arial" w:cs="Arial" w:eastAsia="Arial" w:hAnsi="Arial"/>
          <w:sz w:val="20"/>
          <w:szCs w:val="20"/>
        </w:rPr>
        <w:t xml:space="preserve">Vendors may not subcontract or delegate their obligations under a Globex agreement to a third party without Globex's prior written consent. The use of subcontractors does not relieve the vendor of its obligations, and the vendor remains fully liable for the acts and omissions of any approved subcontractor.</w:t>
      </w:r>
    </w:p>
    <w:p>
      <w:pPr>
        <w:spacing w:before="120" w:after="80"/>
        <w:jc w:val="both"/>
      </w:pPr>
      <w:r>
        <w:rPr>
          <w:rFonts w:ascii="Arial" w:cs="Arial" w:eastAsia="Arial" w:hAnsi="Arial"/>
          <w:b/>
          <w:bCs/>
          <w:sz w:val="20"/>
          <w:szCs w:val="20"/>
        </w:rPr>
        <w:t xml:space="preserve">7.3.2  </w:t>
      </w:r>
      <w:r>
        <w:rPr>
          <w:rFonts w:ascii="Arial" w:cs="Arial" w:eastAsia="Arial" w:hAnsi="Arial"/>
          <w:sz w:val="20"/>
          <w:szCs w:val="20"/>
        </w:rPr>
        <w:t xml:space="preserve">A change of control of the vendor (including a merger, acquisition, or sale of all or substantially all of the vendor's assets) shall constitute a material change requiring immediate notification to Globex. Globex shall have the right to terminate the agreement within ninety (90) days of such notification without penalty.</w:t>
      </w:r>
    </w:p>
    <w:p>
      <w:r>
        <w:br w:type="page"/>
      </w:r>
    </w:p>
    <w:p>
      <w:pPr>
        <w:pStyle w:val="Heading1"/>
        <w:spacing w:before="360" w:after="180"/>
      </w:pPr>
      <w:r>
        <w:rPr>
          <w:rFonts w:ascii="Arial" w:cs="Arial" w:eastAsia="Arial" w:hAnsi="Arial"/>
          <w:b/>
          <w:bCs/>
          <w:color w:val="1F3864"/>
          <w:sz w:val="36"/>
          <w:szCs w:val="36"/>
        </w:rPr>
        <w:t xml:space="preserve">APPENDIX A: VENDOR CLASSIFICATION MATRIX</w:t>
      </w:r>
    </w:p>
    <w:p>
      <w:pPr>
        <w:spacing w:before="80" w:after="80"/>
        <w:jc w:val="both"/>
      </w:pPr>
      <w:r>
        <w:rPr>
          <w:rFonts w:ascii="Arial" w:cs="Arial" w:eastAsia="Arial" w:hAnsi="Arial"/>
          <w:sz w:val="20"/>
          <w:szCs w:val="20"/>
        </w:rPr>
        <w:t xml:space="preserve">The following matrix provides detailed guidance on vendor classification criteria, applicable due diligence requirements, and approval authorities by vendor risk tier.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60"/>
      </w:tblGrid>
      <w:t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Due Diligence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Approval Authority</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 Frequency</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Tier 1 – Critical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Access to core systems; PII/PHI; spend &gt;$5M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Full audit, SOC 2, pen test, financials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CLO + CFO + CISO</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Semi-annual</w:t>
            </w:r>
          </w:p>
        </w:tc>
      </w:tr>
      <w:tr>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Tier 2 – High</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Internal system access; spend $1M–$5M</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SOC 2, pen test, VSQ</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CLO + CISO</w:t>
            </w:r>
          </w:p>
        </w:tc>
        <w:tc>
          <w:tcPr>
            <w:tcW w:type="dxa" w:w="18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Annual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Tier 3 – Medium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Limited access; spend $250K–$1M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VSQ, insurance verification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Legal + Procurement</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Annual</w:t>
            </w:r>
          </w:p>
        </w:tc>
      </w:tr>
      <w:tr>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Tier 4 – Low</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No system access; spend &lt;$250K</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Standard vendor registration</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Procurement</w:t>
            </w:r>
          </w:p>
        </w:tc>
        <w:tc>
          <w:tcPr>
            <w:tcW w:type="dxa" w:w="18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18"/>
                <w:szCs w:val="18"/>
              </w:rPr>
              <w:t xml:space="preserve">Biennial</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F3864"/>
          <w:sz w:val="36"/>
          <w:szCs w:val="36"/>
        </w:rPr>
        <w:t xml:space="preserve">APPENDIX B: VENDOR SECURITY QUESTIONNAIRE CHECKLIST</w:t>
      </w:r>
    </w:p>
    <w:p>
      <w:pPr>
        <w:spacing w:before="80" w:after="80"/>
        <w:jc w:val="both"/>
      </w:pPr>
      <w:r>
        <w:rPr>
          <w:rFonts w:ascii="Arial" w:cs="Arial" w:eastAsia="Arial" w:hAnsi="Arial"/>
          <w:sz w:val="20"/>
          <w:szCs w:val="20"/>
        </w:rPr>
        <w:t xml:space="preserve">The following represents the high-level domain checklist for the Globex Vendor Security Questionnaire (VSQ). Detailed questions for each domain are maintained in the PVMO's vendor management portal. Completion of all applicable domains is mandatory for Tier 1, 2, and 3 vendors.</w:t>
      </w:r>
    </w:p>
    <w:p>
      <w:pPr>
        <w:spacing w:before="60" w:after="60"/>
      </w:pPr>
      <w:r>
        <w:t xml:space="preserve"/>
      </w:r>
    </w:p>
    <w:p>
      <w:pPr>
        <w:spacing w:before="120" w:after="40"/>
      </w:pPr>
      <w:r>
        <w:rPr>
          <w:rFonts w:ascii="Arial" w:cs="Arial" w:eastAsia="Arial" w:hAnsi="Arial"/>
          <w:b/>
          <w:bCs/>
          <w:color w:val="1F3864"/>
          <w:sz w:val="20"/>
          <w:szCs w:val="20"/>
        </w:rPr>
        <w:t xml:space="preserve">Domain 1: Organizational Security Policies</w:t>
      </w:r>
    </w:p>
    <w:p>
      <w:pPr>
        <w:spacing w:before="40" w:after="80"/>
        <w:jc w:val="both"/>
      </w:pPr>
      <w:r>
        <w:rPr>
          <w:rFonts w:ascii="Arial" w:cs="Arial" w:eastAsia="Arial" w:hAnsi="Arial"/>
          <w:sz w:val="20"/>
          <w:szCs w:val="20"/>
        </w:rPr>
        <w:t xml:space="preserve">Verify existence and currency of written information security policies covering all NIST CSF domains.</w:t>
      </w:r>
    </w:p>
    <w:p>
      <w:pPr>
        <w:spacing w:before="120" w:after="40"/>
      </w:pPr>
      <w:r>
        <w:rPr>
          <w:rFonts w:ascii="Arial" w:cs="Arial" w:eastAsia="Arial" w:hAnsi="Arial"/>
          <w:b/>
          <w:bCs/>
          <w:color w:val="1F3864"/>
          <w:sz w:val="20"/>
          <w:szCs w:val="20"/>
        </w:rPr>
        <w:t xml:space="preserve">Domain 2: Access Control and Identity Management</w:t>
      </w:r>
    </w:p>
    <w:p>
      <w:pPr>
        <w:spacing w:before="40" w:after="80"/>
        <w:jc w:val="both"/>
      </w:pPr>
      <w:r>
        <w:rPr>
          <w:rFonts w:ascii="Arial" w:cs="Arial" w:eastAsia="Arial" w:hAnsi="Arial"/>
          <w:sz w:val="20"/>
          <w:szCs w:val="20"/>
        </w:rPr>
        <w:t xml:space="preserve">Assess RBAC implementation, MFA deployment, privileged access management, and user lifecycle management processes.</w:t>
      </w:r>
    </w:p>
    <w:p>
      <w:pPr>
        <w:spacing w:before="120" w:after="40"/>
      </w:pPr>
      <w:r>
        <w:rPr>
          <w:rFonts w:ascii="Arial" w:cs="Arial" w:eastAsia="Arial" w:hAnsi="Arial"/>
          <w:b/>
          <w:bCs/>
          <w:color w:val="1F3864"/>
          <w:sz w:val="20"/>
          <w:szCs w:val="20"/>
        </w:rPr>
        <w:t xml:space="preserve">Domain 3: Data Classification and Handling</w:t>
      </w:r>
    </w:p>
    <w:p>
      <w:pPr>
        <w:spacing w:before="40" w:after="80"/>
        <w:jc w:val="both"/>
      </w:pPr>
      <w:r>
        <w:rPr>
          <w:rFonts w:ascii="Arial" w:cs="Arial" w:eastAsia="Arial" w:hAnsi="Arial"/>
          <w:sz w:val="20"/>
          <w:szCs w:val="20"/>
        </w:rPr>
        <w:t xml:space="preserve">Evaluate data inventory practices, classification scheme, labeling procedures, and data handling controls by classification level.</w:t>
      </w:r>
    </w:p>
    <w:p>
      <w:pPr>
        <w:spacing w:before="120" w:after="40"/>
      </w:pPr>
      <w:r>
        <w:rPr>
          <w:rFonts w:ascii="Arial" w:cs="Arial" w:eastAsia="Arial" w:hAnsi="Arial"/>
          <w:b/>
          <w:bCs/>
          <w:color w:val="1F3864"/>
          <w:sz w:val="20"/>
          <w:szCs w:val="20"/>
        </w:rPr>
        <w:t xml:space="preserve">Domain 4: Encryption and Cryptography</w:t>
      </w:r>
    </w:p>
    <w:p>
      <w:pPr>
        <w:spacing w:before="40" w:after="80"/>
        <w:jc w:val="both"/>
      </w:pPr>
      <w:r>
        <w:rPr>
          <w:rFonts w:ascii="Arial" w:cs="Arial" w:eastAsia="Arial" w:hAnsi="Arial"/>
          <w:sz w:val="20"/>
          <w:szCs w:val="20"/>
        </w:rPr>
        <w:t xml:space="preserve">Assess encryption standards for data at rest and in transit, key management practices, and certificate lifecycle management.</w:t>
      </w:r>
    </w:p>
    <w:p>
      <w:pPr>
        <w:spacing w:before="120" w:after="40"/>
      </w:pPr>
      <w:r>
        <w:rPr>
          <w:rFonts w:ascii="Arial" w:cs="Arial" w:eastAsia="Arial" w:hAnsi="Arial"/>
          <w:b/>
          <w:bCs/>
          <w:color w:val="1F3864"/>
          <w:sz w:val="20"/>
          <w:szCs w:val="20"/>
        </w:rPr>
        <w:t xml:space="preserve">Domain 5: Network Security</w:t>
      </w:r>
    </w:p>
    <w:p>
      <w:pPr>
        <w:spacing w:before="40" w:after="80"/>
        <w:jc w:val="both"/>
      </w:pPr>
      <w:r>
        <w:rPr>
          <w:rFonts w:ascii="Arial" w:cs="Arial" w:eastAsia="Arial" w:hAnsi="Arial"/>
          <w:sz w:val="20"/>
          <w:szCs w:val="20"/>
        </w:rPr>
        <w:t xml:space="preserve">Review network segmentation, firewall configurations, intrusion detection/prevention systems, and VPN security.</w:t>
      </w:r>
    </w:p>
    <w:p>
      <w:pPr>
        <w:spacing w:before="120" w:after="40"/>
      </w:pPr>
      <w:r>
        <w:rPr>
          <w:rFonts w:ascii="Arial" w:cs="Arial" w:eastAsia="Arial" w:hAnsi="Arial"/>
          <w:b/>
          <w:bCs/>
          <w:color w:val="1F3864"/>
          <w:sz w:val="20"/>
          <w:szCs w:val="20"/>
        </w:rPr>
        <w:t xml:space="preserve">Domain 6: Endpoint Security</w:t>
      </w:r>
    </w:p>
    <w:p>
      <w:pPr>
        <w:spacing w:before="40" w:after="80"/>
        <w:jc w:val="both"/>
      </w:pPr>
      <w:r>
        <w:rPr>
          <w:rFonts w:ascii="Arial" w:cs="Arial" w:eastAsia="Arial" w:hAnsi="Arial"/>
          <w:sz w:val="20"/>
          <w:szCs w:val="20"/>
        </w:rPr>
        <w:t xml:space="preserve">Evaluate endpoint protection platforms, mobile device management, patch management cadence, and removable media controls.</w:t>
      </w:r>
    </w:p>
    <w:p>
      <w:pPr>
        <w:spacing w:before="120" w:after="40"/>
      </w:pPr>
      <w:r>
        <w:rPr>
          <w:rFonts w:ascii="Arial" w:cs="Arial" w:eastAsia="Arial" w:hAnsi="Arial"/>
          <w:b/>
          <w:bCs/>
          <w:color w:val="1F3864"/>
          <w:sz w:val="20"/>
          <w:szCs w:val="20"/>
        </w:rPr>
        <w:t xml:space="preserve">Domain 7: Vulnerability Management</w:t>
      </w:r>
    </w:p>
    <w:p>
      <w:pPr>
        <w:spacing w:before="40" w:after="80"/>
        <w:jc w:val="both"/>
      </w:pPr>
      <w:r>
        <w:rPr>
          <w:rFonts w:ascii="Arial" w:cs="Arial" w:eastAsia="Arial" w:hAnsi="Arial"/>
          <w:sz w:val="20"/>
          <w:szCs w:val="20"/>
        </w:rPr>
        <w:t xml:space="preserve">Assess vulnerability scanning frequency, CVSS-based prioritization, patch management SLAs, and exception management.</w:t>
      </w:r>
    </w:p>
    <w:p>
      <w:pPr>
        <w:spacing w:before="120" w:after="40"/>
      </w:pPr>
      <w:r>
        <w:rPr>
          <w:rFonts w:ascii="Arial" w:cs="Arial" w:eastAsia="Arial" w:hAnsi="Arial"/>
          <w:b/>
          <w:bCs/>
          <w:color w:val="1F3864"/>
          <w:sz w:val="20"/>
          <w:szCs w:val="20"/>
        </w:rPr>
        <w:t xml:space="preserve">Domain 8: Security Monitoring and Logging</w:t>
      </w:r>
    </w:p>
    <w:p>
      <w:pPr>
        <w:spacing w:before="40" w:after="80"/>
        <w:jc w:val="both"/>
      </w:pPr>
      <w:r>
        <w:rPr>
          <w:rFonts w:ascii="Arial" w:cs="Arial" w:eastAsia="Arial" w:hAnsi="Arial"/>
          <w:sz w:val="20"/>
          <w:szCs w:val="20"/>
        </w:rPr>
        <w:t xml:space="preserve">Review SIEM deployment, log retention policies, security monitoring coverage, and alerting thresholds.</w:t>
      </w:r>
    </w:p>
    <w:p>
      <w:pPr>
        <w:spacing w:before="120" w:after="40"/>
      </w:pPr>
      <w:r>
        <w:rPr>
          <w:rFonts w:ascii="Arial" w:cs="Arial" w:eastAsia="Arial" w:hAnsi="Arial"/>
          <w:b/>
          <w:bCs/>
          <w:color w:val="1F3864"/>
          <w:sz w:val="20"/>
          <w:szCs w:val="20"/>
        </w:rPr>
        <w:t xml:space="preserve">Domain 9: Incident Response</w:t>
      </w:r>
    </w:p>
    <w:p>
      <w:pPr>
        <w:spacing w:before="40" w:after="80"/>
        <w:jc w:val="both"/>
      </w:pPr>
      <w:r>
        <w:rPr>
          <w:rFonts w:ascii="Arial" w:cs="Arial" w:eastAsia="Arial" w:hAnsi="Arial"/>
          <w:sz w:val="20"/>
          <w:szCs w:val="20"/>
        </w:rPr>
        <w:t xml:space="preserve">Assess IRP documentation, testing frequency, escalation procedures, and breach notification capabilities.</w:t>
      </w:r>
    </w:p>
    <w:p>
      <w:pPr>
        <w:spacing w:before="120" w:after="40"/>
      </w:pPr>
      <w:r>
        <w:rPr>
          <w:rFonts w:ascii="Arial" w:cs="Arial" w:eastAsia="Arial" w:hAnsi="Arial"/>
          <w:b/>
          <w:bCs/>
          <w:color w:val="1F3864"/>
          <w:sz w:val="20"/>
          <w:szCs w:val="20"/>
        </w:rPr>
        <w:t xml:space="preserve">Domain 10: Third-Party and Supply Chain Security</w:t>
      </w:r>
    </w:p>
    <w:p>
      <w:pPr>
        <w:spacing w:before="40" w:after="80"/>
        <w:jc w:val="both"/>
      </w:pPr>
      <w:r>
        <w:rPr>
          <w:rFonts w:ascii="Arial" w:cs="Arial" w:eastAsia="Arial" w:hAnsi="Arial"/>
          <w:sz w:val="20"/>
          <w:szCs w:val="20"/>
        </w:rPr>
        <w:t xml:space="preserve">Evaluate vendor's own third-party risk management program and sub-processor oversight.</w:t>
      </w:r>
    </w:p>
    <w:p>
      <w:pPr>
        <w:spacing w:before="120" w:after="40"/>
      </w:pPr>
      <w:r>
        <w:rPr>
          <w:rFonts w:ascii="Arial" w:cs="Arial" w:eastAsia="Arial" w:hAnsi="Arial"/>
          <w:b/>
          <w:bCs/>
          <w:color w:val="1F3864"/>
          <w:sz w:val="20"/>
          <w:szCs w:val="20"/>
        </w:rPr>
        <w:t xml:space="preserve">Domain 11: Physical and Environmental Security</w:t>
      </w:r>
    </w:p>
    <w:p>
      <w:pPr>
        <w:spacing w:before="40" w:after="80"/>
        <w:jc w:val="both"/>
      </w:pPr>
      <w:r>
        <w:rPr>
          <w:rFonts w:ascii="Arial" w:cs="Arial" w:eastAsia="Arial" w:hAnsi="Arial"/>
          <w:sz w:val="20"/>
          <w:szCs w:val="20"/>
        </w:rPr>
        <w:t xml:space="preserve">Assess data center physical access controls, environmental monitoring, and media disposal procedures.</w:t>
      </w:r>
    </w:p>
    <w:p>
      <w:pPr>
        <w:spacing w:before="120" w:after="40"/>
      </w:pPr>
      <w:r>
        <w:rPr>
          <w:rFonts w:ascii="Arial" w:cs="Arial" w:eastAsia="Arial" w:hAnsi="Arial"/>
          <w:b/>
          <w:bCs/>
          <w:color w:val="1F3864"/>
          <w:sz w:val="20"/>
          <w:szCs w:val="20"/>
        </w:rPr>
        <w:t xml:space="preserve">Domain 12: Business Continuity and Disaster Recovery</w:t>
      </w:r>
    </w:p>
    <w:p>
      <w:pPr>
        <w:spacing w:before="40" w:after="80"/>
        <w:jc w:val="both"/>
      </w:pPr>
      <w:r>
        <w:rPr>
          <w:rFonts w:ascii="Arial" w:cs="Arial" w:eastAsia="Arial" w:hAnsi="Arial"/>
          <w:sz w:val="20"/>
          <w:szCs w:val="20"/>
        </w:rPr>
        <w:t xml:space="preserve">Review BCP/DRP documentation, RTO/RPO targets, testing frequency, and recovery validation.</w:t>
      </w:r>
    </w:p>
    <w:p>
      <w:pPr>
        <w:spacing w:before="120" w:after="40"/>
      </w:pPr>
      <w:r>
        <w:rPr>
          <w:rFonts w:ascii="Arial" w:cs="Arial" w:eastAsia="Arial" w:hAnsi="Arial"/>
          <w:b/>
          <w:bCs/>
          <w:color w:val="1F3864"/>
          <w:sz w:val="20"/>
          <w:szCs w:val="20"/>
        </w:rPr>
        <w:t xml:space="preserve">Domain 13: Compliance and Certification</w:t>
      </w:r>
    </w:p>
    <w:p>
      <w:pPr>
        <w:spacing w:before="40" w:after="80"/>
        <w:jc w:val="both"/>
      </w:pPr>
      <w:r>
        <w:rPr>
          <w:rFonts w:ascii="Arial" w:cs="Arial" w:eastAsia="Arial" w:hAnsi="Arial"/>
          <w:sz w:val="20"/>
          <w:szCs w:val="20"/>
        </w:rPr>
        <w:t xml:space="preserve">Verify applicable compliance certifications (SOC 2, ISO 27001, PCI DSS, HIPAA) and audit recency.</w:t>
      </w:r>
    </w:p>
    <w:p>
      <w:pPr>
        <w:spacing w:before="120" w:after="40"/>
      </w:pPr>
      <w:r>
        <w:rPr>
          <w:rFonts w:ascii="Arial" w:cs="Arial" w:eastAsia="Arial" w:hAnsi="Arial"/>
          <w:b/>
          <w:bCs/>
          <w:color w:val="1F3864"/>
          <w:sz w:val="20"/>
          <w:szCs w:val="20"/>
        </w:rPr>
        <w:t xml:space="preserve">Domain 14: Human Resources Security</w:t>
      </w:r>
    </w:p>
    <w:p>
      <w:pPr>
        <w:spacing w:before="40" w:after="80"/>
        <w:jc w:val="both"/>
      </w:pPr>
      <w:r>
        <w:rPr>
          <w:rFonts w:ascii="Arial" w:cs="Arial" w:eastAsia="Arial" w:hAnsi="Arial"/>
          <w:sz w:val="20"/>
          <w:szCs w:val="20"/>
        </w:rPr>
        <w:t xml:space="preserve">Assess background screening requirements, security training programs, and offboarding procedures.</w:t>
      </w:r>
    </w:p>
    <w:p>
      <w:pPr>
        <w:spacing w:before="60" w:after="60"/>
      </w:pPr>
      <w:r>
        <w:t xml:space="preserve"/>
      </w:r>
    </w:p>
    <w:p>
      <w:pPr>
        <w:spacing w:before="60" w:after="60"/>
      </w:pPr>
      <w:r>
        <w:t xml:space="preserve"/>
      </w:r>
    </w:p>
    <w:p>
      <w:pPr>
        <w:pBdr>
          <w:top w:val="single" w:color="1F3864" w:sz="6"/>
        </w:pBdr>
        <w:spacing w:before="240" w:after="60"/>
        <w:jc w:val="center"/>
      </w:pPr>
      <w:r>
        <w:rPr>
          <w:rFonts w:ascii="Arial" w:cs="Arial" w:eastAsia="Arial" w:hAnsi="Arial"/>
          <w:b/>
          <w:bCs/>
          <w:color w:val="1F3864"/>
          <w:sz w:val="18"/>
          <w:szCs w:val="18"/>
        </w:rPr>
        <w:t xml:space="preserve">— END OF DOCUMENT —</w:t>
      </w:r>
    </w:p>
    <w:p>
      <w:pPr>
        <w:jc w:val="center"/>
      </w:pPr>
      <w:r>
        <w:rPr>
          <w:rFonts w:ascii="Arial" w:cs="Arial" w:eastAsia="Arial" w:hAnsi="Arial"/>
          <w:color w:val="888888"/>
          <w:sz w:val="16"/>
          <w:szCs w:val="16"/>
        </w:rPr>
        <w:t xml:space="preserve">Globex Corporation Standard Vendor Playbook v4.2  |  Confidential &amp; Proprietary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pPr>
    <w:r>
      <w:rPr>
        <w:rFonts w:ascii="Arial" w:cs="Arial" w:eastAsia="Arial" w:hAnsi="Arial"/>
        <w:color w:val="666666"/>
        <w:sz w:val="16"/>
        <w:szCs w:val="16"/>
      </w:rPr>
      <w:t xml:space="preserve">Globex Corp Standard Vendor Playbook v4.2 | Effective Date: January 1, 2025</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b/>
        <w:bCs/>
        <w:color w:val="1F3864"/>
        <w:sz w:val="18"/>
        <w:szCs w:val="18"/>
      </w:rPr>
      <w:t xml:space="preserve">GLOBEX CORPORATION</w:t>
    </w:r>
    <w:r>
      <w:rPr>
        <w:rFonts w:ascii="Arial" w:cs="Arial" w:eastAsia="Arial" w:hAnsi="Arial"/>
        <w:color w:val="666666"/>
        <w:sz w:val="16"/>
        <w:szCs w:val="16"/>
      </w:rPr>
      <w:t xml:space="preserve">  |  CONFIDENTIAL &amp; PROPRIETARY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2026-03-14T07:42:50.219Z</dcterms:created>
  <dcterms:modified xsi:type="dcterms:W3CDTF">2026-03-14T07:42:50.219Z</dcterms:modified>
</cp:coreProperties>
</file>

<file path=docProps/custom.xml><?xml version="1.0" encoding="utf-8"?>
<Properties xmlns="http://schemas.openxmlformats.org/officeDocument/2006/custom-properties" xmlns:vt="http://schemas.openxmlformats.org/officeDocument/2006/docPropsVTypes"/>
</file>