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i w:val="false"/>
          <w:iCs w:val="false"/>
          <w:color w:val="0A2342"/>
          <w:sz w:val="40"/>
          <w:szCs w:val="40"/>
        </w:rPr>
        <w:t xml:space="preserve">NEXORA TECHNOLOGIES, INC.</w:t>
      </w:r>
    </w:p>
    <w:p>
      <w:pPr>
        <w:spacing w:before="80" w:after="80"/>
        <w:jc w:val="center"/>
      </w:pPr>
      <w:r>
        <w:rPr>
          <w:rFonts w:ascii="Arial" w:cs="Arial" w:eastAsia="Arial" w:hAnsi="Arial"/>
          <w:b/>
          <w:bCs/>
          <w:i w:val="false"/>
          <w:iCs w:val="false"/>
          <w:color w:val="1B4F8A"/>
          <w:sz w:val="28"/>
          <w:szCs w:val="28"/>
        </w:rPr>
        <w:t xml:space="preserve">Standard Vendor &amp; Supplier Engagement Playbook</w:t>
      </w:r>
    </w:p>
    <w:p>
      <w:pPr>
        <w:spacing w:before="80" w:after="80"/>
        <w:jc w:val="center"/>
      </w:pPr>
      <w:r>
        <w:rPr>
          <w:rFonts w:ascii="Arial" w:cs="Arial" w:eastAsia="Arial" w:hAnsi="Arial"/>
          <w:b w:val="false"/>
          <w:bCs w:val="false"/>
          <w:i w:val="false"/>
          <w:iCs w:val="false"/>
          <w:color w:val="555555"/>
          <w:sz w:val="20"/>
          <w:szCs w:val="20"/>
        </w:rPr>
        <w:t xml:space="preserve">Version 2.1  |  Effective Date: March 1, 2025</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8A" w:sz="1"/>
              <w:left w:val="single" w:color="1B4F8A" w:sz="1"/>
              <w:bottom w:val="single" w:color="1B4F8A" w:sz="1"/>
              <w:right w:val="single" w:color="1B4F8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Document Classification: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USE ONLY — CONFIDENTIAL</w:t>
            </w:r>
          </w:p>
        </w:tc>
      </w:tr>
      <w:tr>
        <w:tc>
          <w:tcPr>
            <w:tcW w:type="dxa" w:w="4680"/>
            <w:tcBorders>
              <w:top w:val="single" w:color="1B4F8A" w:sz="1"/>
              <w:left w:val="single" w:color="1B4F8A" w:sz="1"/>
              <w:bottom w:val="single" w:color="1B4F8A" w:sz="1"/>
              <w:right w:val="single" w:color="1B4F8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Document Owner: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Counsel &amp; Chief Compliance Officer</w:t>
            </w:r>
          </w:p>
        </w:tc>
      </w:tr>
      <w:tr>
        <w:tc>
          <w:tcPr>
            <w:tcW w:type="dxa" w:w="4680"/>
            <w:tcBorders>
              <w:top w:val="single" w:color="1B4F8A" w:sz="1"/>
              <w:left w:val="single" w:color="1B4F8A" w:sz="1"/>
              <w:bottom w:val="single" w:color="1B4F8A" w:sz="1"/>
              <w:right w:val="single" w:color="1B4F8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Approved 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Leadership Team &amp; Risk Committee</w:t>
            </w:r>
          </w:p>
        </w:tc>
      </w:tr>
      <w:tr>
        <w:tc>
          <w:tcPr>
            <w:tcW w:type="dxa" w:w="4680"/>
            <w:tcBorders>
              <w:top w:val="single" w:color="1B4F8A" w:sz="1"/>
              <w:left w:val="single" w:color="1B4F8A" w:sz="1"/>
              <w:bottom w:val="single" w:color="1B4F8A" w:sz="1"/>
              <w:right w:val="single" w:color="1B4F8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Review Cycle: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or upon material regulatory change</w:t>
            </w:r>
          </w:p>
        </w:tc>
      </w:tr>
      <w:tr>
        <w:tc>
          <w:tcPr>
            <w:tcW w:type="dxa" w:w="4680"/>
            <w:tcBorders>
              <w:top w:val="single" w:color="1B4F8A" w:sz="1"/>
              <w:left w:val="single" w:color="1B4F8A" w:sz="1"/>
              <w:bottom w:val="single" w:color="1B4F8A" w:sz="1"/>
              <w:right w:val="single" w:color="1B4F8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Applies 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MSAs, SOWs, SaaS Agreements, Professional Services Contracts</w:t>
            </w:r>
          </w:p>
        </w:tc>
      </w:tr>
    </w:tbl>
    <w:p>
      <w:pPr>
        <w:spacing w:before="40" w:after="40"/>
      </w:pPr>
      <w:r>
        <w:t xml:space="preserve"/>
      </w:r>
    </w:p>
    <w:p>
      <w:pPr>
        <w:spacing w:before="120" w:after="480"/>
        <w:jc w:val="left"/>
      </w:pPr>
      <w:r>
        <w:rPr>
          <w:rFonts w:ascii="Arial" w:cs="Arial" w:eastAsia="Arial" w:hAnsi="Arial"/>
          <w:b w:val="false"/>
          <w:bCs w:val="false"/>
          <w:i/>
          <w:iCs/>
          <w:color w:val="666666"/>
          <w:sz w:val="18"/>
          <w:szCs w:val="18"/>
        </w:rPr>
        <w:t xml:space="preserve">NOTICE: This document contains proprietary and confidential information belonging exclusively to Nexora Technologies, Inc. It may not be shared with any third party, reproduced, or used outside of its intended purpose without express written authorisation from the General Counsel. Unauthorised distribution may result in disciplinary action and legal consequences.</w:t>
      </w:r>
    </w:p>
    <w:p>
      <w:r>
        <w:br w:type="page"/>
      </w:r>
    </w:p>
    <w:p>
      <w:pPr>
        <w:pStyle w:val="Heading1"/>
        <w:spacing w:before="0" w:after="180"/>
      </w:pPr>
      <w:r>
        <w:rPr>
          <w:rFonts w:ascii="Arial" w:cs="Arial" w:eastAsia="Arial" w:hAnsi="Arial"/>
          <w:b/>
          <w:bCs/>
          <w:color w:val="0A2342"/>
          <w:sz w:val="32"/>
          <w:szCs w:val="32"/>
        </w:rPr>
        <w:t xml:space="preserve">TABLE OF CONTENTS</w:t>
      </w:r>
    </w:p>
    <w:p>
      <w:pPr>
        <w:pBdr>
          <w:bottom w:val="single" w:color="1B4F8A"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Title &amp;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Section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Contractual Standards (Mandatory Rules) —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Section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Supplier Onboarding &amp; Qualification Process — 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Section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Cybersecurity &amp; Data Protection Requirements — 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Section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Intellectual Property &amp; Ownership Rights —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Section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Ethical Conduct &amp; Anti-Corruption Standards — 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Section 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Performance &amp; SLA Framework — 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Section 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Governance &amp; Audit Rights — 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Appendix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Supplier Risk Classification Matrix — 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Appendix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 Security Baseline Checklist — 21</w:t>
            </w:r>
          </w:p>
        </w:tc>
      </w:tr>
    </w:tbl>
    <w:p>
      <w:pPr>
        <w:spacing w:before="40" w:after="40"/>
      </w:pPr>
      <w:r>
        <w:t xml:space="preserve"/>
      </w:r>
    </w:p>
    <w:p>
      <w:r>
        <w:br w:type="page"/>
      </w:r>
    </w:p>
    <w:p>
      <w:pPr>
        <w:pStyle w:val="Heading1"/>
        <w:spacing w:before="360" w:after="180"/>
      </w:pPr>
      <w:r>
        <w:rPr>
          <w:rFonts w:ascii="Arial" w:cs="Arial" w:eastAsia="Arial" w:hAnsi="Arial"/>
          <w:b/>
          <w:bCs/>
          <w:color w:val="0A2342"/>
          <w:sz w:val="32"/>
          <w:szCs w:val="32"/>
        </w:rPr>
        <w:t xml:space="preserve">SECTION 1: CORE CONTRACTUAL STANDARDS</w:t>
      </w:r>
    </w:p>
    <w:p>
      <w:pPr>
        <w:spacing w:before="80" w:after="80"/>
        <w:jc w:val="left"/>
      </w:pPr>
      <w:r>
        <w:rPr>
          <w:rFonts w:ascii="Arial" w:cs="Arial" w:eastAsia="Arial" w:hAnsi="Arial"/>
          <w:b w:val="false"/>
          <w:bCs w:val="false"/>
          <w:i w:val="false"/>
          <w:iCs w:val="false"/>
          <w:color w:val="000000"/>
          <w:sz w:val="22"/>
          <w:szCs w:val="22"/>
        </w:rPr>
        <w:t xml:space="preserve">This Section 1 establishes the mandatory, non-negotiable contractual standards governing all vendor and supplier engagements entered into by Nexora Technologies, Inc. ("Nexora" or "Company"). These standards are established by the Office of the General Counsel in coordination with the Finance, Information Security, and Compliance teams. All procurement officers, contract managers, and business owners must adhere strictly to these provisions. Any deviation requires prior written authorisation from the General Counsel and, where the financial value exceeds $2,000,000, approval from the Risk Committee.</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1.1 Payment Terms</w:t>
      </w:r>
    </w:p>
    <w:p>
      <w:pPr>
        <w:spacing w:before="60" w:after="60"/>
        <w:ind w:left="360"/>
        <w:jc w:val="left"/>
      </w:pPr>
      <w:r>
        <w:rPr>
          <w:rFonts w:ascii="Arial" w:cs="Arial" w:eastAsia="Arial" w:hAnsi="Arial"/>
          <w:b w:val="false"/>
          <w:bCs w:val="false"/>
          <w:color w:val="222222"/>
          <w:sz w:val="20"/>
          <w:szCs w:val="20"/>
        </w:rPr>
        <w:t xml:space="preserve">1.1.1  All undisputed invoices submitted by a vendor shall be due and payable within sixty (60) days of Nexora's receipt of a valid, compliant invoice ("Net 60"). This Net 60 standard is Nexora's default payment term and applies to all vendor engagements unless a shorter term is expressly agreed in writing by the Chief Financial Officer.</w:t>
      </w:r>
    </w:p>
    <w:p>
      <w:pPr>
        <w:spacing w:before="60" w:after="60"/>
        <w:ind w:left="360"/>
        <w:jc w:val="left"/>
      </w:pPr>
      <w:r>
        <w:rPr>
          <w:rFonts w:ascii="Arial" w:cs="Arial" w:eastAsia="Arial" w:hAnsi="Arial"/>
          <w:b w:val="false"/>
          <w:bCs w:val="false"/>
          <w:color w:val="222222"/>
          <w:sz w:val="20"/>
          <w:szCs w:val="20"/>
        </w:rPr>
        <w:t xml:space="preserve">1.1.2  A valid invoice must include: (a) the vendor's legal entity name and registered address; (b) the Nexora-assigned Purchase Order (PO) number; (c) a line-item description of services rendered or goods delivered during the billing period; (d) the applicable Statement of Work or project code reference; (e) the applicable VAT or tax registration number where required by law; and (f) the vendor's bank account details for payment processing.</w:t>
      </w:r>
    </w:p>
    <w:p>
      <w:pPr>
        <w:spacing w:before="60" w:after="60"/>
        <w:ind w:left="360"/>
        <w:jc w:val="left"/>
      </w:pPr>
      <w:r>
        <w:rPr>
          <w:rFonts w:ascii="Arial" w:cs="Arial" w:eastAsia="Arial" w:hAnsi="Arial"/>
          <w:b w:val="false"/>
          <w:bCs w:val="false"/>
          <w:color w:val="222222"/>
          <w:sz w:val="20"/>
          <w:szCs w:val="20"/>
        </w:rPr>
        <w:t xml:space="preserve">1.1.3  Nexora reserves the right to dispute any invoice that does not comply with Clause 1.1.2 within twenty (20) business days of receipt. A disputed invoice shall be returned to the vendor with a written explanation of the deficiency. The Net 60 payment clock shall not commence until a corrected and accepted invoice is resubmitted.</w:t>
      </w:r>
    </w:p>
    <w:p>
      <w:pPr>
        <w:spacing w:before="60" w:after="60"/>
        <w:ind w:left="360"/>
        <w:jc w:val="left"/>
      </w:pPr>
      <w:r>
        <w:rPr>
          <w:rFonts w:ascii="Arial" w:cs="Arial" w:eastAsia="Arial" w:hAnsi="Arial"/>
          <w:b w:val="false"/>
          <w:bCs w:val="false"/>
          <w:color w:val="222222"/>
          <w:sz w:val="20"/>
          <w:szCs w:val="20"/>
        </w:rPr>
        <w:t xml:space="preserve">1.1.4  Any contractual provision requiring Nexora to pay interest on overdue invoices shall not exceed the base rate published by the Reserve Bank of Australia plus two percent (2%) per annum. Contractual late payment penalty clauses exceeding this rate are unenforceable against Nexora.</w:t>
      </w:r>
    </w:p>
    <w:p>
      <w:pPr>
        <w:spacing w:before="60" w:after="60"/>
        <w:ind w:left="360"/>
        <w:jc w:val="left"/>
      </w:pPr>
      <w:r>
        <w:rPr>
          <w:rFonts w:ascii="Arial" w:cs="Arial" w:eastAsia="Arial" w:hAnsi="Arial"/>
          <w:b w:val="false"/>
          <w:bCs w:val="false"/>
          <w:color w:val="222222"/>
          <w:sz w:val="20"/>
          <w:szCs w:val="20"/>
        </w:rPr>
        <w:t xml:space="preserve">1.1.5  All payments shall be made in Australian Dollars (AUD) unless an alternative currency is expressly approved in writing by the CFO and recorded in the applicable Statement of Work. Foreign exchange conversion costs are the responsibility of the vendor.</w:t>
      </w:r>
    </w:p>
    <w:p>
      <w:pPr>
        <w:spacing w:before="60" w:after="60"/>
        <w:ind w:left="360"/>
        <w:jc w:val="left"/>
      </w:pPr>
      <w:r>
        <w:rPr>
          <w:rFonts w:ascii="Arial" w:cs="Arial" w:eastAsia="Arial" w:hAnsi="Arial"/>
          <w:b w:val="false"/>
          <w:bCs w:val="false"/>
          <w:color w:val="222222"/>
          <w:sz w:val="20"/>
          <w:szCs w:val="20"/>
        </w:rPr>
        <w:t xml:space="preserve">1.1.6  Early payment discounts offered by vendors must be communicated in the invoice. Nexora may at its sole discretion elect to take advantage of any early payment discount offered.</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1.2 Termination Rights</w:t>
      </w:r>
    </w:p>
    <w:p>
      <w:pPr>
        <w:spacing w:before="60" w:after="60"/>
        <w:ind w:left="360"/>
        <w:jc w:val="left"/>
      </w:pPr>
      <w:r>
        <w:rPr>
          <w:rFonts w:ascii="Arial" w:cs="Arial" w:eastAsia="Arial" w:hAnsi="Arial"/>
          <w:b w:val="false"/>
          <w:bCs w:val="false"/>
          <w:color w:val="222222"/>
          <w:sz w:val="20"/>
          <w:szCs w:val="20"/>
        </w:rPr>
        <w:t xml:space="preserve">1.2.1  Nexora retains the unconditional right to terminate any vendor agreement for convenience, without cause, and without financial penalty, upon provision of forty-five (45) days' prior written notice to the vendor. This termination-for-convenience right is fundamental and must be included in all vendor contracts.</w:t>
      </w:r>
    </w:p>
    <w:p>
      <w:pPr>
        <w:spacing w:before="60" w:after="60"/>
        <w:ind w:left="360"/>
        <w:jc w:val="left"/>
      </w:pPr>
      <w:r>
        <w:rPr>
          <w:rFonts w:ascii="Arial" w:cs="Arial" w:eastAsia="Arial" w:hAnsi="Arial"/>
          <w:b w:val="false"/>
          <w:bCs w:val="false"/>
          <w:color w:val="222222"/>
          <w:sz w:val="20"/>
          <w:szCs w:val="20"/>
        </w:rPr>
        <w:t xml:space="preserve">1.2.2  Upon receipt of a termination notice, the vendor shall: (a) cease all billable work on the effective termination date unless Nexora instructs otherwise in writing; (b) submit a final invoice within ten (10) business days of the effective termination date; (c) return or certifiably destroy all Nexora Confidential Information and certify such destruction in writing; and (d) provide reasonable transition assistance to Nexora or its nominated replacement vendor for a period not exceeding thirty (30) days post-termination.</w:t>
      </w:r>
    </w:p>
    <w:p>
      <w:pPr>
        <w:spacing w:before="60" w:after="60"/>
        <w:ind w:left="360"/>
        <w:jc w:val="left"/>
      </w:pPr>
      <w:r>
        <w:rPr>
          <w:rFonts w:ascii="Arial" w:cs="Arial" w:eastAsia="Arial" w:hAnsi="Arial"/>
          <w:b w:val="false"/>
          <w:bCs w:val="false"/>
          <w:color w:val="222222"/>
          <w:sz w:val="20"/>
          <w:szCs w:val="20"/>
        </w:rPr>
        <w:t xml:space="preserve">1.2.3  Either party may terminate for cause upon thirty (30) days' written notice if the other party: (a) commits a material breach of any agreement term and fails to cure within the notice period; (b) becomes insolvent, enters administration, receivership, or voluntary liquidation; (c) commits fraud, wilful misconduct, or any act constituting a criminal offence; or (d) repeatedly fails to meet agreed service levels for three (3) or more consecutive months.</w:t>
      </w:r>
    </w:p>
    <w:p>
      <w:pPr>
        <w:spacing w:before="60" w:after="60"/>
        <w:ind w:left="360"/>
        <w:jc w:val="left"/>
      </w:pPr>
      <w:r>
        <w:rPr>
          <w:rFonts w:ascii="Arial" w:cs="Arial" w:eastAsia="Arial" w:hAnsi="Arial"/>
          <w:b w:val="false"/>
          <w:bCs w:val="false"/>
          <w:color w:val="222222"/>
          <w:sz w:val="20"/>
          <w:szCs w:val="20"/>
        </w:rPr>
        <w:t xml:space="preserve">1.2.4  Vendor contracts must not: (a) eliminate or restrict Nexora's right to terminate for convenience; (b) extend the required notice period beyond 45 days without General Counsel approval; (c) impose early termination fees, breakage costs, or minimum purchase obligations upon Nexora exercising its termination right.</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1.3 Governing Law and Jurisdiction</w:t>
      </w:r>
    </w:p>
    <w:p>
      <w:pPr>
        <w:spacing w:before="60" w:after="60"/>
        <w:ind w:left="360"/>
        <w:jc w:val="left"/>
      </w:pPr>
      <w:r>
        <w:rPr>
          <w:rFonts w:ascii="Arial" w:cs="Arial" w:eastAsia="Arial" w:hAnsi="Arial"/>
          <w:b w:val="false"/>
          <w:bCs w:val="false"/>
          <w:color w:val="222222"/>
          <w:sz w:val="20"/>
          <w:szCs w:val="20"/>
        </w:rPr>
        <w:t xml:space="preserve">1.3.1  All vendor contracts entered into by Nexora Technologies, Inc. shall be governed by and construed in accordance with the laws of the State of New South Wales, Australia, without reference to its choice-of-law principles. New South Wales is Nexora's principal place of business and its mandatory governing law standard.</w:t>
      </w:r>
    </w:p>
    <w:p>
      <w:pPr>
        <w:spacing w:before="60" w:after="60"/>
        <w:ind w:left="360"/>
        <w:jc w:val="left"/>
      </w:pPr>
      <w:r>
        <w:rPr>
          <w:rFonts w:ascii="Arial" w:cs="Arial" w:eastAsia="Arial" w:hAnsi="Arial"/>
          <w:b w:val="false"/>
          <w:bCs w:val="false"/>
          <w:color w:val="222222"/>
          <w:sz w:val="20"/>
          <w:szCs w:val="20"/>
        </w:rPr>
        <w:t xml:space="preserve">1.3.2  Any dispute, claim, or controversy arising under or relating to a vendor contract shall be subject to the exclusive jurisdiction of the courts of New South Wales, Australia. Both parties irrevocably submit to the personal jurisdiction of such courts and waive any objection to venue.</w:t>
      </w:r>
    </w:p>
    <w:p>
      <w:pPr>
        <w:spacing w:before="60" w:after="60"/>
        <w:ind w:left="360"/>
        <w:jc w:val="left"/>
      </w:pPr>
      <w:r>
        <w:rPr>
          <w:rFonts w:ascii="Arial" w:cs="Arial" w:eastAsia="Arial" w:hAnsi="Arial"/>
          <w:b w:val="false"/>
          <w:bCs w:val="false"/>
          <w:color w:val="222222"/>
          <w:sz w:val="20"/>
          <w:szCs w:val="20"/>
        </w:rPr>
        <w:t xml:space="preserve">1.3.3  Before initiating legal proceedings, the parties must attempt to resolve disputes through good-faith executive-level negotiation for a minimum of forty-five (45) days. If unresolved, the parties may proceed to formal court proceedings under Clause 1.3.2.</w:t>
      </w:r>
    </w:p>
    <w:p>
      <w:pPr>
        <w:spacing w:before="60" w:after="60"/>
        <w:ind w:left="360"/>
        <w:jc w:val="left"/>
      </w:pPr>
      <w:r>
        <w:rPr>
          <w:rFonts w:ascii="Arial" w:cs="Arial" w:eastAsia="Arial" w:hAnsi="Arial"/>
          <w:b w:val="false"/>
          <w:bCs w:val="false"/>
          <w:color w:val="222222"/>
          <w:sz w:val="20"/>
          <w:szCs w:val="20"/>
        </w:rPr>
        <w:t xml:space="preserve">1.3.4  Vendor contracts specifying a governing law other than New South Wales require prior written approval from the General Counsel. Contracts specifying governing law outside Australia additionally require Risk Committee approval.</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1.4 Liability Framework</w:t>
      </w:r>
    </w:p>
    <w:p>
      <w:pPr>
        <w:spacing w:before="60" w:after="60"/>
        <w:ind w:left="360"/>
        <w:jc w:val="left"/>
      </w:pPr>
      <w:r>
        <w:rPr>
          <w:rFonts w:ascii="Arial" w:cs="Arial" w:eastAsia="Arial" w:hAnsi="Arial"/>
          <w:b w:val="false"/>
          <w:bCs w:val="false"/>
          <w:color w:val="222222"/>
          <w:sz w:val="20"/>
          <w:szCs w:val="20"/>
        </w:rPr>
        <w:t xml:space="preserve">1.4.1  The aggregate liability of either party for all claims arising under a vendor agreement shall be limited to one hundred and fifty percent (150%) of the total fees paid by Nexora to the vendor during the twenty-four (24) calendar months immediately preceding the date on which the claim arose ("Enhanced Liability Cap"). This 24-month lookback period reflects Nexora's recognition that losses from long-running engagements may exceed a 12-month fee value.</w:t>
      </w:r>
    </w:p>
    <w:p>
      <w:pPr>
        <w:spacing w:before="60" w:after="60"/>
        <w:ind w:left="360"/>
        <w:jc w:val="left"/>
      </w:pPr>
      <w:r>
        <w:rPr>
          <w:rFonts w:ascii="Arial" w:cs="Arial" w:eastAsia="Arial" w:hAnsi="Arial"/>
          <w:b w:val="false"/>
          <w:bCs w:val="false"/>
          <w:color w:val="222222"/>
          <w:sz w:val="20"/>
          <w:szCs w:val="20"/>
        </w:rPr>
        <w:t xml:space="preserve">1.4.2  The Enhanced Liability Cap in Clause 1.4.1 shall not apply to, and liability shall be uncapped for: (a) death or personal injury caused by negligence; (b) fraud or fraudulent misrepresentation; (c) breaches of data protection legislation including the Australian Privacy Act 1988 and the Privacy Amendment (Notifiable Data Breaches) Act 2017; (d) breaches of confidentiality; (e) intellectual property infringement; and (f) wilful misconduct or gross negligence.</w:t>
      </w:r>
    </w:p>
    <w:p>
      <w:pPr>
        <w:spacing w:before="60" w:after="60"/>
        <w:ind w:left="360"/>
        <w:jc w:val="left"/>
      </w:pPr>
      <w:r>
        <w:rPr>
          <w:rFonts w:ascii="Arial" w:cs="Arial" w:eastAsia="Arial" w:hAnsi="Arial"/>
          <w:b w:val="false"/>
          <w:bCs w:val="false"/>
          <w:color w:val="222222"/>
          <w:sz w:val="20"/>
          <w:szCs w:val="20"/>
        </w:rPr>
        <w:t xml:space="preserve">1.4.3  Neither party shall be liable for indirect, consequential, special, punitive, or exemplary damages of any kind, including loss of revenue, loss of profit, loss of goodwill, or loss of anticipated savings, regardless of whether such loss was foreseeable or the other party had been advised of its possibility.</w:t>
      </w:r>
    </w:p>
    <w:p>
      <w:pPr>
        <w:spacing w:before="60" w:after="60"/>
        <w:ind w:left="360"/>
        <w:jc w:val="left"/>
      </w:pPr>
      <w:r>
        <w:rPr>
          <w:rFonts w:ascii="Arial" w:cs="Arial" w:eastAsia="Arial" w:hAnsi="Arial"/>
          <w:b w:val="false"/>
          <w:bCs w:val="false"/>
          <w:color w:val="222222"/>
          <w:sz w:val="20"/>
          <w:szCs w:val="20"/>
        </w:rPr>
        <w:t xml:space="preserve">1.4.4  Any vendor proposal for uncapped mutual liability across all categories requires General Counsel review. Proposals for liability caps below the 150% standard require Risk Committee approval before acceptance.</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1.5 Security Incident and Data Breach Notification</w:t>
      </w:r>
    </w:p>
    <w:p>
      <w:pPr>
        <w:spacing w:before="60" w:after="60"/>
        <w:ind w:left="360"/>
        <w:jc w:val="left"/>
      </w:pPr>
      <w:r>
        <w:rPr>
          <w:rFonts w:ascii="Arial" w:cs="Arial" w:eastAsia="Arial" w:hAnsi="Arial"/>
          <w:b w:val="false"/>
          <w:bCs w:val="false"/>
          <w:color w:val="222222"/>
          <w:sz w:val="20"/>
          <w:szCs w:val="20"/>
        </w:rPr>
        <w:t xml:space="preserve">1.5.1  If a vendor discovers, suspects, or has reasonable grounds to believe that a security incident or data breach has occurred involving Nexora data, systems, or Confidential Information, the vendor must notify Nexora's Head of Information Security within seventy-two (72) hours of discovery. The 72-hour notification standard is mandatory and non-negotiable, and aligns with the notification obligations under the Australian Notifiable Data Breaches (NDB) scheme.</w:t>
      </w:r>
    </w:p>
    <w:p>
      <w:pPr>
        <w:spacing w:before="60" w:after="60"/>
        <w:ind w:left="360"/>
        <w:jc w:val="left"/>
      </w:pPr>
      <w:r>
        <w:rPr>
          <w:rFonts w:ascii="Arial" w:cs="Arial" w:eastAsia="Arial" w:hAnsi="Arial"/>
          <w:b w:val="false"/>
          <w:bCs w:val="false"/>
          <w:color w:val="222222"/>
          <w:sz w:val="20"/>
          <w:szCs w:val="20"/>
        </w:rPr>
        <w:t xml:space="preserve">1.5.2  The initial notification under Clause 1.5.1 must be delivered via Nexora's designated security incident portal and must include, to the extent known: (a) the date and approximate time of discovery; (b) a description of the suspected or confirmed incident; (c) the categories of personal data and systems affected; (d) the approximate number of individuals whose data may be affected; (e) immediate containment steps already taken; and (f) the name and contact details of the vendor's incident response lead.</w:t>
      </w:r>
    </w:p>
    <w:p>
      <w:pPr>
        <w:spacing w:before="60" w:after="60"/>
        <w:ind w:left="360"/>
        <w:jc w:val="left"/>
      </w:pPr>
      <w:r>
        <w:rPr>
          <w:rFonts w:ascii="Arial" w:cs="Arial" w:eastAsia="Arial" w:hAnsi="Arial"/>
          <w:b w:val="false"/>
          <w:bCs w:val="false"/>
          <w:color w:val="222222"/>
          <w:sz w:val="20"/>
          <w:szCs w:val="20"/>
        </w:rPr>
        <w:t xml:space="preserve">1.5.3  Following initial notification, the vendor shall provide written status updates to Nexora every forty-eight (48) hours until the incident is fully contained. A comprehensive final incident report shall be delivered to Nexora within fifteen (15) business days of full containment, including root cause analysis and remediation steps.</w:t>
      </w:r>
    </w:p>
    <w:p>
      <w:pPr>
        <w:spacing w:before="60" w:after="60"/>
        <w:ind w:left="360"/>
        <w:jc w:val="left"/>
      </w:pPr>
      <w:r>
        <w:rPr>
          <w:rFonts w:ascii="Arial" w:cs="Arial" w:eastAsia="Arial" w:hAnsi="Arial"/>
          <w:b w:val="false"/>
          <w:bCs w:val="false"/>
          <w:color w:val="222222"/>
          <w:sz w:val="20"/>
          <w:szCs w:val="20"/>
        </w:rPr>
        <w:t xml:space="preserve">1.5.4  Vendor contracts specifying a breach notification window exceeding seventy-two (72) hours are non-compliant with this Playbook. Notification windows exceeding seven (7) days are prohibited under all circumstances, including where the vendor seeks alignment with frameworks providing longer windows.</w:t>
      </w:r>
    </w:p>
    <w:p>
      <w:pPr>
        <w:spacing w:before="40" w:after="40"/>
      </w:pPr>
      <w:r>
        <w:t xml:space="preserve"/>
      </w:r>
    </w:p>
    <w:p>
      <w:r>
        <w:br w:type="page"/>
      </w:r>
    </w:p>
    <w:p>
      <w:pPr>
        <w:pStyle w:val="Heading1"/>
        <w:spacing w:before="360" w:after="180"/>
      </w:pPr>
      <w:r>
        <w:rPr>
          <w:rFonts w:ascii="Arial" w:cs="Arial" w:eastAsia="Arial" w:hAnsi="Arial"/>
          <w:b/>
          <w:bCs/>
          <w:color w:val="0A2342"/>
          <w:sz w:val="32"/>
          <w:szCs w:val="32"/>
        </w:rPr>
        <w:t xml:space="preserve">SECTION 2: SUPPLIER ONBOARDING &amp; QUALIFICATION PROCESS</w:t>
      </w:r>
    </w:p>
    <w:p>
      <w:pPr>
        <w:spacing w:before="80" w:after="80"/>
        <w:jc w:val="left"/>
      </w:pPr>
      <w:r>
        <w:rPr>
          <w:rFonts w:ascii="Arial" w:cs="Arial" w:eastAsia="Arial" w:hAnsi="Arial"/>
          <w:b w:val="false"/>
          <w:bCs w:val="false"/>
          <w:i w:val="false"/>
          <w:iCs w:val="false"/>
          <w:color w:val="000000"/>
          <w:sz w:val="22"/>
          <w:szCs w:val="22"/>
        </w:rPr>
        <w:t xml:space="preserve">This section establishes the mandatory qualification and onboarding lifecycle for all new vendors and suppliers engaging with Nexora Technologies. The process is administered by the Procurement and Supplier Management team in coordination with Legal, Cyber Security, Finance, and the relevant business sponsor. No vendor may commence services or be granted access to Nexora systems or data prior to completing all qualification requirements.</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2.1 Onboarding Lifecycle Overview</w:t>
      </w:r>
    </w:p>
    <w:p>
      <w:pPr>
        <w:spacing w:before="80" w:after="80"/>
        <w:jc w:val="left"/>
      </w:pPr>
      <w:r>
        <w:rPr>
          <w:rFonts w:ascii="Arial" w:cs="Arial" w:eastAsia="Arial" w:hAnsi="Arial"/>
          <w:b w:val="false"/>
          <w:bCs w:val="false"/>
          <w:i w:val="false"/>
          <w:iCs w:val="false"/>
          <w:color w:val="000000"/>
          <w:sz w:val="22"/>
          <w:szCs w:val="22"/>
        </w:rPr>
        <w:t xml:space="preserve">The following table outlines the standard onboarding phases and target completion timelines: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800"/>
        <w:gridCol w:w="2100"/>
      </w:tblGrid>
      <w:tr>
        <w:tc>
          <w:tcPr>
            <w:tcW w:type="dxa" w:w="234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1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Target Duration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Pre-Engagement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 review; NDA execution; initial risk assessment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 Procurement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business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Vendor security questionnaire; financial checks; reference validation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InfoSec / Finance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business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MSA and SOW negotiation, redline, and execution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 Business Owner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business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Setup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provisioning; API integration; credential issuance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 / Vendor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business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Compliance Training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Nexora Code of Conduct; data handling; security awareness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Compliance / Vendor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business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Supervised access; hypercare 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 / IT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 business days</w:t>
            </w:r>
          </w:p>
        </w:tc>
      </w:tr>
    </w:tbl>
    <w:p>
      <w:pPr>
        <w:spacing w:before="40" w:after="40"/>
      </w:pPr>
      <w:r>
        <w:t xml:space="preserve"/>
      </w:r>
    </w:p>
    <w:p>
      <w:pPr>
        <w:pStyle w:val="Heading2"/>
        <w:spacing w:before="240" w:after="120"/>
      </w:pPr>
      <w:r>
        <w:rPr>
          <w:rFonts w:ascii="Arial" w:cs="Arial" w:eastAsia="Arial" w:hAnsi="Arial"/>
          <w:b/>
          <w:bCs/>
          <w:color w:val="1B4F8A"/>
          <w:sz w:val="26"/>
          <w:szCs w:val="26"/>
        </w:rPr>
        <w:t xml:space="preserve">2.2 Supplier Risk Classification</w:t>
      </w:r>
    </w:p>
    <w:p>
      <w:pPr>
        <w:spacing w:before="60" w:after="60"/>
        <w:ind w:left="360"/>
        <w:jc w:val="left"/>
      </w:pPr>
      <w:r>
        <w:rPr>
          <w:rFonts w:ascii="Arial" w:cs="Arial" w:eastAsia="Arial" w:hAnsi="Arial"/>
          <w:b w:val="false"/>
          <w:bCs w:val="false"/>
          <w:color w:val="222222"/>
          <w:sz w:val="20"/>
          <w:szCs w:val="20"/>
        </w:rPr>
        <w:t xml:space="preserve">2.2.1  Prior to onboarding, the Procurement team shall classify each vendor into one of the following tiers based on data access, service criticality, and annual spend value:</w:t>
      </w:r>
    </w:p>
    <w:p>
      <w:pPr>
        <w:pStyle w:val="ListParagraph"/>
        <w:numPr>
          <w:ilvl w:val="0"/>
          <w:numId w:val="2"/>
        </w:numPr>
        <w:spacing w:before="40" w:after="40"/>
      </w:pPr>
      <w:r>
        <w:rPr>
          <w:rFonts w:ascii="Arial" w:cs="Arial" w:eastAsia="Arial" w:hAnsi="Arial"/>
          <w:sz w:val="20"/>
          <w:szCs w:val="20"/>
        </w:rPr>
        <w:t xml:space="preserve">Tier A — Strategic: vendors with access to core systems or sensitive personal data, or annual spend exceeding $3,000,000 AUD</w:t>
      </w:r>
    </w:p>
    <w:p>
      <w:pPr>
        <w:pStyle w:val="ListParagraph"/>
        <w:numPr>
          <w:ilvl w:val="0"/>
          <w:numId w:val="2"/>
        </w:numPr>
        <w:spacing w:before="40" w:after="40"/>
      </w:pPr>
      <w:r>
        <w:rPr>
          <w:rFonts w:ascii="Arial" w:cs="Arial" w:eastAsia="Arial" w:hAnsi="Arial"/>
          <w:sz w:val="20"/>
          <w:szCs w:val="20"/>
        </w:rPr>
        <w:t xml:space="preserve">Tier B — Preferred: vendors accessing Nexora internal systems or handling commercially sensitive data, annual spend $500,000–$3,000,000 AUD</w:t>
      </w:r>
    </w:p>
    <w:p>
      <w:pPr>
        <w:pStyle w:val="ListParagraph"/>
        <w:numPr>
          <w:ilvl w:val="0"/>
          <w:numId w:val="2"/>
        </w:numPr>
        <w:spacing w:before="40" w:after="40"/>
      </w:pPr>
      <w:r>
        <w:rPr>
          <w:rFonts w:ascii="Arial" w:cs="Arial" w:eastAsia="Arial" w:hAnsi="Arial"/>
          <w:sz w:val="20"/>
          <w:szCs w:val="20"/>
        </w:rPr>
        <w:t xml:space="preserve">Tier C — Approved: professional services vendors with limited data access, annual spend $100,000–$500,000 AUD</w:t>
      </w:r>
    </w:p>
    <w:p>
      <w:pPr>
        <w:pStyle w:val="ListParagraph"/>
        <w:numPr>
          <w:ilvl w:val="0"/>
          <w:numId w:val="2"/>
        </w:numPr>
        <w:spacing w:before="40" w:after="40"/>
      </w:pPr>
      <w:r>
        <w:rPr>
          <w:rFonts w:ascii="Arial" w:cs="Arial" w:eastAsia="Arial" w:hAnsi="Arial"/>
          <w:sz w:val="20"/>
          <w:szCs w:val="20"/>
        </w:rPr>
        <w:t xml:space="preserve">Tier D — Transactional: commodity goods and services, no data access, annual spend below $100,000 AUD</w:t>
      </w:r>
    </w:p>
    <w:p>
      <w:pPr>
        <w:spacing w:before="60" w:after="60"/>
        <w:ind w:left="360"/>
        <w:jc w:val="left"/>
      </w:pPr>
      <w:r>
        <w:rPr>
          <w:rFonts w:ascii="Arial" w:cs="Arial" w:eastAsia="Arial" w:hAnsi="Arial"/>
          <w:b w:val="false"/>
          <w:bCs w:val="false"/>
          <w:color w:val="222222"/>
          <w:sz w:val="20"/>
          <w:szCs w:val="20"/>
        </w:rPr>
        <w:t xml:space="preserve">2.2.2  Tier A and Tier B vendors are subject to enhanced due diligence including on-site assessments, executive references, and biannual performance reviews. Tier C and Tier D vendors are subject to standard qualification requirements.</w:t>
      </w:r>
    </w:p>
    <w:p>
      <w:pPr>
        <w:spacing w:before="60" w:after="60"/>
        <w:ind w:left="360"/>
        <w:jc w:val="left"/>
      </w:pPr>
      <w:r>
        <w:rPr>
          <w:rFonts w:ascii="Arial" w:cs="Arial" w:eastAsia="Arial" w:hAnsi="Arial"/>
          <w:b w:val="false"/>
          <w:bCs w:val="false"/>
          <w:color w:val="222222"/>
          <w:sz w:val="20"/>
          <w:szCs w:val="20"/>
        </w:rPr>
        <w:t xml:space="preserve">2.2.3  Vendor tier classification must be reviewed upon contract renewal, upon any material change in scope or data access, and at minimum annually.</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2.3 Qualification Requirements</w:t>
      </w:r>
    </w:p>
    <w:p>
      <w:pPr>
        <w:spacing w:before="60" w:after="60"/>
        <w:ind w:left="360"/>
        <w:jc w:val="left"/>
      </w:pPr>
      <w:r>
        <w:rPr>
          <w:rFonts w:ascii="Arial" w:cs="Arial" w:eastAsia="Arial" w:hAnsi="Arial"/>
          <w:b w:val="false"/>
          <w:bCs w:val="false"/>
          <w:color w:val="222222"/>
          <w:sz w:val="20"/>
          <w:szCs w:val="20"/>
        </w:rPr>
        <w:t xml:space="preserve">2.3.1  All vendors must complete Nexora's Supplier Security Assessment (SSA), a 16-domain questionnaire aligned to ISO 27001:2022, SOC 2 Type II, and the Australian Government's Essential Eight cybersecurity framework.</w:t>
      </w:r>
    </w:p>
    <w:p>
      <w:pPr>
        <w:spacing w:before="60" w:after="60"/>
        <w:ind w:left="360"/>
        <w:jc w:val="left"/>
      </w:pPr>
      <w:r>
        <w:rPr>
          <w:rFonts w:ascii="Arial" w:cs="Arial" w:eastAsia="Arial" w:hAnsi="Arial"/>
          <w:b w:val="false"/>
          <w:bCs w:val="false"/>
          <w:color w:val="222222"/>
          <w:sz w:val="20"/>
          <w:szCs w:val="20"/>
        </w:rPr>
        <w:t xml:space="preserve">2.3.2  Tier A and Tier B vendors must additionally provide: (a) current SOC 2 Type II report dated within eighteen (18) months; (b) results of most recent penetration test conducted by an accredited testing provider; (c) evidence of relevant certifications (ISO 27001:2022, PCI DSS v4.0, or equivalent); (d) current Information Security Policy; (e) current Business Continuity and Disaster Recovery plan; and (f) evidence of professional indemnity and cybersecurity insurance with minimum AUD $10,000,000 in combined coverage.</w:t>
      </w:r>
    </w:p>
    <w:p>
      <w:pPr>
        <w:spacing w:before="60" w:after="60"/>
        <w:ind w:left="360"/>
        <w:jc w:val="left"/>
      </w:pPr>
      <w:r>
        <w:rPr>
          <w:rFonts w:ascii="Arial" w:cs="Arial" w:eastAsia="Arial" w:hAnsi="Arial"/>
          <w:b w:val="false"/>
          <w:bCs w:val="false"/>
          <w:color w:val="222222"/>
          <w:sz w:val="20"/>
          <w:szCs w:val="20"/>
        </w:rPr>
        <w:t xml:space="preserve">2.3.3  Financial due diligence is required for all Tier A vendors including review of audited financial statements for the prior two fiscal years and an independent credit assessment.</w:t>
      </w:r>
    </w:p>
    <w:p>
      <w:pPr>
        <w:spacing w:before="60" w:after="60"/>
        <w:ind w:left="360"/>
        <w:jc w:val="left"/>
      </w:pPr>
      <w:r>
        <w:rPr>
          <w:rFonts w:ascii="Arial" w:cs="Arial" w:eastAsia="Arial" w:hAnsi="Arial"/>
          <w:b w:val="false"/>
          <w:bCs w:val="false"/>
          <w:color w:val="222222"/>
          <w:sz w:val="20"/>
          <w:szCs w:val="20"/>
        </w:rPr>
        <w:t xml:space="preserve">2.3.4  Nexora reserves the right to decline or terminate any vendor engagement where qualification findings reveal an unacceptable security posture, financial risk, or non-compliance with these standards.</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2.4 Contract Execution Requirements</w:t>
      </w:r>
    </w:p>
    <w:p>
      <w:pPr>
        <w:spacing w:before="60" w:after="60"/>
        <w:ind w:left="360"/>
        <w:jc w:val="left"/>
      </w:pPr>
      <w:r>
        <w:rPr>
          <w:rFonts w:ascii="Arial" w:cs="Arial" w:eastAsia="Arial" w:hAnsi="Arial"/>
          <w:b w:val="false"/>
          <w:bCs w:val="false"/>
          <w:color w:val="222222"/>
          <w:sz w:val="20"/>
          <w:szCs w:val="20"/>
        </w:rPr>
        <w:t xml:space="preserve">2.4.1  All vendor engagements must be supported by a fully executed MSA and applicable SOW signed by authorised signatories of both parties before services commence.</w:t>
      </w:r>
    </w:p>
    <w:p>
      <w:pPr>
        <w:spacing w:before="60" w:after="60"/>
        <w:ind w:left="360"/>
        <w:jc w:val="left"/>
      </w:pPr>
      <w:r>
        <w:rPr>
          <w:rFonts w:ascii="Arial" w:cs="Arial" w:eastAsia="Arial" w:hAnsi="Arial"/>
          <w:b w:val="false"/>
          <w:bCs w:val="false"/>
          <w:color w:val="222222"/>
          <w:sz w:val="20"/>
          <w:szCs w:val="20"/>
        </w:rPr>
        <w:t xml:space="preserve">2.4.2  Engagements with a total annual value below $30,000 AUD may be covered by a Nexora-standard Purchase Order incorporating Playbook terms by reference.</w:t>
      </w:r>
    </w:p>
    <w:p>
      <w:pPr>
        <w:spacing w:before="60" w:after="60"/>
        <w:ind w:left="360"/>
        <w:jc w:val="left"/>
      </w:pPr>
      <w:r>
        <w:rPr>
          <w:rFonts w:ascii="Arial" w:cs="Arial" w:eastAsia="Arial" w:hAnsi="Arial"/>
          <w:b w:val="false"/>
          <w:bCs w:val="false"/>
          <w:color w:val="222222"/>
          <w:sz w:val="20"/>
          <w:szCs w:val="20"/>
        </w:rPr>
        <w:t xml:space="preserve">2.4.3  All MSAs require Legal review and approval prior to execution. SOWs exceeding $150,000 AUD require Legal review. All agreements exceeding $500,000 AUD require General Counsel co-signature.</w:t>
      </w:r>
    </w:p>
    <w:p>
      <w:pPr>
        <w:spacing w:before="60" w:after="60"/>
        <w:ind w:left="360"/>
        <w:jc w:val="left"/>
      </w:pPr>
      <w:r>
        <w:rPr>
          <w:rFonts w:ascii="Arial" w:cs="Arial" w:eastAsia="Arial" w:hAnsi="Arial"/>
          <w:b w:val="false"/>
          <w:bCs w:val="false"/>
          <w:color w:val="222222"/>
          <w:sz w:val="20"/>
          <w:szCs w:val="20"/>
        </w:rPr>
        <w:t xml:space="preserve">2.4.4  Use of vendor-supplied contract templates is strongly discouraged. Where vendor templates are used, Legal must conduct a full redline review against Section 1 standards prior to any terms being accepted.</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2.5 System Access Provisioning</w:t>
      </w:r>
    </w:p>
    <w:p>
      <w:pPr>
        <w:spacing w:before="60" w:after="60"/>
        <w:ind w:left="360"/>
        <w:jc w:val="left"/>
      </w:pPr>
      <w:r>
        <w:rPr>
          <w:rFonts w:ascii="Arial" w:cs="Arial" w:eastAsia="Arial" w:hAnsi="Arial"/>
          <w:b w:val="false"/>
          <w:bCs w:val="false"/>
          <w:color w:val="222222"/>
          <w:sz w:val="20"/>
          <w:szCs w:val="20"/>
        </w:rPr>
        <w:t xml:space="preserve">2.5.1  All vendor system access shall be provisioned on the principle of least privilege — vendors shall receive only the minimum access level required for their contracted scope.</w:t>
      </w:r>
    </w:p>
    <w:p>
      <w:pPr>
        <w:spacing w:before="60" w:after="60"/>
        <w:ind w:left="360"/>
        <w:jc w:val="left"/>
      </w:pPr>
      <w:r>
        <w:rPr>
          <w:rFonts w:ascii="Arial" w:cs="Arial" w:eastAsia="Arial" w:hAnsi="Arial"/>
          <w:b w:val="false"/>
          <w:bCs w:val="false"/>
          <w:color w:val="222222"/>
          <w:sz w:val="20"/>
          <w:szCs w:val="20"/>
        </w:rPr>
        <w:t xml:space="preserve">2.5.2  Multi-factor authentication (MFA) is mandatory for all remote access to Nexora systems. Shared credentials are expressly prohibited. Each vendor individual must hold a unique, named credential.</w:t>
      </w:r>
    </w:p>
    <w:p>
      <w:pPr>
        <w:spacing w:before="60" w:after="60"/>
        <w:ind w:left="360"/>
        <w:jc w:val="left"/>
      </w:pPr>
      <w:r>
        <w:rPr>
          <w:rFonts w:ascii="Arial" w:cs="Arial" w:eastAsia="Arial" w:hAnsi="Arial"/>
          <w:b w:val="false"/>
          <w:bCs w:val="false"/>
          <w:color w:val="222222"/>
          <w:sz w:val="20"/>
          <w:szCs w:val="20"/>
        </w:rPr>
        <w:t xml:space="preserve">2.5.3  Vendor access accounts must be time-bound, aligned to the contract term, and subject to formal quarterly access reviews by the Nexora Cyber Security team.</w:t>
      </w:r>
    </w:p>
    <w:p>
      <w:pPr>
        <w:spacing w:before="60" w:after="60"/>
        <w:ind w:left="360"/>
        <w:jc w:val="left"/>
      </w:pPr>
      <w:r>
        <w:rPr>
          <w:rFonts w:ascii="Arial" w:cs="Arial" w:eastAsia="Arial" w:hAnsi="Arial"/>
          <w:b w:val="false"/>
          <w:bCs w:val="false"/>
          <w:color w:val="222222"/>
          <w:sz w:val="20"/>
          <w:szCs w:val="20"/>
        </w:rPr>
        <w:t xml:space="preserve">2.5.4  Vendor accounts inactive for sixty (60) or more consecutive days shall be automatically suspended pending review. Reinstatement requires written approval from the relevant business sponsor.</w:t>
      </w:r>
    </w:p>
    <w:p>
      <w:pPr>
        <w:spacing w:before="40" w:after="40"/>
      </w:pPr>
      <w:r>
        <w:t xml:space="preserve"/>
      </w:r>
    </w:p>
    <w:p>
      <w:r>
        <w:br w:type="page"/>
      </w:r>
    </w:p>
    <w:p>
      <w:pPr>
        <w:pStyle w:val="Heading1"/>
        <w:spacing w:before="360" w:after="180"/>
      </w:pPr>
      <w:r>
        <w:rPr>
          <w:rFonts w:ascii="Arial" w:cs="Arial" w:eastAsia="Arial" w:hAnsi="Arial"/>
          <w:b/>
          <w:bCs/>
          <w:color w:val="0A2342"/>
          <w:sz w:val="32"/>
          <w:szCs w:val="32"/>
        </w:rPr>
        <w:t xml:space="preserve">SECTION 3: CYBERSECURITY &amp; DATA PROTECTION REQUIREMENTS</w:t>
      </w:r>
    </w:p>
    <w:p>
      <w:pPr>
        <w:spacing w:before="80" w:after="80"/>
        <w:jc w:val="left"/>
      </w:pPr>
      <w:r>
        <w:rPr>
          <w:rFonts w:ascii="Arial" w:cs="Arial" w:eastAsia="Arial" w:hAnsi="Arial"/>
          <w:b w:val="false"/>
          <w:bCs w:val="false"/>
          <w:i w:val="false"/>
          <w:iCs w:val="false"/>
          <w:color w:val="000000"/>
          <w:sz w:val="22"/>
          <w:szCs w:val="22"/>
        </w:rPr>
        <w:t xml:space="preserve">All vendors who process, transmit, store, or have access to Nexora Confidential Information, employee data, or customer Personal Information must comply with the requirements in this Section 3. These represent minimum baseline standards. Tier A and Tier B vendors may be subject to enhanced requirements based on their individual risk profile. Compliance is assessed at onboarding and re-assessed annually.</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3.1 Mandatory Security Controls</w:t>
      </w:r>
    </w:p>
    <w:p>
      <w:pPr>
        <w:spacing w:before="80" w:after="80"/>
        <w:jc w:val="left"/>
      </w:pPr>
      <w:r>
        <w:rPr>
          <w:rFonts w:ascii="Arial" w:cs="Arial" w:eastAsia="Arial" w:hAnsi="Arial"/>
          <w:b w:val="false"/>
          <w:bCs w:val="false"/>
          <w:i w:val="false"/>
          <w:iCs w:val="false"/>
          <w:color w:val="000000"/>
          <w:sz w:val="22"/>
          <w:szCs w:val="22"/>
        </w:rPr>
        <w:t xml:space="preserve">The following table sets out mandatory security controls applicable to all Nexora vendors: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Control Domain</w:t>
            </w:r>
          </w:p>
        </w:tc>
        <w:tc>
          <w:tcPr>
            <w:tcW w:type="dxa" w:w="6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Requirement &amp;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Access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Role-based access control (RBAC) mandatory. Privileged access subject to just-in-time (JIT) provisioning. (ISO 27001:2022 A.8.2)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Encryption at Rest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AES-256 minimum for all Nexora data at rest. Key rotation every 180 days. (NIST SP 800-111)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Encryption in Transit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1.3 mandatory. TLS 1.2 permitted only with written CISO approval. TLS 1.0/1.1 prohibited.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Vulnerability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patches applied within 48 hours. High severity within 7 days. (Essential Eight Patching)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Penetration 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external pen test by CREST-accredited provider. Results shared with Nexora within 5 business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Incident 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 IRP; 72-hour breach notification standard (NDB Scheme alignment)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Data Retention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 data deleted or anonymised within 14 days of contract termination unless legally required to retain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Background Checks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personnel with Nexora data access must pass National Police Check (Australian Standard AS 4811)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MFA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MFA mandatory for all remote and privileged access. Hardware tokens preferred for Tier 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Audit Logging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access events logged and retained minimum 24 months. Logs immutable and tamper-evident. (SOC 2 CC7.2)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Endpoint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EDR/XDR solution deployed on all endpoints used to access Nexora systems. Automated threat response enabled.</w:t>
            </w:r>
          </w:p>
        </w:tc>
      </w:tr>
    </w:tbl>
    <w:p>
      <w:pPr>
        <w:spacing w:before="40" w:after="40"/>
      </w:pPr>
      <w:r>
        <w:t xml:space="preserve"/>
      </w:r>
    </w:p>
    <w:p>
      <w:pPr>
        <w:pStyle w:val="Heading2"/>
        <w:spacing w:before="240" w:after="120"/>
      </w:pPr>
      <w:r>
        <w:rPr>
          <w:rFonts w:ascii="Arial" w:cs="Arial" w:eastAsia="Arial" w:hAnsi="Arial"/>
          <w:b/>
          <w:bCs/>
          <w:color w:val="1B4F8A"/>
          <w:sz w:val="26"/>
          <w:szCs w:val="26"/>
        </w:rPr>
        <w:t xml:space="preserve">3.2 Data Encryption Standards</w:t>
      </w:r>
    </w:p>
    <w:p>
      <w:pPr>
        <w:spacing w:before="60" w:after="60"/>
        <w:ind w:left="360"/>
        <w:jc w:val="left"/>
      </w:pPr>
      <w:r>
        <w:rPr>
          <w:rFonts w:ascii="Arial" w:cs="Arial" w:eastAsia="Arial" w:hAnsi="Arial"/>
          <w:b w:val="false"/>
          <w:bCs w:val="false"/>
          <w:color w:val="222222"/>
          <w:sz w:val="20"/>
          <w:szCs w:val="20"/>
        </w:rPr>
        <w:t xml:space="preserve">3.2.1  All Nexora data stored by a vendor must be encrypted using AES-256 or a NIST-approved equivalent. Encryption keys must be managed within a dedicated Hardware Security Module (HSM) or cloud-based KMS and rotated at a minimum of every one hundred and eighty (180) days.</w:t>
      </w:r>
    </w:p>
    <w:p>
      <w:pPr>
        <w:spacing w:before="60" w:after="60"/>
        <w:ind w:left="360"/>
        <w:jc w:val="left"/>
      </w:pPr>
      <w:r>
        <w:rPr>
          <w:rFonts w:ascii="Arial" w:cs="Arial" w:eastAsia="Arial" w:hAnsi="Arial"/>
          <w:b w:val="false"/>
          <w:bCs w:val="false"/>
          <w:color w:val="222222"/>
          <w:sz w:val="20"/>
          <w:szCs w:val="20"/>
        </w:rPr>
        <w:t xml:space="preserve">3.2.2  Data in transit between vendor systems and Nexora must use TLS 1.3 or higher. TLS 1.2 may be used where TLS 1.3 is technically infeasible, subject to prior written approval from Nexora's Head of Cyber Security.</w:t>
      </w:r>
    </w:p>
    <w:p>
      <w:pPr>
        <w:spacing w:before="60" w:after="60"/>
        <w:ind w:left="360"/>
        <w:jc w:val="left"/>
      </w:pPr>
      <w:r>
        <w:rPr>
          <w:rFonts w:ascii="Arial" w:cs="Arial" w:eastAsia="Arial" w:hAnsi="Arial"/>
          <w:b w:val="false"/>
          <w:bCs w:val="false"/>
          <w:color w:val="222222"/>
          <w:sz w:val="20"/>
          <w:szCs w:val="20"/>
        </w:rPr>
        <w:t xml:space="preserve">3.2.3  Encryption keys and digital certificates must never be stored in source code, configuration files, or any location accessible to unauthorised personnel. Key custodians must be individually named and documented.</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3.3 Data Retention and Disposal</w:t>
      </w:r>
    </w:p>
    <w:p>
      <w:pPr>
        <w:spacing w:before="60" w:after="60"/>
        <w:ind w:left="360"/>
        <w:jc w:val="left"/>
      </w:pPr>
      <w:r>
        <w:rPr>
          <w:rFonts w:ascii="Arial" w:cs="Arial" w:eastAsia="Arial" w:hAnsi="Arial"/>
          <w:b w:val="false"/>
          <w:bCs w:val="false"/>
          <w:color w:val="222222"/>
          <w:sz w:val="20"/>
          <w:szCs w:val="20"/>
        </w:rPr>
        <w:t xml:space="preserve">3.3.1  Upon expiry or termination of a vendor agreement, the vendor shall delete or anonymise all Nexora Personal Information and Confidential Information within fourteen (14) calendar days, unless legally required to retain such data by applicable law or court order.</w:t>
      </w:r>
    </w:p>
    <w:p>
      <w:pPr>
        <w:spacing w:before="60" w:after="60"/>
        <w:ind w:left="360"/>
        <w:jc w:val="left"/>
      </w:pPr>
      <w:r>
        <w:rPr>
          <w:rFonts w:ascii="Arial" w:cs="Arial" w:eastAsia="Arial" w:hAnsi="Arial"/>
          <w:b w:val="false"/>
          <w:bCs w:val="false"/>
          <w:color w:val="222222"/>
          <w:sz w:val="20"/>
          <w:szCs w:val="20"/>
        </w:rPr>
        <w:t xml:space="preserve">3.3.2  Secure disposal must follow NIST SP 800-88 media sanitisation guidelines or equivalent Australian standard. The vendor must provide written certification of data disposal to Nexora's Privacy Officer within five (5) business days of completion.</w:t>
      </w:r>
    </w:p>
    <w:p>
      <w:pPr>
        <w:spacing w:before="60" w:after="60"/>
        <w:ind w:left="360"/>
        <w:jc w:val="left"/>
      </w:pPr>
      <w:r>
        <w:rPr>
          <w:rFonts w:ascii="Arial" w:cs="Arial" w:eastAsia="Arial" w:hAnsi="Arial"/>
          <w:b w:val="false"/>
          <w:bCs w:val="false"/>
          <w:color w:val="222222"/>
          <w:sz w:val="20"/>
          <w:szCs w:val="20"/>
        </w:rPr>
        <w:t xml:space="preserve">3.3.3  Any legally mandated retention beyond the 14-day window must be disclosed to Nexora in writing prior to the contract end date, specifying the legal basis, the categories of data retained, the retention duration, and the security controls applied during the retention period.</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3.4 Australian Privacy Act Compliance</w:t>
      </w:r>
    </w:p>
    <w:p>
      <w:pPr>
        <w:spacing w:before="60" w:after="60"/>
        <w:ind w:left="360"/>
        <w:jc w:val="left"/>
      </w:pPr>
      <w:r>
        <w:rPr>
          <w:rFonts w:ascii="Arial" w:cs="Arial" w:eastAsia="Arial" w:hAnsi="Arial"/>
          <w:b w:val="false"/>
          <w:bCs w:val="false"/>
          <w:color w:val="222222"/>
          <w:sz w:val="20"/>
          <w:szCs w:val="20"/>
        </w:rPr>
        <w:t xml:space="preserve">3.4.1  All vendors processing Personal Information as defined under the Privacy Act 1988 (Cth) must comply with the Australian Privacy Principles (APPs) and all applicable state-level privacy legislation.</w:t>
      </w:r>
    </w:p>
    <w:p>
      <w:pPr>
        <w:spacing w:before="60" w:after="60"/>
        <w:ind w:left="360"/>
        <w:jc w:val="left"/>
      </w:pPr>
      <w:r>
        <w:rPr>
          <w:rFonts w:ascii="Arial" w:cs="Arial" w:eastAsia="Arial" w:hAnsi="Arial"/>
          <w:b w:val="false"/>
          <w:bCs w:val="false"/>
          <w:color w:val="222222"/>
          <w:sz w:val="20"/>
          <w:szCs w:val="20"/>
        </w:rPr>
        <w:t xml:space="preserve">3.4.2  Vendors must maintain a documented Privacy Impact Assessment (PIA) for all processing activities involving Nexora Personal Information, updated annually and made available to Nexora upon request.</w:t>
      </w:r>
    </w:p>
    <w:p>
      <w:pPr>
        <w:spacing w:before="60" w:after="60"/>
        <w:ind w:left="360"/>
        <w:jc w:val="left"/>
      </w:pPr>
      <w:r>
        <w:rPr>
          <w:rFonts w:ascii="Arial" w:cs="Arial" w:eastAsia="Arial" w:hAnsi="Arial"/>
          <w:b w:val="false"/>
          <w:bCs w:val="false"/>
          <w:color w:val="222222"/>
          <w:sz w:val="20"/>
          <w:szCs w:val="20"/>
        </w:rPr>
        <w:t xml:space="preserve">3.4.3  Cross-border disclosure of Nexora Personal Information to entities outside Australia requires prior written approval from Nexora's Privacy Officer and must comply with APP 8 requirements.</w:t>
      </w:r>
    </w:p>
    <w:p>
      <w:pPr>
        <w:spacing w:before="40" w:after="40"/>
      </w:pPr>
      <w:r>
        <w:t xml:space="preserve"/>
      </w:r>
    </w:p>
    <w:p>
      <w:r>
        <w:br w:type="page"/>
      </w:r>
    </w:p>
    <w:p>
      <w:pPr>
        <w:pStyle w:val="Heading1"/>
        <w:spacing w:before="360" w:after="180"/>
      </w:pPr>
      <w:r>
        <w:rPr>
          <w:rFonts w:ascii="Arial" w:cs="Arial" w:eastAsia="Arial" w:hAnsi="Arial"/>
          <w:b/>
          <w:bCs/>
          <w:color w:val="0A2342"/>
          <w:sz w:val="32"/>
          <w:szCs w:val="32"/>
        </w:rPr>
        <w:t xml:space="preserve">SECTION 4: INTELLECTUAL PROPERTY &amp; OWNERSHIP RIGHTS</w:t>
      </w:r>
    </w:p>
    <w:p>
      <w:pPr>
        <w:spacing w:before="80" w:after="80"/>
        <w:jc w:val="left"/>
      </w:pPr>
      <w:r>
        <w:rPr>
          <w:rFonts w:ascii="Arial" w:cs="Arial" w:eastAsia="Arial" w:hAnsi="Arial"/>
          <w:b w:val="false"/>
          <w:bCs w:val="false"/>
          <w:i w:val="false"/>
          <w:iCs w:val="false"/>
          <w:color w:val="000000"/>
          <w:sz w:val="22"/>
          <w:szCs w:val="22"/>
        </w:rPr>
        <w:t xml:space="preserve">Nexora Technologies places significant value on the protection of intellectual property. This section sets out the mandatory positions governing IP ownership, licensing, and restrictions applicable to all vendor engagements.</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4.1 Work Product Ownership</w:t>
      </w:r>
    </w:p>
    <w:p>
      <w:pPr>
        <w:spacing w:before="60" w:after="60"/>
        <w:ind w:left="360"/>
        <w:jc w:val="left"/>
      </w:pPr>
      <w:r>
        <w:rPr>
          <w:rFonts w:ascii="Arial" w:cs="Arial" w:eastAsia="Arial" w:hAnsi="Arial"/>
          <w:b w:val="false"/>
          <w:bCs w:val="false"/>
          <w:color w:val="222222"/>
          <w:sz w:val="20"/>
          <w:szCs w:val="20"/>
        </w:rPr>
        <w:t xml:space="preserve">4.1.1  All deliverables, software, code, documentation, reports, designs, analyses, and other work product created by a vendor specifically for Nexora under an applicable Statement of Work ("Custom Deliverables") shall be considered works made for hire and shall vest absolutely in Nexora Technologies upon creation without further instrument or payment.</w:t>
      </w:r>
    </w:p>
    <w:p>
      <w:pPr>
        <w:spacing w:before="60" w:after="60"/>
        <w:ind w:left="360"/>
        <w:jc w:val="left"/>
      </w:pPr>
      <w:r>
        <w:rPr>
          <w:rFonts w:ascii="Arial" w:cs="Arial" w:eastAsia="Arial" w:hAnsi="Arial"/>
          <w:b w:val="false"/>
          <w:bCs w:val="false"/>
          <w:color w:val="222222"/>
          <w:sz w:val="20"/>
          <w:szCs w:val="20"/>
        </w:rPr>
        <w:t xml:space="preserve">4.1.2  Where the work-made-for-hire doctrine does not apply under applicable law, the vendor hereby assigns to Nexora all intellectual property rights in Custom Deliverables, including copyright, patent rights, design rights, and trade secrets, in perpetuity and worldwide.</w:t>
      </w:r>
    </w:p>
    <w:p>
      <w:pPr>
        <w:spacing w:before="60" w:after="60"/>
        <w:ind w:left="360"/>
        <w:jc w:val="left"/>
      </w:pPr>
      <w:r>
        <w:rPr>
          <w:rFonts w:ascii="Arial" w:cs="Arial" w:eastAsia="Arial" w:hAnsi="Arial"/>
          <w:b w:val="false"/>
          <w:bCs w:val="false"/>
          <w:color w:val="222222"/>
          <w:sz w:val="20"/>
          <w:szCs w:val="20"/>
        </w:rPr>
        <w:t xml:space="preserve">4.1.3  The vendor shall execute any additional documents reasonably requested by Nexora to confirm or perfect Nexora's ownership of Custom Deliverables, including formal IP assignment agreements.</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4.2 Vendor Background IP</w:t>
      </w:r>
    </w:p>
    <w:p>
      <w:pPr>
        <w:spacing w:before="60" w:after="60"/>
        <w:ind w:left="360"/>
        <w:jc w:val="left"/>
      </w:pPr>
      <w:r>
        <w:rPr>
          <w:rFonts w:ascii="Arial" w:cs="Arial" w:eastAsia="Arial" w:hAnsi="Arial"/>
          <w:b w:val="false"/>
          <w:bCs w:val="false"/>
          <w:color w:val="222222"/>
          <w:sz w:val="20"/>
          <w:szCs w:val="20"/>
        </w:rPr>
        <w:t xml:space="preserve">4.2.1  The vendor retains ownership of all intellectual property developed independently of the Nexora engagement, including methodologies, frameworks, tools, libraries, and know-how that pre-date or are developed outside the scope of the vendor's engagement with Nexora ("Background IP").</w:t>
      </w:r>
    </w:p>
    <w:p>
      <w:pPr>
        <w:spacing w:before="60" w:after="60"/>
        <w:ind w:left="360"/>
        <w:jc w:val="left"/>
      </w:pPr>
      <w:r>
        <w:rPr>
          <w:rFonts w:ascii="Arial" w:cs="Arial" w:eastAsia="Arial" w:hAnsi="Arial"/>
          <w:b w:val="false"/>
          <w:bCs w:val="false"/>
          <w:color w:val="222222"/>
          <w:sz w:val="20"/>
          <w:szCs w:val="20"/>
        </w:rPr>
        <w:t xml:space="preserve">4.2.2  Where a vendor incorporates Background IP into Custom Deliverables, the vendor shall notify Nexora in writing prior to such incorporation and shall grant Nexora a perpetual, royalty-free, non-exclusive licence to use such Background IP solely to the extent necessary to utilise the Custom Deliverables for Nexora's internal business purposes.</w:t>
      </w:r>
    </w:p>
    <w:p>
      <w:pPr>
        <w:spacing w:before="60" w:after="60"/>
        <w:ind w:left="360"/>
        <w:jc w:val="left"/>
      </w:pPr>
      <w:r>
        <w:rPr>
          <w:rFonts w:ascii="Arial" w:cs="Arial" w:eastAsia="Arial" w:hAnsi="Arial"/>
          <w:b w:val="false"/>
          <w:bCs w:val="false"/>
          <w:color w:val="222222"/>
          <w:sz w:val="20"/>
          <w:szCs w:val="20"/>
        </w:rPr>
        <w:t xml:space="preserve">4.2.3  Open source software may only be incorporated into Custom Deliverables with prior written approval from Nexora's General Counsel. Any approved open source components must be documented in a Software Bill of Materials (SBOM) delivered alongside the applicable deliverable.</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4.3 Restrictions</w:t>
      </w:r>
    </w:p>
    <w:p>
      <w:pPr>
        <w:spacing w:before="60" w:after="60"/>
        <w:ind w:left="360"/>
        <w:jc w:val="left"/>
      </w:pPr>
      <w:r>
        <w:rPr>
          <w:rFonts w:ascii="Arial" w:cs="Arial" w:eastAsia="Arial" w:hAnsi="Arial"/>
          <w:b w:val="false"/>
          <w:bCs w:val="false"/>
          <w:color w:val="222222"/>
          <w:sz w:val="20"/>
          <w:szCs w:val="20"/>
        </w:rPr>
        <w:t xml:space="preserve">4.3.1  Vendors must not use any Nexora Confidential Information, data, or intellectual property for any purpose other than performing their contracted services. Use of Nexora IP for the vendor's own products, services, or for the benefit of any third party is expressly prohibited.</w:t>
      </w:r>
    </w:p>
    <w:p>
      <w:pPr>
        <w:spacing w:before="60" w:after="60"/>
        <w:ind w:left="360"/>
        <w:jc w:val="left"/>
      </w:pPr>
      <w:r>
        <w:rPr>
          <w:rFonts w:ascii="Arial" w:cs="Arial" w:eastAsia="Arial" w:hAnsi="Arial"/>
          <w:b w:val="false"/>
          <w:bCs w:val="false"/>
          <w:color w:val="222222"/>
          <w:sz w:val="20"/>
          <w:szCs w:val="20"/>
        </w:rPr>
        <w:t xml:space="preserve">4.3.2  Vendors must not publicly disclose their engagement with Nexora or use Nexora's name, logo, or trademarks in any marketing, press release, case study, or public statement without prior written approval from Nexora's Marketing team.</w:t>
      </w:r>
    </w:p>
    <w:p>
      <w:pPr>
        <w:spacing w:before="40" w:after="40"/>
      </w:pPr>
      <w:r>
        <w:t xml:space="preserve"/>
      </w:r>
    </w:p>
    <w:p>
      <w:r>
        <w:br w:type="page"/>
      </w:r>
    </w:p>
    <w:p>
      <w:pPr>
        <w:pStyle w:val="Heading1"/>
        <w:spacing w:before="360" w:after="180"/>
      </w:pPr>
      <w:r>
        <w:rPr>
          <w:rFonts w:ascii="Arial" w:cs="Arial" w:eastAsia="Arial" w:hAnsi="Arial"/>
          <w:b/>
          <w:bCs/>
          <w:color w:val="0A2342"/>
          <w:sz w:val="32"/>
          <w:szCs w:val="32"/>
        </w:rPr>
        <w:t xml:space="preserve">SECTION 5: ETHICAL CONDUCT &amp; ANTI-CORRUPTION STANDARDS</w:t>
      </w:r>
    </w:p>
    <w:p>
      <w:pPr>
        <w:spacing w:before="80" w:after="80"/>
        <w:jc w:val="left"/>
      </w:pPr>
      <w:r>
        <w:rPr>
          <w:rFonts w:ascii="Arial" w:cs="Arial" w:eastAsia="Arial" w:hAnsi="Arial"/>
          <w:b w:val="false"/>
          <w:bCs w:val="false"/>
          <w:i w:val="false"/>
          <w:iCs w:val="false"/>
          <w:color w:val="000000"/>
          <w:sz w:val="22"/>
          <w:szCs w:val="22"/>
        </w:rPr>
        <w:t xml:space="preserve">Nexora Technologies is committed to conducting business with integrity and in compliance with all applicable anti-bribery, anti-corruption, and modern slavery laws. All vendors must meet these standards as a condition of engagement.</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5.1 Anti-Bribery and Anti-Corruption</w:t>
      </w:r>
    </w:p>
    <w:p>
      <w:pPr>
        <w:spacing w:before="60" w:after="60"/>
        <w:ind w:left="360"/>
        <w:jc w:val="left"/>
      </w:pPr>
      <w:r>
        <w:rPr>
          <w:rFonts w:ascii="Arial" w:cs="Arial" w:eastAsia="Arial" w:hAnsi="Arial"/>
          <w:b w:val="false"/>
          <w:bCs w:val="false"/>
          <w:color w:val="222222"/>
          <w:sz w:val="20"/>
          <w:szCs w:val="20"/>
        </w:rPr>
        <w:t xml:space="preserve">5.1.1  Vendors must comply with all applicable anti-bribery and anti-corruption laws, including but not limited to the Criminal Code Act 1995 (Cth) Part 7.7, the United States Foreign Corrupt Practices Act (FCPA), and the United Kingdom Bribery Act 2010, to the extent applicable.</w:t>
      </w:r>
    </w:p>
    <w:p>
      <w:pPr>
        <w:spacing w:before="60" w:after="60"/>
        <w:ind w:left="360"/>
        <w:jc w:val="left"/>
      </w:pPr>
      <w:r>
        <w:rPr>
          <w:rFonts w:ascii="Arial" w:cs="Arial" w:eastAsia="Arial" w:hAnsi="Arial"/>
          <w:b w:val="false"/>
          <w:bCs w:val="false"/>
          <w:color w:val="222222"/>
          <w:sz w:val="20"/>
          <w:szCs w:val="20"/>
        </w:rPr>
        <w:t xml:space="preserve">5.1.2  Vendors must not offer, pay, promise, or authorise any bribe, kickback, or improper benefit to any Nexora employee, director, officer, or representative in connection with any Nexora engagement or procurement process.</w:t>
      </w:r>
    </w:p>
    <w:p>
      <w:pPr>
        <w:spacing w:before="60" w:after="60"/>
        <w:ind w:left="360"/>
        <w:jc w:val="left"/>
      </w:pPr>
      <w:r>
        <w:rPr>
          <w:rFonts w:ascii="Arial" w:cs="Arial" w:eastAsia="Arial" w:hAnsi="Arial"/>
          <w:b w:val="false"/>
          <w:bCs w:val="false"/>
          <w:color w:val="222222"/>
          <w:sz w:val="20"/>
          <w:szCs w:val="20"/>
        </w:rPr>
        <w:t xml:space="preserve">5.1.3  Vendors must maintain adequate anti-bribery and anti-corruption policies and controls. Nexora reserves the right to audit a vendor's anti-corruption controls as part of the qualification and annual review process.</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5.2 Modern Slavery</w:t>
      </w:r>
    </w:p>
    <w:p>
      <w:pPr>
        <w:spacing w:before="60" w:after="60"/>
        <w:ind w:left="360"/>
        <w:jc w:val="left"/>
      </w:pPr>
      <w:r>
        <w:rPr>
          <w:rFonts w:ascii="Arial" w:cs="Arial" w:eastAsia="Arial" w:hAnsi="Arial"/>
          <w:b w:val="false"/>
          <w:bCs w:val="false"/>
          <w:color w:val="222222"/>
          <w:sz w:val="20"/>
          <w:szCs w:val="20"/>
        </w:rPr>
        <w:t xml:space="preserve">5.2.1  Vendors must comply with the Modern Slavery Act 2018 (Cth) and its equivalent legislation in any jurisdiction where they operate. Vendors must not engage in or facilitate any form of modern slavery, forced labour, child labour, or human trafficking in their operations or supply chain.</w:t>
      </w:r>
    </w:p>
    <w:p>
      <w:pPr>
        <w:spacing w:before="60" w:after="60"/>
        <w:ind w:left="360"/>
        <w:jc w:val="left"/>
      </w:pPr>
      <w:r>
        <w:rPr>
          <w:rFonts w:ascii="Arial" w:cs="Arial" w:eastAsia="Arial" w:hAnsi="Arial"/>
          <w:b w:val="false"/>
          <w:bCs w:val="false"/>
          <w:color w:val="222222"/>
          <w:sz w:val="20"/>
          <w:szCs w:val="20"/>
        </w:rPr>
        <w:t xml:space="preserve">5.2.2  Tier A and Tier B vendors must provide Nexora with an annual Modern Slavery statement detailing the steps taken to identify and address modern slavery risks in their operations and supply chains.</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5.3 Conflicts of Interest</w:t>
      </w:r>
    </w:p>
    <w:p>
      <w:pPr>
        <w:spacing w:before="60" w:after="60"/>
        <w:ind w:left="360"/>
        <w:jc w:val="left"/>
      </w:pPr>
      <w:r>
        <w:rPr>
          <w:rFonts w:ascii="Arial" w:cs="Arial" w:eastAsia="Arial" w:hAnsi="Arial"/>
          <w:b w:val="false"/>
          <w:bCs w:val="false"/>
          <w:color w:val="222222"/>
          <w:sz w:val="20"/>
          <w:szCs w:val="20"/>
        </w:rPr>
        <w:t xml:space="preserve">5.3.1  Vendors must promptly disclose to Nexora's General Counsel any actual or potential conflict of interest arising in connection with their engagement with Nexora, including any financial or personal interest of vendor personnel in competing or related business activities.</w:t>
      </w:r>
    </w:p>
    <w:p>
      <w:pPr>
        <w:spacing w:before="60" w:after="60"/>
        <w:ind w:left="360"/>
        <w:jc w:val="left"/>
      </w:pPr>
      <w:r>
        <w:rPr>
          <w:rFonts w:ascii="Arial" w:cs="Arial" w:eastAsia="Arial" w:hAnsi="Arial"/>
          <w:b w:val="false"/>
          <w:bCs w:val="false"/>
          <w:color w:val="222222"/>
          <w:sz w:val="20"/>
          <w:szCs w:val="20"/>
        </w:rPr>
        <w:t xml:space="preserve">5.3.2  Failure to disclose a material conflict of interest constitutes a material breach of the vendor agreement and may result in immediate termination for cause.</w:t>
      </w:r>
    </w:p>
    <w:p>
      <w:pPr>
        <w:spacing w:before="40" w:after="40"/>
      </w:pPr>
      <w:r>
        <w:t xml:space="preserve"/>
      </w:r>
    </w:p>
    <w:p>
      <w:r>
        <w:br w:type="page"/>
      </w:r>
    </w:p>
    <w:p>
      <w:pPr>
        <w:pStyle w:val="Heading1"/>
        <w:spacing w:before="360" w:after="180"/>
      </w:pPr>
      <w:r>
        <w:rPr>
          <w:rFonts w:ascii="Arial" w:cs="Arial" w:eastAsia="Arial" w:hAnsi="Arial"/>
          <w:b/>
          <w:bCs/>
          <w:color w:val="0A2342"/>
          <w:sz w:val="32"/>
          <w:szCs w:val="32"/>
        </w:rPr>
        <w:t xml:space="preserve">SECTION 6: SERVICE PERFORMANCE &amp; SLA FRAMEWORK</w:t>
      </w:r>
    </w:p>
    <w:p>
      <w:pPr>
        <w:spacing w:before="80" w:after="80"/>
        <w:jc w:val="left"/>
      </w:pPr>
      <w:r>
        <w:rPr>
          <w:rFonts w:ascii="Arial" w:cs="Arial" w:eastAsia="Arial" w:hAnsi="Arial"/>
          <w:b w:val="false"/>
          <w:bCs w:val="false"/>
          <w:i w:val="false"/>
          <w:iCs w:val="false"/>
          <w:color w:val="000000"/>
          <w:sz w:val="22"/>
          <w:szCs w:val="22"/>
        </w:rPr>
        <w:t xml:space="preserve">This section establishes Nexora's standard service performance requirements and the framework for Service Level Agreements (SLAs). Specific SLA metrics applicable to each engagement will be defined in the relevant Statement of Work, but shall not fall below the minimums set out in this section.</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6.1 Standard Service Level Requirements</w:t>
      </w:r>
    </w:p>
    <w:p>
      <w:pPr>
        <w:spacing w:before="80" w:after="80"/>
        <w:jc w:val="left"/>
      </w:pPr>
      <w:r>
        <w:rPr>
          <w:rFonts w:ascii="Arial" w:cs="Arial" w:eastAsia="Arial" w:hAnsi="Arial"/>
          <w:b w:val="false"/>
          <w:bCs w:val="false"/>
          <w:i w:val="false"/>
          <w:iCs w:val="false"/>
          <w:color w:val="000000"/>
          <w:sz w:val="22"/>
          <w:szCs w:val="22"/>
        </w:rPr>
        <w:t xml:space="preserve">The following table defines minimum acceptable service levels for vendor-delivered services by service category: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Service Category</w:t>
            </w:r>
          </w:p>
        </w:tc>
        <w:tc>
          <w:tcPr>
            <w:tcW w:type="dxa" w:w="2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Uptime / Availability</w:t>
            </w:r>
          </w:p>
        </w:tc>
        <w:tc>
          <w:tcPr>
            <w:tcW w:type="dxa" w:w="22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Response Time (P1)</w:t>
            </w:r>
          </w:p>
        </w:tc>
        <w:tc>
          <w:tcPr>
            <w:tcW w:type="dxa" w:w="22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Resolution Time (P1)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Managed IT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99.9% monthly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minutes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 Infrastructure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99.95% monthly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minutes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Software-as-a-Service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99.5% monthly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hour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Professional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hours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business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 &amp; Supply Chain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98% on-time delivery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day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business days</w:t>
            </w:r>
          </w:p>
        </w:tc>
      </w:tr>
    </w:tbl>
    <w:p>
      <w:pPr>
        <w:spacing w:before="40" w:after="40"/>
      </w:pPr>
      <w:r>
        <w:t xml:space="preserve"/>
      </w:r>
    </w:p>
    <w:p>
      <w:pPr>
        <w:pStyle w:val="Heading2"/>
        <w:spacing w:before="240" w:after="120"/>
      </w:pPr>
      <w:r>
        <w:rPr>
          <w:rFonts w:ascii="Arial" w:cs="Arial" w:eastAsia="Arial" w:hAnsi="Arial"/>
          <w:b/>
          <w:bCs/>
          <w:color w:val="1B4F8A"/>
          <w:sz w:val="26"/>
          <w:szCs w:val="26"/>
        </w:rPr>
        <w:t xml:space="preserve">6.2 Performance Reporting</w:t>
      </w:r>
    </w:p>
    <w:p>
      <w:pPr>
        <w:spacing w:before="60" w:after="60"/>
        <w:ind w:left="360"/>
        <w:jc w:val="left"/>
      </w:pPr>
      <w:r>
        <w:rPr>
          <w:rFonts w:ascii="Arial" w:cs="Arial" w:eastAsia="Arial" w:hAnsi="Arial"/>
          <w:b w:val="false"/>
          <w:bCs w:val="false"/>
          <w:color w:val="222222"/>
          <w:sz w:val="20"/>
          <w:szCs w:val="20"/>
        </w:rPr>
        <w:t xml:space="preserve">6.2.1  Vendors providing managed or ongoing services must submit a monthly performance report to Nexora's account manager within five (5) business days of each calendar month end. The report must include uptime metrics, incident summaries, SLA performance against all agreed metrics, and a forward-looking risk register.</w:t>
      </w:r>
    </w:p>
    <w:p>
      <w:pPr>
        <w:spacing w:before="60" w:after="60"/>
        <w:ind w:left="360"/>
        <w:jc w:val="left"/>
      </w:pPr>
      <w:r>
        <w:rPr>
          <w:rFonts w:ascii="Arial" w:cs="Arial" w:eastAsia="Arial" w:hAnsi="Arial"/>
          <w:b w:val="false"/>
          <w:bCs w:val="false"/>
          <w:color w:val="222222"/>
          <w:sz w:val="20"/>
          <w:szCs w:val="20"/>
        </w:rPr>
        <w:t xml:space="preserve">6.2.2  Failure to meet SLA targets for three (3) or more consecutive months constitutes a material breach of the vendor agreement and triggers Nexora's right to terminate for cause under Clause 1.2.3(d).</w:t>
      </w:r>
    </w:p>
    <w:p>
      <w:pPr>
        <w:spacing w:before="60" w:after="60"/>
        <w:ind w:left="360"/>
        <w:jc w:val="left"/>
      </w:pPr>
      <w:r>
        <w:rPr>
          <w:rFonts w:ascii="Arial" w:cs="Arial" w:eastAsia="Arial" w:hAnsi="Arial"/>
          <w:b w:val="false"/>
          <w:bCs w:val="false"/>
          <w:color w:val="222222"/>
          <w:sz w:val="20"/>
          <w:szCs w:val="20"/>
        </w:rPr>
        <w:t xml:space="preserve">6.2.3  SLA credits and service remedies shall be defined in the applicable Statement of Work. The total value of SLA credits in any calendar month shall not exceed fifteen percent (15%) of that month's invoiced fees. SLA credits do not limit Nexora's right to claim damages where losses exceed the credit value.</w:t>
      </w:r>
    </w:p>
    <w:p>
      <w:pPr>
        <w:spacing w:before="40" w:after="40"/>
      </w:pPr>
      <w:r>
        <w:t xml:space="preserve"/>
      </w:r>
    </w:p>
    <w:p>
      <w:r>
        <w:br w:type="page"/>
      </w:r>
    </w:p>
    <w:p>
      <w:pPr>
        <w:pStyle w:val="Heading1"/>
        <w:spacing w:before="360" w:after="180"/>
      </w:pPr>
      <w:r>
        <w:rPr>
          <w:rFonts w:ascii="Arial" w:cs="Arial" w:eastAsia="Arial" w:hAnsi="Arial"/>
          <w:b/>
          <w:bCs/>
          <w:color w:val="0A2342"/>
          <w:sz w:val="32"/>
          <w:szCs w:val="32"/>
        </w:rPr>
        <w:t xml:space="preserve">SECTION 7: FINANCIAL GOVERNANCE &amp; AUDIT RIGHTS</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7.1 Financial Reporting Obligations</w:t>
      </w:r>
    </w:p>
    <w:p>
      <w:pPr>
        <w:spacing w:before="60" w:after="60"/>
        <w:ind w:left="360"/>
        <w:jc w:val="left"/>
      </w:pPr>
      <w:r>
        <w:rPr>
          <w:rFonts w:ascii="Arial" w:cs="Arial" w:eastAsia="Arial" w:hAnsi="Arial"/>
          <w:b w:val="false"/>
          <w:bCs w:val="false"/>
          <w:color w:val="222222"/>
          <w:sz w:val="20"/>
          <w:szCs w:val="20"/>
        </w:rPr>
        <w:t xml:space="preserve">7.1.1  Tier A vendors must provide Nexora with their most recent annual audited financial statements within thirty (30) days of Nexora's written request. For vendors with annual fees exceeding $1,000,000 AUD, such statements must be provided proactively at the commencement of each contract year without request.</w:t>
      </w:r>
    </w:p>
    <w:p>
      <w:pPr>
        <w:spacing w:before="60" w:after="60"/>
        <w:ind w:left="360"/>
        <w:jc w:val="left"/>
      </w:pPr>
      <w:r>
        <w:rPr>
          <w:rFonts w:ascii="Arial" w:cs="Arial" w:eastAsia="Arial" w:hAnsi="Arial"/>
          <w:b w:val="false"/>
          <w:bCs w:val="false"/>
          <w:color w:val="222222"/>
          <w:sz w:val="20"/>
          <w:szCs w:val="20"/>
        </w:rPr>
        <w:t xml:space="preserve">7.1.2  Vendors must notify Nexora in writing within five (5) business days if they become aware of any event that may materially affect their financial viability or ability to continue performing contracted services, including (a) commencement of insolvency proceedings; (b) appointment of a receiver or administrator; (c) loss of key insurance coverage; or (d) any regulatory enforcement action carrying potential financial penalties exceeding $500,000 AUD.</w:t>
      </w:r>
    </w:p>
    <w:p>
      <w:pPr>
        <w:spacing w:before="40" w:after="40"/>
      </w:pPr>
      <w:r>
        <w:t xml:space="preserve"/>
      </w:r>
    </w:p>
    <w:p>
      <w:pPr>
        <w:pStyle w:val="Heading2"/>
        <w:spacing w:before="240" w:after="120"/>
      </w:pPr>
      <w:r>
        <w:rPr>
          <w:rFonts w:ascii="Arial" w:cs="Arial" w:eastAsia="Arial" w:hAnsi="Arial"/>
          <w:b/>
          <w:bCs/>
          <w:color w:val="1B4F8A"/>
          <w:sz w:val="26"/>
          <w:szCs w:val="26"/>
        </w:rPr>
        <w:t xml:space="preserve">7.2 Audit Rights</w:t>
      </w:r>
    </w:p>
    <w:p>
      <w:pPr>
        <w:spacing w:before="60" w:after="60"/>
        <w:ind w:left="360"/>
        <w:jc w:val="left"/>
      </w:pPr>
      <w:r>
        <w:rPr>
          <w:rFonts w:ascii="Arial" w:cs="Arial" w:eastAsia="Arial" w:hAnsi="Arial"/>
          <w:b w:val="false"/>
          <w:bCs w:val="false"/>
          <w:color w:val="222222"/>
          <w:sz w:val="20"/>
          <w:szCs w:val="20"/>
        </w:rPr>
        <w:t xml:space="preserve">7.2.1  Nexora reserves the right to audit any vendor's compliance with this Playbook, including financial records, security controls, and contractual obligations, upon thirty (30) days' written notice. Audits shall be conducted by Nexora or its authorised third-party auditor during normal business hours and shall not unreasonably disrupt the vendor's operations.</w:t>
      </w:r>
    </w:p>
    <w:p>
      <w:pPr>
        <w:spacing w:before="60" w:after="60"/>
        <w:ind w:left="360"/>
        <w:jc w:val="left"/>
      </w:pPr>
      <w:r>
        <w:rPr>
          <w:rFonts w:ascii="Arial" w:cs="Arial" w:eastAsia="Arial" w:hAnsi="Arial"/>
          <w:b w:val="false"/>
          <w:bCs w:val="false"/>
          <w:color w:val="222222"/>
          <w:sz w:val="20"/>
          <w:szCs w:val="20"/>
        </w:rPr>
        <w:t xml:space="preserve">7.2.2  For Tier A and Tier B vendors, Nexora may conduct annual security compliance audits without prior notice for cause, where Nexora has reasonable grounds to suspect a security incident, data breach, or material non-compliance.</w:t>
      </w:r>
    </w:p>
    <w:p>
      <w:pPr>
        <w:spacing w:before="60" w:after="60"/>
        <w:ind w:left="360"/>
        <w:jc w:val="left"/>
      </w:pPr>
      <w:r>
        <w:rPr>
          <w:rFonts w:ascii="Arial" w:cs="Arial" w:eastAsia="Arial" w:hAnsi="Arial"/>
          <w:b w:val="false"/>
          <w:bCs w:val="false"/>
          <w:color w:val="222222"/>
          <w:sz w:val="20"/>
          <w:szCs w:val="20"/>
        </w:rPr>
        <w:t xml:space="preserve">7.2.3  Vendors must retain all records relevant to their Nexora engagement (financial records, service delivery records, security logs, and incident records) for a minimum of seven (7) years from the date of the relevant transaction or event, or such longer period as required by law.</w:t>
      </w:r>
    </w:p>
    <w:p>
      <w:pPr>
        <w:spacing w:before="60" w:after="60"/>
        <w:ind w:left="360"/>
        <w:jc w:val="left"/>
      </w:pPr>
      <w:r>
        <w:rPr>
          <w:rFonts w:ascii="Arial" w:cs="Arial" w:eastAsia="Arial" w:hAnsi="Arial"/>
          <w:b w:val="false"/>
          <w:bCs w:val="false"/>
          <w:color w:val="222222"/>
          <w:sz w:val="20"/>
          <w:szCs w:val="20"/>
        </w:rPr>
        <w:t xml:space="preserve">7.2.4  Vendors must cooperate fully with any regulatory audit or investigation by an Australian or international regulatory body where Nexora data or Nexora's engagement with the vendor is within scope. Vendors must notify Nexora within twenty-four (24) hours of receiving any regulatory inquiry or enforcement notice that involves Nexora.</w:t>
      </w:r>
    </w:p>
    <w:p>
      <w:pPr>
        <w:spacing w:before="40" w:after="40"/>
      </w:pPr>
      <w:r>
        <w:t xml:space="preserve"/>
      </w:r>
    </w:p>
    <w:p>
      <w:r>
        <w:br w:type="page"/>
      </w:r>
    </w:p>
    <w:p>
      <w:pPr>
        <w:pStyle w:val="Heading1"/>
        <w:spacing w:before="360" w:after="180"/>
      </w:pPr>
      <w:r>
        <w:rPr>
          <w:rFonts w:ascii="Arial" w:cs="Arial" w:eastAsia="Arial" w:hAnsi="Arial"/>
          <w:b/>
          <w:bCs/>
          <w:color w:val="0A2342"/>
          <w:sz w:val="32"/>
          <w:szCs w:val="32"/>
        </w:rPr>
        <w:t xml:space="preserve">APPENDIX A — SUPPLIER RISK CLASSIFICATION MATRIX</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187"/>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Tier A — Strategic</w:t>
            </w:r>
          </w:p>
        </w:tc>
        <w:tc>
          <w:tcPr>
            <w:tcW w:type="dxa" w:w="2187"/>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Tier B — Preferred</w:t>
            </w:r>
          </w:p>
        </w:tc>
        <w:tc>
          <w:tcPr>
            <w:tcW w:type="dxa" w:w="2186"/>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Tier C — Approved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Spend</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Above $3M AUD</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$500K–$3M AUD</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$100K–$500K AUD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Access Level</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systems / PII</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systems</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 / 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Due Diligence</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Enhanced + on-site</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Enhanced</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Review</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GC required</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required</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Procurement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Audit</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 cause</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Biennial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Insurance Required</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 $10M minimum</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 $5M minimum</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 $2M minimum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 Review</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Biannual</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Upon renewal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Review</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audited stmts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Upon request</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 needed</w:t>
            </w:r>
          </w:p>
        </w:tc>
      </w:tr>
    </w:tbl>
    <w:p>
      <w:pPr>
        <w:spacing w:before="40" w:after="40"/>
      </w:pPr>
      <w:r>
        <w:t xml:space="preserve"/>
      </w:r>
    </w:p>
    <w:p>
      <w:pPr>
        <w:pStyle w:val="Heading1"/>
        <w:spacing w:before="360" w:after="180"/>
      </w:pPr>
      <w:r>
        <w:rPr>
          <w:rFonts w:ascii="Arial" w:cs="Arial" w:eastAsia="Arial" w:hAnsi="Arial"/>
          <w:b/>
          <w:bCs/>
          <w:color w:val="0A2342"/>
          <w:sz w:val="32"/>
          <w:szCs w:val="32"/>
        </w:rPr>
        <w:t xml:space="preserve">APPENDIX B — INFORMATION SECURITY BASELINE CHECKLIST</w:t>
      </w:r>
    </w:p>
    <w:p>
      <w:pPr>
        <w:spacing w:before="80" w:after="80"/>
        <w:jc w:val="left"/>
      </w:pPr>
      <w:r>
        <w:rPr>
          <w:rFonts w:ascii="Arial" w:cs="Arial" w:eastAsia="Arial" w:hAnsi="Arial"/>
          <w:b w:val="false"/>
          <w:bCs w:val="false"/>
          <w:i w:val="false"/>
          <w:iCs w:val="false"/>
          <w:color w:val="000000"/>
          <w:sz w:val="22"/>
          <w:szCs w:val="22"/>
        </w:rPr>
        <w:t xml:space="preserve">The following checklist must be completed and returned by all vendors as part of the qualification process. Tier A and Tier B vendors must provide supporting documentation for each item. Tier C and Tier D vendors must attest to compliance.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Security Domain</w:t>
            </w:r>
          </w:p>
        </w:tc>
        <w:tc>
          <w:tcPr>
            <w:tcW w:type="dxa" w:w="61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Baseline Requirement (Yes / No / N/A + Evidence Reference)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Access Control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RBAC implemented; privileged access reviewed quarterly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Encryption at Rest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AES-256 for all Nexora data; key rotation every 180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Encryption in Transit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1.3 enforced; no TLS 1.0 or 1.1 in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MFA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MFA enabled for all remote and privileged access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Vulnerability Scanning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 automated scans; critical patches within 48 hours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Penetration Testing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test by CREST-accredited provider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Incident Response Plan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 IRP in place; tested biannually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Data Disposal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Nexora data deleted within 14 days of contract end; certified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Background Checks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National Police Check completed for all personnel with data access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Audit Logging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access events logged; 24-month retention; tamper-evident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EDR/XDR Deployment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EDR/XDR deployed on all endpoints accessing Nexora systems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ISO 27001 / SOC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certification or report held; shared with Nexora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Business Continuity Plan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 BCP/DRP; tested annually; RTO &lt; 4 hours for Tier 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Privacy Impact Assessment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PIA completed for all Nexora personal data processing activities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Modern Slavery Statement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statement published (Tier A and Tier B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Cyber Insurance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Coverage meets minimum requirement for applicable tier</w:t>
            </w:r>
          </w:p>
        </w:tc>
      </w:tr>
    </w:tbl>
    <w:p>
      <w:pPr>
        <w:spacing w:before="40" w:after="40"/>
      </w:pPr>
      <w:r>
        <w:t xml:space="preserve"/>
      </w:r>
    </w:p>
    <w:p>
      <w:pPr>
        <w:pBdr>
          <w:bottom w:val="single" w:color="1B4F8A" w:sz="4" w:space="1"/>
        </w:pBdr>
        <w:spacing w:before="120" w:after="120"/>
      </w:pPr>
    </w:p>
    <w:p>
      <w:pPr>
        <w:spacing w:before="180" w:after="60"/>
        <w:jc w:val="center"/>
      </w:pPr>
      <w:r>
        <w:rPr>
          <w:rFonts w:ascii="Arial" w:cs="Arial" w:eastAsia="Arial" w:hAnsi="Arial"/>
          <w:b/>
          <w:bCs/>
          <w:i w:val="false"/>
          <w:iCs w:val="false"/>
          <w:color w:val="0A2342"/>
          <w:sz w:val="22"/>
          <w:szCs w:val="22"/>
        </w:rPr>
        <w:t xml:space="preserve">NEXORA TECHNOLOGIES, INC. — CONFIDENTIAL</w:t>
      </w:r>
    </w:p>
    <w:p>
      <w:pPr>
        <w:spacing w:before="80" w:after="80"/>
        <w:jc w:val="center"/>
      </w:pPr>
      <w:r>
        <w:rPr>
          <w:rFonts w:ascii="Arial" w:cs="Arial" w:eastAsia="Arial" w:hAnsi="Arial"/>
          <w:b w:val="false"/>
          <w:bCs w:val="false"/>
          <w:i w:val="false"/>
          <w:iCs w:val="false"/>
          <w:color w:val="777777"/>
          <w:sz w:val="18"/>
          <w:szCs w:val="18"/>
        </w:rPr>
        <w:t xml:space="preserve">Standard Vendor &amp; Supplier Engagement Playbook v2.1 | Effective March 1, 2025</w:t>
      </w:r>
    </w:p>
    <w:p>
      <w:pPr>
        <w:spacing w:before="80" w:after="80"/>
        <w:jc w:val="center"/>
      </w:pPr>
      <w:r>
        <w:rPr>
          <w:rFonts w:ascii="Arial" w:cs="Arial" w:eastAsia="Arial" w:hAnsi="Arial"/>
          <w:b w:val="false"/>
          <w:bCs w:val="false"/>
          <w:i/>
          <w:iCs/>
          <w:color w:val="777777"/>
          <w:sz w:val="18"/>
          <w:szCs w:val="18"/>
        </w:rPr>
        <w:t xml:space="preserve">Unauthorised reproduction or disclosure is strictly prohibited.</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234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4F8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2026-03-15T17:19:33.268Z</dcterms:created>
  <dcterms:modified xsi:type="dcterms:W3CDTF">2026-03-15T17:19:33.269Z</dcterms:modified>
</cp:coreProperties>
</file>

<file path=docProps/custom.xml><?xml version="1.0" encoding="utf-8"?>
<Properties xmlns="http://schemas.openxmlformats.org/officeDocument/2006/custom-properties" xmlns:vt="http://schemas.openxmlformats.org/officeDocument/2006/docPropsVTypes"/>
</file>