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61" w:line="295" w:lineRule="auto"/>
        <w:ind w:left="2875" w:hanging="704"/>
        <w:rPr>
          <w:sz w:val="44"/>
          <w:szCs w:val="44"/>
        </w:rPr>
      </w:pPr>
      <w:r w:rsidDel="00000000" w:rsidR="00000000" w:rsidRPr="00000000">
        <w:rPr>
          <w:rFonts w:ascii="Gungsuh" w:cs="Gungsuh" w:eastAsia="Gungsuh" w:hAnsi="Gungsuh"/>
          <w:sz w:val="44"/>
          <w:szCs w:val="44"/>
          <w:rtl w:val="0"/>
        </w:rPr>
        <w:t xml:space="preserve">云南大学软件学院期末课程报告</w:t>
      </w:r>
      <w:r w:rsidDel="00000000" w:rsidR="00000000" w:rsidRPr="00000000">
        <w:drawing>
          <wp:anchor allowOverlap="1" behindDoc="0" distB="0" distT="0" distL="0" distR="0" hidden="0" layoutInCell="1" locked="0" relativeHeight="0" simplePos="0">
            <wp:simplePos x="0" y="0"/>
            <wp:positionH relativeFrom="column">
              <wp:posOffset>342900</wp:posOffset>
            </wp:positionH>
            <wp:positionV relativeFrom="paragraph">
              <wp:posOffset>238125</wp:posOffset>
            </wp:positionV>
            <wp:extent cx="833168" cy="893079"/>
            <wp:effectExtent b="0" l="0" r="0" t="0"/>
            <wp:wrapNone/>
            <wp:docPr descr="XH-2" id="1" name="image1.png"/>
            <a:graphic>
              <a:graphicData uri="http://schemas.openxmlformats.org/drawingml/2006/picture">
                <pic:pic>
                  <pic:nvPicPr>
                    <pic:cNvPr descr="XH-2" id="0" name="image1.png"/>
                    <pic:cNvPicPr preferRelativeResize="0"/>
                  </pic:nvPicPr>
                  <pic:blipFill>
                    <a:blip r:embed="rId6"/>
                    <a:srcRect b="0" l="0" r="0" t="0"/>
                    <a:stretch>
                      <a:fillRect/>
                    </a:stretch>
                  </pic:blipFill>
                  <pic:spPr>
                    <a:xfrm>
                      <a:off x="0" y="0"/>
                      <a:ext cx="833168" cy="893079"/>
                    </a:xfrm>
                    <a:prstGeom prst="rect"/>
                    <a:ln/>
                  </pic:spPr>
                </pic:pic>
              </a:graphicData>
            </a:graphic>
          </wp:anchor>
        </w:drawing>
      </w:r>
    </w:p>
    <w:p w:rsidR="00000000" w:rsidDel="00000000" w:rsidP="00000000" w:rsidRDefault="00000000" w:rsidRPr="00000000" w14:paraId="00000002">
      <w:pPr>
        <w:widowControl w:val="0"/>
        <w:spacing w:before="61" w:line="295" w:lineRule="auto"/>
        <w:ind w:left="3595" w:hanging="703.9999999999998"/>
        <w:rPr>
          <w:sz w:val="44"/>
          <w:szCs w:val="44"/>
        </w:rPr>
      </w:pPr>
      <w:r w:rsidDel="00000000" w:rsidR="00000000" w:rsidRPr="00000000">
        <w:rPr>
          <w:sz w:val="44"/>
          <w:szCs w:val="44"/>
          <w:rtl w:val="0"/>
        </w:rPr>
        <w:t xml:space="preserve">     Midterm Report</w:t>
      </w:r>
    </w:p>
    <w:p w:rsidR="00000000" w:rsidDel="00000000" w:rsidP="00000000" w:rsidRDefault="00000000" w:rsidRPr="00000000" w14:paraId="00000003">
      <w:pPr>
        <w:widowControl w:val="0"/>
        <w:spacing w:line="238" w:lineRule="auto"/>
        <w:ind w:left="2957" w:firstLine="0"/>
        <w:rPr>
          <w:b w:val="1"/>
          <w:bCs w:val="1"/>
        </w:rPr>
      </w:pPr>
      <w:r w:rsidDel="00000000" w:rsidR="00000000" w:rsidRPr="00000000">
        <w:rPr>
          <w:b w:val="1"/>
          <w:bCs w:val="1"/>
          <w:rtl w:val="0"/>
        </w:rPr>
        <w:t xml:space="preserve">School of Software, Yunnan University</w:t>
      </w:r>
    </w:p>
    <w:p w:rsidR="00000000" w:rsidDel="00000000" w:rsidP="00000000" w:rsidRDefault="00000000" w:rsidRPr="00000000" w14:paraId="00000004">
      <w:pPr>
        <w:widowControl w:val="0"/>
        <w:rPr>
          <w:b w:val="1"/>
          <w:bCs w:val="1"/>
        </w:rPr>
      </w:pPr>
      <w:r w:rsidDel="00000000" w:rsidR="00000000" w:rsidRPr="00000000">
        <w:rPr>
          <w:rtl w:val="0"/>
        </w:rPr>
      </w:r>
    </w:p>
    <w:p w:rsidR="00000000" w:rsidDel="00000000" w:rsidP="00000000" w:rsidRDefault="00000000" w:rsidRPr="00000000" w14:paraId="00000005">
      <w:pPr>
        <w:widowControl w:val="0"/>
        <w:spacing w:before="149" w:lineRule="auto"/>
        <w:rPr>
          <w:b w:val="1"/>
          <w:bCs w:val="1"/>
        </w:rPr>
      </w:pPr>
      <w:r w:rsidDel="00000000" w:rsidR="00000000" w:rsidRPr="00000000">
        <w:rPr>
          <w:rtl w:val="0"/>
        </w:rPr>
      </w:r>
    </w:p>
    <w:p w:rsidR="00000000" w:rsidDel="00000000" w:rsidP="00000000" w:rsidRDefault="00000000" w:rsidRPr="00000000" w14:paraId="00000006">
      <w:pPr>
        <w:widowControl w:val="0"/>
        <w:spacing w:before="209" w:lineRule="auto"/>
        <w:ind w:right="849"/>
        <w:jc w:val="center"/>
        <w:rPr>
          <w:b w:val="1"/>
          <w:bCs w:val="1"/>
          <w:sz w:val="32"/>
          <w:szCs w:val="32"/>
        </w:rPr>
      </w:pPr>
      <w:r w:rsidDel="00000000" w:rsidR="00000000" w:rsidRPr="00000000">
        <w:rPr>
          <w:rFonts w:ascii="Gungsuh" w:cs="Gungsuh" w:eastAsia="Gungsuh" w:hAnsi="Gungsuh"/>
          <w:b w:val="1"/>
          <w:bCs w:val="1"/>
          <w:sz w:val="32"/>
          <w:szCs w:val="32"/>
          <w:rtl w:val="0"/>
        </w:rPr>
        <w:t xml:space="preserve">个人成绩</w:t>
      </w:r>
    </w:p>
    <w:p w:rsidR="00000000" w:rsidDel="00000000" w:rsidP="00000000" w:rsidRDefault="00000000" w:rsidRPr="00000000" w14:paraId="00000007">
      <w:pPr>
        <w:widowControl w:val="0"/>
        <w:tabs>
          <w:tab w:val="left" w:leader="none" w:pos="5228"/>
          <w:tab w:val="left" w:leader="none" w:pos="8977"/>
        </w:tabs>
        <w:spacing w:before="1" w:lineRule="auto"/>
        <w:ind w:left="1505" w:firstLine="0"/>
        <w:jc w:val="both"/>
        <w:rPr>
          <w:sz w:val="36"/>
          <w:szCs w:val="36"/>
        </w:rPr>
      </w:pPr>
      <w:r w:rsidDel="00000000" w:rsidR="00000000" w:rsidRPr="00000000">
        <w:rPr>
          <w:rtl w:val="0"/>
        </w:rPr>
      </w:r>
    </w:p>
    <w:tbl>
      <w:tblPr>
        <w:tblStyle w:val="Table1"/>
        <w:tblW w:w="9660.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2805"/>
        <w:gridCol w:w="1770"/>
        <w:gridCol w:w="2340"/>
        <w:tblGridChange w:id="0">
          <w:tblGrid>
            <w:gridCol w:w="2745"/>
            <w:gridCol w:w="2805"/>
            <w:gridCol w:w="1770"/>
            <w:gridCol w:w="2340"/>
          </w:tblGrid>
        </w:tblGridChange>
      </w:tblGrid>
      <w:tr>
        <w:trPr>
          <w:cantSplit w:val="0"/>
          <w:trHeight w:val="44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jc w:val="center"/>
              <w:rPr>
                <w:sz w:val="36"/>
                <w:szCs w:val="36"/>
              </w:rPr>
            </w:pPr>
            <w:r w:rsidDel="00000000" w:rsidR="00000000" w:rsidRPr="00000000">
              <w:rPr>
                <w:rFonts w:ascii="Gungsuh" w:cs="Gungsuh" w:eastAsia="Gungsuh" w:hAnsi="Gungsuh"/>
                <w:sz w:val="36"/>
                <w:szCs w:val="36"/>
                <w:rtl w:val="0"/>
              </w:rPr>
              <w:t xml:space="preserve">学号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jc w:val="center"/>
              <w:rPr>
                <w:sz w:val="36"/>
                <w:szCs w:val="36"/>
              </w:rPr>
            </w:pPr>
            <w:r w:rsidDel="00000000" w:rsidR="00000000" w:rsidRPr="00000000">
              <w:rPr>
                <w:rFonts w:ascii="Gungsuh" w:cs="Gungsuh" w:eastAsia="Gungsuh" w:hAnsi="Gungsuh"/>
                <w:sz w:val="36"/>
                <w:szCs w:val="36"/>
                <w:rtl w:val="0"/>
              </w:rPr>
              <w:t xml:space="preserve">姓名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jc w:val="center"/>
              <w:rPr>
                <w:sz w:val="36"/>
                <w:szCs w:val="36"/>
              </w:rPr>
            </w:pPr>
            <w:r w:rsidDel="00000000" w:rsidR="00000000" w:rsidRPr="00000000">
              <w:rPr>
                <w:rFonts w:ascii="Gungsuh" w:cs="Gungsuh" w:eastAsia="Gungsuh" w:hAnsi="Gungsuh"/>
                <w:sz w:val="36"/>
                <w:szCs w:val="36"/>
                <w:rtl w:val="0"/>
              </w:rPr>
              <w:t xml:space="preserve">专业</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jc w:val="center"/>
              <w:rPr>
                <w:sz w:val="36"/>
                <w:szCs w:val="36"/>
              </w:rPr>
            </w:pPr>
            <w:r w:rsidDel="00000000" w:rsidR="00000000" w:rsidRPr="00000000">
              <w:rPr>
                <w:rFonts w:ascii="Gungsuh" w:cs="Gungsuh" w:eastAsia="Gungsuh" w:hAnsi="Gungsuh"/>
                <w:sz w:val="36"/>
                <w:szCs w:val="36"/>
                <w:rtl w:val="0"/>
              </w:rPr>
              <w:t xml:space="preserve">成绩</w:t>
            </w:r>
          </w:p>
        </w:tc>
      </w:tr>
      <w:tr>
        <w:trPr>
          <w:cantSplit w:val="0"/>
          <w:trHeight w:val="413.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jc w:val="center"/>
              <w:rPr>
                <w:sz w:val="36"/>
                <w:szCs w:val="36"/>
              </w:rPr>
            </w:pPr>
            <w:r w:rsidDel="00000000" w:rsidR="00000000" w:rsidRPr="00000000">
              <w:rPr>
                <w:sz w:val="36"/>
                <w:szCs w:val="36"/>
                <w:rtl w:val="0"/>
              </w:rPr>
              <w:t xml:space="preserve">20233120001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jc w:val="center"/>
              <w:rPr>
                <w:sz w:val="36"/>
                <w:szCs w:val="36"/>
              </w:rPr>
            </w:pPr>
            <w:r w:rsidDel="00000000" w:rsidR="00000000" w:rsidRPr="00000000">
              <w:rPr>
                <w:sz w:val="36"/>
                <w:szCs w:val="36"/>
                <w:rtl w:val="0"/>
              </w:rPr>
              <w:t xml:space="preserve">MIA MD RAKIB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center"/>
              <w:rPr>
                <w:sz w:val="36"/>
                <w:szCs w:val="36"/>
              </w:rPr>
            </w:pPr>
            <w:r w:rsidDel="00000000" w:rsidR="00000000" w:rsidRPr="00000000">
              <w:rPr>
                <w:sz w:val="36"/>
                <w:szCs w:val="36"/>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jc w:val="center"/>
              <w:rPr>
                <w:sz w:val="36"/>
                <w:szCs w:val="36"/>
              </w:rPr>
            </w:pPr>
            <w:r w:rsidDel="00000000" w:rsidR="00000000" w:rsidRPr="00000000">
              <w:rPr>
                <w:rtl w:val="0"/>
              </w:rPr>
            </w:r>
          </w:p>
        </w:tc>
      </w:tr>
    </w:tbl>
    <w:p w:rsidR="00000000" w:rsidDel="00000000" w:rsidP="00000000" w:rsidRDefault="00000000" w:rsidRPr="00000000" w14:paraId="00000010">
      <w:pPr>
        <w:widowControl w:val="0"/>
        <w:tabs>
          <w:tab w:val="left" w:leader="none" w:pos="5427"/>
        </w:tabs>
        <w:rPr>
          <w:sz w:val="36"/>
          <w:szCs w:val="36"/>
        </w:rPr>
      </w:pPr>
      <w:r w:rsidDel="00000000" w:rsidR="00000000" w:rsidRPr="00000000">
        <w:rPr>
          <w:rtl w:val="0"/>
        </w:rPr>
      </w:r>
    </w:p>
    <w:p w:rsidR="00000000" w:rsidDel="00000000" w:rsidP="00000000" w:rsidRDefault="00000000" w:rsidRPr="00000000" w14:paraId="00000011">
      <w:pPr>
        <w:widowControl w:val="0"/>
        <w:tabs>
          <w:tab w:val="left" w:leader="none" w:pos="5427"/>
        </w:tabs>
        <w:rPr>
          <w:sz w:val="36"/>
          <w:szCs w:val="36"/>
        </w:rPr>
      </w:pPr>
      <w:r w:rsidDel="00000000" w:rsidR="00000000" w:rsidRPr="00000000">
        <w:rPr>
          <w:rtl w:val="0"/>
        </w:rPr>
      </w:r>
    </w:p>
    <w:p w:rsidR="00000000" w:rsidDel="00000000" w:rsidP="00000000" w:rsidRDefault="00000000" w:rsidRPr="00000000" w14:paraId="00000012">
      <w:pPr>
        <w:widowControl w:val="0"/>
        <w:tabs>
          <w:tab w:val="left" w:leader="none" w:pos="5427"/>
        </w:tabs>
        <w:rPr>
          <w:sz w:val="36"/>
          <w:szCs w:val="36"/>
        </w:rPr>
      </w:pPr>
      <w:r w:rsidDel="00000000" w:rsidR="00000000" w:rsidRPr="00000000">
        <w:rPr>
          <w:rtl w:val="0"/>
        </w:rPr>
      </w:r>
    </w:p>
    <w:p w:rsidR="00000000" w:rsidDel="00000000" w:rsidP="00000000" w:rsidRDefault="00000000" w:rsidRPr="00000000" w14:paraId="00000013">
      <w:pPr>
        <w:widowControl w:val="0"/>
        <w:tabs>
          <w:tab w:val="left" w:leader="none" w:pos="5427"/>
        </w:tabs>
        <w:ind w:left="1440" w:firstLine="0"/>
        <w:rPr>
          <w:sz w:val="36"/>
          <w:szCs w:val="36"/>
          <w:u w:val="single"/>
        </w:rPr>
      </w:pPr>
      <w:r w:rsidDel="00000000" w:rsidR="00000000" w:rsidRPr="00000000">
        <w:rPr>
          <w:rFonts w:ascii="Gungsuh" w:cs="Gungsuh" w:eastAsia="Gungsuh" w:hAnsi="Gungsuh"/>
          <w:sz w:val="36"/>
          <w:szCs w:val="36"/>
          <w:rtl w:val="0"/>
        </w:rPr>
        <w:t xml:space="preserve">学　  期     :  5th semester  </w:t>
      </w:r>
      <w:r w:rsidDel="00000000" w:rsidR="00000000" w:rsidRPr="00000000">
        <w:rPr>
          <w:rtl w:val="0"/>
        </w:rPr>
      </w:r>
    </w:p>
    <w:p w:rsidR="00000000" w:rsidDel="00000000" w:rsidP="00000000" w:rsidRDefault="00000000" w:rsidRPr="00000000" w14:paraId="00000014">
      <w:pPr>
        <w:widowControl w:val="0"/>
        <w:tabs>
          <w:tab w:val="left" w:leader="none" w:pos="5427"/>
        </w:tabs>
        <w:ind w:left="1440" w:firstLine="0"/>
        <w:rPr>
          <w:sz w:val="36"/>
          <w:szCs w:val="36"/>
        </w:rPr>
      </w:pPr>
      <w:r w:rsidDel="00000000" w:rsidR="00000000" w:rsidRPr="00000000">
        <w:rPr>
          <w:rFonts w:ascii="Gungsuh" w:cs="Gungsuh" w:eastAsia="Gungsuh" w:hAnsi="Gungsuh"/>
          <w:sz w:val="36"/>
          <w:szCs w:val="36"/>
          <w:rtl w:val="0"/>
        </w:rPr>
        <w:t xml:space="preserve">课程名称   :  Professional Training Intermediate </w:t>
      </w:r>
    </w:p>
    <w:p w:rsidR="00000000" w:rsidDel="00000000" w:rsidP="00000000" w:rsidRDefault="00000000" w:rsidRPr="00000000" w14:paraId="00000015">
      <w:pPr>
        <w:widowControl w:val="0"/>
        <w:tabs>
          <w:tab w:val="left" w:leader="none" w:pos="5427"/>
        </w:tabs>
        <w:ind w:left="1440" w:firstLine="0"/>
        <w:rPr>
          <w:sz w:val="36"/>
          <w:szCs w:val="36"/>
        </w:rPr>
      </w:pPr>
      <w:r w:rsidDel="00000000" w:rsidR="00000000" w:rsidRPr="00000000">
        <w:rPr>
          <w:rFonts w:ascii="Gungsuh" w:cs="Gungsuh" w:eastAsia="Gungsuh" w:hAnsi="Gungsuh"/>
          <w:sz w:val="36"/>
          <w:szCs w:val="36"/>
          <w:rtl w:val="0"/>
        </w:rPr>
        <w:t xml:space="preserve">题    目       :  Gradio-based web application</w:t>
      </w:r>
    </w:p>
    <w:p w:rsidR="00000000" w:rsidDel="00000000" w:rsidP="00000000" w:rsidRDefault="00000000" w:rsidRPr="00000000" w14:paraId="00000016">
      <w:pPr>
        <w:widowControl w:val="0"/>
        <w:tabs>
          <w:tab w:val="left" w:leader="none" w:pos="5427"/>
        </w:tabs>
        <w:ind w:left="1440" w:firstLine="0"/>
        <w:rPr>
          <w:sz w:val="36"/>
          <w:szCs w:val="36"/>
        </w:rPr>
      </w:pPr>
      <w:r w:rsidDel="00000000" w:rsidR="00000000" w:rsidRPr="00000000">
        <w:rPr>
          <w:rFonts w:ascii="Gungsuh" w:cs="Gungsuh" w:eastAsia="Gungsuh" w:hAnsi="Gungsuh"/>
          <w:sz w:val="36"/>
          <w:szCs w:val="36"/>
          <w:rtl w:val="0"/>
        </w:rPr>
        <w:t xml:space="preserve">联系电话   :  18687800269                 </w:t>
      </w:r>
    </w:p>
    <w:p w:rsidR="00000000" w:rsidDel="00000000" w:rsidP="00000000" w:rsidRDefault="00000000" w:rsidRPr="00000000" w14:paraId="00000017">
      <w:pPr>
        <w:widowControl w:val="0"/>
        <w:tabs>
          <w:tab w:val="left" w:leader="none" w:pos="5427"/>
        </w:tabs>
        <w:ind w:left="1440" w:firstLine="0"/>
        <w:rPr>
          <w:sz w:val="36"/>
          <w:szCs w:val="36"/>
        </w:rPr>
      </w:pPr>
      <w:r w:rsidDel="00000000" w:rsidR="00000000" w:rsidRPr="00000000">
        <w:rPr>
          <w:rFonts w:ascii="Gungsuh" w:cs="Gungsuh" w:eastAsia="Gungsuh" w:hAnsi="Gungsuh"/>
          <w:sz w:val="36"/>
          <w:szCs w:val="36"/>
          <w:rtl w:val="0"/>
        </w:rPr>
        <w:t xml:space="preserve">电子邮件   :  </w:t>
      </w:r>
      <w:hyperlink r:id="rId7">
        <w:r w:rsidDel="00000000" w:rsidR="00000000" w:rsidRPr="00000000">
          <w:rPr>
            <w:color w:val="1155cc"/>
            <w:sz w:val="36"/>
            <w:szCs w:val="36"/>
            <w:u w:val="single"/>
            <w:rtl w:val="0"/>
          </w:rPr>
          <w:t xml:space="preserve">rakiber357@gmail.com</w:t>
        </w:r>
      </w:hyperlink>
      <w:r w:rsidDel="00000000" w:rsidR="00000000" w:rsidRPr="00000000">
        <w:rPr>
          <w:rtl w:val="0"/>
        </w:rPr>
      </w:r>
    </w:p>
    <w:p w:rsidR="00000000" w:rsidDel="00000000" w:rsidP="00000000" w:rsidRDefault="00000000" w:rsidRPr="00000000" w14:paraId="00000018">
      <w:pPr>
        <w:widowControl w:val="0"/>
        <w:tabs>
          <w:tab w:val="left" w:leader="none" w:pos="5427"/>
        </w:tabs>
        <w:ind w:left="1440" w:firstLine="0"/>
        <w:rPr>
          <w:sz w:val="36"/>
          <w:szCs w:val="36"/>
        </w:rPr>
      </w:pPr>
      <w:r w:rsidDel="00000000" w:rsidR="00000000" w:rsidRPr="00000000">
        <w:rPr>
          <w:rtl w:val="0"/>
        </w:rPr>
      </w:r>
    </w:p>
    <w:p w:rsidR="00000000" w:rsidDel="00000000" w:rsidP="00000000" w:rsidRDefault="00000000" w:rsidRPr="00000000" w14:paraId="00000019">
      <w:pPr>
        <w:widowControl w:val="0"/>
        <w:tabs>
          <w:tab w:val="left" w:leader="none" w:pos="5427"/>
        </w:tabs>
        <w:ind w:left="1440" w:firstLine="0"/>
        <w:rPr>
          <w:rFonts w:ascii="SimSun" w:cs="SimSun" w:eastAsia="SimSun" w:hAnsi="SimSun"/>
          <w:sz w:val="36"/>
          <w:szCs w:val="36"/>
        </w:rPr>
      </w:pPr>
      <w:r w:rsidDel="00000000" w:rsidR="00000000" w:rsidRPr="00000000">
        <w:rPr>
          <w:rtl w:val="0"/>
        </w:rPr>
      </w:r>
    </w:p>
    <w:p w:rsidR="00000000" w:rsidDel="00000000" w:rsidP="00000000" w:rsidRDefault="00000000" w:rsidRPr="00000000" w14:paraId="0000001A">
      <w:pPr>
        <w:widowControl w:val="0"/>
        <w:tabs>
          <w:tab w:val="left" w:leader="none" w:pos="5427"/>
        </w:tabs>
        <w:ind w:left="1440" w:firstLine="0"/>
        <w:rPr>
          <w:rFonts w:ascii="SimSun" w:cs="SimSun" w:eastAsia="SimSun" w:hAnsi="SimSun"/>
          <w:sz w:val="48"/>
          <w:szCs w:val="48"/>
        </w:rPr>
      </w:pPr>
      <w:r w:rsidDel="00000000" w:rsidR="00000000" w:rsidRPr="00000000">
        <w:rPr>
          <w:rtl w:val="0"/>
        </w:rPr>
      </w:r>
    </w:p>
    <w:p w:rsidR="00000000" w:rsidDel="00000000" w:rsidP="00000000" w:rsidRDefault="00000000" w:rsidRPr="00000000" w14:paraId="0000001B">
      <w:pPr>
        <w:tabs>
          <w:tab w:val="left" w:leader="none" w:pos="5427"/>
        </w:tabs>
        <w:rPr>
          <w:sz w:val="36"/>
          <w:szCs w:val="36"/>
        </w:rPr>
      </w:pPr>
      <w:r w:rsidDel="00000000" w:rsidR="00000000" w:rsidRPr="00000000">
        <w:rPr>
          <w:sz w:val="36"/>
          <w:szCs w:val="36"/>
          <w:rtl w:val="0"/>
        </w:rPr>
        <w:t xml:space="preserve">               </w:t>
      </w:r>
      <w:r w:rsidDel="00000000" w:rsidR="00000000" w:rsidRPr="00000000">
        <w:rPr>
          <w:rFonts w:ascii="Gungsuh" w:cs="Gungsuh" w:eastAsia="Gungsuh" w:hAnsi="Gungsuh"/>
          <w:sz w:val="36"/>
          <w:szCs w:val="36"/>
          <w:rtl w:val="0"/>
        </w:rPr>
        <w:t xml:space="preserve">报告完成时间： 2025 年 11 月 20 日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b w:val="1"/>
          <w:bCs w:val="1"/>
          <w:sz w:val="28"/>
          <w:szCs w:val="28"/>
          <w:vertAlign w:val="baseline"/>
        </w:rPr>
      </w:pPr>
      <w:r w:rsidDel="00000000" w:rsidR="00000000" w:rsidRPr="00000000">
        <w:rPr>
          <w:b w:val="1"/>
          <w:bCs w:val="1"/>
          <w:sz w:val="28"/>
          <w:szCs w:val="28"/>
          <w:rtl w:val="0"/>
        </w:rPr>
        <w:t xml:space="preserve">1</w:t>
      </w:r>
      <w:r w:rsidDel="00000000" w:rsidR="00000000" w:rsidRPr="00000000">
        <w:rPr>
          <w:b w:val="1"/>
          <w:bCs w:val="1"/>
          <w:sz w:val="28"/>
          <w:szCs w:val="28"/>
          <w:vertAlign w:val="baseline"/>
          <w:rtl w:val="0"/>
        </w:rPr>
        <w:t xml:space="preserve">. Abstract</w:t>
      </w:r>
    </w:p>
    <w:p w:rsidR="00000000" w:rsidDel="00000000" w:rsidP="00000000" w:rsidRDefault="00000000" w:rsidRPr="00000000" w14:paraId="0000002C">
      <w:pPr>
        <w:rPr>
          <w:vertAlign w:val="baseline"/>
        </w:rPr>
      </w:pPr>
      <w:r w:rsidDel="00000000" w:rsidR="00000000" w:rsidRPr="00000000">
        <w:rPr>
          <w:vertAlign w:val="baseline"/>
          <w:rtl w:val="0"/>
        </w:rPr>
        <w:t xml:space="preserve">This report details the design, implementation, and in-depth analysis of a multilingual machine translation application built upon Meta AI's groundbreaking NLLB-200 (No Language Left Behind) model. The project confronts the significant challenge of the digital language divide, aiming to provide high-quality translation for hundreds of languages, with a particular focus on the vast majority that are low-resource and historically underserved by technology. The system's core is the facebook/nllb-200-3.3B model, a sophisticated sequence-to-sequence Transformer architecture augmented with Sparsely-Gated Mixture of Experts (MoE) layers, enabling it to support over 200 languages within a single framework. This conditional compute architecture is the key innovation that allows the model to scale to billions of parameters while maintaining a constant computational cost per token, effectively mitigating the interference problem common in dense multilingual models. The model's training leveraged innovative data mining techniques, notably the LASER3 sentence encoder, to create massive, high-quality training corpora, alongside the development of the FLORES-200 evaluation benchmark to ensure rigorous and equitable performance measurement across all 40,000+ translation directions. </w:t>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vertAlign w:val="baseline"/>
          <w:rtl w:val="0"/>
        </w:rPr>
        <w:t xml:space="preserve">The methodology involved integrating this large-scale, pre-trained model into a user-friendly web application using the Gradio framework, a Python library that simplifies the creation of interactive machine learning interfaces. The application provides an intuitive interface for users to select from over 200 languages and perform real-time translations without requiring any technical expertise. A central focus of this report is the comprehensive examination of the NLLB project's innovative techniques, including its human-centered design principles, the development of the FLORES-200 evaluation benchmark, and the advanced data mining strategies. Additionally, this report provides an in-depth analysis of Natural Language Processing (NLP) fundamentals that underpin the NLLB-200 model, including tokenization strategies, word embeddings, and language modeling techniques. A detailed analysis of the model's performance, drawing directly from the extensive evaluations in the original research paper, is presented. The NLLB-200 model achieved an average of 44% relative improvement in BLEU scores over the previous state-of-the-art. Specific performance metrics, such as spBLEU and chrF++ scores, are discussed across various language resource levels (high, low, and very low), demonstrating the model's unprecedented success in elevating the translation quality for low-resource languages like Zulu, Igbo, and Khmer. The project successfully demonstrates the practical application of a state-of-the-art, responsibly developed AI to foster global communication and digital</w:t>
      </w:r>
      <w:r w:rsidDel="00000000" w:rsidR="00000000" w:rsidRPr="00000000">
        <w:rPr>
          <w:rtl w:val="0"/>
        </w:rPr>
        <w:t xml:space="preserve"> </w:t>
      </w:r>
      <w:r w:rsidDel="00000000" w:rsidR="00000000" w:rsidRPr="00000000">
        <w:rPr>
          <w:vertAlign w:val="baseline"/>
          <w:rtl w:val="0"/>
        </w:rPr>
        <w:t xml:space="preserve">equity.</w:t>
      </w:r>
    </w:p>
    <w:p w:rsidR="00000000" w:rsidDel="00000000" w:rsidP="00000000" w:rsidRDefault="00000000" w:rsidRPr="00000000" w14:paraId="0000002F">
      <w:pPr>
        <w:rPr>
          <w:vertAlign w:val="baseline"/>
        </w:rPr>
      </w:pPr>
      <w:r w:rsidDel="00000000" w:rsidR="00000000" w:rsidRPr="00000000">
        <w:rPr>
          <w:rtl w:val="0"/>
        </w:rPr>
        <w:t xml:space="preserve">Repositories : </w:t>
      </w:r>
      <w:r w:rsidDel="00000000" w:rsidR="00000000" w:rsidRPr="00000000">
        <w:rPr>
          <w:vertAlign w:val="baseline"/>
          <w:rtl w:val="0"/>
        </w:rPr>
        <w:t xml:space="preserve">(https://github.com/sakhawat-ahmed/Gradio-application)</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Introduction</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Background and Motivation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 increasingly interconnected global society, language remains a fundamental barrier to communication, knowledge sharing, and cultural understanding. While machine translation (MT) has made extraordinary progress, its benefits have been disproportionately concentrated on a small number of high-resource languages such as English, Mandarin, and Spanish. These languages have vast digital footprints, providing the massive datasets required to train traditional Neural Machine Translation (NMT) models. This has resulted in a significant digital divide, marginalizing speakers of thousands of low-resource languages and limiting their access to information and global participation. The NLLB paper notes that of the over 7,000 languages spoken worldwide, most have little to no digital presence, making them invisible to the modern AI-driven world [7]. This is not merely a technical inconvenience; it is a matter of digital equity and cultural preservation. The lack of high-quality translation tools for these languages restricts access to vital information, educational resources, and economic opportunities, thereby reinforcing existing global inequalities.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motivated by the urgent need to bridge this gap. It is directly inspired by the human-centered approach of the NLLB project, which began by conducting exploratory interviews with native speakers of low-resource languages to understand their needs and the real-world impact of the language barrier. The findings underscored that translation is not just a technical convenience but a vital tool for accessing education, healthcare information, economic opportunities, and preserving cultural heritage. The NLLB team established four key guiding principles for their work: prioritizing the needs of underserved communities, sharing through open-sourcing, being interdisciplinary in their approach, and being reflexive in their efforts [7]. By utilizing the open-sourced NLLB-200 model, this project aligns with the principle of democratizing access to high-quality translation technology. The goal of this project is therefore not just to build a translation app, but to create a practical demonstration of how cutting-edge AI can be leveraged to foster digital inclusivity and empower underserved communities, ultimately contributing to the vision of a world where no language is left behind.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Objectives and Goals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this project is to develop and document a functional, high-performance multilingual translation system that embodies the principles of the NLLB project. The specific goals are as follows: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 a State-of-the-Art Translation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and utilize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nllb-200-3.3B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a many-to-many multilingual model capable of direct translation between any pair of its 200+ supported languages. The project specifically addresses the user's experience with the 600M, 1.3B, and 3.3B variants, focusing on the highest-performing 3.3B model for the final implementation.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 an Accessible User Interface: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an intuitive and responsive web application using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Gradio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allowing users to easily perform translations without needing technical expertise. The interface must clearly present the vast array of supported languages and provide a seamless user experience.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 a Deep Dive into the NLLB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Thoroughly investigate and explain the advanced technologies that underpin the NLLB-200 model. This includes a detailed analysis of the Transformer architecture, the Sparsely-Gated Mixture of Experts (MoE) layers, the specific regularization techniques (like Expert Output Masking and overall dropout) employed to prevent overfitting on low-resource data, and the innovative data collection methodologies, particularly the use of the LASER3 sentence encoder for bitext mining.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Analyze and Report on Model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the project uses a pre-trained model, a key goal is to accurately report and discuss the performance metrics from the original NLLB research paper. This involves presenting spBLEU and chrF++ scores from the FLORES-200 benchmark and explaining their significance, particularly in the context of low-resource languages and comparisons with previous state-of-the-art and commercial systems. The report will specifically highlight the 44% relative improvement and provide detailed tables of scores for African and Indian languages.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Produce a Comprehensive and Accurate Technical Report: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Author a detailed technical report of over 15 pages that meticulously documents the project's theoretical foundations, system design, implementation, and evaluation, ensuring all claims are accurately sourced from the primary research paper. The report will be structured to meet all academic requirements, including detailed mathematical formulations and an extensive literature review.</w:t>
      </w: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Natural Language Processing Fundamentals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comprehensive overview of the Natural Language Processing (NLP) techniques that form the foundation of the NLLB-200 model and are essential for understanding how the system processes and translates text across 200 languages.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Introduction to Natural Language Processing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is a subfield of artificial intelligence that focuses on enabling computers to understand, interpret, and generate human language in a meaningful and useful way. NLP encompasses a wide range of tasks, including machine translation, sentiment analysis, named entity recognition, question answering, and text summarization. The fundamental challenge in NLP is that human language is highly ambiguous, context-dependent, and culturally nuanced, making it difficult for machines to process without sophisticated models and techniques [8].</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project is fundamentally an NLP application, specifically addressing the machine translation task. Machine translation is one of the most challenging NLP problems because it requires not only understanding the meaning of the source language text but also generating fluent, accurate text in the target language while preserving semantic meaning, grammatical correctness, and stylistic appropriateness.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Tokenization and Vocabulary Management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first steps in any NLP pipeline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tokenization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process of breaking down text into smaller units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Tokens can be words, subwords, or characters, depending on the tokenization strategy employed. For the NLLB-200 model, the team chose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SentencePiece (SPM)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language-agnostic tokenization algorithm that is particularly well-suited for multilingual NLP tasks.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4.2.1. SentencePiece Tokenization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SentencePiece is a data-driven, language-agnostic tokenization algorithm that learns a vocabulary of subword units from raw text [9]. Unlike traditional word-based tokenization, which requires language-specific rules and preprocessing, SentencePiece operates directly on raw text and learns an optimal vocabulary of subword units. This approach has several advantages for multilingual NLP: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Agnostic: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SentencePiece works equally well for all languages, including those with different writing systems (e.g., Latin script, Arabic script, Chinese characters, Devanagari).</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Handling Out-of-Vocabulary 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using subword units, SentencePiece can represent any word as a sequence of subword tokens, eliminating the out-of-vocabulary (OOV) problem that plagued earlier NLP systems.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Efficient Vocabulary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SentencePiece achieves a good balance between vocabulary size and the ability to represent rare words, typically resulting in vocabularies of 8,000 to 32,000 tokens for single languages, but requiring larger vocabularies for multilingual tasks.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NLLB-200, the team trained a single, shared SentencePiece tokenizer on a corpus of 100 million sentences sampled from the primary bitext data. The resulting vocabulary contains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256,000 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significantly larger vocabulary than typical NLP models, which is necessary to adequately represent all 200 languages. To ensure that low-resource languages are well-represented in the vocabulary, the NLLB team employed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sampling temperature of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upsamples sentences from low-resource languages and downsamples those from high-resource languages during vocabulary training. This prevents the vocabulary from being dominated by high-resource language tokens and ensures that even rare words in low-resource languages can be represented efficiently.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4.2.2. Token Representation and Embedding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text is tokenized, each token is represented as a numerical index (0 to 255,999 for NLLB-200). These indices are then converted into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are dense vectors that capture the semantic and syntactic properties of the tokens. In the NLLB-200 model, each token is mapped to a 1024-dimensional embedding vector. These embeddings are learned during training and are crucial for the model's ability to capture meaning and relationships between tokens.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embedding layer serves as the interface between discrete, symbolic language (text) and the continuous, numerical representations that neural networks can process. The quality and expressiveness of these embeddings directly impact the model's ability to understand and generate language.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4.3. Word Embeddings and Contextual Representations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word embeddings, such as Word2Vec [10] and GloVe [11], assign a fixed vector to each word in the vocabulary. These embeddings are learned from large corpora and capture semantic relationships between words (e.g., the vector for "king" minus the vector for "man" plus the vector for "woman" approximately equals the vector for "queen").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traditional word embeddings have a significant limitation: they assign the same vector to a word regardless of its context. For example, the word "bank" has different meanings in "river bank" and "savings bank," but traditional embeddings would assign it the same vector in both contexts.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4.3.1. Contextual Embeddings in Transformers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Transformer architecture, which forms the basis of NLLB-200, addresses this limitation by computing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contextual embeddings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Transformer, the embedding of each token is computed dynamically based on its context in the sequence. This is achieved through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self-attention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computes a weighted average of all tokens in the sequence, with weights determined by the relevance of each token to the current token.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mathematical formulation of self-attention is: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\text{Attention}(Q, K, V) = \text{softmax}\left(\frac{QK^T}{\sqrt{d_k}}\right)V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$Q$ (queries), $K$ (keys), and $V$ (values) are linear projections of the input embeddings, and $d_k$ is the dimension of the keys. This mechanism allows the model to compute context-dependent representations of each token, which is essential for understanding and generating language accurately.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4.4. Language Modeling and Sequence-to-Sequence Translation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modeling is the task of predicting the probability of a sequence of tokens. A language model learns the statistical structure of a language, including grammar, vocabulary, and common phrase patterns. In the context of machine translation, the NLLB-200 model is trained to maximize the probability of the target sequence given the source sequence and the target language identifier.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4.4.1. Encoder-Decoder Architecture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model employs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encoder-decoder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fundamental paradigm in NLP for sequence-to-sequence tasks. The encoder processes the source language text and produces a sequence of contextual representations. The decoder then uses these representations to generate the target language text, one token at a time.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encoder-decoder architecture can be formalized 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P(T|S, \ell_s, \ell_t) = \prod_{i=1}^{|T|} P(t_i | t_1, ..., t_{i-1}, H, \ell_t)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$S$ is the source sequence, $T$ is the target sequence, $\ell_s$ and $\ell_t$ are the source and target language identifiers, $H$ is the sequence of encoder outputs, and $t_i$ is the $i$-th token in the target sequence. This formulation shows that the model generates the target sequence autoregressively, one token at a time, conditioning on all previously generated tokens and the encoder outputs.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4.4.2. Language Conditioning in NLLB-200</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key innovation in NLLB-200 is the explicit conditioning on the target language. Unlike earlier multilingual models that implicitly inferred the target language from context, NLLB-200 explicitly includes the target language identifier as an input to the decoder. This is achieved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forcing the beginning-of-sequence (BOS) token to be the target language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example, if translating to Bengali, the decoder is forced to start with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ben_Beng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 which explicitly signals to the model that the output should be in Bengali.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design choice has several advantages: it enables direct translation between any pair of languages (not just through a pivot language like English), it allows the model to handle language pairs that were not seen during training (zero-shot translation), and it makes the model's behavior more predictable and controllable.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Related Work / Literature Review</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model is a direct descendant of decades of research in machine translation, representing the pinnacle of current multilingual NMT capabilities. This section reviews the key foundational concepts and the state-of-the-art that preceded the NLLB project, providing the necessary context for understanding the NLLB's architectural innovations.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5.1. The Evolution of Machine Translation Paradigms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Translation has evolved through several distinct paradigms. The earliest were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Rule-Based Machine Translation (RBMT)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systems, which relied on extensive linguistic rules and dictionaries. These were replaced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Machine Translation (SMT)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systems, which used statistical models trained on large parallel corpora to learn translation probabilities. SMT dominated the field for over two decades until the emergence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Neural Machine Translation (NMT)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NMT paradigm, pioneered by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Sequence-to-Sequence (Seq2Seq)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[1], marked a fundamental shift. Seq2Seq models, typically built with Recurrent Neural Networks (RNNs), learned to map an input sequence to an output sequence end-to-end. The encoder compressed the source sentence into a fixed-length context vector, and the decoder generated the target sentence. This approach was a significant improvement over SMT, but the fixed-length context vector proved to be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bottleneck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for long and complex sentences. This limitation was a major hurdle for achieving human-level translation quality.</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5.2. The Attention Mechanism and the Transformer Architecture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bottleneck issue was elegantly solved by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attention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Attention allowed the decoder to dynamically focus on the most relevant parts of the source sentence at each step of the translation process, effectively creating a dynamic context vector. This innovation dramatically improved the quality and fluency of NMT outputs.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revolution came with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architecture [3], which completely abandoned the sequential nature of RNNs and relied solely on attention. The Transformer's core innovation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self-attention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allows the model to compute relationships between all words in a sequence simultaneously, making the entire architecture highly parallelizable. This parallelization capability was crucial, as it allowed models to be trained on massive datasets using modern hardware accelerators (GPUs and TPUs) in a fraction of the time required for RNN-based models. The Transformer's encoder-decoder structure, composed of stacked multi-head attention and position-wise feed-forward networks, became the de facto standard for nearly all sequence-to-sequence tasks in NLP. The mathematical elegance of the scaled dot-product attention mechanism, combined with the computational efficiency of parallel processing, established the Transformer as the foundational architecture for all subsequent large language models, including NLLB-200.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Challenges in Multilingual and Low-Resource NMT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Transformer architecture provided the necessary computational power, scaling NMT to hundreds of languages presented two major challenges: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Multilingual Interference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Early attempts 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Massively Multilingual NMT (MMNMT)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aimed to train a single model for many language pairs [4]. While this approach successfully leveraged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cross-lingual transfer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knowledge from high-resource languages benefits low-resource ones), it suffered from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multilingual interference problem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the number of languages increased, the model's shared capacity became insufficient, leading to a degradation in performance, especially for high-resource pairs that could otherwise perform better with a dedicated model. This phenomenon is a direct consequence of the fixed capacity of dense models being spread too thinly across too many tasks.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Scarcity for Low-Resource 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fundamental problem for low-resource languages is the lack of high-quality parallel corpora. Techniques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back-translation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(generating synthetic parallel data)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bitext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(finding parallel sentences in monolingual web data) emerged as critical solutions [5]. The NLLB project significantly advanced the latter by developing the LASER3 sentence encoder, which is capable of finding parallel sentences across 200 languages with high precision. This innovation in data creation was as important as the architectural changes in achieving the NLLB's goals.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5.4. The Mixture of Experts (MoE) Paradigm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Mixture of Experts (MoE)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architecture, first introduced by Shazeer et al. (2017) [6], provided the architectural solution to the multilingual interference problem. By replacing the dense feed-forward layers in the Transformer with a sparse MoE layer, the model can dramatically increase its total parameter count (capacity) without increasing the computational cost per token (FLOPs). This conditional computation allows the model to specialize: different experts can learn the linguistic nuances of different language families or specific translation directions. The NLLB-200 model, with its Sparsely-Gated MoE layers, is a prime example of this paradigm, enabling it to scale to 200 languages and billions of parameters while remaining computationally tractable for inference. This approach effectively solves the interference problem by allowing each language task to utilize a specialized subset of the model's total capacity, rather than forcing all tasks to share the same limited set of parameters.</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System Design and Methodology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details the specific components of the implemented system, the underlying architecture of the NLLB-200 model, the innovative data strategies employed in its training, and the mathematical framework that governs its operation.</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6.1. Model Architecture: NLLB-200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model is a massive, many-to-many multilingual NMT system based on the Transformer encoder-decoder architecture. The model is designed to maximize the probability of the target sentence $T$ given the source sentence $S$, the source language $\ell_s$, and the target language $\ell_t$: $P(T|S, \ell_s, \ell_t)$.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6.1.1. Tokenization and Vocabulary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uses a single, shared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SentencePiece (SPM)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tokenizer trained on a massive corpus of 100 million sentences sampled from the primary bitext data. The total vocabulary size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256,000 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large, shared vocabulary is crucial for enabling cross-lingual transfer. To ensure that low-resource languages are adequately represented in the vocabulary, the NLLB team employed a sampling temperature of 5, which upsamples sentences from low-resource languages and downsamples those from high-resource languages. This prevents the vocabulary from being dominated by high-resource language tokens, a crucial step for maintaining performance across all 200 languages.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6.1.2. Sparsely-Gated Mixture of Experts (MoE)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model's massive capacity is achieved through the integration of Sparsely-Gated MoE layers. In the NLLB architecture, the dense feed-forward network (FFN) in every alternate Transformer layer is replaced by an MoE layer (i.e., $f_{MoE}=2$). Each MoE layer consists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64 experts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mechanism 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Top-2 Gating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system. For every input token, a gating network (a simple linear layer followed by a softmax) computes a score for each of the 64 experts. Only the two experts with the highest scores are activated, and their outputs are combined. This conditional computation allows the model to have a total parameter count in the tens of billions (for the largest research variant) while the computational cost per token remains equivalent to a much smaller, dense model.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6.2. Data Strategies and Training Methodology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success of NLLB-200 is equally attributable to its innovative data and training strategies, which were meticulously designed to overcome the challenges of low-resource NMT.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6.2.1. Data Mining with LASER3</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acquire the massive parallel corpora needed for 200 languages, the NLLB team developed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LASER3 (Language-Agnostic SEntence Representations)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a distilled sentence encoder that maps sentences from any of the 200 languages into a single, shared vector space. By computing the cosine similarity between sentence embeddings from different languages in massive web crawls (like Common Crawl), the team was able to mine vast quantities of new, high-quality parallel sentences, especially for low-resource language pairs. This technique was vital for bootstrapping the training data for languages that previously had little to no digital presence.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6.2.2. Regularization and Curriculum Learning</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 model with such high capacity on low-resource data presents a severe risk of overfitting. The NLLB team introduced two key regularization techniques: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Dropout: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a high dropout rate (up to $p_{drop}=0.3$) across the entire model was found to be critical for preventing the MoE layers from overfitting on small datasets.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Expert Output Masking (EOM):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technique randomly masks the output of entire experts during training, forcing the remaining experts to be more robust and preventing over-reliance on any single expert.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curriculum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strategy was employed, where the model was initially trained on easier, high-resource tasks and gradually introduced to more challenging, low-resource tasks. This staged approach helped the model build a strong foundation before tackling the most difficult language pairs.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6.3. Mathematical Formulation</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6.3.1. Sequence-to-Sequence with Language Conditioning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translation process is modeled as a conditional probability maximization problem. The encoder processes the source sequence $W$ and the source language $\ell_s$ to produce a sequence of embeddings $H$. The decoder then uses $H$ and the target language $\ell_t$ to generate the target sequence $V$ autoregressively: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 = \text{encoder}(W, \ell_s)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\forall i \in [1,...,T], v_{i+1} = \text{decoder}(H, \ell_t, v_1, ..., v_i)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implementation, the target language $\ell_t$ is injected into the decoding process by forcing the decoder to start with the target language token ID, known as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forced_bos_token_id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6.3.2. The Sparsely-Gated MoE and Load Balancing</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output $y$ of the MoE layer for an input $x$ is a sparse, weighted sum of the outputs of the $n$ experts $E_i(x)$:</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 \sum_{i=1}^{n} G(x)_i E_i(x)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gating network $G(x)$ uses a $\text{KeepTopK}$ function to enforce sparsity, where $K=2$ for NLLB:</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G(x) = \text{Softmax}(\text{KeepTopK}(x \cdot W_g))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prevent the gating network from always selecting the same few experts, the training objective includes an auxiliary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Balancing Loss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($L_{LB}$), which encourages an even distribution of tokens across all experts. The total loss is a weighted sum of the label-smoothed cross-entropy loss ($L_{CE}$) and the load balancing loss: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L_{total} = L_{CE} + \alpha \cdot L_{LB}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load balancing loss is defined as: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L_{LB} = E \cdot \sum_{e=1}^{E} f_e \cdot P_e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$E$ is the number of experts, $f_e$ is the fraction of tokens routed to expert $e$, and $P_e$ is the average routing probability to expert $e$ over the mini-batch. This loss is critical for ensuring that the full capacity of the MoE model is utilized effectively across all 200 languages.</w:t>
      </w: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Gradio Framework and Application Development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comprehensive overview of the Gradio framework, its capabilities, and how it was leveraged to create an accessible, user-friendly interface for the NLLB-200 translation model.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7.1. Introduction to Gradio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an open-source Python library that enables developers to quickly create and share interactive web interfaces for machine learning models and data science applications [12]. Gradio was designed with the philosophy that machine learning models should be easily accessible to non-technical users, and that sharing and demonstrating models should be as simple as possible. With Gradio, a developer can turn a Python function into a shareable web interface with just a few lines of code.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key advantages of Gradio for this project are: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Rapid Prototyping: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Gradio allows developers to create functional web interfaces in minutes, without requiring knowledge of web development technologies like HTML, CSS, or JavaScript.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Gradio generates responsive web interfaces that work on desktop and mobile devices, making the translation tool accessible to a wide audience.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Ease of Sharing: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Gradio applications can be easily shared via public links, allowing users to access the application without installation or technical setup.</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with Python Ecosystem: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Gradio seamlessly integrates with popular Python libraries like PyTorch, TensorFlow, and Hugging Face Transformers, making it ideal for deploying machine learning models.</w:t>
      </w:r>
      <w:r w:rsidDel="00000000" w:rsidR="00000000" w:rsidRPr="00000000">
        <w:rPr>
          <w:rtl w:val="0"/>
        </w:rPr>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7.2. Gradio Architecture and Components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Gradio applications are built using a declarative approach, where developers define the input and output components, and Gradio automatically generates the web interface. The core components used in the NLLB-200 translation application are:</w:t>
      </w:r>
      <w:r w:rsidDel="00000000" w:rsidR="00000000" w:rsidRPr="00000000">
        <w:rPr>
          <w:rtl w:val="0"/>
        </w:rPr>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7.2.1. Input Components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input component for the translation application. Users enter the text they wish to translate into a textbox. The textbox is configured with multiple lines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lines=8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accommodate longer texts and provide a comfortable user experience.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Dropdown: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allow users to select the source and target languages from the 200+ supported languages. Dropdowns provide a clean, organized way to present a large list of options without overwhelming the user interface.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6">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7.2.2. Output Components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display the translated output. The output textbox is configured as read-only, preventing users from accidentally modifying the translation.</w:t>
      </w:r>
      <w:r w:rsidDel="00000000" w:rsidR="00000000" w:rsidRPr="00000000">
        <w:rPr>
          <w:rtl w:val="0"/>
        </w:rPr>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7.2.3. Control Components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Button: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Used to trigger the translation function. The "Translate" button is connected to the backend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via an event listener, initiating the translation process when clicked.</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Button (Swap):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secondary button that allows users to quickly swap the source and target languages, enhancing the user experience for users who want to translate in both directions.</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7.3. Gradio Application Structure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Gradio application is structured using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gr.Blocks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which provides fine-grained control over the layout and organization of components.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gr.Blocks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allows developers to create custom layouts using rows, columns, and other organizational elements.</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7.3.1. Layout Design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layout is organized as follows: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 Section: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the application title "NLLB-200 Translator" and a brief description of the tool's capabilities.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Selection Row: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two dropdown menus side-by-side, one for selecting the source language and one for the target language.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 Input/Output Row: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two textboxes side-by-side, the left for input text and the right for the translated output.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Button Row: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the "Translate" button and the "Swap" button for user interaction.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7.3.2. Custom Styling with CSS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Gradio allows developers to inject custom CSS to style the interface and create a professional, branded appearance. For the NLLB-200 application, custom CSS was written to: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Color Scheme: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 a professional color scheme consistent with Meta's branding (Facebook blue, white backgrounds, accent colors).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modern, readable fonts and appropriate font sizes for different elements.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Spacing and Layout: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proper spacing and alignment of components for a clean, organized appearance.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Responsive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the interface adapts gracefully to different screen sizes and device types.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7.4. Event Handling and Function Binding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Gradio, user interactions (such as clicking a button) are handled through event listeners.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.click()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method is used to bind a Python function to a button's click event. When the user clicks the button, Gradio automatically: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Collects Input: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Gathers the values from all input components (text, dropdowns, etc.).</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Calls the Function: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Invokes the Python function with the collected inputs as arguments.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Updates Output: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the function's return value in the output components.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NLLB-200 application, the event binding is structured as: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translate_btn.click(</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translate,</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inputs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[input_text, source_lang_dropdown, target_lang_dropdown],</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outputs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[output_text]</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line connects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button's click event 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passing the input text and selected languages as arguments, and displaying the result in the output textbox.</w:t>
      </w:r>
      <w:r w:rsidDel="00000000" w:rsidR="00000000" w:rsidRPr="00000000">
        <w:rPr>
          <w:rtl w:val="0"/>
        </w:rPr>
      </w:r>
    </w:p>
    <w:p w:rsidR="00000000" w:rsidDel="00000000" w:rsidP="00000000" w:rsidRDefault="00000000" w:rsidRPr="00000000" w14:paraId="000000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Implementation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section provides a detailed description of the implementation process, focusing on the Python code that orchestrates the model loading, inference, and user interface, as demonstrated in the provided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8.1. Implementation Process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was a structured process leveraging the high-level APIs of the Hugging Face Transformers and Gradio libraries.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Dependency Management and Environment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requires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transformers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torch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gradio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libraries abstract away the complex low-level tensor operations and web server management. The user's experience with the 600M, 1.3B, and 3.3B models highlights the need for a robust environment, as the 3.3B model requires significant memory resources.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Initialization: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model is loaded using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AutoModelForSeq2SeqLM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which automatically handles the complex MoE architecture and parameter loading. The tokenizer is loaded simultaneously, ensuring the model and tokenizer share the same 256,000-token SentencePiece vocabulary. The choice of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facebook/nllb-200-3.3B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prioritizes translation quality over the lower latency of the smaller variants.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Language Mapping: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dictionary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created to map the full, human-readable language names (e.g., "Bengali") to the specific NLLB language codes (e.g.,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ben_Beng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mapping is crucial for two reasons: it makes the UI user-friendly, and it provides the necessary language code for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forced_bos_token_id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mechanism. The extensive list of 200+ languages in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app.py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is a direct reflection of the NLLB project's scope.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Translation Function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translate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function is the central logic hub. It performs three critical steps:</w:t>
      </w:r>
    </w:p>
    <w:p w:rsidR="00000000" w:rsidDel="00000000" w:rsidP="00000000" w:rsidRDefault="00000000" w:rsidRPr="00000000" w14:paraId="000001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Tokenization: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Converts the input string into a tensor of token IDs using the SentencePiece tokenizer.</w:t>
      </w:r>
    </w:p>
    <w:p w:rsidR="00000000" w:rsidDel="00000000" w:rsidP="00000000" w:rsidRDefault="00000000" w:rsidRPr="00000000" w14:paraId="000001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Forced Decoding: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model.generate()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explicitly setting the target language via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forced_bos_token_id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Converts the output token IDs back into a human-readable string.</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Gradio UI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gr.Blocks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 manager was used to define the layout. The UI was structured into a main container with two columns for language selection and two large text areas for input/output. Custom CSS was applied to enhance the visual appeal, making the application look professional and modern, mimicking the clean interface of commercial translation services.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Interactivity and Event Binding: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step was to connect the UI elements to the Python functions.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translate_btn.click(translate,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line is the single command that creates the entire translation pipeline, passing the contents of the input textbox and the two dropdowns to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translate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and displaying the result in the output textbox. The inclusion of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swap_btn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 enhances the user experience by allowing quick reversal of the translation direction.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8.2. Key Code Explanations</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Model Loading and Language Codes</w:t>
      </w:r>
    </w:p>
    <w:p w:rsidR="00000000" w:rsidDel="00000000" w:rsidP="00000000" w:rsidRDefault="00000000" w:rsidRPr="00000000" w14:paraId="0000010F">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from</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transformers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import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AutoTokenizer, AutoModelForSeq2SeqLM</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import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gradio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as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3.3B model selected for highest quality</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model_name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"facebook/nllb-200-3.3B"</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tokenizer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AutoTokenizer.from_pretrained(model_name)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model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AutoModelForSeq2SeqLM.from_pretrained(model_name)</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Language mapping dictionary (partial example)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"English"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"eng_Latn"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"Bengali"</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"ben_Beng"</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"Spanish"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"spa_Latn"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"French"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"fra_Latn"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"German"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"deu_Latn"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"Chinese"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"zho_Hans"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"Japanese"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"jpn_Jpan"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"Arabic"</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"arb_Arab"</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"Hindi"</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"hin_Deva"</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 190+ more languages</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AutoModelForSeq2SeqLM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ensures that the MoE layers are correctly instantiated and loaded, which is a non-trivial task that the Hugging Face library simplifies significantly.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AutoTokenizer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 automatically selects the correct tokenizer type based on the model configuration, ensuring compatibility between the tokenizer and the model.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 Core Translation Logic</w:t>
      </w:r>
    </w:p>
    <w:p w:rsidR="00000000" w:rsidDel="00000000" w:rsidP="00000000" w:rsidRDefault="00000000" w:rsidRPr="00000000" w14:paraId="00000128">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translate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(text, src, tgt):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Translate text from source language to target language.</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Args: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text (str): The input text to translate</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src (str): Source language name (e.g., "English")</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tgt (str): Target language name (e.g., "Bengali")</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Returns:</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str: The translated text</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if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not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text:</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return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Get the NLLB language code for the target language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tgt_code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[tgt]</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Tokenize the input text</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inputs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tokenizer(text,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return_tensors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"pt"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CRITICAL STEP: Force the decoder to start with the target language token</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This is the key mechanism that enables many-to-many translation</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forced_id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tokenizer.convert_tokens_to_ids(tgt_code)</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Generate translation using beam search for higher quality</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generated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model.generate(</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inputs,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forced_bos_token_id</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forced_id,</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max_length</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200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Limit output length for efficiency</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num_beams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4</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Use beam search with 4 beams</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early_stopping</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True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Stop when all beams find an end token</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Decode the generated tokens back to a string</w:t>
      </w: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return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tokenizer.decode(generated[</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0</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skip_special_tokens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True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forced_bos_token_id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key to the model's multilingual capability, enabling direct translation between any language pair. The inclusion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num_beams=4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implements beam search, a decoding strategy that explores multiple translation hypotheses simultaneously, which is known to produce higher-quality, more fluent translations compared to greedy decoding.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early_stopping=True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ensures that the generation process terminates as soon as all beams have generated a complete translation, improving efficiency.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Gradio Interface Construction</w:t>
      </w:r>
    </w:p>
    <w:p w:rsidR="00000000" w:rsidDel="00000000" w:rsidP="00000000" w:rsidRDefault="00000000" w:rsidRPr="00000000" w14:paraId="00000150">
      <w:pPr>
        <w:keepNext w:val="0"/>
        <w:keepLines w:val="0"/>
        <w:pageBreakBefore w:val="0"/>
        <w:widowControl w:val="1"/>
        <w:pBdr>
          <w:top w:color="e1e4e8" w:space="8" w:sz="4" w:val="single"/>
          <w:left w:color="e1e4e8" w:space="8" w:sz="4" w:val="single"/>
          <w:bottom w:color="a5a5a5" w:space="8" w:sz="4" w:val="single"/>
          <w:right w:color="e1e4e8" w:space="8" w:sz="4" w:val="single"/>
          <w:between w:space="0" w:sz="0" w:val="nil"/>
        </w:pBdr>
        <w:shd w:fill="f6f8fa" w:val="clear"/>
        <w:spacing w:after="0" w:before="12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import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gradio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as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Create the Gradio interface using gr.Blocks for custom layout</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gr.Blocks(</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title</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"NLLB-200 Translator"</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as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demo:</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gr.Markdown(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NLLB-200: Massively Multilingual Translator"</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gr.Markdown(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"Translate text between 200+ languages using Meta's state-of-the-art model."</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gr.Row():</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gr.Column():</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gr.Markdown(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Source Language"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source_lang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gr.Dropdown(</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choices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list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.keys()),</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value</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"English"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label</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"Select Source Language"</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gr.Column():</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gr.Markdown(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 Target Language"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target_lang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gr.Dropdown(</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choices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list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.keys()),</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value</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"Bengali"</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label</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"Select Target Language"</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gr.Row():</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gr.Column():</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input_text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gr.Textbox(</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label</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"Input Text"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lines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8</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placeholder</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"Enter text to translate..."</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gr.Column():</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output_text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gr.Textbox(</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label</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"Translated Text"</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lines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8</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interactive</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05cc5"/>
          <w:sz w:val="20"/>
          <w:szCs w:val="20"/>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with</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gr.Row():</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translate_btn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gr.Button(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"Translate"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variant</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"primary"</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swap_btn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gr.Button(</w:t>
      </w:r>
      <w:r w:rsidDel="00000000" w:rsidR="00000000" w:rsidRPr="00000000">
        <w:rPr>
          <w:rFonts w:ascii="Cascadia Code" w:cs="Cascadia Code" w:eastAsia="Cascadia Code" w:hAnsi="Cascadia Code"/>
          <w:b w:val="0"/>
          <w:bCs w:val="0"/>
          <w:i w:val="0"/>
          <w:iCs w:val="0"/>
          <w:smallCaps w:val="0"/>
          <w:strike w:val="0"/>
          <w:color w:val="032f62"/>
          <w:sz w:val="20"/>
          <w:szCs w:val="20"/>
          <w:u w:val="none"/>
          <w:shd w:fill="auto" w:val="clear"/>
          <w:vertAlign w:val="baseline"/>
          <w:rtl w:val="0"/>
        </w:rPr>
        <w:t xml:space="preserve">"Swap 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Bind the translate button to the translation function</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translate_btn.click(</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translate,</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inputs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[input_text, source_lang, target_lang],</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outputs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[output_text]</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Bind the swap button to swap the languages</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def</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6f42c1"/>
          <w:sz w:val="20"/>
          <w:szCs w:val="20"/>
          <w:u w:val="none"/>
          <w:shd w:fill="auto" w:val="clear"/>
          <w:vertAlign w:val="baseline"/>
          <w:rtl w:val="0"/>
        </w:rPr>
        <w:t xml:space="preserve">swap_languages</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(src, tgt):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return</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tgt, src</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swap_btn.click(</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swap_languages,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inputs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[source_lang, target_lang],</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Fonts w:ascii="Cascadia Code" w:cs="Cascadia Code" w:eastAsia="Cascadia Code" w:hAnsi="Cascadia Code"/>
          <w:b w:val="0"/>
          <w:bCs w:val="0"/>
          <w:i w:val="0"/>
          <w:iCs w:val="0"/>
          <w:smallCaps w:val="0"/>
          <w:strike w:val="0"/>
          <w:color w:val="e36209"/>
          <w:sz w:val="20"/>
          <w:szCs w:val="20"/>
          <w:u w:val="none"/>
          <w:shd w:fill="auto" w:val="clear"/>
          <w:vertAlign w:val="baseline"/>
          <w:rtl w:val="0"/>
        </w:rPr>
        <w:t xml:space="preserve">outputs</w:t>
      </w:r>
      <w:r w:rsidDel="00000000" w:rsidR="00000000" w:rsidRPr="00000000">
        <w:rPr>
          <w:rFonts w:ascii="Cascadia Code" w:cs="Cascadia Code" w:eastAsia="Cascadia Code" w:hAnsi="Cascadia Code"/>
          <w:b w:val="0"/>
          <w:bCs w:val="0"/>
          <w:i w:val="0"/>
          <w:iCs w:val="0"/>
          <w:smallCaps w:val="0"/>
          <w:strike w:val="0"/>
          <w:color w:val="d73a49"/>
          <w:sz w:val="20"/>
          <w:szCs w:val="20"/>
          <w:u w:val="none"/>
          <w:shd w:fill="auto" w:val="clear"/>
          <w:vertAlign w:val="baseline"/>
          <w:rtl w:val="0"/>
        </w:rPr>
        <w:t xml:space="preserve">=</w:t>
      </w: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[source_lang, target_lang]</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70ad47"/>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color="a5a5a5" w:space="8" w:sz="4" w:val="single"/>
          <w:left w:color="e1e4e8" w:space="8" w:sz="4" w:val="single"/>
          <w:bottom w:color="a5a5a5" w:space="8" w:sz="4" w:val="single"/>
          <w:right w:color="e1e4e8" w:space="8" w:sz="4" w:val="single"/>
          <w:between w:space="0" w:sz="0" w:val="nil"/>
        </w:pBdr>
        <w:shd w:fill="f6f8fa" w:val="clear"/>
        <w:spacing w:after="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6a737d"/>
          <w:sz w:val="20"/>
          <w:szCs w:val="20"/>
          <w:u w:val="none"/>
          <w:shd w:fill="auto" w:val="clear"/>
          <w:vertAlign w:val="baseline"/>
          <w:rtl w:val="0"/>
        </w:rPr>
        <w:t xml:space="preserve"># Launch the Gradio interface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a5a5a5" w:space="8" w:sz="4" w:val="single"/>
          <w:left w:color="e1e4e8" w:space="8" w:sz="4" w:val="single"/>
          <w:bottom w:color="e1e4e8" w:space="8" w:sz="4" w:val="single"/>
          <w:right w:color="e1e4e8" w:space="8" w:sz="4" w:val="single"/>
          <w:between w:space="0" w:sz="0" w:val="nil"/>
        </w:pBdr>
        <w:shd w:fill="f6f8fa" w:val="clear"/>
        <w:spacing w:after="120" w:before="0" w:line="276" w:lineRule="auto"/>
        <w:ind w:left="360" w:right="0" w:firstLine="0"/>
        <w:jc w:val="left"/>
        <w:rPr>
          <w:rFonts w:ascii="Courier New" w:cs="Courier New" w:eastAsia="Courier New" w:hAnsi="Courier New"/>
          <w:b w:val="0"/>
          <w:bCs w:val="0"/>
          <w:i w:val="0"/>
          <w:iCs w:val="0"/>
          <w:smallCaps w:val="0"/>
          <w:strike w:val="0"/>
          <w:color w:val="70ad47"/>
          <w:sz w:val="22"/>
          <w:szCs w:val="22"/>
          <w:u w:val="none"/>
          <w:shd w:fill="auto" w:val="clear"/>
          <w:vertAlign w:val="baseline"/>
        </w:rPr>
      </w:pPr>
      <w:r w:rsidDel="00000000" w:rsidR="00000000" w:rsidRPr="00000000">
        <w:rPr>
          <w:rFonts w:ascii="Cascadia Code" w:cs="Cascadia Code" w:eastAsia="Cascadia Code" w:hAnsi="Cascadia Code"/>
          <w:b w:val="0"/>
          <w:bCs w:val="0"/>
          <w:i w:val="0"/>
          <w:iCs w:val="0"/>
          <w:smallCaps w:val="0"/>
          <w:strike w:val="0"/>
          <w:color w:val="24292e"/>
          <w:sz w:val="20"/>
          <w:szCs w:val="20"/>
          <w:u w:val="none"/>
          <w:shd w:fill="auto" w:val="clear"/>
          <w:vertAlign w:val="baseline"/>
          <w:rtl w:val="0"/>
        </w:rPr>
        <w:t xml:space="preserve">demo.launch()</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code demonstrates the declarative approach of Gradio. The interface is defined using a context manager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with gr.Blocks()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components are organized using rows and columns. The event listeners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.click()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 user interactions to Python functions, creating a fully functional web application without requiring any web development knowledge.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9. Results and Discussion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of this project relies on the quantitative results published in the NLLB paper, as the project utilizes the pre-trained model without further fine-tuning. This section provides a detailed discussion of the model's performance, the metrics used, and the challenges encountered during implementation.</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9.1. Evaluation Metrics: spBLEU and chrF++</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 team used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FLORES-200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benchmark to evaluate the model across 40,602 translation directions. The primary metrics were: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spBLEU (SentencePiece BLEU):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metric is preferred over standard BLEU because it uses a consistent SentencePiece tokenization across all 200 languages. This standardization is vital for ensuring fair and comparable results, especially for languages with complex morphology or no word boundaries.</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chrF++ (Character F-score):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metric is highly effective for low-resource and morphologically rich languages. It calculates an F-score based on character n-grams (up to 6) and includes word unigrams and bigrams. The NLLB paper highlights that chrF++ is a more reliable indicator of quality for many of the 200 languages than traditional BLEU.</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9.2. Quantitative Performance Analysis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NLLB-200 model achieved an average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relative improvement in BLEU scores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the previous state-of-the-art (M2M-100) on the FLORES-101 devtest set. This massive gain is attributed to the MoE architecture, the vast training data, and the specialized regularization techniques.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9.2.1. Performance by Resource Level</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table, adapted from the NLLB paper, provides a detailed breakdown of the model's performance on the FLORES-200 devtest set, demonstrating its effectiveness across different resource levels.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
        <w:tblW w:w="9105.0" w:type="dxa"/>
        <w:jc w:val="left"/>
        <w:tblBorders>
          <w:top w:color="e1e4e8" w:space="0" w:sz="4" w:val="single"/>
          <w:left w:color="000000" w:space="0" w:sz="0" w:val="nil"/>
          <w:bottom w:color="e1e4e8" w:space="0" w:sz="4" w:val="single"/>
          <w:right w:color="000000" w:space="0" w:sz="0" w:val="nil"/>
          <w:insideH w:color="e1e4e8" w:space="0" w:sz="4" w:val="single"/>
          <w:insideV w:color="f6f8fa" w:space="0" w:sz="4" w:val="single"/>
        </w:tblBorders>
        <w:tblLayout w:type="fixed"/>
        <w:tblLook w:val="0000"/>
      </w:tblPr>
      <w:tblGrid>
        <w:gridCol w:w="3570"/>
        <w:gridCol w:w="2025"/>
        <w:gridCol w:w="1800"/>
        <w:gridCol w:w="1710"/>
        <w:tblGridChange w:id="0">
          <w:tblGrid>
            <w:gridCol w:w="3570"/>
            <w:gridCol w:w="2025"/>
            <w:gridCol w:w="1800"/>
            <w:gridCol w:w="1710"/>
          </w:tblGrid>
        </w:tblGridChange>
      </w:tblGrid>
      <w:tr>
        <w:trPr>
          <w:cantSplit w:val="1"/>
          <w:trHeight w:val="720" w:hRule="atLeast"/>
          <w:tblHeader w:val="1"/>
        </w:trPr>
        <w:tc>
          <w:tcPr>
            <w:tcBorders>
              <w:left w:color="000000" w:space="0" w:sz="0" w:val="nil"/>
            </w:tcBorders>
            <w:tcMar>
              <w:top w:w="100.0" w:type="dxa"/>
              <w:left w:w="120.0" w:type="dxa"/>
              <w:bottom w:w="100.0" w:type="dxa"/>
              <w:right w:w="120.0" w:type="dxa"/>
            </w:tcMa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Direction</w:t>
            </w:r>
          </w:p>
        </w:tc>
        <w:tc>
          <w:tcPr>
            <w:tcMar>
              <w:top w:w="100.0" w:type="dxa"/>
              <w:left w:w="120.0" w:type="dxa"/>
              <w:bottom w:w="100.0" w:type="dxa"/>
              <w:right w:w="12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Resource Level</w:t>
            </w:r>
          </w:p>
        </w:tc>
        <w:tc>
          <w:tcPr>
            <w:tcMar>
              <w:top w:w="100.0" w:type="dxa"/>
              <w:left w:w="120.0" w:type="dxa"/>
              <w:bottom w:w="100.0" w:type="dxa"/>
              <w:right w:w="12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spBLEU</w:t>
            </w:r>
          </w:p>
        </w:tc>
        <w:tc>
          <w:tcPr>
            <w:tcBorders>
              <w:right w:color="000000" w:space="0" w:sz="0" w:val="nil"/>
            </w:tcBorders>
            <w:tcMar>
              <w:top w:w="100.0" w:type="dxa"/>
              <w:left w:w="120.0" w:type="dxa"/>
              <w:bottom w:w="100.0" w:type="dxa"/>
              <w:right w:w="120.0" w:type="dxa"/>
            </w:tcMa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chrF++</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0"/>
                <w:szCs w:val="20"/>
                <w:u w:val="none"/>
                <w:shd w:fill="auto" w:val="clear"/>
                <w:vertAlign w:val="baseline"/>
                <w:rtl w:val="0"/>
              </w:rPr>
              <w:t xml:space="preserve">English → Other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w:t>
            </w:r>
          </w:p>
        </w:tc>
        <w:tc>
          <w:tcPr>
            <w:tcMar>
              <w:top w:w="80.0" w:type="dxa"/>
              <w:left w:w="120.0" w:type="dxa"/>
              <w:bottom w:w="80.0" w:type="dxa"/>
              <w:right w:w="120.0" w:type="dxa"/>
            </w:tcM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45.3</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38.3</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54.9</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w:t>
            </w:r>
          </w:p>
        </w:tc>
        <w:tc>
          <w:tcPr>
            <w:tcMar>
              <w:top w:w="80.0" w:type="dxa"/>
              <w:left w:w="120.0" w:type="dxa"/>
              <w:bottom w:w="80.0" w:type="dxa"/>
              <w:right w:w="12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41.9</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Low</w:t>
            </w:r>
          </w:p>
        </w:tc>
        <w:tc>
          <w:tcPr>
            <w:tcMar>
              <w:top w:w="80.0" w:type="dxa"/>
              <w:left w:w="120.0" w:type="dxa"/>
              <w:bottom w:w="80.0" w:type="dxa"/>
              <w:right w:w="12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0"/>
                <w:szCs w:val="20"/>
                <w:u w:val="none"/>
                <w:shd w:fill="auto" w:val="clear"/>
                <w:vertAlign w:val="baseline"/>
                <w:rtl w:val="0"/>
              </w:rPr>
              <w:t xml:space="preserve">Other → English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w:t>
            </w:r>
          </w:p>
        </w:tc>
        <w:tc>
          <w:tcPr>
            <w:tcMar>
              <w:top w:w="80.0" w:type="dxa"/>
              <w:left w:w="120.0" w:type="dxa"/>
              <w:bottom w:w="80.0" w:type="dxa"/>
              <w:right w:w="12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38.0</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56.8</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44.7</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63.5</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w:t>
            </w:r>
          </w:p>
        </w:tc>
        <w:tc>
          <w:tcPr>
            <w:tcMar>
              <w:top w:w="80.0" w:type="dxa"/>
              <w:left w:w="120.0" w:type="dxa"/>
              <w:bottom w:w="80.0" w:type="dxa"/>
              <w:right w:w="12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54.4</w:t>
            </w:r>
          </w:p>
        </w:tc>
      </w:tr>
      <w:tr>
        <w:trPr>
          <w:cantSplit w:val="1"/>
          <w:trHeight w:val="576" w:hRule="atLeast"/>
          <w:tblHeader w:val="0"/>
        </w:trPr>
        <w:tc>
          <w:tcPr>
            <w:tcBorders>
              <w:left w:color="000000" w:space="0" w:sz="0" w:val="nil"/>
            </w:tcBorders>
            <w:tcMar>
              <w:top w:w="80.0" w:type="dxa"/>
              <w:left w:w="120.0" w:type="dxa"/>
              <w:bottom w:w="80.0" w:type="dxa"/>
              <w:right w:w="12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Low</w:t>
            </w:r>
          </w:p>
        </w:tc>
        <w:tc>
          <w:tcPr>
            <w:tcMar>
              <w:top w:w="80.0" w:type="dxa"/>
              <w:left w:w="120.0" w:type="dxa"/>
              <w:bottom w:w="80.0" w:type="dxa"/>
              <w:right w:w="12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35.6</w:t>
            </w:r>
          </w:p>
        </w:tc>
        <w:tc>
          <w:tcPr>
            <w:tcBorders>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54.4</w:t>
            </w:r>
          </w:p>
        </w:tc>
      </w:tr>
      <w:tr>
        <w:trPr>
          <w:cantSplit w:val="1"/>
          <w:trHeight w:val="576" w:hRule="atLeast"/>
          <w:tblHeader w:val="0"/>
        </w:trPr>
        <w:tc>
          <w:tcPr>
            <w:tcBorders>
              <w:left w:color="000000" w:space="0" w:sz="0" w:val="nil"/>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Non-English (xx-yy)</w:t>
            </w:r>
            <w:r w:rsidDel="00000000" w:rsidR="00000000" w:rsidRPr="00000000">
              <w:rPr>
                <w:rtl w:val="0"/>
              </w:rPr>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w:t>
            </w:r>
          </w:p>
        </w:tc>
        <w:tc>
          <w:tcPr>
            <w:tcBorders>
              <w:bottom w:color="e1e4e8" w:space="0" w:sz="4" w:val="single"/>
            </w:tcBorders>
            <w:tcMar>
              <w:top w:w="80.0" w:type="dxa"/>
              <w:left w:w="120.0" w:type="dxa"/>
              <w:bottom w:w="80.0" w:type="dxa"/>
              <w:right w:w="12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17.3</w:t>
            </w:r>
          </w:p>
        </w:tc>
        <w:tc>
          <w:tcPr>
            <w:tcBorders>
              <w:bottom w:color="e1e4e8" w:space="0" w:sz="4" w:val="single"/>
              <w:right w:color="000000" w:space="0" w:sz="0" w:val="nil"/>
            </w:tcBorders>
            <w:tcMar>
              <w:top w:w="80.0" w:type="dxa"/>
              <w:left w:w="120.0" w:type="dxa"/>
              <w:bottom w:w="80.0" w:type="dxa"/>
              <w:right w:w="12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35.6</w:t>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 Average spBLEU and chrF++ scores of NLLB-200 on the FLORES-200 benchmark.</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clearly shows that the model maintains a strong performance even for low and very low-resource languages, with the chrF++ scores being particularly high, confirming the model's ability to handle complex linguistic structures.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9.2.2. Performance on African and Indian Languages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 project made significant strides in African and Indian languages. For African languages, NLLB-200 consistently outperformed previous models like MMTAfrica and M2M-100, often by over 10 spBLEU points. For instance, on the English to Zulu direction, NLLB-200 achieved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36.3 spBLEU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compared to the previous SOTA of 19.2, a near-doubling of performance.</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Indian languages, NLLB-200's performance was competitive with, and often superior to, commercial systems and specialized models like IndicTrans, especially on translations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English. The model's inclusion of 25 Indian languages, nearly double that of previous specialized efforts, is a major factor in its success in this language family.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9.3. Discussion of Issues Faced and Solutions Applied</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Computational Resource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issue was the high memory requirement of the 3.3B model. Loading the model requires a significant amount of RAM (over 20GB). The solution was to utilize a high-resource computing environment. For future deployment, techniques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8-bit or 4-bit quantization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libraries like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bitsandbytes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would be essential to reduce the memory footprint and enable deployment on more modest hardware.</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Inference Latency: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Despite the MoE architecture's efficiency, the sheer size of the model still results in noticeable latency on CPU-only environments. The solution applied in the implementation was to optimize the generation parameters, such as 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num_beams=4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higher quality and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max_length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 reasonable limit, but the ultimate solution requires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GPU acceleration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achieve real-time performance.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Overfitting on Low-Resource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not an issue in this pre-trained implementation, the NLLB paper itself addressed the challenge of MoE models overfitting on small datasets. The solution developed by the NLLB team was the use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Expert Output Masking (EOM)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high levels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dropout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 to $p_{drop}=0.3$). This is a critical insight for anyone attempting to fine-tune the model on a small, custom dataset.</w:t>
      </w: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 Conclusion and Future Work</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10.1. Summary of Achievements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translated cutting-edge AI research into a tangible, functional application. The primary achievements include: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 Implementation of a State-of-the-Art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demonstrated the ability to integrate and run a large-scale, 3.3-billion-parameter Transformer model, leveraging the MoE architecture for massive multilingual support.</w:t>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Creation of an Accessible and User-Friendly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using Gradio, a highly effective and intuitive web interface was developed, abstracting away the complexity of the underlying model and providing a seamless experience for users across 200+ languages.</w:t>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Deep and Accurate Technical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report provided a thorough and accurate analysis of the NLLB-200 model, its architecture, training data, and performance, based on a comprehensive review of the 192-page source paper. The report includes detailed NLP fundamentals, mathematical formulations, and quantitative performance metrics.</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Demonstration of Human-Centered 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highlights the importance of the human-centered principles that guided the NLLB project, showcasing an application that directly addresses the real-world problem of the digital language divide.</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of NLP and Gradio: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successfully demonstrates the integration of advanced NLP techniques with the Gradio framework, creating a practical, accessible tool for multilingual translation.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DF">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 Ideas for Extending or Improving the Project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application serves as an excellent foundation, but several avenues exist for future enhancement: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and Efficiency Optimization: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most immediate improvement would be to optimize the application for speed and memory. This includes:</w:t>
      </w:r>
    </w:p>
    <w:p w:rsidR="00000000" w:rsidDel="00000000" w:rsidP="00000000" w:rsidRDefault="00000000" w:rsidRPr="00000000" w14:paraId="000001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Quantization: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8-bit or 4-bit model loading to drastically reduce memory usage.</w:t>
      </w:r>
    </w:p>
    <w:p w:rsidR="00000000" w:rsidDel="00000000" w:rsidP="00000000" w:rsidRDefault="00000000" w:rsidRPr="00000000" w14:paraId="000001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with GPU: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Utilizing a cloud-based GPU instance to achieve sub-second inference latency.</w:t>
      </w:r>
    </w:p>
    <w:p w:rsidR="00000000" w:rsidDel="00000000" w:rsidP="00000000" w:rsidRDefault="00000000" w:rsidRPr="00000000" w14:paraId="000001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Distillation: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Further distilling the 3.3B model into a smaller, faster model specifically for the most frequently used language pairs.</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Enhanced User 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UI could be extended with features common in commercial translation products:</w:t>
      </w:r>
    </w:p>
    <w:p w:rsidR="00000000" w:rsidDel="00000000" w:rsidP="00000000" w:rsidRDefault="00000000" w:rsidRPr="00000000" w14:paraId="000001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Source Language Detection: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Integrating a language identification model to automatically detect the input language.</w:t>
      </w:r>
    </w:p>
    <w:p w:rsidR="00000000" w:rsidDel="00000000" w:rsidP="00000000" w:rsidRDefault="00000000" w:rsidRPr="00000000" w14:paraId="000001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Text-to-Speech (TTS) and Speech-to-Text (STT):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Adding audio input and output capabilities to create a full-featured conversational translation tool.</w:t>
      </w:r>
    </w:p>
    <w:p w:rsidR="00000000" w:rsidDel="00000000" w:rsidP="00000000" w:rsidRDefault="00000000" w:rsidRPr="00000000" w14:paraId="000001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 History and Glossary: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Allowing users to save and manage frequently used translations and custom terminology.</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Domain-Specific Fine-Tuning: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a more advanced project, the NLLB-200 model could be fine-tuned on a specific domain's parallel corpus (e.g., medical texts, legal documents) to improve its accuracy and terminology in that niche. This would involve applying the MoE-specific regularization techniques (EOM and dropout) as described in the NLLB paper.</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Robust 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application could be containerized using Docker and deployed on a scalable cloud platform like Hugging Face Spaces, AWS, or GCP to provide reliable public access.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successfully demonstrates the power of open-source, large-scale AI models combined with accessible frameworks like Gradio. By building upon this work, the path is clear toward even more powerful, efficient, and equitable language technologies for everyone.</w:t>
      </w:r>
      <w:r w:rsidDel="00000000" w:rsidR="00000000" w:rsidRPr="00000000">
        <w:rPr>
          <w:rtl w:val="0"/>
        </w:rPr>
      </w:r>
    </w:p>
    <w:p w:rsidR="00000000" w:rsidDel="00000000" w:rsidP="00000000" w:rsidRDefault="00000000" w:rsidRPr="00000000" w14:paraId="000001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 References</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Sutskever, I., Vinyals, O., &amp; Le, Q. V. (2014). Sequence to Sequence Learning with Neural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https://arxiv.org/abs/1409.3215</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Bahdanau, D., Cho, K., &amp; Bengio, Y. (2014). Neural Machine Translation by Jointly Learning to Align and Translate.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arXiv:1409.0473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https://arxiv.org/abs/1409.0473</w:t>
        </w:r>
      </w:hyperlink>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Vaswani, A., Shazeer, N., Parmar, N., Uszkoreit, J., Jones, L., Gomez, A. N., Kaiser, L., &amp; Polosukhin, I. (2017). Attention Is All You Need.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https://arxiv.org/abs/1706.03762</w:t>
        </w:r>
      </w:hyperlink>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Johnson, M., Schuster, M., Le, Q. V., Krikun, M., Wu, Y., Chen, Z., ... &amp; Hughes, M. (2017). Google's Multilingual Neural Machine Translation System: Enabling Zero-Shot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Transactions of the Association for Computational Linguistics,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339-351. Available: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https://aclanthology.org/Q17-1024/</w:t>
        </w:r>
      </w:hyperlink>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Haddow, B., et al. (2022). Survey of Low-Resource Machine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Computational Linguistics, 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695-759. Available: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https://aclanthology.org/2022.cl-3.6/</w:t>
        </w:r>
      </w:hyperlink>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Shazeer, N., Mirhoseini, A., Maziarz, K., Davis, A., Le, Q., Hinton, G., &amp; Dean, J. (2017). Outrageously Large Neural Networks: The Sparsely-Gated Mixture-of-Experts Layer.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arXiv:1701.06538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https://arxiv.org/abs/1701.06538</w:t>
        </w:r>
      </w:hyperlink>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NLLB Team, Costa-jussà, M. R., Cross, J., Çelebi, O., Elbayad, M., Heafield, K., ... &amp; Fan, A. (2022). No Language Left Behind: Scaling Human-Centered Machine Translation.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arXiv:2207.04672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https://arxiv.org/abs/2207.04672</w:t>
        </w:r>
      </w:hyperlink>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Khurana, D., Koli, A., Khatter, K., &amp; Singh, S. (2023). Natural Language Processing: State of the art, current trends and challenges.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Multimedia Tools and Applications, 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3713-3744. Available: </w:t>
      </w: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https://link.springer.com/article/10.1007/s11042-022-13428-2</w:t>
        </w:r>
      </w:hyperlink>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Kudo, T., &amp; Richardson, J. (2018). SentencePiece: A simple and language agnostic approach to subword segmentation.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arXiv:1808.06226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https://arxiv.org/abs/1808.06226</w:t>
        </w:r>
      </w:hyperlink>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Mikolov, T., Chen, K., Corrado, G., &amp; Dean, J. (2013). Efficient estimation of word representations in vector space.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arXiv:1301.3781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https://arxiv.org/abs/1301.3781</w:t>
        </w:r>
      </w:hyperlink>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Pennington, J., Socher, R., &amp; Manning, C. D. (2014). GloVe: Global vectors for word representation.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2014 conference on empirical methods in natural language processing (EMNLP)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1532-1543). Available: </w:t>
      </w:r>
      <w:hyperlink r:id="rId1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https://aclanthology.org/D14-1162/</w:t>
        </w:r>
      </w:hyperlink>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Abid, A., Ali, A., Ismail, A., &amp; Cui, J. (2021). Gradio: Hassle-free sharing and testing of ML models in the wild.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 arXiv:1906.02569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w:t>
      </w: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https://arxiv.org/abs/1906.02569</w:t>
        </w:r>
      </w:hyperlink>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SimSu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scadia Cod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440" w:hanging="360"/>
      </w:pPr>
      <w:rPr/>
    </w:lvl>
    <w:lvl w:ilvl="2">
      <w:start w:val="1"/>
      <w:numFmt w:val="decimal"/>
      <w:lvlText w:val="%1.%2.%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lanthology.org/Q17-1024/" TargetMode="External"/><Relationship Id="rId10" Type="http://schemas.openxmlformats.org/officeDocument/2006/relationships/hyperlink" Target="https://arxiv.org/abs/1706.03762" TargetMode="External"/><Relationship Id="rId13" Type="http://schemas.openxmlformats.org/officeDocument/2006/relationships/hyperlink" Target="https://arxiv.org/abs/1701.06538" TargetMode="External"/><Relationship Id="rId12" Type="http://schemas.openxmlformats.org/officeDocument/2006/relationships/hyperlink" Target="https://aclanthology.org/2022.cl-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409.0473" TargetMode="External"/><Relationship Id="rId15" Type="http://schemas.openxmlformats.org/officeDocument/2006/relationships/hyperlink" Target="https://link.springer.com/article/10.1007/s11042-022-13428-2" TargetMode="External"/><Relationship Id="rId14" Type="http://schemas.openxmlformats.org/officeDocument/2006/relationships/hyperlink" Target="https://arxiv.org/abs/2207.04672" TargetMode="External"/><Relationship Id="rId17" Type="http://schemas.openxmlformats.org/officeDocument/2006/relationships/hyperlink" Target="https://arxiv.org/abs/1301.3781" TargetMode="External"/><Relationship Id="rId16" Type="http://schemas.openxmlformats.org/officeDocument/2006/relationships/hyperlink" Target="https://arxiv.org/abs/1808.06226" TargetMode="External"/><Relationship Id="rId5" Type="http://schemas.openxmlformats.org/officeDocument/2006/relationships/styles" Target="styles.xml"/><Relationship Id="rId19" Type="http://schemas.openxmlformats.org/officeDocument/2006/relationships/hyperlink" Target="https://arxiv.org/abs/1906.02569" TargetMode="External"/><Relationship Id="rId6" Type="http://schemas.openxmlformats.org/officeDocument/2006/relationships/image" Target="media/image1.png"/><Relationship Id="rId18" Type="http://schemas.openxmlformats.org/officeDocument/2006/relationships/hyperlink" Target="https://aclanthology.org/D14-1162/" TargetMode="External"/><Relationship Id="rId7" Type="http://schemas.openxmlformats.org/officeDocument/2006/relationships/hyperlink" Target="mailto:rakiber357@gmail.com" TargetMode="External"/><Relationship Id="rId8" Type="http://schemas.openxmlformats.org/officeDocument/2006/relationships/hyperlink" Target="https://arxiv.org/abs/1409.32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scadiaCode-regular.ttf"/><Relationship Id="rId5" Type="http://schemas.openxmlformats.org/officeDocument/2006/relationships/font" Target="fonts/CascadiaCode-bold.ttf"/><Relationship Id="rId6" Type="http://schemas.openxmlformats.org/officeDocument/2006/relationships/font" Target="fonts/CascadiaCode-italic.ttf"/><Relationship Id="rId7"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