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600" w:lineRule="auto"/>
        <w:jc w:val="center"/>
        <w:rPr>
          <w:b w:val="1"/>
          <w:bCs w:val="1"/>
          <w:sz w:val="48"/>
          <w:szCs w:val="48"/>
        </w:rPr>
      </w:pPr>
      <w:r w:rsidDel="00000000" w:rsidR="00000000" w:rsidRPr="00000000">
        <w:rPr>
          <w:rFonts w:ascii="Gungsuh" w:cs="Gungsuh" w:eastAsia="Gungsuh" w:hAnsi="Gungsuh"/>
          <w:b w:val="1"/>
          <w:bCs w:val="1"/>
          <w:sz w:val="48"/>
          <w:szCs w:val="48"/>
          <w:rtl w:val="0"/>
        </w:rPr>
        <w:t xml:space="preserve">云南大学软件学院</w:t>
      </w:r>
    </w:p>
    <w:p w:rsidR="00000000" w:rsidDel="00000000" w:rsidP="00000000" w:rsidRDefault="00000000" w:rsidRPr="00000000" w14:paraId="00000002">
      <w:pPr>
        <w:widowControl w:val="0"/>
        <w:spacing w:line="600" w:lineRule="auto"/>
        <w:jc w:val="center"/>
        <w:rPr>
          <w:b w:val="1"/>
          <w:bCs w:val="1"/>
          <w:sz w:val="44"/>
          <w:szCs w:val="44"/>
        </w:rPr>
      </w:pPr>
      <w:r w:rsidDel="00000000" w:rsidR="00000000" w:rsidRPr="00000000">
        <w:rPr>
          <w:rFonts w:ascii="Gungsuh" w:cs="Gungsuh" w:eastAsia="Gungsuh" w:hAnsi="Gungsuh"/>
          <w:b w:val="1"/>
          <w:bCs w:val="1"/>
          <w:sz w:val="44"/>
          <w:szCs w:val="44"/>
          <w:rtl w:val="0"/>
        </w:rPr>
        <w:t xml:space="preserve">课  程  作  业</w:t>
      </w:r>
    </w:p>
    <w:p w:rsidR="00000000" w:rsidDel="00000000" w:rsidP="00000000" w:rsidRDefault="00000000" w:rsidRPr="00000000" w14:paraId="00000003">
      <w:pPr>
        <w:spacing w:after="280" w:before="280" w:lineRule="auto"/>
        <w:ind w:right="-2"/>
        <w:jc w:val="both"/>
        <w:rPr>
          <w:sz w:val="21"/>
          <w:szCs w:val="21"/>
        </w:rPr>
      </w:pPr>
      <w:r w:rsidDel="00000000" w:rsidR="00000000" w:rsidRPr="00000000">
        <w:rPr>
          <w:rFonts w:ascii="Gungsuh" w:cs="Gungsuh" w:eastAsia="Gungsuh" w:hAnsi="Gungsuh"/>
          <w:sz w:val="21"/>
          <w:szCs w:val="21"/>
          <w:rtl w:val="0"/>
        </w:rPr>
        <w:t xml:space="preserve">课程：</w:t>
      </w:r>
      <w:r w:rsidDel="00000000" w:rsidR="00000000" w:rsidRPr="00000000">
        <w:rPr>
          <w:rFonts w:ascii="Gungsuh" w:cs="Gungsuh" w:eastAsia="Gungsuh" w:hAnsi="Gungsuh"/>
          <w:sz w:val="21"/>
          <w:szCs w:val="21"/>
          <w:u w:val="single"/>
          <w:rtl w:val="0"/>
        </w:rPr>
        <w:t xml:space="preserve">  深度学习原理及平台  </w:t>
      </w:r>
      <w:r w:rsidDel="00000000" w:rsidR="00000000" w:rsidRPr="00000000">
        <w:rPr>
          <w:rFonts w:ascii="Gungsuh" w:cs="Gungsuh" w:eastAsia="Gungsuh" w:hAnsi="Gungsuh"/>
          <w:sz w:val="21"/>
          <w:szCs w:val="21"/>
          <w:rtl w:val="0"/>
        </w:rPr>
        <w:t xml:space="preserve"> 任课教师：</w:t>
      </w:r>
      <w:r w:rsidDel="00000000" w:rsidR="00000000" w:rsidRPr="00000000">
        <w:rPr>
          <w:rFonts w:ascii="Gungsuh" w:cs="Gungsuh" w:eastAsia="Gungsuh" w:hAnsi="Gungsuh"/>
          <w:sz w:val="21"/>
          <w:szCs w:val="21"/>
          <w:u w:val="single"/>
          <w:rtl w:val="0"/>
        </w:rPr>
        <w:t xml:space="preserve">   江倩  </w:t>
      </w:r>
      <w:r w:rsidDel="00000000" w:rsidR="00000000" w:rsidRPr="00000000">
        <w:rPr>
          <w:sz w:val="21"/>
          <w:szCs w:val="21"/>
          <w:rtl w:val="0"/>
        </w:rPr>
        <w:t xml:space="preserve"> </w:t>
      </w:r>
      <w:bookmarkStart w:colFirst="0" w:colLast="0" w:name="kix.f7j466byi2dh" w:id="0"/>
      <w:bookmarkEnd w:id="0"/>
      <w:r w:rsidDel="00000000" w:rsidR="00000000" w:rsidRPr="00000000">
        <w:rPr>
          <w:rFonts w:ascii="Gungsuh" w:cs="Gungsuh" w:eastAsia="Gungsuh" w:hAnsi="Gungsuh"/>
          <w:sz w:val="21"/>
          <w:szCs w:val="21"/>
          <w:rtl w:val="0"/>
        </w:rPr>
        <w:t xml:space="preserve">学期：</w:t>
      </w:r>
      <w:r w:rsidDel="00000000" w:rsidR="00000000" w:rsidRPr="00000000">
        <w:rPr>
          <w:rFonts w:ascii="Gungsuh" w:cs="Gungsuh" w:eastAsia="Gungsuh" w:hAnsi="Gungsuh"/>
          <w:sz w:val="21"/>
          <w:szCs w:val="21"/>
          <w:u w:val="single"/>
          <w:rtl w:val="0"/>
        </w:rPr>
        <w:t xml:space="preserve">  2025秋 </w:t>
      </w:r>
      <w:r w:rsidDel="00000000" w:rsidR="00000000" w:rsidRPr="00000000">
        <w:rPr>
          <w:rFonts w:ascii="Gungsuh" w:cs="Gungsuh" w:eastAsia="Gungsuh" w:hAnsi="Gungsuh"/>
          <w:sz w:val="21"/>
          <w:szCs w:val="21"/>
          <w:rtl w:val="0"/>
        </w:rPr>
        <w:t xml:space="preserve"> 成绩：</w:t>
      </w:r>
      <w:r w:rsidDel="00000000" w:rsidR="00000000" w:rsidRPr="00000000">
        <w:rPr>
          <w:sz w:val="21"/>
          <w:szCs w:val="21"/>
          <w:u w:val="single"/>
          <w:rtl w:val="0"/>
        </w:rPr>
        <w:t xml:space="preserve">        </w:t>
      </w:r>
      <w:r w:rsidDel="00000000" w:rsidR="00000000" w:rsidRPr="00000000">
        <w:rPr>
          <w:rtl w:val="0"/>
        </w:rPr>
      </w:r>
    </w:p>
    <w:p w:rsidR="00000000" w:rsidDel="00000000" w:rsidP="00000000" w:rsidRDefault="00000000" w:rsidRPr="00000000" w14:paraId="00000004">
      <w:pPr>
        <w:spacing w:after="280" w:before="280" w:lineRule="auto"/>
        <w:ind w:right="-2"/>
        <w:jc w:val="both"/>
        <w:rPr>
          <w:sz w:val="28"/>
          <w:szCs w:val="28"/>
          <w:u w:val="single"/>
        </w:rPr>
      </w:pPr>
      <w:r w:rsidDel="00000000" w:rsidR="00000000" w:rsidRPr="00000000">
        <w:rPr>
          <w:sz w:val="27"/>
          <w:szCs w:val="27"/>
          <w:rtl w:val="0"/>
        </w:rPr>
        <w:t xml:space="preserve">Name: MIA MD RAKIB </w:t>
        <w:tab/>
        <w:tab/>
        <w:t xml:space="preserve">ID: 20233120001</w:t>
      </w:r>
      <w:r w:rsidDel="00000000" w:rsidR="00000000" w:rsidRPr="00000000">
        <w:rPr>
          <w:sz w:val="27"/>
          <w:szCs w:val="27"/>
          <w:u w:val="single"/>
          <w:rtl w:val="0"/>
        </w:rPr>
        <w:t xml:space="preserve">      </w:t>
      </w:r>
      <w:r w:rsidDel="00000000" w:rsidR="00000000" w:rsidRPr="00000000">
        <w:rPr>
          <w:sz w:val="21"/>
          <w:szCs w:val="21"/>
          <w:u w:val="single"/>
          <w:rtl w:val="0"/>
        </w:rPr>
        <w:t xml:space="preserve">    </w:t>
      </w:r>
      <w:r w:rsidDel="00000000" w:rsidR="00000000" w:rsidRPr="00000000">
        <w:rPr>
          <w:sz w:val="21"/>
          <w:szCs w:val="2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wp:posOffset>
                </wp:positionH>
                <wp:positionV relativeFrom="paragraph">
                  <wp:posOffset>286703</wp:posOffset>
                </wp:positionV>
                <wp:extent cx="5600700" cy="15875"/>
                <wp:effectExtent b="0" l="0" r="0" t="0"/>
                <wp:wrapNone/>
                <wp:docPr id="1" name=""/>
                <a:graphic>
                  <a:graphicData uri="http://schemas.microsoft.com/office/word/2010/wordprocessingShape">
                    <wps:wsp>
                      <wps:cNvCnPr/>
                      <wps:spPr>
                        <a:xfrm>
                          <a:off x="2545650" y="3780000"/>
                          <a:ext cx="5600700" cy="0"/>
                        </a:xfrm>
                        <a:prstGeom prst="straightConnector1">
                          <a:avLst/>
                        </a:prstGeom>
                        <a:noFill/>
                        <a:ln cap="flat" cmpd="sng" w="158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wp:posOffset>
                </wp:positionH>
                <wp:positionV relativeFrom="paragraph">
                  <wp:posOffset>286703</wp:posOffset>
                </wp:positionV>
                <wp:extent cx="5600700" cy="15875"/>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00700" cy="15875"/>
                        </a:xfrm>
                        <a:prstGeom prst="rect"/>
                        <a:ln/>
                      </pic:spPr>
                    </pic:pic>
                  </a:graphicData>
                </a:graphic>
              </wp:anchor>
            </w:drawing>
          </mc:Fallback>
        </mc:AlternateContent>
      </w:r>
    </w:p>
    <w:p w:rsidR="00000000" w:rsidDel="00000000" w:rsidP="00000000" w:rsidRDefault="00000000" w:rsidRPr="00000000" w14:paraId="00000005">
      <w:pPr>
        <w:widowControl w:val="0"/>
        <w:jc w:val="center"/>
        <w:rPr>
          <w:sz w:val="32"/>
          <w:szCs w:val="32"/>
        </w:rPr>
      </w:pPr>
      <w:r w:rsidDel="00000000" w:rsidR="00000000" w:rsidRPr="00000000">
        <w:rPr>
          <w:rFonts w:ascii="Gungsuh" w:cs="Gungsuh" w:eastAsia="Gungsuh" w:hAnsi="Gungsuh"/>
          <w:b w:val="1"/>
          <w:bCs w:val="1"/>
          <w:sz w:val="29"/>
          <w:szCs w:val="29"/>
          <w:rtl w:val="0"/>
        </w:rPr>
        <w:t xml:space="preserve">题目：神经网络优化核心技术的实践对比与原理分析​</w:t>
      </w:r>
      <w:r w:rsidDel="00000000" w:rsidR="00000000" w:rsidRPr="00000000">
        <w:rPr>
          <w:rtl w:val="0"/>
        </w:rPr>
      </w:r>
    </w:p>
    <w:p w:rsidR="00000000" w:rsidDel="00000000" w:rsidP="00000000" w:rsidRDefault="00000000" w:rsidRPr="00000000" w14:paraId="00000006">
      <w:pPr>
        <w:widowControl w:val="0"/>
        <w:numPr>
          <w:ilvl w:val="0"/>
          <w:numId w:val="4"/>
        </w:numPr>
        <w:ind w:left="576"/>
        <w:jc w:val="both"/>
        <w:rPr>
          <w:sz w:val="28"/>
          <w:szCs w:val="28"/>
        </w:rPr>
      </w:pPr>
      <w:r w:rsidDel="00000000" w:rsidR="00000000" w:rsidRPr="00000000">
        <w:rPr>
          <w:rFonts w:ascii="Gungsuh" w:cs="Gungsuh" w:eastAsia="Gungsuh" w:hAnsi="Gungsuh"/>
          <w:sz w:val="28"/>
          <w:szCs w:val="28"/>
          <w:rtl w:val="0"/>
        </w:rPr>
        <w:t xml:space="preserve">作业目标​</w:t>
      </w:r>
    </w:p>
    <w:p w:rsidR="00000000" w:rsidDel="00000000" w:rsidP="00000000" w:rsidRDefault="00000000" w:rsidRPr="00000000" w14:paraId="00000007">
      <w:pPr>
        <w:widowControl w:val="0"/>
        <w:ind w:firstLine="480"/>
        <w:jc w:val="both"/>
        <w:rPr/>
      </w:pPr>
      <w:r w:rsidDel="00000000" w:rsidR="00000000" w:rsidRPr="00000000">
        <w:rPr>
          <w:rFonts w:ascii="Gungsuh" w:cs="Gungsuh" w:eastAsia="Gungsuh" w:hAnsi="Gungsuh"/>
          <w:rtl w:val="0"/>
        </w:rPr>
        <w:t xml:space="preserve">掌握至少3种经典优化器（SGD、Adam、RMSprop等）的工作原理与适用场景；理解L1/L2正则化、Dropout的正则化机制，能通过代码实现并验证效果；学会超参数调优的基本方法，分析超参数对模型性能的影响；提升基于深度学习平台的实操能力，能独立完成模型搭建、训练与结果可视化。​</w:t>
      </w:r>
    </w:p>
    <w:p w:rsidR="00000000" w:rsidDel="00000000" w:rsidP="00000000" w:rsidRDefault="00000000" w:rsidRPr="00000000" w14:paraId="00000008">
      <w:pPr>
        <w:widowControl w:val="0"/>
        <w:numPr>
          <w:ilvl w:val="0"/>
          <w:numId w:val="4"/>
        </w:numPr>
        <w:ind w:left="576"/>
        <w:jc w:val="both"/>
        <w:rPr>
          <w:sz w:val="28"/>
          <w:szCs w:val="28"/>
        </w:rPr>
      </w:pPr>
      <w:r w:rsidDel="00000000" w:rsidR="00000000" w:rsidRPr="00000000">
        <w:rPr>
          <w:rFonts w:ascii="Gungsuh" w:cs="Gungsuh" w:eastAsia="Gungsuh" w:hAnsi="Gungsuh"/>
          <w:sz w:val="28"/>
          <w:szCs w:val="28"/>
          <w:rtl w:val="0"/>
        </w:rPr>
        <w:t xml:space="preserve">作业任务（总分100分）​</w:t>
      </w:r>
    </w:p>
    <w:p w:rsidR="00000000" w:rsidDel="00000000" w:rsidP="00000000" w:rsidRDefault="00000000" w:rsidRPr="00000000" w14:paraId="00000009">
      <w:pPr>
        <w:widowControl w:val="0"/>
        <w:jc w:val="both"/>
        <w:rPr>
          <w:b w:val="1"/>
          <w:bCs w:val="1"/>
        </w:rPr>
      </w:pPr>
      <w:r w:rsidDel="00000000" w:rsidR="00000000" w:rsidRPr="00000000">
        <w:rPr>
          <w:rFonts w:ascii="Gungsuh" w:cs="Gungsuh" w:eastAsia="Gungsuh" w:hAnsi="Gungsuh"/>
          <w:b w:val="1"/>
          <w:bCs w:val="1"/>
          <w:rtl w:val="0"/>
        </w:rPr>
        <w:t xml:space="preserve">任务 1：数据集准备与基线模型搭建（20分）​</w:t>
      </w:r>
    </w:p>
    <w:p w:rsidR="00000000" w:rsidDel="00000000" w:rsidP="00000000" w:rsidRDefault="00000000" w:rsidRPr="00000000" w14:paraId="0000000A">
      <w:pPr>
        <w:widowControl w:val="0"/>
        <w:numPr>
          <w:ilvl w:val="0"/>
          <w:numId w:val="5"/>
        </w:numPr>
        <w:ind w:left="425"/>
        <w:jc w:val="both"/>
        <w:rPr>
          <w:sz w:val="22"/>
          <w:szCs w:val="22"/>
        </w:rPr>
      </w:pPr>
      <w:r w:rsidDel="00000000" w:rsidR="00000000" w:rsidRPr="00000000">
        <w:rPr>
          <w:rFonts w:ascii="Gungsuh" w:cs="Gungsuh" w:eastAsia="Gungsuh" w:hAnsi="Gungsuh"/>
          <w:b w:val="1"/>
          <w:bCs w:val="1"/>
          <w:sz w:val="22"/>
          <w:szCs w:val="22"/>
          <w:rtl w:val="0"/>
        </w:rPr>
        <w:t xml:space="preserve">选择公开数据集</w:t>
      </w:r>
      <w:r w:rsidDel="00000000" w:rsidR="00000000" w:rsidRPr="00000000">
        <w:rPr>
          <w:rFonts w:ascii="Gungsuh" w:cs="Gungsuh" w:eastAsia="Gungsuh" w:hAnsi="Gungsuh"/>
          <w:sz w:val="22"/>
          <w:szCs w:val="22"/>
          <w:rtl w:val="0"/>
        </w:rPr>
        <w:t xml:space="preserve">：使用MNIST手写数字识别数据集（分类任务）或Boston Housing房价预测数据集（回归任务），二选一；</w:t>
      </w:r>
    </w:p>
    <w:p w:rsidR="00000000" w:rsidDel="00000000" w:rsidP="00000000" w:rsidRDefault="00000000" w:rsidRPr="00000000" w14:paraId="0000000B">
      <w:pPr>
        <w:widowControl w:val="0"/>
        <w:numPr>
          <w:ilvl w:val="0"/>
          <w:numId w:val="5"/>
        </w:numPr>
        <w:ind w:left="425"/>
        <w:jc w:val="both"/>
        <w:rPr>
          <w:sz w:val="22"/>
          <w:szCs w:val="22"/>
        </w:rPr>
      </w:pPr>
      <w:r w:rsidDel="00000000" w:rsidR="00000000" w:rsidRPr="00000000">
        <w:rPr>
          <w:rFonts w:ascii="Gungsuh" w:cs="Gungsuh" w:eastAsia="Gungsuh" w:hAnsi="Gungsuh"/>
          <w:sz w:val="22"/>
          <w:szCs w:val="22"/>
          <w:rtl w:val="0"/>
        </w:rPr>
        <w:t xml:space="preserve">数据预处理：完成数据加载、归一化/标准化、训练集/测试集划分；</w:t>
      </w:r>
    </w:p>
    <w:p w:rsidR="00000000" w:rsidDel="00000000" w:rsidP="00000000" w:rsidRDefault="00000000" w:rsidRPr="00000000" w14:paraId="0000000C">
      <w:pPr>
        <w:widowControl w:val="0"/>
        <w:numPr>
          <w:ilvl w:val="0"/>
          <w:numId w:val="5"/>
        </w:numPr>
        <w:ind w:left="425"/>
        <w:jc w:val="both"/>
        <w:rPr>
          <w:sz w:val="22"/>
          <w:szCs w:val="22"/>
        </w:rPr>
      </w:pPr>
      <w:r w:rsidDel="00000000" w:rsidR="00000000" w:rsidRPr="00000000">
        <w:rPr>
          <w:rFonts w:ascii="Gungsuh" w:cs="Gungsuh" w:eastAsia="Gungsuh" w:hAnsi="Gungsuh"/>
          <w:sz w:val="22"/>
          <w:szCs w:val="22"/>
          <w:rtl w:val="0"/>
        </w:rPr>
        <w:t xml:space="preserve">搭建基线模型：设计一个简单的全连接神经网络（至少3层隐藏层，激活函数选用ReLU），不添加正则化，优化器默认使用SGD（学习率0.01）；</w:t>
      </w:r>
    </w:p>
    <w:p w:rsidR="00000000" w:rsidDel="00000000" w:rsidP="00000000" w:rsidRDefault="00000000" w:rsidRPr="00000000" w14:paraId="0000000D">
      <w:pPr>
        <w:widowControl w:val="0"/>
        <w:numPr>
          <w:ilvl w:val="0"/>
          <w:numId w:val="5"/>
        </w:numPr>
        <w:ind w:left="425"/>
        <w:jc w:val="both"/>
        <w:rPr>
          <w:sz w:val="21"/>
          <w:szCs w:val="21"/>
        </w:rPr>
      </w:pPr>
      <w:r w:rsidDel="00000000" w:rsidR="00000000" w:rsidRPr="00000000">
        <w:rPr>
          <w:rFonts w:ascii="Gungsuh" w:cs="Gungsuh" w:eastAsia="Gungsuh" w:hAnsi="Gungsuh"/>
          <w:sz w:val="22"/>
          <w:szCs w:val="22"/>
          <w:rtl w:val="0"/>
        </w:rPr>
        <w:t xml:space="preserve">训练基线模型：固定epochs及batch_size（如epochs=30、batch_size=64），记录训练集/测试集的损失（Loss）和准确率（分类任务）/R²分数（回归任务），绘制训练曲线（损失-epochs、指标-epochs）。</w:t>
      </w:r>
      <w:r w:rsidDel="00000000" w:rsidR="00000000" w:rsidRPr="00000000">
        <w:rPr>
          <w:sz w:val="21"/>
          <w:szCs w:val="21"/>
          <w:rtl w:val="0"/>
        </w:rPr>
        <w:t xml:space="preserve">​</w:t>
      </w:r>
    </w:p>
    <w:p w:rsidR="00000000" w:rsidDel="00000000" w:rsidP="00000000" w:rsidRDefault="00000000" w:rsidRPr="00000000" w14:paraId="0000000E">
      <w:pPr>
        <w:widowControl w:val="0"/>
        <w:jc w:val="both"/>
        <w:rPr>
          <w:b w:val="1"/>
          <w:bCs w:val="1"/>
        </w:rPr>
      </w:pPr>
      <w:bookmarkStart w:colFirst="0" w:colLast="0" w:name="_4n0xli6p9vkz" w:id="1"/>
      <w:bookmarkEnd w:id="1"/>
      <w:r w:rsidDel="00000000" w:rsidR="00000000" w:rsidRPr="00000000">
        <w:rPr>
          <w:rtl w:val="0"/>
        </w:rPr>
      </w:r>
    </w:p>
    <w:p w:rsidR="00000000" w:rsidDel="00000000" w:rsidP="00000000" w:rsidRDefault="00000000" w:rsidRPr="00000000" w14:paraId="0000000F">
      <w:pPr>
        <w:widowControl w:val="0"/>
        <w:jc w:val="both"/>
        <w:rPr>
          <w:b w:val="1"/>
          <w:bCs w:val="1"/>
        </w:rPr>
      </w:pPr>
      <w:r w:rsidDel="00000000" w:rsidR="00000000" w:rsidRPr="00000000">
        <w:rPr>
          <w:rFonts w:ascii="Gungsuh" w:cs="Gungsuh" w:eastAsia="Gungsuh" w:hAnsi="Gungsuh"/>
          <w:b w:val="1"/>
          <w:bCs w:val="1"/>
          <w:rtl w:val="0"/>
        </w:rPr>
        <w:t xml:space="preserve">任务 2：优化器对比实验（30分）​</w:t>
      </w:r>
    </w:p>
    <w:p w:rsidR="00000000" w:rsidDel="00000000" w:rsidP="00000000" w:rsidRDefault="00000000" w:rsidRPr="00000000" w14:paraId="00000010">
      <w:pPr>
        <w:widowControl w:val="0"/>
        <w:numPr>
          <w:ilvl w:val="0"/>
          <w:numId w:val="6"/>
        </w:numPr>
        <w:ind w:left="425"/>
        <w:jc w:val="both"/>
        <w:rPr>
          <w:sz w:val="21"/>
          <w:szCs w:val="21"/>
        </w:rPr>
      </w:pPr>
      <w:r w:rsidDel="00000000" w:rsidR="00000000" w:rsidRPr="00000000">
        <w:rPr>
          <w:rFonts w:ascii="Gungsuh" w:cs="Gungsuh" w:eastAsia="Gungsuh" w:hAnsi="Gungsuh"/>
          <w:sz w:val="21"/>
          <w:szCs w:val="21"/>
          <w:rtl w:val="0"/>
        </w:rPr>
        <w:t xml:space="preserve">选择3种优化器：从SGD、Momentum、RMSprop、Adam中任选3种（需包含SGD作为对照）；​</w:t>
      </w:r>
    </w:p>
    <w:p w:rsidR="00000000" w:rsidDel="00000000" w:rsidP="00000000" w:rsidRDefault="00000000" w:rsidRPr="00000000" w14:paraId="00000011">
      <w:pPr>
        <w:widowControl w:val="0"/>
        <w:numPr>
          <w:ilvl w:val="0"/>
          <w:numId w:val="6"/>
        </w:numPr>
        <w:ind w:left="425"/>
        <w:jc w:val="both"/>
        <w:rPr>
          <w:sz w:val="21"/>
          <w:szCs w:val="21"/>
        </w:rPr>
      </w:pPr>
      <w:r w:rsidDel="00000000" w:rsidR="00000000" w:rsidRPr="00000000">
        <w:rPr>
          <w:rFonts w:ascii="Gungsuh" w:cs="Gungsuh" w:eastAsia="Gungsuh" w:hAnsi="Gungsuh"/>
          <w:sz w:val="21"/>
          <w:szCs w:val="21"/>
          <w:rtl w:val="0"/>
        </w:rPr>
        <w:t xml:space="preserve">实验设计：保持模型结构、epochs、batch_size与基线模型一致，仅替换优化器，记录每种优化器的：​</w:t>
      </w:r>
    </w:p>
    <w:p w:rsidR="00000000" w:rsidDel="00000000" w:rsidP="00000000" w:rsidRDefault="00000000" w:rsidRPr="00000000" w14:paraId="00000012">
      <w:pPr>
        <w:widowControl w:val="0"/>
        <w:ind w:firstLine="630"/>
        <w:jc w:val="both"/>
        <w:rPr>
          <w:sz w:val="21"/>
          <w:szCs w:val="21"/>
        </w:rPr>
      </w:pPr>
      <w:r w:rsidDel="00000000" w:rsidR="00000000" w:rsidRPr="00000000">
        <w:rPr>
          <w:rFonts w:ascii="Gungsuh" w:cs="Gungsuh" w:eastAsia="Gungsuh" w:hAnsi="Gungsuh"/>
          <w:sz w:val="21"/>
          <w:szCs w:val="21"/>
          <w:rtl w:val="0"/>
        </w:rPr>
        <w:t xml:space="preserve">（a）训练/测试指标（最终准确率/R²、收敛时的epochs）；​</w:t>
      </w:r>
    </w:p>
    <w:p w:rsidR="00000000" w:rsidDel="00000000" w:rsidP="00000000" w:rsidRDefault="00000000" w:rsidRPr="00000000" w14:paraId="00000013">
      <w:pPr>
        <w:widowControl w:val="0"/>
        <w:ind w:firstLine="630"/>
        <w:jc w:val="both"/>
        <w:rPr>
          <w:sz w:val="21"/>
          <w:szCs w:val="21"/>
        </w:rPr>
      </w:pPr>
      <w:r w:rsidDel="00000000" w:rsidR="00000000" w:rsidRPr="00000000">
        <w:rPr>
          <w:rFonts w:ascii="Gungsuh" w:cs="Gungsuh" w:eastAsia="Gungsuh" w:hAnsi="Gungsuh"/>
          <w:sz w:val="21"/>
          <w:szCs w:val="21"/>
          <w:rtl w:val="0"/>
        </w:rPr>
        <w:t xml:space="preserve">（b）训练曲线（损失-epochs、指标-epochs）；​</w:t>
      </w:r>
    </w:p>
    <w:p w:rsidR="00000000" w:rsidDel="00000000" w:rsidP="00000000" w:rsidRDefault="00000000" w:rsidRPr="00000000" w14:paraId="00000014">
      <w:pPr>
        <w:widowControl w:val="0"/>
        <w:numPr>
          <w:ilvl w:val="0"/>
          <w:numId w:val="6"/>
        </w:numPr>
        <w:ind w:left="425"/>
        <w:jc w:val="both"/>
        <w:rPr>
          <w:sz w:val="21"/>
          <w:szCs w:val="21"/>
        </w:rPr>
      </w:pPr>
      <w:r w:rsidDel="00000000" w:rsidR="00000000" w:rsidRPr="00000000">
        <w:rPr>
          <w:rFonts w:ascii="Gungsuh" w:cs="Gungsuh" w:eastAsia="Gungsuh" w:hAnsi="Gungsuh"/>
          <w:sz w:val="21"/>
          <w:szCs w:val="21"/>
          <w:rtl w:val="0"/>
        </w:rPr>
        <w:t xml:space="preserve">分析总结：对比3种优化器的收敛速度、最终性能、稳定性，结合优化器的原理（如动量、自适应学习率）解释差异。​</w:t>
      </w:r>
    </w:p>
    <w:p w:rsidR="00000000" w:rsidDel="00000000" w:rsidP="00000000" w:rsidRDefault="00000000" w:rsidRPr="00000000" w14:paraId="00000015">
      <w:pPr>
        <w:widowControl w:val="0"/>
        <w:jc w:val="both"/>
        <w:rPr>
          <w:sz w:val="21"/>
          <w:szCs w:val="21"/>
        </w:rPr>
      </w:pPr>
      <w:r w:rsidDel="00000000" w:rsidR="00000000" w:rsidRPr="00000000">
        <w:rPr>
          <w:rtl w:val="0"/>
        </w:rPr>
      </w:r>
    </w:p>
    <w:p w:rsidR="00000000" w:rsidDel="00000000" w:rsidP="00000000" w:rsidRDefault="00000000" w:rsidRPr="00000000" w14:paraId="00000016">
      <w:pPr>
        <w:widowControl w:val="0"/>
        <w:jc w:val="both"/>
        <w:rPr>
          <w:b w:val="1"/>
          <w:bCs w:val="1"/>
        </w:rPr>
      </w:pPr>
      <w:r w:rsidDel="00000000" w:rsidR="00000000" w:rsidRPr="00000000">
        <w:rPr>
          <w:rFonts w:ascii="Gungsuh" w:cs="Gungsuh" w:eastAsia="Gungsuh" w:hAnsi="Gungsuh"/>
          <w:b w:val="1"/>
          <w:bCs w:val="1"/>
          <w:rtl w:val="0"/>
        </w:rPr>
        <w:t xml:space="preserve">任务 3：正则化技术实践（30分）​</w:t>
      </w:r>
    </w:p>
    <w:p w:rsidR="00000000" w:rsidDel="00000000" w:rsidP="00000000" w:rsidRDefault="00000000" w:rsidRPr="00000000" w14:paraId="00000017">
      <w:pPr>
        <w:widowControl w:val="0"/>
        <w:numPr>
          <w:ilvl w:val="0"/>
          <w:numId w:val="7"/>
        </w:numPr>
        <w:ind w:left="425"/>
        <w:jc w:val="both"/>
        <w:rPr>
          <w:sz w:val="21"/>
          <w:szCs w:val="21"/>
        </w:rPr>
      </w:pPr>
      <w:r w:rsidDel="00000000" w:rsidR="00000000" w:rsidRPr="00000000">
        <w:rPr>
          <w:rFonts w:ascii="Gungsuh" w:cs="Gungsuh" w:eastAsia="Gungsuh" w:hAnsi="Gungsuh"/>
          <w:sz w:val="21"/>
          <w:szCs w:val="21"/>
          <w:rtl w:val="0"/>
        </w:rPr>
        <w:t xml:space="preserve">基于任务2中性能最优的优化器，进行正则化实验：​</w:t>
      </w:r>
    </w:p>
    <w:p w:rsidR="00000000" w:rsidDel="00000000" w:rsidP="00000000" w:rsidRDefault="00000000" w:rsidRPr="00000000" w14:paraId="00000018">
      <w:pPr>
        <w:widowControl w:val="0"/>
        <w:ind w:left="420" w:firstLine="0"/>
        <w:jc w:val="both"/>
        <w:rPr>
          <w:sz w:val="21"/>
          <w:szCs w:val="21"/>
        </w:rPr>
      </w:pPr>
      <w:r w:rsidDel="00000000" w:rsidR="00000000" w:rsidRPr="00000000">
        <w:rPr>
          <w:rFonts w:ascii="Gungsuh" w:cs="Gungsuh" w:eastAsia="Gungsuh" w:hAnsi="Gungsuh"/>
          <w:sz w:val="21"/>
          <w:szCs w:val="21"/>
          <w:rtl w:val="0"/>
        </w:rPr>
        <w:t xml:space="preserve">（a）实现L2正则化（权重衰减）：设置权重衰减系数λ=0.001、0.01，对比不同λ对模型性能的影响；​</w:t>
      </w:r>
    </w:p>
    <w:p w:rsidR="00000000" w:rsidDel="00000000" w:rsidP="00000000" w:rsidRDefault="00000000" w:rsidRPr="00000000" w14:paraId="00000019">
      <w:pPr>
        <w:widowControl w:val="0"/>
        <w:ind w:left="420" w:firstLine="0"/>
        <w:jc w:val="both"/>
        <w:rPr>
          <w:sz w:val="21"/>
          <w:szCs w:val="21"/>
        </w:rPr>
      </w:pPr>
      <w:r w:rsidDel="00000000" w:rsidR="00000000" w:rsidRPr="00000000">
        <w:rPr>
          <w:rFonts w:ascii="Gungsuh" w:cs="Gungsuh" w:eastAsia="Gungsuh" w:hAnsi="Gungsuh"/>
          <w:sz w:val="21"/>
          <w:szCs w:val="21"/>
          <w:rtl w:val="0"/>
        </w:rPr>
        <w:t xml:space="preserve">（b）实现Dropout：在隐藏层添加Dropout层，设置dropout_rate=0.2、0.5，对比不同dropout_rate的效果；​</w:t>
      </w:r>
    </w:p>
    <w:p w:rsidR="00000000" w:rsidDel="00000000" w:rsidP="00000000" w:rsidRDefault="00000000" w:rsidRPr="00000000" w14:paraId="0000001A">
      <w:pPr>
        <w:widowControl w:val="0"/>
        <w:numPr>
          <w:ilvl w:val="0"/>
          <w:numId w:val="7"/>
        </w:numPr>
        <w:ind w:left="425"/>
        <w:jc w:val="both"/>
        <w:rPr>
          <w:sz w:val="21"/>
          <w:szCs w:val="21"/>
        </w:rPr>
      </w:pPr>
      <w:r w:rsidDel="00000000" w:rsidR="00000000" w:rsidRPr="00000000">
        <w:rPr>
          <w:rFonts w:ascii="Gungsuh" w:cs="Gungsuh" w:eastAsia="Gungsuh" w:hAnsi="Gungsuh"/>
          <w:sz w:val="21"/>
          <w:szCs w:val="21"/>
          <w:rtl w:val="0"/>
        </w:rPr>
        <w:t xml:space="preserve">对比分析：记录添加正则化后模型的训练/测试指标，与基线模型对比，说明正则化对过拟合的抑制效果（若未出现过拟合，可通过增大模型复杂度（如增加隐藏层神经元数）制造过拟合后再验证）；​</w:t>
      </w:r>
    </w:p>
    <w:p w:rsidR="00000000" w:rsidDel="00000000" w:rsidP="00000000" w:rsidRDefault="00000000" w:rsidRPr="00000000" w14:paraId="0000001B">
      <w:pPr>
        <w:widowControl w:val="0"/>
        <w:numPr>
          <w:ilvl w:val="0"/>
          <w:numId w:val="7"/>
        </w:numPr>
        <w:ind w:left="425"/>
        <w:jc w:val="both"/>
        <w:rPr>
          <w:sz w:val="21"/>
          <w:szCs w:val="21"/>
        </w:rPr>
      </w:pPr>
      <w:r w:rsidDel="00000000" w:rsidR="00000000" w:rsidRPr="00000000">
        <w:rPr>
          <w:rFonts w:ascii="Gungsuh" w:cs="Gungsuh" w:eastAsia="Gungsuh" w:hAnsi="Gungsuh"/>
          <w:sz w:val="21"/>
          <w:szCs w:val="21"/>
          <w:rtl w:val="0"/>
        </w:rPr>
        <w:t xml:space="preserve">原理阐述：简要说明L2正则化和Dropout的正则化机制（如L2对权重的惩罚、Dropout的随机失活与集成思想）。​</w:t>
      </w:r>
    </w:p>
    <w:p w:rsidR="00000000" w:rsidDel="00000000" w:rsidP="00000000" w:rsidRDefault="00000000" w:rsidRPr="00000000" w14:paraId="0000001C">
      <w:pPr>
        <w:widowControl w:val="0"/>
        <w:jc w:val="both"/>
        <w:rPr>
          <w:sz w:val="21"/>
          <w:szCs w:val="21"/>
        </w:rPr>
      </w:pPr>
      <w:r w:rsidDel="00000000" w:rsidR="00000000" w:rsidRPr="00000000">
        <w:rPr>
          <w:rtl w:val="0"/>
        </w:rPr>
      </w:r>
    </w:p>
    <w:p w:rsidR="00000000" w:rsidDel="00000000" w:rsidP="00000000" w:rsidRDefault="00000000" w:rsidRPr="00000000" w14:paraId="0000001D">
      <w:pPr>
        <w:widowControl w:val="0"/>
        <w:jc w:val="both"/>
        <w:rPr>
          <w:b w:val="1"/>
          <w:bCs w:val="1"/>
        </w:rPr>
      </w:pPr>
      <w:r w:rsidDel="00000000" w:rsidR="00000000" w:rsidRPr="00000000">
        <w:rPr>
          <w:rFonts w:ascii="Gungsuh" w:cs="Gungsuh" w:eastAsia="Gungsuh" w:hAnsi="Gungsuh"/>
          <w:b w:val="1"/>
          <w:bCs w:val="1"/>
          <w:rtl w:val="0"/>
        </w:rPr>
        <w:t xml:space="preserve">任务 4：超参数调优（10分）​</w:t>
      </w:r>
    </w:p>
    <w:p w:rsidR="00000000" w:rsidDel="00000000" w:rsidP="00000000" w:rsidRDefault="00000000" w:rsidRPr="00000000" w14:paraId="0000001E">
      <w:pPr>
        <w:widowControl w:val="0"/>
        <w:numPr>
          <w:ilvl w:val="0"/>
          <w:numId w:val="1"/>
        </w:numPr>
        <w:ind w:left="425"/>
        <w:jc w:val="both"/>
        <w:rPr>
          <w:sz w:val="21"/>
          <w:szCs w:val="21"/>
        </w:rPr>
      </w:pPr>
      <w:r w:rsidDel="00000000" w:rsidR="00000000" w:rsidRPr="00000000">
        <w:rPr>
          <w:rFonts w:ascii="Gungsuh" w:cs="Gungsuh" w:eastAsia="Gungsuh" w:hAnsi="Gungsuh"/>
          <w:sz w:val="21"/>
          <w:szCs w:val="21"/>
          <w:rtl w:val="0"/>
        </w:rPr>
        <w:t xml:space="preserve">超参数选择：选择1个关键超参数（如学习率、batch_size、隐藏层神经元数）；​</w:t>
      </w:r>
    </w:p>
    <w:p w:rsidR="00000000" w:rsidDel="00000000" w:rsidP="00000000" w:rsidRDefault="00000000" w:rsidRPr="00000000" w14:paraId="0000001F">
      <w:pPr>
        <w:widowControl w:val="0"/>
        <w:numPr>
          <w:ilvl w:val="0"/>
          <w:numId w:val="1"/>
        </w:numPr>
        <w:ind w:left="425"/>
        <w:jc w:val="both"/>
        <w:rPr>
          <w:sz w:val="21"/>
          <w:szCs w:val="21"/>
        </w:rPr>
      </w:pPr>
      <w:r w:rsidDel="00000000" w:rsidR="00000000" w:rsidRPr="00000000">
        <w:rPr>
          <w:rFonts w:ascii="Gungsuh" w:cs="Gungsuh" w:eastAsia="Gungsuh" w:hAnsi="Gungsuh"/>
          <w:sz w:val="21"/>
          <w:szCs w:val="21"/>
          <w:rtl w:val="0"/>
        </w:rPr>
        <w:t xml:space="preserve">调优：以任务3中最优的模型为基础，进行超参数测试（如学习率：0.001、0.01、0.1）；</w:t>
      </w:r>
    </w:p>
    <w:p w:rsidR="00000000" w:rsidDel="00000000" w:rsidP="00000000" w:rsidRDefault="00000000" w:rsidRPr="00000000" w14:paraId="00000020">
      <w:pPr>
        <w:widowControl w:val="0"/>
        <w:numPr>
          <w:ilvl w:val="0"/>
          <w:numId w:val="1"/>
        </w:numPr>
        <w:ind w:left="425"/>
        <w:jc w:val="both"/>
        <w:rPr>
          <w:sz w:val="21"/>
          <w:szCs w:val="21"/>
        </w:rPr>
      </w:pPr>
      <w:r w:rsidDel="00000000" w:rsidR="00000000" w:rsidRPr="00000000">
        <w:rPr>
          <w:rFonts w:ascii="Gungsuh" w:cs="Gungsuh" w:eastAsia="Gungsuh" w:hAnsi="Gungsuh"/>
          <w:sz w:val="21"/>
          <w:szCs w:val="21"/>
          <w:rtl w:val="0"/>
        </w:rPr>
        <w:t xml:space="preserve">输出：记录不同超参数对应的模型性能，确定最优超参数；​</w:t>
      </w:r>
    </w:p>
    <w:p w:rsidR="00000000" w:rsidDel="00000000" w:rsidP="00000000" w:rsidRDefault="00000000" w:rsidRPr="00000000" w14:paraId="00000021">
      <w:pPr>
        <w:widowControl w:val="0"/>
        <w:numPr>
          <w:ilvl w:val="0"/>
          <w:numId w:val="1"/>
        </w:numPr>
        <w:ind w:left="425"/>
        <w:jc w:val="both"/>
        <w:rPr>
          <w:sz w:val="21"/>
          <w:szCs w:val="21"/>
        </w:rPr>
      </w:pPr>
      <w:r w:rsidDel="00000000" w:rsidR="00000000" w:rsidRPr="00000000">
        <w:rPr>
          <w:rFonts w:ascii="Gungsuh" w:cs="Gungsuh" w:eastAsia="Gungsuh" w:hAnsi="Gungsuh"/>
          <w:sz w:val="21"/>
          <w:szCs w:val="21"/>
          <w:rtl w:val="0"/>
        </w:rPr>
        <w:t xml:space="preserve">总结：说明该超参数对模型性能的影响规律。</w:t>
      </w:r>
    </w:p>
    <w:p w:rsidR="00000000" w:rsidDel="00000000" w:rsidP="00000000" w:rsidRDefault="00000000" w:rsidRPr="00000000" w14:paraId="00000022">
      <w:pPr>
        <w:widowControl w:val="0"/>
        <w:jc w:val="both"/>
        <w:rPr>
          <w:sz w:val="21"/>
          <w:szCs w:val="21"/>
        </w:rPr>
      </w:pPr>
      <w:r w:rsidDel="00000000" w:rsidR="00000000" w:rsidRPr="00000000">
        <w:rPr>
          <w:rtl w:val="0"/>
        </w:rPr>
      </w:r>
    </w:p>
    <w:p w:rsidR="00000000" w:rsidDel="00000000" w:rsidP="00000000" w:rsidRDefault="00000000" w:rsidRPr="00000000" w14:paraId="00000023">
      <w:pPr>
        <w:widowControl w:val="0"/>
        <w:numPr>
          <w:ilvl w:val="0"/>
          <w:numId w:val="4"/>
        </w:numPr>
        <w:ind w:left="576"/>
        <w:jc w:val="both"/>
        <w:rPr>
          <w:sz w:val="28"/>
          <w:szCs w:val="28"/>
        </w:rPr>
      </w:pPr>
      <w:r w:rsidDel="00000000" w:rsidR="00000000" w:rsidRPr="00000000">
        <w:rPr>
          <w:rFonts w:ascii="Gungsuh" w:cs="Gungsuh" w:eastAsia="Gungsuh" w:hAnsi="Gungsuh"/>
          <w:sz w:val="28"/>
          <w:szCs w:val="28"/>
          <w:rtl w:val="0"/>
        </w:rPr>
        <w:t xml:space="preserve">作业要求</w:t>
      </w:r>
    </w:p>
    <w:p w:rsidR="00000000" w:rsidDel="00000000" w:rsidP="00000000" w:rsidRDefault="00000000" w:rsidRPr="00000000" w14:paraId="00000024">
      <w:pPr>
        <w:widowControl w:val="0"/>
        <w:numPr>
          <w:ilvl w:val="0"/>
          <w:numId w:val="2"/>
        </w:numPr>
        <w:ind w:left="768" w:hanging="360"/>
        <w:jc w:val="both"/>
      </w:pPr>
      <w:r w:rsidDel="00000000" w:rsidR="00000000" w:rsidRPr="00000000">
        <w:rPr>
          <w:rFonts w:ascii="Gungsuh" w:cs="Gungsuh" w:eastAsia="Gungsuh" w:hAnsi="Gungsuh"/>
          <w:rtl w:val="0"/>
        </w:rPr>
        <w:t xml:space="preserve">编码要规范，并且核心代码有注释；</w:t>
      </w:r>
    </w:p>
    <w:p w:rsidR="00000000" w:rsidDel="00000000" w:rsidP="00000000" w:rsidRDefault="00000000" w:rsidRPr="00000000" w14:paraId="00000025">
      <w:pPr>
        <w:widowControl w:val="0"/>
        <w:numPr>
          <w:ilvl w:val="0"/>
          <w:numId w:val="2"/>
        </w:numPr>
        <w:ind w:left="768" w:hanging="360"/>
        <w:jc w:val="both"/>
      </w:pPr>
      <w:r w:rsidDel="00000000" w:rsidR="00000000" w:rsidRPr="00000000">
        <w:rPr>
          <w:rFonts w:ascii="Gungsuh" w:cs="Gungsuh" w:eastAsia="Gungsuh" w:hAnsi="Gungsuh"/>
          <w:rtl w:val="0"/>
        </w:rPr>
        <w:t xml:space="preserve">第18周提交纸质版报告文档，文档内包含：​</w:t>
      </w:r>
    </w:p>
    <w:p w:rsidR="00000000" w:rsidDel="00000000" w:rsidP="00000000" w:rsidRDefault="00000000" w:rsidRPr="00000000" w14:paraId="00000026">
      <w:pPr>
        <w:widowControl w:val="0"/>
        <w:ind w:left="408" w:firstLine="480"/>
        <w:jc w:val="both"/>
        <w:rPr/>
      </w:pPr>
      <w:r w:rsidDel="00000000" w:rsidR="00000000" w:rsidRPr="00000000">
        <w:rPr>
          <w:rFonts w:ascii="Gungsuh" w:cs="Gungsuh" w:eastAsia="Gungsuh" w:hAnsi="Gungsuh"/>
          <w:rtl w:val="0"/>
        </w:rPr>
        <w:t xml:space="preserve">实验环境（框架版本、数据集说明）；​</w:t>
      </w:r>
    </w:p>
    <w:p w:rsidR="00000000" w:rsidDel="00000000" w:rsidP="00000000" w:rsidRDefault="00000000" w:rsidRPr="00000000" w14:paraId="00000027">
      <w:pPr>
        <w:widowControl w:val="0"/>
        <w:ind w:left="408" w:firstLine="480"/>
        <w:jc w:val="both"/>
        <w:rPr/>
      </w:pPr>
      <w:r w:rsidDel="00000000" w:rsidR="00000000" w:rsidRPr="00000000">
        <w:rPr>
          <w:rFonts w:ascii="Gungsuh" w:cs="Gungsuh" w:eastAsia="Gungsuh" w:hAnsi="Gungsuh"/>
          <w:rtl w:val="0"/>
        </w:rPr>
        <w:t xml:space="preserve">各任务的实验结果（表格、训练曲线图片）；​</w:t>
      </w:r>
    </w:p>
    <w:p w:rsidR="00000000" w:rsidDel="00000000" w:rsidP="00000000" w:rsidRDefault="00000000" w:rsidRPr="00000000" w14:paraId="00000028">
      <w:pPr>
        <w:widowControl w:val="0"/>
        <w:ind w:left="408" w:firstLine="480"/>
        <w:jc w:val="both"/>
        <w:rPr/>
      </w:pPr>
      <w:r w:rsidDel="00000000" w:rsidR="00000000" w:rsidRPr="00000000">
        <w:rPr>
          <w:rFonts w:ascii="Gungsuh" w:cs="Gungsuh" w:eastAsia="Gungsuh" w:hAnsi="Gungsuh"/>
          <w:rtl w:val="0"/>
        </w:rPr>
        <w:t xml:space="preserve">分析总结（按任务2-4的要求，结合原理解释结果）；​</w:t>
      </w:r>
    </w:p>
    <w:p w:rsidR="00000000" w:rsidDel="00000000" w:rsidP="00000000" w:rsidRDefault="00000000" w:rsidRPr="00000000" w14:paraId="00000029">
      <w:pPr>
        <w:widowControl w:val="0"/>
        <w:ind w:left="408" w:firstLine="480"/>
        <w:jc w:val="both"/>
        <w:rPr/>
      </w:pPr>
      <w:r w:rsidDel="00000000" w:rsidR="00000000" w:rsidRPr="00000000">
        <w:rPr>
          <w:rFonts w:ascii="Gungsuh" w:cs="Gungsuh" w:eastAsia="Gungsuh" w:hAnsi="Gungsuh"/>
          <w:rtl w:val="0"/>
        </w:rPr>
        <w:t xml:space="preserve">问题与思考（如实验中遇到的问题、对神经网络优化的进一步思考）。</w:t>
      </w:r>
    </w:p>
    <w:p w:rsidR="00000000" w:rsidDel="00000000" w:rsidP="00000000" w:rsidRDefault="00000000" w:rsidRPr="00000000" w14:paraId="0000002A">
      <w:pPr>
        <w:keepNext w:val="1"/>
        <w:pBdr>
          <w:top w:color="e5e7eb" w:space="2" w:sz="0" w:val="none"/>
          <w:left w:color="e5e7eb" w:space="0" w:sz="0" w:val="none"/>
          <w:bottom w:color="e5e7eb" w:space="2" w:sz="0" w:val="none"/>
          <w:right w:color="e5e7eb" w:space="0" w:sz="0" w:val="none"/>
          <w:between w:color="e5e7eb" w:space="2" w:sz="0" w:val="none"/>
        </w:pBdr>
        <w:spacing w:after="20" w:before="240" w:line="312" w:lineRule="auto"/>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2B">
      <w:pPr>
        <w:keepNext w:val="1"/>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40" w:lineRule="auto"/>
        <w:ind w:left="720" w:hanging="360"/>
        <w:rPr>
          <w:color w:val="000000"/>
        </w:rPr>
      </w:pPr>
      <w:r w:rsidDel="00000000" w:rsidR="00000000" w:rsidRPr="00000000">
        <w:rPr>
          <w:rtl w:val="0"/>
        </w:rPr>
        <w:t xml:space="preserve">Abstract</w:t>
      </w:r>
    </w:p>
    <w:p w:rsidR="00000000" w:rsidDel="00000000" w:rsidP="00000000" w:rsidRDefault="00000000" w:rsidRPr="00000000" w14:paraId="0000002C">
      <w:pPr>
        <w:keepNext w:val="1"/>
        <w:numPr>
          <w:ilvl w:val="0"/>
          <w:numId w:val="3"/>
        </w:numPr>
        <w:pBdr>
          <w:top w:color="e5e7eb" w:space="0" w:sz="0" w:val="none"/>
          <w:left w:color="e5e7eb" w:space="0" w:sz="0" w:val="none"/>
          <w:bottom w:color="e5e7eb" w:space="0" w:sz="0" w:val="none"/>
          <w:right w:color="e5e7eb" w:space="0" w:sz="0" w:val="none"/>
          <w:between w:color="e5e7eb" w:space="0" w:sz="0" w:val="none"/>
        </w:pBdr>
        <w:ind w:left="720" w:hanging="360"/>
        <w:rPr>
          <w:color w:val="000000"/>
        </w:rPr>
      </w:pPr>
      <w:r w:rsidDel="00000000" w:rsidR="00000000" w:rsidRPr="00000000">
        <w:rPr>
          <w:rtl w:val="0"/>
        </w:rPr>
        <w:t xml:space="preserve">Introduction</w:t>
      </w:r>
    </w:p>
    <w:p w:rsidR="00000000" w:rsidDel="00000000" w:rsidP="00000000" w:rsidRDefault="00000000" w:rsidRPr="00000000" w14:paraId="0000002D">
      <w:pPr>
        <w:keepNext w:val="1"/>
        <w:pBdr>
          <w:top w:color="e5e7eb" w:space="0" w:sz="0" w:val="none"/>
          <w:left w:color="e5e7eb" w:space="0" w:sz="0" w:val="none"/>
          <w:bottom w:color="e5e7eb" w:space="0" w:sz="0" w:val="none"/>
          <w:right w:color="e5e7eb" w:space="0" w:sz="0" w:val="none"/>
          <w:between w:color="e5e7eb" w:space="0" w:sz="0" w:val="none"/>
        </w:pBdr>
        <w:spacing w:after="40" w:before="40" w:lineRule="auto"/>
        <w:ind w:left="1440" w:firstLine="0"/>
        <w:rPr/>
      </w:pPr>
      <w:r w:rsidDel="00000000" w:rsidR="00000000" w:rsidRPr="00000000">
        <w:rPr>
          <w:rtl w:val="0"/>
        </w:rPr>
        <w:t xml:space="preserve">2.1. Background and Motivation</w:t>
      </w:r>
    </w:p>
    <w:p w:rsidR="00000000" w:rsidDel="00000000" w:rsidP="00000000" w:rsidRDefault="00000000" w:rsidRPr="00000000" w14:paraId="0000002E">
      <w:pPr>
        <w:keepNext w:val="1"/>
        <w:pBdr>
          <w:top w:color="e5e7eb" w:space="0" w:sz="0" w:val="none"/>
          <w:left w:color="e5e7eb" w:space="0" w:sz="0" w:val="none"/>
          <w:bottom w:color="e5e7eb" w:space="0" w:sz="0" w:val="none"/>
          <w:right w:color="e5e7eb" w:space="0" w:sz="0" w:val="none"/>
          <w:between w:color="e5e7eb" w:space="0" w:sz="0" w:val="none"/>
        </w:pBdr>
        <w:spacing w:after="40" w:before="40" w:lineRule="auto"/>
        <w:ind w:left="1440" w:firstLine="0"/>
        <w:rPr/>
      </w:pPr>
      <w:r w:rsidDel="00000000" w:rsidR="00000000" w:rsidRPr="00000000">
        <w:rPr>
          <w:rtl w:val="0"/>
        </w:rPr>
        <w:t xml:space="preserve">2.2. Project Objectives</w:t>
      </w:r>
    </w:p>
    <w:p w:rsidR="00000000" w:rsidDel="00000000" w:rsidP="00000000" w:rsidRDefault="00000000" w:rsidRPr="00000000" w14:paraId="0000002F">
      <w:pPr>
        <w:keepNext w:val="1"/>
        <w:numPr>
          <w:ilvl w:val="0"/>
          <w:numId w:val="3"/>
        </w:numPr>
        <w:pBdr>
          <w:top w:color="e5e7eb" w:space="0" w:sz="0" w:val="none"/>
          <w:left w:color="e5e7eb" w:space="0" w:sz="0" w:val="none"/>
          <w:bottom w:color="e5e7eb" w:space="0" w:sz="0" w:val="none"/>
          <w:right w:color="e5e7eb" w:space="0" w:sz="0" w:val="none"/>
          <w:between w:color="e5e7eb" w:space="0" w:sz="0" w:val="none"/>
        </w:pBdr>
        <w:ind w:left="720" w:hanging="360"/>
        <w:rPr>
          <w:color w:val="000000"/>
        </w:rPr>
      </w:pPr>
      <w:r w:rsidDel="00000000" w:rsidR="00000000" w:rsidRPr="00000000">
        <w:rPr>
          <w:rtl w:val="0"/>
        </w:rPr>
        <w:t xml:space="preserve">Related Work</w:t>
      </w:r>
    </w:p>
    <w:p w:rsidR="00000000" w:rsidDel="00000000" w:rsidP="00000000" w:rsidRDefault="00000000" w:rsidRPr="00000000" w14:paraId="00000030">
      <w:pPr>
        <w:keepNext w:val="1"/>
        <w:pBdr>
          <w:top w:color="e5e7eb" w:space="0" w:sz="0" w:val="none"/>
          <w:left w:color="e5e7eb" w:space="0" w:sz="0" w:val="none"/>
          <w:bottom w:color="e5e7eb" w:space="0" w:sz="0" w:val="none"/>
          <w:right w:color="e5e7eb" w:space="0" w:sz="0" w:val="none"/>
          <w:between w:color="e5e7eb" w:space="0" w:sz="0" w:val="none"/>
        </w:pBdr>
        <w:spacing w:after="40" w:before="40" w:lineRule="auto"/>
        <w:ind w:left="1440" w:firstLine="0"/>
        <w:rPr/>
      </w:pPr>
      <w:r w:rsidDel="00000000" w:rsidR="00000000" w:rsidRPr="00000000">
        <w:rPr>
          <w:rtl w:val="0"/>
        </w:rPr>
        <w:t xml:space="preserve">3.1. Foundations of Deep Learning (Goodfellow et al.)</w:t>
      </w:r>
    </w:p>
    <w:p w:rsidR="00000000" w:rsidDel="00000000" w:rsidP="00000000" w:rsidRDefault="00000000" w:rsidRPr="00000000" w14:paraId="00000031">
      <w:pPr>
        <w:keepNext w:val="1"/>
        <w:pBdr>
          <w:top w:color="e5e7eb" w:space="0" w:sz="0" w:val="none"/>
          <w:left w:color="e5e7eb" w:space="0" w:sz="0" w:val="none"/>
          <w:bottom w:color="e5e7eb" w:space="0" w:sz="0" w:val="none"/>
          <w:right w:color="e5e7eb" w:space="0" w:sz="0" w:val="none"/>
          <w:between w:color="e5e7eb" w:space="0" w:sz="0" w:val="none"/>
        </w:pBdr>
        <w:spacing w:after="40" w:before="40" w:lineRule="auto"/>
        <w:ind w:left="1440" w:firstLine="0"/>
        <w:rPr/>
      </w:pPr>
      <w:r w:rsidDel="00000000" w:rsidR="00000000" w:rsidRPr="00000000">
        <w:rPr>
          <w:rtl w:val="0"/>
        </w:rPr>
        <w:t xml:space="preserve">3.2. Evolution of Optimization Algorithms (Ruder)</w:t>
      </w:r>
    </w:p>
    <w:p w:rsidR="00000000" w:rsidDel="00000000" w:rsidP="00000000" w:rsidRDefault="00000000" w:rsidRPr="00000000" w14:paraId="00000032">
      <w:pPr>
        <w:keepNext w:val="1"/>
        <w:pBdr>
          <w:top w:color="e5e7eb" w:space="0" w:sz="0" w:val="none"/>
          <w:left w:color="e5e7eb" w:space="0" w:sz="0" w:val="none"/>
          <w:bottom w:color="e5e7eb" w:space="0" w:sz="0" w:val="none"/>
          <w:right w:color="e5e7eb" w:space="0" w:sz="0" w:val="none"/>
          <w:between w:color="e5e7eb" w:space="0" w:sz="0" w:val="none"/>
        </w:pBdr>
        <w:spacing w:after="40" w:before="40" w:lineRule="auto"/>
        <w:ind w:left="1440" w:firstLine="0"/>
        <w:rPr/>
      </w:pPr>
      <w:r w:rsidDel="00000000" w:rsidR="00000000" w:rsidRPr="00000000">
        <w:rPr>
          <w:rtl w:val="0"/>
        </w:rPr>
        <w:t xml:space="preserve">3.3. Regularization and Overfitting Control (Srivastava et al.)</w:t>
      </w:r>
    </w:p>
    <w:p w:rsidR="00000000" w:rsidDel="00000000" w:rsidP="00000000" w:rsidRDefault="00000000" w:rsidRPr="00000000" w14:paraId="00000033">
      <w:pPr>
        <w:keepNext w:val="1"/>
        <w:pBdr>
          <w:top w:color="e5e7eb" w:space="0" w:sz="0" w:val="none"/>
          <w:left w:color="e5e7eb" w:space="0" w:sz="0" w:val="none"/>
          <w:bottom w:color="e5e7eb" w:space="0" w:sz="0" w:val="none"/>
          <w:right w:color="e5e7eb" w:space="0" w:sz="0" w:val="none"/>
          <w:between w:color="e5e7eb" w:space="0" w:sz="0" w:val="none"/>
        </w:pBdr>
        <w:spacing w:after="40" w:before="40" w:lineRule="auto"/>
        <w:ind w:left="1440" w:firstLine="0"/>
        <w:rPr/>
      </w:pPr>
      <w:r w:rsidDel="00000000" w:rsidR="00000000" w:rsidRPr="00000000">
        <w:rPr>
          <w:rtl w:val="0"/>
        </w:rPr>
        <w:t xml:space="preserve">3.4. Hyperparameter Tuning and Learning Rate Schedules</w:t>
      </w:r>
    </w:p>
    <w:p w:rsidR="00000000" w:rsidDel="00000000" w:rsidP="00000000" w:rsidRDefault="00000000" w:rsidRPr="00000000" w14:paraId="00000034">
      <w:pPr>
        <w:keepNext w:val="1"/>
        <w:numPr>
          <w:ilvl w:val="0"/>
          <w:numId w:val="3"/>
        </w:numPr>
        <w:pBdr>
          <w:top w:color="e5e7eb" w:space="0" w:sz="0" w:val="none"/>
          <w:left w:color="e5e7eb" w:space="0" w:sz="0" w:val="none"/>
          <w:bottom w:color="e5e7eb" w:space="0" w:sz="0" w:val="none"/>
          <w:right w:color="e5e7eb" w:space="0" w:sz="0" w:val="none"/>
          <w:between w:color="e5e7eb" w:space="0" w:sz="0" w:val="none"/>
        </w:pBdr>
        <w:ind w:left="720" w:hanging="360"/>
        <w:rPr>
          <w:color w:val="000000"/>
        </w:rPr>
      </w:pPr>
      <w:r w:rsidDel="00000000" w:rsidR="00000000" w:rsidRPr="00000000">
        <w:rPr>
          <w:rtl w:val="0"/>
        </w:rPr>
        <w:t xml:space="preserve">Experimental Methodology</w:t>
      </w:r>
    </w:p>
    <w:p w:rsidR="00000000" w:rsidDel="00000000" w:rsidP="00000000" w:rsidRDefault="00000000" w:rsidRPr="00000000" w14:paraId="00000035">
      <w:pPr>
        <w:keepNext w:val="1"/>
        <w:pBdr>
          <w:top w:color="e5e7eb" w:space="0" w:sz="0" w:val="none"/>
          <w:left w:color="e5e7eb" w:space="0" w:sz="0" w:val="none"/>
          <w:bottom w:color="e5e7eb" w:space="0" w:sz="0" w:val="none"/>
          <w:right w:color="e5e7eb" w:space="0" w:sz="0" w:val="none"/>
          <w:between w:color="e5e7eb" w:space="0" w:sz="0" w:val="none"/>
        </w:pBdr>
        <w:spacing w:after="40" w:before="40" w:lineRule="auto"/>
        <w:ind w:left="1440" w:firstLine="0"/>
        <w:rPr/>
      </w:pPr>
      <w:r w:rsidDel="00000000" w:rsidR="00000000" w:rsidRPr="00000000">
        <w:rPr>
          <w:rtl w:val="0"/>
        </w:rPr>
        <w:t xml:space="preserve">4.1. Dataset Description and Preprocessing</w:t>
      </w:r>
    </w:p>
    <w:p w:rsidR="00000000" w:rsidDel="00000000" w:rsidP="00000000" w:rsidRDefault="00000000" w:rsidRPr="00000000" w14:paraId="00000036">
      <w:pPr>
        <w:keepNext w:val="1"/>
        <w:pBdr>
          <w:top w:color="e5e7eb" w:space="0" w:sz="0" w:val="none"/>
          <w:left w:color="e5e7eb" w:space="0" w:sz="0" w:val="none"/>
          <w:bottom w:color="e5e7eb" w:space="0" w:sz="0" w:val="none"/>
          <w:right w:color="e5e7eb" w:space="0" w:sz="0" w:val="none"/>
          <w:between w:color="e5e7eb" w:space="0" w:sz="0" w:val="none"/>
        </w:pBdr>
        <w:spacing w:after="40" w:before="40" w:lineRule="auto"/>
        <w:ind w:left="1440" w:firstLine="0"/>
        <w:rPr/>
      </w:pPr>
      <w:r w:rsidDel="00000000" w:rsidR="00000000" w:rsidRPr="00000000">
        <w:rPr>
          <w:rtl w:val="0"/>
        </w:rPr>
        <w:t xml:space="preserve">4.2. Hardware and Software Environment</w:t>
      </w:r>
    </w:p>
    <w:p w:rsidR="00000000" w:rsidDel="00000000" w:rsidP="00000000" w:rsidRDefault="00000000" w:rsidRPr="00000000" w14:paraId="00000037">
      <w:pPr>
        <w:keepNext w:val="1"/>
        <w:pBdr>
          <w:top w:color="e5e7eb" w:space="0" w:sz="0" w:val="none"/>
          <w:left w:color="e5e7eb" w:space="0" w:sz="0" w:val="none"/>
          <w:bottom w:color="e5e7eb" w:space="0" w:sz="0" w:val="none"/>
          <w:right w:color="e5e7eb" w:space="0" w:sz="0" w:val="none"/>
          <w:between w:color="e5e7eb" w:space="0" w:sz="0" w:val="none"/>
        </w:pBdr>
        <w:spacing w:after="40" w:before="40" w:lineRule="auto"/>
        <w:ind w:left="1440" w:firstLine="0"/>
        <w:rPr/>
      </w:pPr>
      <w:r w:rsidDel="00000000" w:rsidR="00000000" w:rsidRPr="00000000">
        <w:rPr>
          <w:rtl w:val="0"/>
        </w:rPr>
        <w:t xml:space="preserve">4.3. Model Architectures and Experimental Design</w:t>
      </w:r>
    </w:p>
    <w:p w:rsidR="00000000" w:rsidDel="00000000" w:rsidP="00000000" w:rsidRDefault="00000000" w:rsidRPr="00000000" w14:paraId="00000038">
      <w:pPr>
        <w:keepNext w:val="1"/>
        <w:numPr>
          <w:ilvl w:val="0"/>
          <w:numId w:val="3"/>
        </w:numPr>
        <w:pBdr>
          <w:top w:color="e5e7eb" w:space="0" w:sz="0" w:val="none"/>
          <w:left w:color="e5e7eb" w:space="0" w:sz="0" w:val="none"/>
          <w:bottom w:color="e5e7eb" w:space="0" w:sz="0" w:val="none"/>
          <w:right w:color="e5e7eb" w:space="0" w:sz="0" w:val="none"/>
          <w:between w:color="e5e7eb" w:space="0" w:sz="0" w:val="none"/>
        </w:pBdr>
        <w:ind w:left="720" w:hanging="360"/>
        <w:rPr>
          <w:color w:val="000000"/>
        </w:rPr>
      </w:pPr>
      <w:r w:rsidDel="00000000" w:rsidR="00000000" w:rsidRPr="00000000">
        <w:rPr>
          <w:rtl w:val="0"/>
        </w:rPr>
        <w:t xml:space="preserve">Results and Detailed Analysis</w:t>
      </w:r>
    </w:p>
    <w:p w:rsidR="00000000" w:rsidDel="00000000" w:rsidP="00000000" w:rsidRDefault="00000000" w:rsidRPr="00000000" w14:paraId="00000039">
      <w:pPr>
        <w:keepNext w:val="1"/>
        <w:pBdr>
          <w:top w:color="e5e7eb" w:space="0" w:sz="0" w:val="none"/>
          <w:left w:color="e5e7eb" w:space="0" w:sz="0" w:val="none"/>
          <w:bottom w:color="e5e7eb" w:space="0" w:sz="0" w:val="none"/>
          <w:right w:color="e5e7eb" w:space="0" w:sz="0" w:val="none"/>
        </w:pBdr>
        <w:ind w:left="1440" w:firstLine="0"/>
        <w:rPr/>
      </w:pPr>
      <w:r w:rsidDel="00000000" w:rsidR="00000000" w:rsidRPr="00000000">
        <w:rPr>
          <w:rtl w:val="0"/>
        </w:rPr>
        <w:t xml:space="preserve">5.1. Task 1: Baseline Model Performance</w:t>
      </w:r>
    </w:p>
    <w:p w:rsidR="00000000" w:rsidDel="00000000" w:rsidP="00000000" w:rsidRDefault="00000000" w:rsidRPr="00000000" w14:paraId="0000003A">
      <w:pPr>
        <w:keepNext w:val="1"/>
        <w:numPr>
          <w:ilvl w:val="2"/>
          <w:numId w:val="3"/>
        </w:numPr>
        <w:pBdr>
          <w:top w:color="e5e7eb" w:space="0" w:sz="0" w:val="none"/>
          <w:left w:color="e5e7eb" w:space="0" w:sz="0" w:val="none"/>
          <w:bottom w:color="e5e7eb" w:space="0" w:sz="0" w:val="none"/>
          <w:right w:color="e5e7eb" w:space="0" w:sz="0" w:val="none"/>
          <w:between w:color="e5e7eb" w:space="0" w:sz="0" w:val="none"/>
        </w:pBdr>
        <w:spacing w:after="40" w:before="40" w:lineRule="auto"/>
        <w:ind w:left="2160" w:hanging="360"/>
        <w:rPr>
          <w:color w:val="000000"/>
        </w:rPr>
      </w:pPr>
      <w:r w:rsidDel="00000000" w:rsidR="00000000" w:rsidRPr="00000000">
        <w:rPr>
          <w:i w:val="1"/>
          <w:iCs w:val="1"/>
          <w:rtl w:val="0"/>
        </w:rPr>
        <w:t xml:space="preserve">Figure 1: Baseline Model Training and Validation Curves</w:t>
      </w:r>
    </w:p>
    <w:p w:rsidR="00000000" w:rsidDel="00000000" w:rsidP="00000000" w:rsidRDefault="00000000" w:rsidRPr="00000000" w14:paraId="0000003B">
      <w:pPr>
        <w:keepNext w:val="1"/>
        <w:pBdr>
          <w:top w:color="e5e7eb" w:space="0" w:sz="0" w:val="none"/>
          <w:left w:color="e5e7eb" w:space="0" w:sz="0" w:val="none"/>
          <w:bottom w:color="e5e7eb" w:space="0" w:sz="0" w:val="none"/>
          <w:right w:color="e5e7eb" w:space="0" w:sz="0" w:val="none"/>
        </w:pBdr>
        <w:ind w:left="1440" w:firstLine="0"/>
        <w:rPr/>
      </w:pPr>
      <w:r w:rsidDel="00000000" w:rsidR="00000000" w:rsidRPr="00000000">
        <w:rPr>
          <w:rtl w:val="0"/>
        </w:rPr>
        <w:t xml:space="preserve">5.2. Task 2: Comparative Analysis of Optimizers</w:t>
      </w:r>
    </w:p>
    <w:p w:rsidR="00000000" w:rsidDel="00000000" w:rsidP="00000000" w:rsidRDefault="00000000" w:rsidRPr="00000000" w14:paraId="0000003C">
      <w:pPr>
        <w:keepNext w:val="1"/>
        <w:numPr>
          <w:ilvl w:val="2"/>
          <w:numId w:val="3"/>
        </w:numPr>
        <w:pBdr>
          <w:top w:color="e5e7eb" w:space="0" w:sz="0" w:val="none"/>
          <w:left w:color="e5e7eb" w:space="0" w:sz="0" w:val="none"/>
          <w:bottom w:color="e5e7eb" w:space="0" w:sz="0" w:val="none"/>
          <w:right w:color="e5e7eb" w:space="0" w:sz="0" w:val="none"/>
          <w:between w:color="e5e7eb" w:space="0" w:sz="0" w:val="none"/>
        </w:pBdr>
        <w:spacing w:after="40" w:before="40" w:lineRule="auto"/>
        <w:ind w:left="2160" w:hanging="360"/>
        <w:rPr>
          <w:color w:val="000000"/>
        </w:rPr>
      </w:pPr>
      <w:r w:rsidDel="00000000" w:rsidR="00000000" w:rsidRPr="00000000">
        <w:rPr>
          <w:i w:val="1"/>
          <w:iCs w:val="1"/>
          <w:rtl w:val="0"/>
        </w:rPr>
        <w:t xml:space="preserve">Figure 2: Optimizer Performance Comparison</w:t>
      </w:r>
    </w:p>
    <w:p w:rsidR="00000000" w:rsidDel="00000000" w:rsidP="00000000" w:rsidRDefault="00000000" w:rsidRPr="00000000" w14:paraId="0000003D">
      <w:pPr>
        <w:keepNext w:val="1"/>
        <w:pBdr>
          <w:top w:color="e5e7eb" w:space="0" w:sz="0" w:val="none"/>
          <w:left w:color="e5e7eb" w:space="0" w:sz="0" w:val="none"/>
          <w:bottom w:color="e5e7eb" w:space="0" w:sz="0" w:val="none"/>
          <w:right w:color="e5e7eb" w:space="0" w:sz="0" w:val="none"/>
        </w:pBdr>
        <w:ind w:left="1440" w:firstLine="0"/>
        <w:rPr/>
      </w:pPr>
      <w:r w:rsidDel="00000000" w:rsidR="00000000" w:rsidRPr="00000000">
        <w:rPr>
          <w:rtl w:val="0"/>
        </w:rPr>
        <w:t xml:space="preserve">5.3. Task 3: Regularization and Overfitting Control</w:t>
      </w:r>
    </w:p>
    <w:p w:rsidR="00000000" w:rsidDel="00000000" w:rsidP="00000000" w:rsidRDefault="00000000" w:rsidRPr="00000000" w14:paraId="0000003E">
      <w:pPr>
        <w:keepNext w:val="1"/>
        <w:numPr>
          <w:ilvl w:val="2"/>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40" w:lineRule="auto"/>
        <w:ind w:left="2160" w:hanging="360"/>
        <w:rPr>
          <w:color w:val="000000"/>
        </w:rPr>
      </w:pPr>
      <w:r w:rsidDel="00000000" w:rsidR="00000000" w:rsidRPr="00000000">
        <w:rPr>
          <w:rtl w:val="0"/>
        </w:rPr>
        <w:t xml:space="preserve">5.3.1. L2 Regularization (Weight Decay)</w:t>
      </w:r>
    </w:p>
    <w:p w:rsidR="00000000" w:rsidDel="00000000" w:rsidP="00000000" w:rsidRDefault="00000000" w:rsidRPr="00000000" w14:paraId="0000003F">
      <w:pPr>
        <w:keepNext w:val="1"/>
        <w:numPr>
          <w:ilvl w:val="2"/>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2160" w:hanging="360"/>
        <w:rPr>
          <w:color w:val="000000"/>
        </w:rPr>
      </w:pPr>
      <w:r w:rsidDel="00000000" w:rsidR="00000000" w:rsidRPr="00000000">
        <w:rPr>
          <w:rtl w:val="0"/>
        </w:rPr>
        <w:t xml:space="preserve">5.3.2. Dropout Analysis</w:t>
      </w:r>
    </w:p>
    <w:p w:rsidR="00000000" w:rsidDel="00000000" w:rsidP="00000000" w:rsidRDefault="00000000" w:rsidRPr="00000000" w14:paraId="00000040">
      <w:pPr>
        <w:keepNext w:val="1"/>
        <w:numPr>
          <w:ilvl w:val="2"/>
          <w:numId w:val="3"/>
        </w:numPr>
        <w:pBdr>
          <w:top w:color="e5e7eb" w:space="0" w:sz="0" w:val="none"/>
          <w:left w:color="e5e7eb" w:space="0" w:sz="0" w:val="none"/>
          <w:bottom w:color="e5e7eb" w:space="0" w:sz="0" w:val="none"/>
          <w:right w:color="e5e7eb" w:space="0" w:sz="0" w:val="none"/>
          <w:between w:color="e5e7eb" w:space="0" w:sz="0" w:val="none"/>
        </w:pBdr>
        <w:spacing w:after="40" w:before="0" w:beforeAutospacing="0" w:lineRule="auto"/>
        <w:ind w:left="2160" w:hanging="360"/>
        <w:rPr>
          <w:color w:val="000000"/>
        </w:rPr>
      </w:pPr>
      <w:r w:rsidDel="00000000" w:rsidR="00000000" w:rsidRPr="00000000">
        <w:rPr>
          <w:i w:val="1"/>
          <w:iCs w:val="1"/>
          <w:rtl w:val="0"/>
        </w:rPr>
        <w:t xml:space="preserve">Figure 3: Impact of Regularization on Model Performance</w:t>
      </w:r>
    </w:p>
    <w:p w:rsidR="00000000" w:rsidDel="00000000" w:rsidP="00000000" w:rsidRDefault="00000000" w:rsidRPr="00000000" w14:paraId="00000041">
      <w:pPr>
        <w:keepNext w:val="1"/>
        <w:pBdr>
          <w:top w:color="e5e7eb" w:space="0" w:sz="0" w:val="none"/>
          <w:left w:color="e5e7eb" w:space="0" w:sz="0" w:val="none"/>
          <w:bottom w:color="e5e7eb" w:space="0" w:sz="0" w:val="none"/>
          <w:right w:color="e5e7eb" w:space="0" w:sz="0" w:val="none"/>
        </w:pBdr>
        <w:ind w:left="1440" w:firstLine="0"/>
        <w:rPr/>
      </w:pPr>
      <w:r w:rsidDel="00000000" w:rsidR="00000000" w:rsidRPr="00000000">
        <w:rPr>
          <w:rtl w:val="0"/>
        </w:rPr>
        <w:t xml:space="preserve">5.4. Task 4: Learning Rate Sensitivity and Tuning</w:t>
      </w:r>
    </w:p>
    <w:p w:rsidR="00000000" w:rsidDel="00000000" w:rsidP="00000000" w:rsidRDefault="00000000" w:rsidRPr="00000000" w14:paraId="00000042">
      <w:pPr>
        <w:keepNext w:val="1"/>
        <w:numPr>
          <w:ilvl w:val="2"/>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40" w:lineRule="auto"/>
        <w:ind w:left="2160" w:hanging="360"/>
        <w:rPr>
          <w:color w:val="000000"/>
        </w:rPr>
      </w:pPr>
      <w:r w:rsidDel="00000000" w:rsidR="00000000" w:rsidRPr="00000000">
        <w:rPr>
          <w:i w:val="1"/>
          <w:iCs w:val="1"/>
          <w:rtl w:val="0"/>
        </w:rPr>
        <w:t xml:space="preserve">Figure 4: Learning Rate Sensitivity Analysis</w:t>
      </w:r>
    </w:p>
    <w:p w:rsidR="00000000" w:rsidDel="00000000" w:rsidP="00000000" w:rsidRDefault="00000000" w:rsidRPr="00000000" w14:paraId="00000043">
      <w:pPr>
        <w:keepNext w:val="1"/>
        <w:numPr>
          <w:ilvl w:val="0"/>
          <w:numId w:val="3"/>
        </w:numPr>
        <w:pBdr>
          <w:top w:color="e5e7eb" w:space="0" w:sz="0" w:val="none"/>
          <w:left w:color="e5e7eb" w:space="0" w:sz="0" w:val="none"/>
          <w:bottom w:color="e5e7eb" w:space="0" w:sz="0" w:val="none"/>
          <w:right w:color="e5e7eb" w:space="0" w:sz="0" w:val="none"/>
          <w:between w:color="e5e7eb" w:space="0" w:sz="0" w:val="none"/>
        </w:pBdr>
        <w:ind w:left="720" w:hanging="360"/>
        <w:rPr>
          <w:color w:val="000000"/>
        </w:rPr>
      </w:pPr>
      <w:r w:rsidDel="00000000" w:rsidR="00000000" w:rsidRPr="00000000">
        <w:rPr>
          <w:rtl w:val="0"/>
        </w:rPr>
        <w:t xml:space="preserve">Discussion and Reflections</w:t>
      </w:r>
    </w:p>
    <w:p w:rsidR="00000000" w:rsidDel="00000000" w:rsidP="00000000" w:rsidRDefault="00000000" w:rsidRPr="00000000" w14:paraId="00000044">
      <w:pPr>
        <w:keepNext w:val="1"/>
        <w:pBdr>
          <w:top w:color="e5e7eb" w:space="0" w:sz="0" w:val="none"/>
          <w:left w:color="e5e7eb" w:space="0" w:sz="0" w:val="none"/>
          <w:bottom w:color="e5e7eb" w:space="0" w:sz="0" w:val="none"/>
          <w:right w:color="e5e7eb" w:space="0" w:sz="0" w:val="none"/>
          <w:between w:color="e5e7eb" w:space="0" w:sz="0" w:val="none"/>
        </w:pBdr>
        <w:spacing w:after="40" w:before="40" w:lineRule="auto"/>
        <w:ind w:left="1440" w:firstLine="0"/>
        <w:rPr/>
      </w:pPr>
      <w:r w:rsidDel="00000000" w:rsidR="00000000" w:rsidRPr="00000000">
        <w:rPr>
          <w:rtl w:val="0"/>
        </w:rPr>
        <w:t xml:space="preserve">6.1. Theoretical Alignment with Literature</w:t>
      </w:r>
    </w:p>
    <w:p w:rsidR="00000000" w:rsidDel="00000000" w:rsidP="00000000" w:rsidRDefault="00000000" w:rsidRPr="00000000" w14:paraId="00000045">
      <w:pPr>
        <w:keepNext w:val="1"/>
        <w:pBdr>
          <w:top w:color="e5e7eb" w:space="0" w:sz="0" w:val="none"/>
          <w:left w:color="e5e7eb" w:space="0" w:sz="0" w:val="none"/>
          <w:bottom w:color="e5e7eb" w:space="0" w:sz="0" w:val="none"/>
          <w:right w:color="e5e7eb" w:space="0" w:sz="0" w:val="none"/>
          <w:between w:color="e5e7eb" w:space="0" w:sz="0" w:val="none"/>
        </w:pBdr>
        <w:spacing w:after="40" w:before="40" w:lineRule="auto"/>
        <w:ind w:left="1440" w:firstLine="0"/>
        <w:rPr/>
      </w:pPr>
      <w:r w:rsidDel="00000000" w:rsidR="00000000" w:rsidRPr="00000000">
        <w:rPr>
          <w:rtl w:val="0"/>
        </w:rPr>
        <w:t xml:space="preserve">6.2. Technical Challenges and Computational Constraints</w:t>
      </w:r>
    </w:p>
    <w:p w:rsidR="00000000" w:rsidDel="00000000" w:rsidP="00000000" w:rsidRDefault="00000000" w:rsidRPr="00000000" w14:paraId="00000046">
      <w:pPr>
        <w:keepNext w:val="1"/>
        <w:pBdr>
          <w:top w:color="e5e7eb" w:space="0" w:sz="0" w:val="none"/>
          <w:left w:color="e5e7eb" w:space="0" w:sz="0" w:val="none"/>
          <w:bottom w:color="e5e7eb" w:space="0" w:sz="0" w:val="none"/>
          <w:right w:color="e5e7eb" w:space="0" w:sz="0" w:val="none"/>
          <w:between w:color="e5e7eb" w:space="0" w:sz="0" w:val="none"/>
        </w:pBdr>
        <w:spacing w:after="40" w:before="40" w:lineRule="auto"/>
        <w:ind w:left="1440" w:firstLine="0"/>
        <w:rPr/>
      </w:pPr>
      <w:r w:rsidDel="00000000" w:rsidR="00000000" w:rsidRPr="00000000">
        <w:rPr>
          <w:rtl w:val="0"/>
        </w:rPr>
        <w:t xml:space="preserve">6.3. Future Directions and Potential Improvements</w:t>
      </w:r>
    </w:p>
    <w:p w:rsidR="00000000" w:rsidDel="00000000" w:rsidP="00000000" w:rsidRDefault="00000000" w:rsidRPr="00000000" w14:paraId="00000047">
      <w:pPr>
        <w:keepNext w:val="1"/>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40" w:lineRule="auto"/>
        <w:ind w:left="720" w:hanging="360"/>
        <w:rPr>
          <w:color w:val="000000"/>
        </w:rPr>
      </w:pPr>
      <w:r w:rsidDel="00000000" w:rsidR="00000000" w:rsidRPr="00000000">
        <w:rPr>
          <w:rtl w:val="0"/>
        </w:rPr>
        <w:t xml:space="preserve">Conclusion</w:t>
      </w:r>
    </w:p>
    <w:p w:rsidR="00000000" w:rsidDel="00000000" w:rsidP="00000000" w:rsidRDefault="00000000" w:rsidRPr="00000000" w14:paraId="00000048">
      <w:pPr>
        <w:keepNext w:val="1"/>
        <w:numPr>
          <w:ilvl w:val="0"/>
          <w:numId w:val="3"/>
        </w:numPr>
        <w:pBdr>
          <w:top w:color="e5e7eb" w:space="0" w:sz="0" w:val="none"/>
          <w:left w:color="e5e7eb" w:space="0" w:sz="0" w:val="none"/>
          <w:bottom w:color="e5e7eb" w:space="0" w:sz="0" w:val="none"/>
          <w:right w:color="e5e7eb" w:space="0" w:sz="0" w:val="none"/>
          <w:between w:color="e5e7eb" w:space="0" w:sz="0" w:val="none"/>
        </w:pBdr>
        <w:spacing w:after="40" w:before="0" w:beforeAutospacing="0" w:lineRule="auto"/>
        <w:ind w:left="720" w:hanging="360"/>
        <w:rPr>
          <w:color w:val="000000"/>
        </w:rPr>
      </w:pPr>
      <w:r w:rsidDel="00000000" w:rsidR="00000000" w:rsidRPr="00000000">
        <w:rPr>
          <w:rtl w:val="0"/>
        </w:rPr>
        <w:t xml:space="preserve">References</w:t>
      </w:r>
    </w:p>
    <w:p w:rsidR="00000000" w:rsidDel="00000000" w:rsidP="00000000" w:rsidRDefault="00000000" w:rsidRPr="00000000" w14:paraId="00000049">
      <w:pPr>
        <w:keepNext w:val="1"/>
        <w:spacing w:after="200" w:before="400" w:line="324.00000000000006" w:lineRule="auto"/>
        <w:rPr>
          <w:b w:val="1"/>
          <w:bCs w:val="1"/>
          <w:color w:val="7f7f7f"/>
          <w:sz w:val="20"/>
          <w:szCs w:val="20"/>
        </w:rPr>
      </w:pPr>
      <w:r w:rsidDel="00000000" w:rsidR="00000000" w:rsidRPr="00000000">
        <w:rPr>
          <w:rtl w:val="0"/>
        </w:rPr>
      </w:r>
    </w:p>
    <w:p w:rsidR="00000000" w:rsidDel="00000000" w:rsidP="00000000" w:rsidRDefault="00000000" w:rsidRPr="00000000" w14:paraId="0000004A">
      <w:pPr>
        <w:keepNext w:val="1"/>
        <w:spacing w:after="200" w:before="400" w:line="324.00000000000006" w:lineRule="auto"/>
        <w:rPr>
          <w:b w:val="1"/>
          <w:bCs w:val="1"/>
          <w:color w:val="7f7f7f"/>
          <w:sz w:val="20"/>
          <w:szCs w:val="20"/>
        </w:rPr>
      </w:pPr>
      <w:r w:rsidDel="00000000" w:rsidR="00000000" w:rsidRPr="00000000">
        <w:rPr>
          <w:rtl w:val="0"/>
        </w:rPr>
      </w:r>
    </w:p>
    <w:p w:rsidR="00000000" w:rsidDel="00000000" w:rsidP="00000000" w:rsidRDefault="00000000" w:rsidRPr="00000000" w14:paraId="0000004B">
      <w:pPr>
        <w:keepNext w:val="1"/>
        <w:spacing w:after="200" w:before="400" w:line="324.00000000000006" w:lineRule="auto"/>
        <w:rPr>
          <w:b w:val="1"/>
          <w:bCs w:val="1"/>
          <w:color w:val="7f7f7f"/>
          <w:sz w:val="20"/>
          <w:szCs w:val="20"/>
        </w:rPr>
      </w:pPr>
      <w:r w:rsidDel="00000000" w:rsidR="00000000" w:rsidRPr="00000000">
        <w:rPr>
          <w:rtl w:val="0"/>
        </w:rPr>
      </w:r>
    </w:p>
    <w:p w:rsidR="00000000" w:rsidDel="00000000" w:rsidP="00000000" w:rsidRDefault="00000000" w:rsidRPr="00000000" w14:paraId="0000004C">
      <w:pPr>
        <w:keepNext w:val="1"/>
        <w:spacing w:after="200" w:before="400" w:line="324.00000000000006" w:lineRule="auto"/>
        <w:rPr>
          <w:b w:val="1"/>
          <w:bCs w:val="1"/>
          <w:color w:val="7f7f7f"/>
          <w:sz w:val="20"/>
          <w:szCs w:val="20"/>
        </w:rPr>
      </w:pPr>
      <w:r w:rsidDel="00000000" w:rsidR="00000000" w:rsidRPr="00000000">
        <w:rPr>
          <w:rtl w:val="0"/>
        </w:rPr>
      </w:r>
    </w:p>
    <w:p w:rsidR="00000000" w:rsidDel="00000000" w:rsidP="00000000" w:rsidRDefault="00000000" w:rsidRPr="00000000" w14:paraId="0000004D">
      <w:pPr>
        <w:keepNext w:val="1"/>
        <w:spacing w:after="200" w:before="400" w:line="324.00000000000006" w:lineRule="auto"/>
        <w:rPr>
          <w:b w:val="1"/>
          <w:bCs w:val="1"/>
          <w:color w:val="7f7f7f"/>
          <w:sz w:val="20"/>
          <w:szCs w:val="20"/>
        </w:rPr>
      </w:pPr>
      <w:r w:rsidDel="00000000" w:rsidR="00000000" w:rsidRPr="00000000">
        <w:rPr>
          <w:rtl w:val="0"/>
        </w:rPr>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Abstract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extensive report presents a rigorous empirical investigation into the optimization and regularization of deep neural networks, specifically focusing on the MNIST handwritten digit classification task. The study systematically evaluates the performance of various gradient descent optimization algorithms, including vanilla Stochastic Gradient Descent (SGD), SGD with Momentum, Adam, and RMSprop. Furthermore, it explores the efficacy of regularization techniques—specifically L2 regularization (weight decay) and Dropout—in mitigating the pervasive issue of overfitting in high-capacity models. The experimental results demonstrate that adaptive optimization methods significantly accelerate convergence and improve final classification accuracy compared to traditional SGD. Additionally, the study confirms that Dropout provides a robust mechanism for improving generalization by preventing complex co-adaptations between neurons. The critical role of the learning rate hyperparameter is also analyzed, highlighting its profound impact on the stability and success of the training process. This report provides a detailed synthesis of theoretical principles and empirical findings, offering a comprehensive guide for practitioners in the field of deep learning.</w:t>
      </w:r>
    </w:p>
    <w:p w:rsidR="00000000" w:rsidDel="00000000" w:rsidP="00000000" w:rsidRDefault="00000000" w:rsidRPr="00000000" w14:paraId="00000050">
      <w:pPr>
        <w:rPr/>
      </w:pPr>
      <w:r w:rsidDel="00000000" w:rsidR="00000000" w:rsidRPr="00000000">
        <w:rPr>
          <w:b w:val="1"/>
          <w:bCs w:val="1"/>
          <w:sz w:val="28"/>
          <w:szCs w:val="28"/>
          <w:rtl w:val="0"/>
        </w:rPr>
        <w:t xml:space="preserve">Keywords:</w:t>
      </w:r>
      <w:r w:rsidDel="00000000" w:rsidR="00000000" w:rsidRPr="00000000">
        <w:rPr>
          <w:rtl w:val="0"/>
        </w:rPr>
        <w:t xml:space="preserve"> MNIST Dataset, Deep Learning, Dropout, Optimization Algorithms, Stochastic Gradient Descent (SGD), Adam, RMSprop, L2 Regularization, Overfitting, Hyperparameter Tuning.</w:t>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Introduction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field of deep learning has witnessed a paradigm shift in computer vision, driven by the ability of deep neural networks to learn hierarchical representations from raw data [1]. However, the successful training of these models is often a complex endeavor, requiring the careful orchestration of optimization algorithms, regularization strategies, and hyperparameter tuning. The MNIST dataset, consisting of 70,000 handwritten digits, serves as a foundational benchmark for evaluating these techniques due to its well-defined nature and the clear challenges it presents for classification.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aims to bridge the gap between theoretical deep learning concepts and practical implementation. By establishing a baseline model and systematically varying key training components, we provide a granular analysis of how different choices affect the model's ability to learn and generalize. The report is structured to provide a deep dive into the related literature, a detailed description of the experimental methodology, a thorough analysis of the results, and a reflective summary of the challenges and insights gained throughout the process.</w:t>
      </w:r>
      <w:r w:rsidDel="00000000" w:rsidR="00000000" w:rsidRPr="00000000">
        <w:rPr>
          <w:rtl w:val="0"/>
        </w:rPr>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Related Work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theoretical framework for this study is built upon several decades of research in machine learning and neural networks. Understanding the evolution of these techniques is crucial for interpreting the experimental outcomes.</w:t>
      </w:r>
      <w:r w:rsidDel="00000000" w:rsidR="00000000" w:rsidRPr="00000000">
        <w:rPr>
          <w:rtl w:val="0"/>
        </w:rPr>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Foundations of Deep Learning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concepts of deep learning are rooted in the idea of learning representations through multiple layers of abstraction. As detailed by Goodfellow, Bengio, and Courville [1], deep feedforward networks, also known as multilayer perceptrons (MLPs), are the quintessential models in this domain. These networks learn a mapping from inputs to outputs by composing a series of non-linear transformations. The "depth" of these models allows them to learn increasingly complex features, from simple edges in early layers to sophisticated object parts in deeper layers.</w:t>
      </w:r>
      <w:r w:rsidDel="00000000" w:rsidR="00000000" w:rsidRPr="00000000">
        <w:rPr>
          <w:rtl w:val="0"/>
        </w:rPr>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Optimization Algorithms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Optimization is the process of finding the model parameters that minimize a predefined cost function. In the context of neural networks, this is typically achieved through gradient descent. Sebastian Ruder's comprehensive overview [2] categorizes gradient descent into three main variants: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Gradient Descent: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Computes the gradient of the cost function with respect to the parameters for the entire training dataset. While it provides a stable convergence path, it is computationally expensive and intractable for large datasets.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Stochastic Gradient Descent (SGD):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Performs parameter updates for each training example. This introduces high variance in the updates, causing the cost function to fluctuate. While this fluctuation can help the model escape local minima, it can also hinder convergence to the exact global minimum.</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Mini-batch Gradient Descent: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Strikes a balance by performing updates for every mini-batch of $n$ training examples. This is the standard approach in modern deep learning, as it leverages the computational efficiency of matrix operations while maintaining stable convergence.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evolution of optimization has led to the development of adaptive methods.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Momentum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addresses the oscillations of SGD by adding a fraction of the previous update to the current one, effectively accelerating the descent in consistent directions.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RMSprop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(Adaptive Moment Estimation) further refine this by adapting the learning rate for each parameter individually based on the first and second moments of the gradients [2].</w:t>
      </w:r>
      <w:r w:rsidDel="00000000" w:rsidR="00000000" w:rsidRPr="00000000">
        <w:rPr>
          <w:rtl w:val="0"/>
        </w:rPr>
      </w:r>
    </w:p>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Regularization and Overfitting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central challenge in deep learning is generalization—the model's ability to perform well on unseen data. High-capacity models are prone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overfitting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they "memorize" the training data, including its noise, rather than learning the underlying patterns. Regularization techniques are designed to penalize model complexity and encourage better generalization.</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L2 Regularization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weight decay, adds a penalty term proportional to the square of the magnitude of the weights to the cost function. This encourages the model to keep the weights small, leading to a simpler, smoother mapping that is less likely to overfit.</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Dropout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introduced by Srivastava et al. [3], is a more recent and highly effective technique. It involves randomly "dropping out" (setting to zero) a fraction of the neurons during each training iteration. This prevents neurons from relying too heavily on the presence of specific other neurons, thereby reducing complex co-adaptations and forcing the network to learn more robust, redundant features. Srivastava et al. demonstrated that Dropout significantly improves performance across a wide range of tasks, including image classification and natural language processing.</w:t>
      </w:r>
      <w:r w:rsidDel="00000000" w:rsidR="00000000" w:rsidRPr="00000000">
        <w:rPr>
          <w:rtl w:val="0"/>
        </w:rPr>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Hyperparameter Tuning and Learning Rates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learning 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arguably the most critical hyperparameter in neural network training. It determines the size of the steps taken during optimization. A learning rate that is too small leads to agonizingly slow convergence, while one that is too large can cause the training process to diverge. Research by Leslie Smith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Cyclical Learning Rates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has shown that varying the learning rate during training can lead to faster convergence and better final performance, highlighting the dynamic nature of this parameter.</w:t>
      </w:r>
      <w:r w:rsidDel="00000000" w:rsidR="00000000" w:rsidRPr="00000000">
        <w:rPr>
          <w:rtl w:val="0"/>
        </w:rPr>
      </w:r>
    </w:p>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Experimental Methodology</w:t>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Dataset and Preprocessing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experiments were conducted using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MNIST 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preprocessing steps included:</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Pixel values, originally in the range [0, 255], were scaled to [0, 1] to ensure numerical stability and faster convergence.</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Flattening: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28x28 images were reshaped into 784-dimensional vectors for the fully connected layers.</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One-Hot Encoding: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categorical labels (0-9) were converted into binary vectors.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Splitting: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60,000 training images were split into a training set (80%, 48,000 images) and a validation set (20%, 12,000 images).</w:t>
      </w:r>
      <w:r w:rsidDel="00000000" w:rsidR="00000000" w:rsidRPr="00000000">
        <w:rPr>
          <w:rtl w:val="0"/>
        </w:rPr>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Hardware and Software Environment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experiments were performed in a Linux-based environment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3.11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primary libraries used were:</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TensorFlow/Keras: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model construction, training, and evaluation.</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numerical operations and data manipulation.</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Matplotlib: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generating training curves and visualization.</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Scikit-learn: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additional metrics and data splitting.</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Due to the absence of a dedicated GPU, all training was performed on the CPU. To maintain a balance between depth of analysis and computational feasibility, the number of training epochs was set to 10 for most comparative experiments, while the batch size was kept constant at 64.</w:t>
      </w:r>
      <w:r w:rsidDel="00000000" w:rsidR="00000000" w:rsidRPr="00000000">
        <w:rPr>
          <w:rtl w:val="0"/>
        </w:rPr>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Experimental Design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was divided into four distinct tasks:</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Baseline Establishment: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Training a standard four-layer MLP using vanilla SGD to set a performance benchmark.</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Optimizer Comparison: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Evaluating the impact of SGD, SGD with Momentum, Adam, and RMSprop on the baseline architecture.</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Regularization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a deeper, more complex model to test the effectiveness of L2 regularization and Dropout in preventing overfitting.</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Learning Rate Sensitivity: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Investigating how different learning rates affect the convergence and final accuracy of the optimized model.</w:t>
      </w:r>
      <w:r w:rsidDel="00000000" w:rsidR="00000000" w:rsidRPr="00000000">
        <w:rPr>
          <w:rtl w:val="0"/>
        </w:rPr>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Results and Detailed Analysis</w:t>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Task 1: Baseline Model Performance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baseline model consisted of three hidden layers with 256, 128, and 64 neurons, respectively, all using the ReLU activation function. The output layer used Softmax for 10-class classification.</w:t>
      </w:r>
      <w:r w:rsidDel="00000000" w:rsidR="00000000" w:rsidRPr="00000000">
        <w:rPr>
          <w:rtl w:val="0"/>
        </w:rPr>
      </w:r>
    </w:p>
    <w:tbl>
      <w:tblPr>
        <w:tblStyle w:val="Table1"/>
        <w:tblW w:w="873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6225"/>
        <w:gridCol w:w="2505"/>
        <w:tblGridChange w:id="0">
          <w:tblGrid>
            <w:gridCol w:w="6225"/>
            <w:gridCol w:w="2505"/>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Metric</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Value</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Training Accuracy (Epoch 10)</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0.9584</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 Accuracy (Epoch 10)</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0.9561</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 Accuracy</w:t>
            </w:r>
            <w:r w:rsidDel="00000000" w:rsidR="00000000" w:rsidRPr="00000000">
              <w:rPr>
                <w:rtl w:val="0"/>
              </w:rPr>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0.9572</w: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baseline model achieved a respectable test accuracy of 95.72%. The close proximity of training and validation accuracy suggests that for this relatively simple architecture and dataset, overfitting was not a major concern. However, the convergence speed was relatively slow, as evidenced by the loss curves.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14300" distT="114300" distL="114300" distR="114300">
            <wp:extent cx="5731200" cy="2019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b w:val="1"/>
          <w:bCs w:val="1"/>
          <w:vertAlign w:val="baseline"/>
          <w:rtl w:val="0"/>
        </w:rPr>
        <w:t xml:space="preserve">Figure 1: Baseline Model Training and Validation Curves.</w:t>
      </w:r>
      <w:r w:rsidDel="00000000" w:rsidR="00000000" w:rsidRPr="00000000">
        <w:rPr>
          <w:rtl w:val="0"/>
        </w:rPr>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Task 2: Comparative Analysis of Optimizers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compared four popular optimizers while keeping the architecture and other hyperparameters constant.</w:t>
      </w:r>
      <w:r w:rsidDel="00000000" w:rsidR="00000000" w:rsidRPr="00000000">
        <w:rPr>
          <w:rtl w:val="0"/>
        </w:rPr>
      </w:r>
    </w:p>
    <w:tbl>
      <w:tblPr>
        <w:tblStyle w:val="Table2"/>
        <w:tblW w:w="915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3120"/>
        <w:gridCol w:w="1770"/>
        <w:gridCol w:w="1875"/>
        <w:gridCol w:w="2385"/>
        <w:tblGridChange w:id="0">
          <w:tblGrid>
            <w:gridCol w:w="3120"/>
            <w:gridCol w:w="1770"/>
            <w:gridCol w:w="1875"/>
            <w:gridCol w:w="2385"/>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Optimizer</w:t>
            </w:r>
          </w:p>
        </w:tc>
        <w:tc>
          <w:tcPr>
            <w:tcMar>
              <w:top w:w="100.0" w:type="dxa"/>
              <w:left w:w="120.0" w:type="dxa"/>
              <w:bottom w:w="100.0" w:type="dxa"/>
              <w:right w:w="120.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Learning Rate</w:t>
            </w:r>
          </w:p>
        </w:tc>
        <w:tc>
          <w:tcPr>
            <w:tcMar>
              <w:top w:w="100.0" w:type="dxa"/>
              <w:left w:w="120.0" w:type="dxa"/>
              <w:bottom w:w="100.0" w:type="dxa"/>
              <w:right w:w="120.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Test Accuracy</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Convergence Characteristic</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SGD</w:t>
            </w:r>
          </w:p>
        </w:tc>
        <w:tc>
          <w:tcPr>
            <w:tcMar>
              <w:top w:w="80.0" w:type="dxa"/>
              <w:left w:w="120.0" w:type="dxa"/>
              <w:bottom w:w="80.0" w:type="dxa"/>
              <w:right w:w="120.0" w:type="dxa"/>
            </w:tcM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w:t>
            </w:r>
          </w:p>
        </w:tc>
        <w:tc>
          <w:tcPr>
            <w:tcMar>
              <w:top w:w="80.0" w:type="dxa"/>
              <w:left w:w="120.0" w:type="dxa"/>
              <w:bottom w:w="80.0" w:type="dxa"/>
              <w:right w:w="120.0" w:type="dxa"/>
            </w:tcM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0.9572</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Slow, steady descent</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SGD with Momentum</w:t>
            </w:r>
          </w:p>
        </w:tc>
        <w:tc>
          <w:tcPr>
            <w:tcMar>
              <w:top w:w="80.0" w:type="dxa"/>
              <w:left w:w="120.0" w:type="dxa"/>
              <w:bottom w:w="80.0" w:type="dxa"/>
              <w:right w:w="120.0"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w:t>
            </w:r>
          </w:p>
        </w:tc>
        <w:tc>
          <w:tcPr>
            <w:tcMar>
              <w:top w:w="80.0" w:type="dxa"/>
              <w:left w:w="120.0" w:type="dxa"/>
              <w:bottom w:w="80.0" w:type="dxa"/>
              <w:right w:w="120.0" w:type="dxa"/>
            </w:tcM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0.9762</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Faster, reduced oscillations</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Adam</w:t>
            </w:r>
          </w:p>
        </w:tc>
        <w:tc>
          <w:tcPr>
            <w:tcMar>
              <w:top w:w="80.0" w:type="dxa"/>
              <w:left w:w="120.0" w:type="dxa"/>
              <w:bottom w:w="80.0" w:type="dxa"/>
              <w:right w:w="120.0" w:type="dxa"/>
            </w:tcM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0.001</w:t>
            </w:r>
          </w:p>
        </w:tc>
        <w:tc>
          <w:tcPr>
            <w:tcMar>
              <w:top w:w="80.0" w:type="dxa"/>
              <w:left w:w="120.0" w:type="dxa"/>
              <w:bottom w:w="80.0" w:type="dxa"/>
              <w:right w:w="120.0" w:type="dxa"/>
            </w:tcM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0.9745</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 initial progress</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RMSprop</w:t>
            </w:r>
            <w:r w:rsidDel="00000000" w:rsidR="00000000" w:rsidRPr="00000000">
              <w:rPr>
                <w:rtl w:val="0"/>
              </w:rPr>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0.001</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0.9788</w:t>
            </w:r>
            <w:r w:rsidDel="00000000" w:rsidR="00000000" w:rsidRPr="00000000">
              <w:rPr>
                <w:rtl w:val="0"/>
              </w:rPr>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Most stable and highest accuracy</w:t>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clearly demonstrate the superiority of adaptive and momentum-based methods over vanilla SGD.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RMSprop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achieved the highest accuracy (97.88%), likely due to its ability to normalize the gradient by a running average of its recent magnitude, which is particularly effective in non-convex optimization landscapes.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SGD with Momentum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also performed exceptionally well, confirming that the accumulation of velocity helps the optimizer navigate through flat regions and across small local minima. While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often the default choice in many applications, in this specific setup, RMSprop provided a slight edge in final test accuracy.</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14300" distT="114300" distL="114300" distR="114300">
            <wp:extent cx="5731200" cy="2019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b w:val="1"/>
          <w:bCs w:val="1"/>
          <w:vertAlign w:val="baseline"/>
        </w:rPr>
      </w:pPr>
      <w:r w:rsidDel="00000000" w:rsidR="00000000" w:rsidRPr="00000000">
        <w:rPr>
          <w:b w:val="1"/>
          <w:bCs w:val="1"/>
          <w:vertAlign w:val="baseline"/>
          <w:rtl w:val="0"/>
        </w:rPr>
        <w:t xml:space="preserve">Figure 2: Optimizer Performance Comparison.</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4.3. Task 3: Regularization and Overfitting Control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regularization, we increased the model's capacity (hidden layers: 512, 256, 128), making it more prone to overfitting.</w:t>
      </w: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4.3.1. L2 Regularization (Weight Decay)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varied the L2 penalty coefficient $\lambda$ from 0.0 to 0.1.</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3"/>
        <w:tblW w:w="885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1770"/>
        <w:gridCol w:w="2145"/>
        <w:gridCol w:w="1320"/>
        <w:gridCol w:w="1725"/>
        <w:gridCol w:w="1890"/>
        <w:tblGridChange w:id="0">
          <w:tblGrid>
            <w:gridCol w:w="1770"/>
            <w:gridCol w:w="2145"/>
            <w:gridCol w:w="1320"/>
            <w:gridCol w:w="1725"/>
            <w:gridCol w:w="1890"/>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L2 $\lambda$</w:t>
            </w:r>
          </w:p>
        </w:tc>
        <w:tc>
          <w:tcPr>
            <w:tcMar>
              <w:top w:w="100.0" w:type="dxa"/>
              <w:left w:w="120.0" w:type="dxa"/>
              <w:bottom w:w="100.0" w:type="dxa"/>
              <w:right w:w="120.0" w:type="dxa"/>
            </w:tcM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Train Acc.</w:t>
            </w:r>
          </w:p>
        </w:tc>
        <w:tc>
          <w:tcPr>
            <w:tcMar>
              <w:top w:w="100.0" w:type="dxa"/>
              <w:left w:w="120.0" w:type="dxa"/>
              <w:bottom w:w="100.0" w:type="dxa"/>
              <w:right w:w="120.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Val Acc.</w:t>
            </w:r>
          </w:p>
        </w:tc>
        <w:tc>
          <w:tcPr>
            <w:tcMar>
              <w:top w:w="100.0" w:type="dxa"/>
              <w:left w:w="120.0" w:type="dxa"/>
              <w:bottom w:w="100.0" w:type="dxa"/>
              <w:right w:w="120.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Test Acc.</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Weight Norm ($\sum w^2$)</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 (None)</w:t>
            </w:r>
          </w:p>
        </w:tc>
        <w:tc>
          <w:tcPr>
            <w:tcMar>
              <w:top w:w="80.0" w:type="dxa"/>
              <w:left w:w="120.0" w:type="dxa"/>
              <w:bottom w:w="80.0" w:type="dxa"/>
              <w:right w:w="120.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0.9943</w:t>
            </w:r>
          </w:p>
        </w:tc>
        <w:tc>
          <w:tcPr>
            <w:tcMar>
              <w:top w:w="80.0" w:type="dxa"/>
              <w:left w:w="120.0" w:type="dxa"/>
              <w:bottom w:w="80.0" w:type="dxa"/>
              <w:right w:w="120.0" w:type="dxa"/>
            </w:tcM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0.9761</w:t>
            </w:r>
          </w:p>
        </w:tc>
        <w:tc>
          <w:tcPr>
            <w:tcMar>
              <w:top w:w="80.0" w:type="dxa"/>
              <w:left w:w="120.0" w:type="dxa"/>
              <w:bottom w:w="80.0" w:type="dxa"/>
              <w:right w:w="120.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0.9754</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3790.42</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0.001</w:t>
            </w:r>
          </w:p>
        </w:tc>
        <w:tc>
          <w:tcPr>
            <w:tcMar>
              <w:top w:w="80.0" w:type="dxa"/>
              <w:left w:w="120.0" w:type="dxa"/>
              <w:bottom w:w="80.0" w:type="dxa"/>
              <w:right w:w="120.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0.9780</w:t>
            </w:r>
          </w:p>
        </w:tc>
        <w:tc>
          <w:tcPr>
            <w:tcMar>
              <w:top w:w="80.0" w:type="dxa"/>
              <w:left w:w="120.0" w:type="dxa"/>
              <w:bottom w:w="80.0" w:type="dxa"/>
              <w:right w:w="120.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0.9711</w:t>
            </w:r>
          </w:p>
        </w:tc>
        <w:tc>
          <w:tcPr>
            <w:tcMar>
              <w:top w:w="80.0" w:type="dxa"/>
              <w:left w:w="120.0" w:type="dxa"/>
              <w:bottom w:w="80.0" w:type="dxa"/>
              <w:right w:w="120.0" w:type="dxa"/>
            </w:tcM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0.9663</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219.78</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w:t>
            </w:r>
          </w:p>
        </w:tc>
        <w:tc>
          <w:tcPr>
            <w:tcMar>
              <w:top w:w="80.0" w:type="dxa"/>
              <w:left w:w="120.0" w:type="dxa"/>
              <w:bottom w:w="80.0" w:type="dxa"/>
              <w:right w:w="120.0" w:type="dxa"/>
            </w:tcM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0.9506</w:t>
            </w:r>
          </w:p>
        </w:tc>
        <w:tc>
          <w:tcPr>
            <w:tcMar>
              <w:top w:w="80.0" w:type="dxa"/>
              <w:left w:w="120.0" w:type="dxa"/>
              <w:bottom w:w="80.0" w:type="dxa"/>
              <w:right w:w="120.0" w:type="dxa"/>
            </w:tcM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0.9552</w:t>
            </w:r>
          </w:p>
        </w:tc>
        <w:tc>
          <w:tcPr>
            <w:tcMar>
              <w:top w:w="80.0" w:type="dxa"/>
              <w:left w:w="120.0" w:type="dxa"/>
              <w:bottom w:w="80.0" w:type="dxa"/>
              <w:right w:w="120.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0.9532</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483.70</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0.8197</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0.8195</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0.8217</w:t>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1197.81</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unregularized model ($\lambda=0.0$) showed clear signs of overfitting, with a training accuracy of 99.43% but a lower validation accuracy. Applying L2 regularization with $\lambda=0.001$ successfully constrained the weights, as seen by the massive reduction in the weight norm. However, as $\lambda$ increased further, the model became too constrained (underfitting), leading to a significant drop in accuracy. This illustrates the "Goldilocks" nature of regularization—it must be "just right" to be effective.</w:t>
      </w:r>
      <w:r w:rsidDel="00000000" w:rsidR="00000000" w:rsidRPr="00000000">
        <w:rPr>
          <w:rtl w:val="0"/>
        </w:rPr>
      </w:r>
    </w:p>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4.3.2. Dropout Analysis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tested Dropout rates of 0.0, 0.2, and 0.5.</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4"/>
        <w:tblW w:w="885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2355"/>
        <w:gridCol w:w="1635"/>
        <w:gridCol w:w="1440"/>
        <w:gridCol w:w="1350"/>
        <w:gridCol w:w="2070"/>
        <w:tblGridChange w:id="0">
          <w:tblGrid>
            <w:gridCol w:w="2355"/>
            <w:gridCol w:w="1635"/>
            <w:gridCol w:w="1440"/>
            <w:gridCol w:w="1350"/>
            <w:gridCol w:w="2070"/>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Dropout Rate</w:t>
            </w:r>
          </w:p>
        </w:tc>
        <w:tc>
          <w:tcPr>
            <w:tcMar>
              <w:top w:w="100.0" w:type="dxa"/>
              <w:left w:w="120.0" w:type="dxa"/>
              <w:bottom w:w="100.0" w:type="dxa"/>
              <w:right w:w="120.0" w:type="dxa"/>
            </w:tcM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Train Acc.</w:t>
            </w:r>
          </w:p>
        </w:tc>
        <w:tc>
          <w:tcPr>
            <w:tcMar>
              <w:top w:w="100.0" w:type="dxa"/>
              <w:left w:w="120.0" w:type="dxa"/>
              <w:bottom w:w="100.0" w:type="dxa"/>
              <w:right w:w="120.0" w:type="dxa"/>
            </w:tcM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Val Acc.</w:t>
            </w:r>
          </w:p>
        </w:tc>
        <w:tc>
          <w:tcPr>
            <w:tcMar>
              <w:top w:w="100.0" w:type="dxa"/>
              <w:left w:w="120.0" w:type="dxa"/>
              <w:bottom w:w="100.0" w:type="dxa"/>
              <w:right w:w="120.0" w:type="dxa"/>
            </w:tcM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Test Acc.</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Generalization Gap</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w:t>
            </w:r>
          </w:p>
        </w:tc>
        <w:tc>
          <w:tcPr>
            <w:tcMar>
              <w:top w:w="80.0" w:type="dxa"/>
              <w:left w:w="120.0" w:type="dxa"/>
              <w:bottom w:w="80.0" w:type="dxa"/>
              <w:right w:w="120.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0.9940</w:t>
            </w:r>
          </w:p>
        </w:tc>
        <w:tc>
          <w:tcPr>
            <w:tcMar>
              <w:top w:w="80.0" w:type="dxa"/>
              <w:left w:w="120.0" w:type="dxa"/>
              <w:bottom w:w="80.0" w:type="dxa"/>
              <w:right w:w="120.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0.9779</w:t>
            </w:r>
          </w:p>
        </w:tc>
        <w:tc>
          <w:tcPr>
            <w:tcMar>
              <w:top w:w="80.0" w:type="dxa"/>
              <w:left w:w="120.0" w:type="dxa"/>
              <w:bottom w:w="80.0" w:type="dxa"/>
              <w:right w:w="120.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0.9781</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0.0161</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0.9886</w:t>
            </w:r>
          </w:p>
        </w:tc>
        <w:tc>
          <w:tcPr>
            <w:tcMar>
              <w:top w:w="80.0" w:type="dxa"/>
              <w:left w:w="120.0" w:type="dxa"/>
              <w:bottom w:w="80.0" w:type="dxa"/>
              <w:right w:w="120.0" w:type="dxa"/>
            </w:tcM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0.9800</w:t>
            </w:r>
          </w:p>
        </w:tc>
        <w:tc>
          <w:tcPr>
            <w:tcMar>
              <w:top w:w="80.0" w:type="dxa"/>
              <w:left w:w="120.0" w:type="dxa"/>
              <w:bottom w:w="80.0" w:type="dxa"/>
              <w:right w:w="120.0" w:type="dxa"/>
            </w:tcM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0.9816</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0.0086</w:t>
            </w:r>
            <w:r w:rsidDel="00000000" w:rsidR="00000000" w:rsidRPr="00000000">
              <w:rPr>
                <w:rtl w:val="0"/>
              </w:rPr>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0.9705</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0.9780</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0.9786</w:t>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-0.0075</w:t>
            </w:r>
          </w:p>
        </w:tc>
      </w:tr>
    </w:tbl>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Dropout proved to be a highly effective regularizer. A rate of 0.2 yielded the best test accuracy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98.16%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halved the generalization gap compared to the no-dropout case. Interestingly, at a rate of 0.5, the validation accuracy actually exceeded the training accuracy. This is a classic characteristic of Dropout: because the model is "handicapped" during training (units are missing), it performs better at test time when the full network is available. This confirms the theory that Dropout forces the network to learn more robust and distributed representations [3].</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14300" distT="114300" distL="114300" distR="114300">
            <wp:extent cx="5731200" cy="3835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center"/>
        <w:rPr>
          <w:b w:val="1"/>
          <w:bCs w:val="1"/>
          <w:vertAlign w:val="baseline"/>
        </w:rPr>
      </w:pPr>
      <w:r w:rsidDel="00000000" w:rsidR="00000000" w:rsidRPr="00000000">
        <w:rPr>
          <w:b w:val="1"/>
          <w:bCs w:val="1"/>
          <w:vertAlign w:val="baseline"/>
          <w:rtl w:val="0"/>
        </w:rPr>
        <w:t xml:space="preserve">Figure 3: Impact of Regularization on Model Performance.</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4.4. Task 4: Learning Rate Sensitivity and Tuning</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optimized complex model (Dropout=0.2, L2=0.001), we tested the Adam optimizer across four orders of magnitude of the learning rate $\eta$.</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5"/>
        <w:tblW w:w="8955.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3345"/>
        <w:gridCol w:w="2955"/>
        <w:gridCol w:w="2655"/>
        <w:tblGridChange w:id="0">
          <w:tblGrid>
            <w:gridCol w:w="3345"/>
            <w:gridCol w:w="2955"/>
            <w:gridCol w:w="2655"/>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Learning Rate ($\eta$)</w:t>
            </w:r>
          </w:p>
        </w:tc>
        <w:tc>
          <w:tcPr>
            <w:tcMar>
              <w:top w:w="100.0" w:type="dxa"/>
              <w:left w:w="120.0" w:type="dxa"/>
              <w:bottom w:w="100.0" w:type="dxa"/>
              <w:right w:w="120.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Test Accuracy</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Observation</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0.0001</w:t>
            </w:r>
          </w:p>
        </w:tc>
        <w:tc>
          <w:tcPr>
            <w:tcMar>
              <w:top w:w="80.0" w:type="dxa"/>
              <w:left w:w="120.0" w:type="dxa"/>
              <w:bottom w:w="80.0" w:type="dxa"/>
              <w:right w:w="120.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0.9757</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Slow but steady convergence</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0.9707</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Optimal balance of speed and accuracy</w:t>
            </w:r>
            <w:r w:rsidDel="00000000" w:rsidR="00000000" w:rsidRPr="00000000">
              <w:rPr>
                <w:rtl w:val="0"/>
              </w:rPr>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w:t>
            </w:r>
          </w:p>
        </w:tc>
        <w:tc>
          <w:tcPr>
            <w:tcMar>
              <w:top w:w="80.0" w:type="dxa"/>
              <w:left w:w="120.0" w:type="dxa"/>
              <w:bottom w:w="80.0" w:type="dxa"/>
              <w:right w:w="120.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0.9211</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Unstable, high oscillations</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0.1028</w:t>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 failure to learn (Divergence)</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learning rate tuning experiment highlights the extreme sensitivity of neural networks to this parameter. While $\eta=0.001$ is a common default for Adam, the results show that even a ten-fold increase to 0.01 significantly degrades performance. At $\eta=0.1$, the model failed to learn entirely, with the accuracy remaining near the level of random guessing (10%). This underscores the importance of techniques like learning rate warm-up or decay schedules in more complex training scenarios.</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14300" distT="114300" distL="114300" distR="114300">
            <wp:extent cx="5731200" cy="19177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b w:val="1"/>
          <w:bCs w:val="1"/>
          <w:vertAlign w:val="baseline"/>
        </w:rPr>
      </w:pPr>
      <w:r w:rsidDel="00000000" w:rsidR="00000000" w:rsidRPr="00000000">
        <w:rPr>
          <w:b w:val="1"/>
          <w:bCs w:val="1"/>
          <w:vertAlign w:val="baseline"/>
          <w:rtl w:val="0"/>
        </w:rPr>
        <w:t xml:space="preserve">Figure 4: Learning Rate Sensitivity Analysis.</w:t>
      </w:r>
    </w:p>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Discussion and Reflections</w:t>
      </w:r>
    </w:p>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5.1. Theoretical Alignment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experimental findings are in strong alignment with the literature. The superior performance of adaptive optimizers like RMSprop and Adam validates the insights from Ruder [2] regarding the challenges of vanilla SGD. The effectiveness of Dropout in reducing the generalization gap provides a clear empirical verification of the "robust feature learning" hypothesis proposed by Srivastava et al. [3].</w:t>
      </w:r>
      <w:r w:rsidDel="00000000" w:rsidR="00000000" w:rsidRPr="00000000">
        <w:rPr>
          <w:rtl w:val="0"/>
        </w:rPr>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5.2. Challenges Encountered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challenge was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constraint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training on a CPU. This necessitated a reduction in the number of epochs, which may have slightly biased the results in favor of faster-converging adaptive optimizers. In a more resource-rich environment, vanilla SGD with a well-tuned learning rate schedule might eventually reach similar or even slightly better performance, as some studies suggest that SGD can lead to better generalization in certain contexts.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challenge was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interplay between hyperparameters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instance, the optimal Dropout rate might change if the L2 penalty is significantly altered. This "hyperparameter coupling" makes exhaustive searching difficult and highlights the value of systematic, one-at-a-time experimentation as performed in this study.</w:t>
      </w:r>
      <w:r w:rsidDel="00000000" w:rsidR="00000000" w:rsidRPr="00000000">
        <w:rPr>
          <w:rtl w:val="0"/>
        </w:rPr>
      </w:r>
    </w:p>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5.3. Future Directions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further improve the model's performance and robustness, several avenues could be explored:</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Convolutional Neural Networks (CNNs):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Moving beyond fully connected layers to convolutional layers would likely yield accuracies above 99% on MNIST, as CNNs are better suited for capturing spatial hierarchies in images.</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Normalization: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Implementing Batch Normalization after each layer could further accelerate training and reduce sensitivity to initialization and learning rates.</w:t>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Augmentation: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Techniques such as random rotations, translations, and scaling could be used to artificially expand the training set and further improve generalization.</w:t>
      </w:r>
      <w:r w:rsidDel="00000000" w:rsidR="00000000" w:rsidRPr="00000000">
        <w:rPr>
          <w:rtl w:val="0"/>
        </w:rPr>
      </w:r>
    </w:p>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Conclusion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comprehensive study has provided a detailed empirical evaluation of neural network optimization and regularization. By systematically analyzing the impact of different optimizers, regularization techniques, and learning rates, we have demonstrated that:</w:t>
      </w:r>
    </w:p>
    <w:p w:rsidR="00000000" w:rsidDel="00000000" w:rsidP="00000000" w:rsidRDefault="00000000" w:rsidRPr="00000000" w14:paraId="000000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Adaptive optimizers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(RMSprop, Adam)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Momentum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essential for efficient training, significantly outperforming vanilla SGD.</w:t>
      </w:r>
    </w:p>
    <w:p w:rsidR="00000000" w:rsidDel="00000000" w:rsidP="00000000" w:rsidRDefault="00000000" w:rsidRPr="00000000" w14:paraId="000000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Dropout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powerful and robust regularization tool that effectively mitigates overfitting and encourages the learning of more generalizable features.</w:t>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learning 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critical hyperparameter that requires careful tuning, as even small deviations from the optimal range can lead to training failure.</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optimized model, incorporating Dropout and an adaptive optimizer, achieved a high level of performance on the MNIST dataset, providing a solid foundation for more advanced explorations in deep learning. This project underscores the importance of combining theoretical knowledge with rigorous empirical testing to build effective and reliable machine learning systems.</w:t>
      </w:r>
      <w:r w:rsidDel="00000000" w:rsidR="00000000" w:rsidRPr="00000000">
        <w:rPr>
          <w:rtl w:val="0"/>
        </w:rPr>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References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Goodfellow, I., Bengio, Y., &amp; Courville, A.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w:t>
        <w:br w:type="textWrapping"/>
        <w:t xml:space="preserve">[2] Ruder, S. (2016). An overview of gradient descent optimization algorithms.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arXiv:1609.04747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[3] Srivastava, N., Hinton, G., Krizhevsky, A., Sutskever, I., &amp; Salakhutdinov, R. (2014). Dropout: A simple way to prevent neural networks from overfitting.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15(1), 1929-1958.</w:t>
        <w:br w:type="textWrapping"/>
        <w:t xml:space="preserve">[4] Smith, L. N. (2017). Cyclical learning rates for training neural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2017 IEEE Winter Conference on Applications of Computer Vision (WACV)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[5] Kingma, D. P., &amp; Ba, J. (2014). Adam: A method for stochastic optimization.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arXiv:1412.6980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[6] Tieleman, T., &amp; Hinton, G. (2012). Lecture 6.5-rmsprop: Divide the gradient by a running average of its recent magnitude.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COURSERA: Neural networks for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 26-31.</w:t>
        <w:br w:type="textWrapping"/>
        <w:t xml:space="preserve">[7] LeCun, Y., Bottou, L., Bengio, Y., &amp; Haffner, P. (1998). Gradient-based learning applied to document recognition.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86(11), 2278-2324.</w:t>
        <w:br w:type="textWrapping"/>
        <w:t xml:space="preserve">[8] Glorot, X., &amp; Bengio, Y. (2010). Understanding the difficulty of training deep feedforward neural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Proceedings of the thirteenth international conference on artificial intelligence and statistics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249-256).</w:t>
        <w:br w:type="textWrapping"/>
        <w:t xml:space="preserve">[9] He, K., Zhang, X., Ren, S., &amp; Sun, J. (2015). Delving deep into rectifiers: Surpassing human-level performance on imagenet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Proceedings of the IEEE international conference on computer vision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1026-1034).</w:t>
        <w:br w:type="textWrapping"/>
        <w:t xml:space="preserve">[10] Ioffe, S., &amp; Szegedy, C. (2015). Batch normalization: Accelerating deep network training by reducing internal covariate shift.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International conference on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448-456).</w:t>
        <w:br w:type="textWrapping"/>
        <w:t xml:space="preserve">[11] Zeiler, M. D. (2012). ADADELTA: an adaptive learning rate method.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arXiv:1212.5701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[12] Duchi, J., Hazan, E., &amp; Singer, Y. (2011). Adaptive subgradient methods for online learning and stochastic optimization.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12(7).</w:t>
        <w:br w:type="textWrapping"/>
        <w:t xml:space="preserve">[13] Sutskever, I., Martens, J., Dahl, G., &amp; Hinton, G. (2013). On the importance of initialization and momentum in deep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International conference on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1139-1147).</w:t>
        <w:br w:type="textWrapping"/>
        <w:t xml:space="preserve">[14] Bottou, L. (2010). Large-scale machine learning with stochastic gradient descent.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Proceedings of COMPSTAT'2010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177-186). Physica-Verlag HD.</w:t>
        <w:br w:type="textWrapping"/>
        <w:t xml:space="preserve">[15] Robbins, H., &amp; Monro, S. (1951). A stochastic approximation method.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annals of mathematical statistics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400-407.</w:t>
        <w:br w:type="textWrapping"/>
        <w:t xml:space="preserve">[16] Polyak, B. T. (1964). Some methods of speeding up the convergence of iteration methods.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USSR Computational Mathematics and Mathematical Physics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4(1), 1-17.</w:t>
        <w:br w:type="textWrapping"/>
        <w:t xml:space="preserve">[17] Nesterov, Y. (1983). A method for unconstrained convex minimization problem with the rate of convergence $O(1/k^2)$.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Doklady AN SSSR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269, No. 3, pp. 543-547).</w:t>
        <w:br w:type="textWrapping"/>
        <w:t xml:space="preserve">[18] Hinton, G. E., Srivastava, N., Krizhevsky, A., Sutskever, I., &amp; Salakhutdinov, R. R. (2012). Improving neural networks by preventing co-adaptation of feature detectors.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arXiv:1207.0580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[19] Wan, L., Zeiler, M., Zhang, S., Le Cun, Y., &amp; Fergus, R. (2013). Regularization of neural networks using dropconnect.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International conference on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1058-1066).</w:t>
        <w:br w:type="textWrapping"/>
        <w:t xml:space="preserve">[20] Krogh, A., &amp; Hertz, J. A. (1991). A simple weight decay can improve generalization.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w:t>
        <w:br w:type="textWrapping"/>
        <w:t xml:space="preserve">[21] Prechelt, L. (1998). Early stopping-but when?.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Neural Networks: Tricks of the Trade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55-69). Springer, Berlin, Heidelberg.</w:t>
        <w:br w:type="textWrapping"/>
        <w:t xml:space="preserve">[22] Bengio, Y. (2012). Practical recommendations for gradient-based training of deep architectures.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Neural networks: Tricks of the trade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437-478). Springer, Berlin, Heidelberg.</w:t>
        <w:br w:type="textWrapping"/>
        <w:t xml:space="preserve">[23] Bergstra, J., &amp; Bengio, Y. (2012). Random search for hyper-parameter optimization.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13(2).</w:t>
        <w:br w:type="textWrapping"/>
        <w:t xml:space="preserve">[24] Chollet, F.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 with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Manning Publications.</w:t>
        <w:br w:type="textWrapping"/>
        <w:t xml:space="preserve">[25] Nielsen, M. A. (2015).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Neural Networks and 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Determination Press.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68" w:hanging="360"/>
      </w:pPr>
      <w:rPr>
        <w:u w:val="none"/>
      </w:rPr>
    </w:lvl>
    <w:lvl w:ilvl="1">
      <w:start w:val="1"/>
      <w:numFmt w:val="lowerLetter"/>
      <w:lvlText w:val="%2)"/>
      <w:lvlJc w:val="left"/>
      <w:pPr>
        <w:ind w:left="1248" w:hanging="420"/>
      </w:pPr>
      <w:rPr>
        <w:u w:val="none"/>
      </w:rPr>
    </w:lvl>
    <w:lvl w:ilvl="2">
      <w:start w:val="1"/>
      <w:numFmt w:val="lowerRoman"/>
      <w:lvlText w:val="%3."/>
      <w:lvlJc w:val="right"/>
      <w:pPr>
        <w:ind w:left="1668" w:hanging="420"/>
      </w:pPr>
      <w:rPr>
        <w:u w:val="none"/>
      </w:rPr>
    </w:lvl>
    <w:lvl w:ilvl="3">
      <w:start w:val="1"/>
      <w:numFmt w:val="decimal"/>
      <w:lvlText w:val="%4."/>
      <w:lvlJc w:val="left"/>
      <w:pPr>
        <w:ind w:left="2088" w:hanging="420"/>
      </w:pPr>
      <w:rPr>
        <w:u w:val="none"/>
      </w:rPr>
    </w:lvl>
    <w:lvl w:ilvl="4">
      <w:start w:val="1"/>
      <w:numFmt w:val="lowerLetter"/>
      <w:lvlText w:val="%5)"/>
      <w:lvlJc w:val="left"/>
      <w:pPr>
        <w:ind w:left="2508" w:hanging="420"/>
      </w:pPr>
      <w:rPr>
        <w:u w:val="none"/>
      </w:rPr>
    </w:lvl>
    <w:lvl w:ilvl="5">
      <w:start w:val="1"/>
      <w:numFmt w:val="lowerRoman"/>
      <w:lvlText w:val="%6."/>
      <w:lvlJc w:val="right"/>
      <w:pPr>
        <w:ind w:left="2928" w:hanging="420"/>
      </w:pPr>
      <w:rPr>
        <w:u w:val="none"/>
      </w:rPr>
    </w:lvl>
    <w:lvl w:ilvl="6">
      <w:start w:val="1"/>
      <w:numFmt w:val="decimal"/>
      <w:lvlText w:val="%7."/>
      <w:lvlJc w:val="left"/>
      <w:pPr>
        <w:ind w:left="3348" w:hanging="420"/>
      </w:pPr>
      <w:rPr>
        <w:u w:val="none"/>
      </w:rPr>
    </w:lvl>
    <w:lvl w:ilvl="7">
      <w:start w:val="1"/>
      <w:numFmt w:val="lowerLetter"/>
      <w:lvlText w:val="%8)"/>
      <w:lvlJc w:val="left"/>
      <w:pPr>
        <w:ind w:left="3768" w:hanging="420"/>
      </w:pPr>
      <w:rPr>
        <w:u w:val="none"/>
      </w:rPr>
    </w:lvl>
    <w:lvl w:ilvl="8">
      <w:start w:val="1"/>
      <w:numFmt w:val="lowerRoman"/>
      <w:lvlText w:val="%9."/>
      <w:lvlJc w:val="right"/>
      <w:pPr>
        <w:ind w:left="4188" w:hanging="420"/>
      </w:pPr>
      <w:rPr>
        <w:u w:val="none"/>
      </w:rPr>
    </w:lvl>
  </w:abstractNum>
  <w:abstractNum w:abstractNumId="3">
    <w:lvl w:ilvl="0">
      <w:start w:val="1"/>
      <w:numFmt w:val="decimal"/>
      <w:lvlText w:val="%1."/>
      <w:lvlJc w:val="left"/>
      <w:pPr>
        <w:ind w:left="720" w:hanging="360"/>
      </w:pPr>
      <w:rPr>
        <w:color w:val="dadada"/>
        <w:sz w:val="24"/>
        <w:szCs w:val="24"/>
        <w:u w:val="none"/>
      </w:rPr>
    </w:lvl>
    <w:lvl w:ilvl="1">
      <w:start w:val="1"/>
      <w:numFmt w:val="decimal"/>
      <w:lvlText w:val="%2."/>
      <w:lvlJc w:val="left"/>
      <w:pPr>
        <w:ind w:left="1440" w:hanging="360"/>
      </w:pPr>
      <w:rPr>
        <w:color w:val="dadada"/>
        <w:sz w:val="24"/>
        <w:szCs w:val="24"/>
        <w:u w:val="none"/>
      </w:rPr>
    </w:lvl>
    <w:lvl w:ilvl="2">
      <w:start w:val="1"/>
      <w:numFmt w:val="decimal"/>
      <w:lvlText w:val="%3."/>
      <w:lvlJc w:val="left"/>
      <w:pPr>
        <w:ind w:left="2160" w:hanging="360"/>
      </w:pPr>
      <w:rPr>
        <w:color w:val="dadada"/>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425" w:hanging="425"/>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