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65159" w14:textId="77777777" w:rsidR="000D0041" w:rsidRDefault="000D0041" w:rsidP="00334C34">
      <w:pPr>
        <w:jc w:val="left"/>
      </w:pPr>
    </w:p>
    <w:tbl>
      <w:tblPr>
        <w:tblpPr w:leftFromText="180" w:rightFromText="180" w:vertAnchor="page" w:horzAnchor="margin" w:tblpY="147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395"/>
        <w:gridCol w:w="2001"/>
        <w:gridCol w:w="1598"/>
        <w:gridCol w:w="1627"/>
        <w:gridCol w:w="2163"/>
        <w:gridCol w:w="740"/>
        <w:gridCol w:w="933"/>
      </w:tblGrid>
      <w:tr w:rsidR="00676F87" w:rsidRPr="00676F87" w14:paraId="5C3EA07B" w14:textId="77777777" w:rsidTr="00BD7D72">
        <w:trPr>
          <w:cantSplit/>
          <w:trHeight w:val="402"/>
        </w:trPr>
        <w:tc>
          <w:tcPr>
            <w:tcW w:w="1624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80B3" w14:textId="77777777" w:rsidR="00676F87" w:rsidRPr="00676F87" w:rsidRDefault="00676F87" w:rsidP="00676F87">
            <w:pPr>
              <w:ind w:left="85"/>
              <w:rPr>
                <w:rFonts w:ascii="Vodafone Rg" w:hAnsi="Vodafone Rg" w:cs="Arial"/>
                <w:color w:val="000000"/>
                <w:lang w:val="en-US"/>
              </w:rPr>
            </w:pPr>
            <w:r w:rsidRPr="00676F87">
              <w:rPr>
                <w:rFonts w:ascii="Vodafone Rg" w:hAnsi="Vodafone Rg" w:cs="Arial"/>
                <w:b/>
                <w:color w:val="000000"/>
                <w:lang w:val="en-US"/>
              </w:rPr>
              <w:t>Document No:</w:t>
            </w:r>
            <w:r w:rsidRPr="00676F87">
              <w:rPr>
                <w:rFonts w:ascii="Vodafone Rg" w:hAnsi="Vodafone Rg" w:cs="Arial"/>
                <w:color w:val="000000"/>
                <w:lang w:val="en-US"/>
              </w:rPr>
              <w:t xml:space="preserve"> </w:t>
            </w:r>
            <w:r w:rsidRPr="00676F87">
              <w:rPr>
                <w:rFonts w:ascii="Vodafone Rg" w:hAnsi="Vodafone Rg"/>
              </w:rPr>
              <w:t>VOD-MAN-PRC-</w:t>
            </w:r>
            <w:r w:rsidR="00BD7D72" w:rsidRPr="00BD7D72">
              <w:rPr>
                <w:rFonts w:ascii="Vodafone Rg" w:hAnsi="Vodafone Rg"/>
              </w:rPr>
              <w:t>0488</w:t>
            </w:r>
          </w:p>
        </w:tc>
        <w:tc>
          <w:tcPr>
            <w:tcW w:w="2930" w:type="pct"/>
            <w:gridSpan w:val="4"/>
            <w:tcBorders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23CC" w14:textId="77777777"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color w:val="000000"/>
              </w:rPr>
            </w:pPr>
            <w:r w:rsidRPr="00676F87">
              <w:rPr>
                <w:rFonts w:ascii="Vodafone Rg" w:hAnsi="Vodafone Rg"/>
              </w:rPr>
              <w:t>Decommission Server CI Record</w:t>
            </w:r>
          </w:p>
        </w:tc>
        <w:tc>
          <w:tcPr>
            <w:tcW w:w="446" w:type="pct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B41F9" w14:textId="5583F7E6" w:rsidR="00676F87" w:rsidRPr="00676F87" w:rsidRDefault="00676F87" w:rsidP="00CF4D3E">
            <w:pPr>
              <w:tabs>
                <w:tab w:val="center" w:pos="551"/>
              </w:tabs>
              <w:spacing w:before="60"/>
              <w:ind w:left="85"/>
              <w:jc w:val="center"/>
              <w:rPr>
                <w:rFonts w:ascii="Vodafone Rg" w:eastAsia="ヒラギノ角ゴ Pro W3" w:hAnsi="Vodafone Rg" w:cs="Arial"/>
                <w:color w:val="000000"/>
              </w:rPr>
            </w:pPr>
            <w:r w:rsidRPr="00676F87">
              <w:rPr>
                <w:rFonts w:ascii="Vodafone Rg" w:eastAsia="ヒラギノ角ゴ Pro W3" w:hAnsi="Vodafone Rg" w:cs="Arial"/>
                <w:b/>
                <w:color w:val="000000"/>
              </w:rPr>
              <w:t>Rev. 2.</w:t>
            </w:r>
            <w:r w:rsidR="00CF4D3E">
              <w:rPr>
                <w:rFonts w:ascii="Vodafone Rg" w:eastAsia="ヒラギノ角ゴ Pro W3" w:hAnsi="Vodafone Rg" w:cs="Arial"/>
                <w:b/>
                <w:color w:val="000000"/>
              </w:rPr>
              <w:t>3</w:t>
            </w:r>
            <w:r w:rsidRPr="00676F87">
              <w:rPr>
                <w:rFonts w:ascii="Vodafone Rg" w:eastAsia="ヒラギノ角ゴ Pro W3" w:hAnsi="Vodafone Rg" w:cs="Arial"/>
                <w:b/>
                <w:color w:val="000000"/>
              </w:rPr>
              <w:t xml:space="preserve"> </w:t>
            </w:r>
          </w:p>
        </w:tc>
      </w:tr>
      <w:tr w:rsidR="00676F87" w:rsidRPr="00676F87" w14:paraId="2092E4D4" w14:textId="77777777" w:rsidTr="00E402A1">
        <w:trPr>
          <w:cantSplit/>
          <w:trHeight w:val="480"/>
        </w:trPr>
        <w:tc>
          <w:tcPr>
            <w:tcW w:w="2388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8345" w14:textId="77777777"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  <w:color w:val="000000"/>
              </w:rPr>
            </w:pPr>
            <w:r w:rsidRPr="00676F87">
              <w:rPr>
                <w:rFonts w:ascii="Vodafone Rg" w:eastAsia="ヒラギノ角ゴ Pro W3" w:hAnsi="Vodafone Rg" w:cs="Arial"/>
                <w:b/>
                <w:color w:val="000000"/>
              </w:rPr>
              <w:t>Applicable areas of business</w:t>
            </w:r>
          </w:p>
          <w:p w14:paraId="277BE02F" w14:textId="77777777" w:rsidR="00676F87" w:rsidRPr="00676F87" w:rsidRDefault="00676F87" w:rsidP="00E402A1">
            <w:pPr>
              <w:ind w:left="85"/>
              <w:jc w:val="center"/>
              <w:rPr>
                <w:rFonts w:ascii="Vodafone Rg" w:hAnsi="Vodafone Rg" w:cs="Arial"/>
                <w:color w:val="000000"/>
              </w:rPr>
            </w:pPr>
            <w:r w:rsidRPr="00676F87">
              <w:rPr>
                <w:rFonts w:ascii="Vodafone Rg" w:hAnsi="Vodafone Rg" w:cs="Arial"/>
                <w:color w:val="000000"/>
              </w:rPr>
              <w:t>Enterprise IT Division</w:t>
            </w:r>
          </w:p>
        </w:tc>
        <w:tc>
          <w:tcPr>
            <w:tcW w:w="2612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370D" w14:textId="77777777"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  <w:color w:val="000000"/>
              </w:rPr>
            </w:pPr>
            <w:r w:rsidRPr="00676F87">
              <w:rPr>
                <w:rFonts w:ascii="Vodafone Rg" w:eastAsia="ヒラギノ角ゴ Pro W3" w:hAnsi="Vodafone Rg" w:cs="Arial"/>
                <w:b/>
                <w:color w:val="000000"/>
              </w:rPr>
              <w:t>Responsible Division</w:t>
            </w:r>
          </w:p>
          <w:p w14:paraId="77D0CE9A" w14:textId="77777777" w:rsidR="00676F87" w:rsidRPr="00676F87" w:rsidRDefault="00676F87" w:rsidP="00E402A1">
            <w:pPr>
              <w:spacing w:after="40"/>
              <w:ind w:left="85"/>
              <w:jc w:val="center"/>
              <w:rPr>
                <w:rFonts w:ascii="Vodafone Rg" w:hAnsi="Vodafone Rg" w:cs="Arial"/>
                <w:color w:val="000000"/>
              </w:rPr>
            </w:pPr>
            <w:r w:rsidRPr="00676F87">
              <w:rPr>
                <w:rFonts w:ascii="Vodafone Rg" w:hAnsi="Vodafone Rg" w:cs="Arial"/>
                <w:color w:val="000000"/>
              </w:rPr>
              <w:t>Enterprise IT Division</w:t>
            </w:r>
          </w:p>
        </w:tc>
      </w:tr>
      <w:tr w:rsidR="00676F87" w:rsidRPr="00676F87" w14:paraId="20CA13D4" w14:textId="77777777" w:rsidTr="00E402A1">
        <w:trPr>
          <w:cantSplit/>
          <w:trHeight w:val="310"/>
        </w:trPr>
        <w:tc>
          <w:tcPr>
            <w:tcW w:w="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16EA9" w14:textId="77777777"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</w:rPr>
            </w:pPr>
            <w:r w:rsidRPr="00676F87">
              <w:rPr>
                <w:rFonts w:ascii="Vodafone Rg" w:eastAsia="ヒラギノ角ゴ Pro W3" w:hAnsi="Vodafone Rg" w:cs="Arial"/>
                <w:b/>
              </w:rPr>
              <w:t>Approval</w:t>
            </w:r>
          </w:p>
        </w:tc>
        <w:tc>
          <w:tcPr>
            <w:tcW w:w="2499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F1479" w14:textId="77777777"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</w:rPr>
            </w:pPr>
            <w:r w:rsidRPr="00676F87">
              <w:rPr>
                <w:rFonts w:ascii="Vodafone Rg" w:eastAsia="ヒラギノ角ゴ Pro W3" w:hAnsi="Vodafone Rg" w:cs="Arial"/>
                <w:b/>
              </w:rPr>
              <w:t>Name and Job Title</w:t>
            </w:r>
          </w:p>
        </w:tc>
        <w:tc>
          <w:tcPr>
            <w:tcW w:w="10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3FF3" w14:textId="77777777"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</w:rPr>
            </w:pPr>
            <w:r w:rsidRPr="00676F87">
              <w:rPr>
                <w:rFonts w:ascii="Vodafone Rg" w:eastAsia="ヒラギノ角ゴ Pro W3" w:hAnsi="Vodafone Rg" w:cs="Arial"/>
                <w:b/>
              </w:rPr>
              <w:t>Approval</w:t>
            </w:r>
          </w:p>
        </w:tc>
        <w:tc>
          <w:tcPr>
            <w:tcW w:w="8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F0685" w14:textId="77777777" w:rsidR="00676F87" w:rsidRPr="00676F87" w:rsidRDefault="00676F87" w:rsidP="00E402A1">
            <w:pPr>
              <w:ind w:left="85"/>
              <w:jc w:val="center"/>
              <w:rPr>
                <w:rFonts w:ascii="Vodafone Rg" w:eastAsia="ヒラギノ角ゴ Pro W3" w:hAnsi="Vodafone Rg" w:cs="Arial"/>
                <w:b/>
              </w:rPr>
            </w:pPr>
            <w:r w:rsidRPr="00676F87">
              <w:rPr>
                <w:rFonts w:ascii="Vodafone Rg" w:eastAsia="ヒラギノ角ゴ Pro W3" w:hAnsi="Vodafone Rg" w:cs="Arial"/>
                <w:b/>
              </w:rPr>
              <w:t>Approved Date</w:t>
            </w:r>
          </w:p>
        </w:tc>
      </w:tr>
      <w:tr w:rsidR="00676F87" w:rsidRPr="00676F87" w14:paraId="7E79B6FC" w14:textId="77777777" w:rsidTr="00E402A1">
        <w:trPr>
          <w:cantSplit/>
          <w:trHeight w:val="397"/>
        </w:trPr>
        <w:tc>
          <w:tcPr>
            <w:tcW w:w="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7AFE" w14:textId="77777777" w:rsidR="00676F87" w:rsidRPr="00676F87" w:rsidRDefault="00676F87" w:rsidP="00E402A1">
            <w:pPr>
              <w:spacing w:before="20" w:after="20"/>
              <w:ind w:left="85"/>
              <w:jc w:val="center"/>
              <w:rPr>
                <w:rFonts w:ascii="Vodafone Rg" w:hAnsi="Vodafone Rg" w:cs="Arial"/>
                <w:b/>
              </w:rPr>
            </w:pPr>
            <w:r w:rsidRPr="00676F87">
              <w:rPr>
                <w:rFonts w:ascii="Vodafone Rg" w:hAnsi="Vodafone Rg" w:cs="Arial"/>
                <w:b/>
              </w:rPr>
              <w:t>Owner</w:t>
            </w:r>
          </w:p>
        </w:tc>
        <w:tc>
          <w:tcPr>
            <w:tcW w:w="2499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26FC" w14:textId="77777777" w:rsidR="00676F87" w:rsidRPr="00676F87" w:rsidRDefault="00676F87" w:rsidP="00230626">
            <w:pPr>
              <w:spacing w:before="20" w:after="20"/>
              <w:ind w:left="85"/>
              <w:jc w:val="left"/>
              <w:rPr>
                <w:rFonts w:ascii="Vodafone Rg" w:hAnsi="Vodafone Rg" w:cs="Arial"/>
              </w:rPr>
            </w:pPr>
            <w:r w:rsidRPr="00676F87">
              <w:rPr>
                <w:rFonts w:ascii="Vodafone Rg" w:hAnsi="Vodafone Rg" w:cs="Arial"/>
              </w:rPr>
              <w:t xml:space="preserve">Jannie Pretorius </w:t>
            </w:r>
          </w:p>
        </w:tc>
        <w:tc>
          <w:tcPr>
            <w:tcW w:w="10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5AAE" w14:textId="77777777" w:rsidR="00676F87" w:rsidRPr="00676F87" w:rsidRDefault="00676F87" w:rsidP="00E402A1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  <w:tc>
          <w:tcPr>
            <w:tcW w:w="8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837B" w14:textId="77777777" w:rsidR="00676F87" w:rsidRPr="00676F87" w:rsidRDefault="00676F87" w:rsidP="00E402A1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</w:tr>
      <w:tr w:rsidR="005E1155" w:rsidRPr="00676F87" w14:paraId="668936D8" w14:textId="77777777" w:rsidTr="006C30BE">
        <w:trPr>
          <w:cantSplit/>
          <w:trHeight w:val="397"/>
        </w:trPr>
        <w:tc>
          <w:tcPr>
            <w:tcW w:w="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CF52" w14:textId="77777777"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  <w:b/>
              </w:rPr>
            </w:pPr>
            <w:r>
              <w:rPr>
                <w:rFonts w:ascii="Vodafone Rg" w:hAnsi="Vodafone Rg"/>
                <w:b/>
                <w:bCs/>
              </w:rPr>
              <w:t>Approval by</w:t>
            </w:r>
          </w:p>
        </w:tc>
        <w:tc>
          <w:tcPr>
            <w:tcW w:w="2499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73FD9" w14:textId="77777777" w:rsidR="005E1155" w:rsidRPr="00676F87" w:rsidRDefault="005E1155" w:rsidP="00230626">
            <w:pPr>
              <w:spacing w:before="20" w:after="20"/>
              <w:ind w:left="85"/>
              <w:jc w:val="left"/>
              <w:rPr>
                <w:rFonts w:ascii="Vodafone Rg" w:hAnsi="Vodafone Rg" w:cs="Arial"/>
              </w:rPr>
            </w:pPr>
            <w:r>
              <w:rPr>
                <w:rFonts w:ascii="Vodafone Rg" w:hAnsi="Vodafone Rg"/>
              </w:rPr>
              <w:t>Mike van den Berg – Manager:  Service Management Enablement</w:t>
            </w:r>
          </w:p>
        </w:tc>
        <w:tc>
          <w:tcPr>
            <w:tcW w:w="10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9577A" w14:textId="77777777"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  <w:tc>
          <w:tcPr>
            <w:tcW w:w="8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AFAB" w14:textId="77777777"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</w:tr>
      <w:tr w:rsidR="005E1155" w:rsidRPr="00676F87" w14:paraId="5983642F" w14:textId="77777777" w:rsidTr="00E402A1">
        <w:trPr>
          <w:cantSplit/>
          <w:trHeight w:val="397"/>
        </w:trPr>
        <w:tc>
          <w:tcPr>
            <w:tcW w:w="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E2E5" w14:textId="77777777"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  <w:b/>
              </w:rPr>
            </w:pPr>
            <w:r w:rsidRPr="00676F87">
              <w:rPr>
                <w:rFonts w:ascii="Vodafone Rg" w:hAnsi="Vodafone Rg" w:cs="Arial"/>
                <w:b/>
              </w:rPr>
              <w:t>Approved by</w:t>
            </w:r>
          </w:p>
        </w:tc>
        <w:tc>
          <w:tcPr>
            <w:tcW w:w="2499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50A5" w14:textId="77777777" w:rsidR="005E1155" w:rsidRPr="00676F87" w:rsidRDefault="005E1155" w:rsidP="00230626">
            <w:pPr>
              <w:spacing w:before="20" w:after="20"/>
              <w:ind w:left="85"/>
              <w:jc w:val="left"/>
              <w:rPr>
                <w:rFonts w:ascii="Vodafone Rg" w:hAnsi="Vodafone Rg" w:cs="Arial"/>
              </w:rPr>
            </w:pPr>
            <w:r w:rsidRPr="00676F87">
              <w:rPr>
                <w:rFonts w:ascii="Vodafone Rg" w:hAnsi="Vodafone Rg" w:cs="Arial"/>
              </w:rPr>
              <w:t>Trevor Owen EHOD:  Enterprise IT</w:t>
            </w:r>
          </w:p>
        </w:tc>
        <w:tc>
          <w:tcPr>
            <w:tcW w:w="10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A189" w14:textId="77777777"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  <w:tc>
          <w:tcPr>
            <w:tcW w:w="8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C536" w14:textId="77777777" w:rsidR="005E1155" w:rsidRPr="00676F87" w:rsidRDefault="005E1155" w:rsidP="005E1155">
            <w:pPr>
              <w:spacing w:before="20" w:after="20"/>
              <w:ind w:left="85"/>
              <w:jc w:val="center"/>
              <w:rPr>
                <w:rFonts w:ascii="Vodafone Rg" w:hAnsi="Vodafone Rg" w:cs="Arial"/>
              </w:rPr>
            </w:pPr>
          </w:p>
        </w:tc>
      </w:tr>
    </w:tbl>
    <w:p w14:paraId="20A7486D" w14:textId="77777777" w:rsidR="00C90666" w:rsidRPr="00676F87" w:rsidRDefault="00C90666" w:rsidP="00334C34">
      <w:pPr>
        <w:pStyle w:val="BodyTextIndent2"/>
        <w:jc w:val="left"/>
        <w:rPr>
          <w:rFonts w:ascii="Vodafone Rg" w:hAnsi="Vodafone Rg"/>
        </w:rPr>
      </w:pPr>
      <w:bookmarkStart w:id="0" w:name="_Toc467389273"/>
      <w:bookmarkStart w:id="1" w:name="_Toc467390682"/>
      <w:bookmarkStart w:id="2" w:name="_Toc467390881"/>
      <w:bookmarkStart w:id="3" w:name="_Toc467398335"/>
      <w:bookmarkStart w:id="4" w:name="_Toc467398393"/>
      <w:bookmarkStart w:id="5" w:name="_Toc466954939"/>
      <w:bookmarkStart w:id="6" w:name="_Toc466957782"/>
      <w:bookmarkStart w:id="7" w:name="_Toc467294737"/>
      <w:bookmarkStart w:id="8" w:name="_Toc467376778"/>
      <w:bookmarkStart w:id="9" w:name="_Toc467390684"/>
      <w:bookmarkStart w:id="10" w:name="_Toc467390883"/>
      <w:bookmarkStart w:id="11" w:name="_Toc467398337"/>
      <w:bookmarkStart w:id="12" w:name="_Toc467398395"/>
      <w:bookmarkEnd w:id="0"/>
      <w:bookmarkEnd w:id="1"/>
      <w:bookmarkEnd w:id="2"/>
      <w:bookmarkEnd w:id="3"/>
      <w:bookmarkEnd w:id="4"/>
    </w:p>
    <w:p w14:paraId="4C923FE9" w14:textId="77777777" w:rsidR="00715791" w:rsidRPr="00676F87" w:rsidRDefault="00715791" w:rsidP="00676F87">
      <w:pPr>
        <w:pStyle w:val="BodyTextIndent2"/>
        <w:ind w:left="0"/>
        <w:jc w:val="left"/>
        <w:rPr>
          <w:rFonts w:ascii="Vodafone Rg" w:hAnsi="Vodafone Rg"/>
        </w:rPr>
      </w:pPr>
      <w:r w:rsidRPr="00676F87">
        <w:rPr>
          <w:rFonts w:ascii="Vodafone Rg" w:hAnsi="Vodafone Rg"/>
        </w:rPr>
        <w:t>Table of Contents</w:t>
      </w:r>
    </w:p>
    <w:p w14:paraId="21AA9DF8" w14:textId="77777777" w:rsidR="00C90666" w:rsidRPr="00676F87" w:rsidRDefault="00C90666" w:rsidP="00334C34">
      <w:pPr>
        <w:pStyle w:val="BodyTextIndent2"/>
        <w:jc w:val="left"/>
        <w:rPr>
          <w:rFonts w:ascii="Vodafone Rg" w:hAnsi="Vodafone Rg"/>
        </w:rPr>
      </w:pPr>
    </w:p>
    <w:p w14:paraId="297B0225" w14:textId="77777777" w:rsidR="00CE272D" w:rsidRPr="00CE272D" w:rsidRDefault="00715791" w:rsidP="00CE272D">
      <w:pPr>
        <w:pStyle w:val="TOC1"/>
        <w:tabs>
          <w:tab w:val="right" w:leader="dot" w:pos="10457"/>
        </w:tabs>
        <w:ind w:left="720" w:hanging="720"/>
        <w:rPr>
          <w:rFonts w:ascii="Vodafone Rg" w:eastAsiaTheme="minorEastAsia" w:hAnsi="Vodafone Rg" w:cstheme="minorBidi"/>
          <w:b w:val="0"/>
          <w:caps w:val="0"/>
          <w:noProof/>
          <w:lang w:val="en-US"/>
        </w:rPr>
      </w:pPr>
      <w:r w:rsidRPr="00CE272D">
        <w:rPr>
          <w:rFonts w:ascii="Vodafone Rg" w:hAnsi="Vodafone Rg"/>
          <w:b w:val="0"/>
          <w:sz w:val="18"/>
          <w:szCs w:val="18"/>
        </w:rPr>
        <w:fldChar w:fldCharType="begin"/>
      </w:r>
      <w:r w:rsidRPr="00CE272D">
        <w:rPr>
          <w:rFonts w:ascii="Vodafone Rg" w:hAnsi="Vodafone Rg"/>
          <w:b w:val="0"/>
          <w:sz w:val="18"/>
          <w:szCs w:val="18"/>
        </w:rPr>
        <w:instrText xml:space="preserve"> TOC \o "1-3" \h \z \u </w:instrText>
      </w:r>
      <w:r w:rsidRPr="00CE272D">
        <w:rPr>
          <w:rFonts w:ascii="Vodafone Rg" w:hAnsi="Vodafone Rg"/>
          <w:b w:val="0"/>
          <w:sz w:val="18"/>
          <w:szCs w:val="18"/>
        </w:rPr>
        <w:fldChar w:fldCharType="separate"/>
      </w:r>
      <w:hyperlink w:anchor="_Toc515427600" w:history="1">
        <w:r w:rsidR="00CE272D" w:rsidRPr="00CE272D">
          <w:rPr>
            <w:rStyle w:val="Hyperlink"/>
            <w:rFonts w:ascii="Vodafone Rg" w:hAnsi="Vodafone Rg"/>
            <w:b w:val="0"/>
            <w:noProof/>
          </w:rPr>
          <w:t>1.</w:t>
        </w:r>
        <w:r w:rsidR="00CE272D" w:rsidRPr="00CE272D">
          <w:rPr>
            <w:rFonts w:ascii="Vodafone Rg" w:eastAsiaTheme="minorEastAsia" w:hAnsi="Vodafone Rg" w:cstheme="minorBidi"/>
            <w:b w:val="0"/>
            <w:caps w:val="0"/>
            <w:noProof/>
            <w:lang w:val="en-US"/>
          </w:rPr>
          <w:tab/>
        </w:r>
        <w:r w:rsidR="00CE272D" w:rsidRPr="00CE272D">
          <w:rPr>
            <w:rStyle w:val="Hyperlink"/>
            <w:rFonts w:ascii="Vodafone Rg" w:hAnsi="Vodafone Rg"/>
            <w:b w:val="0"/>
            <w:noProof/>
          </w:rPr>
          <w:t>INTRODUCTION</w:t>
        </w:r>
        <w:r w:rsidR="00CE272D" w:rsidRPr="00CE272D">
          <w:rPr>
            <w:rFonts w:ascii="Vodafone Rg" w:hAnsi="Vodafone Rg"/>
            <w:b w:val="0"/>
            <w:noProof/>
            <w:webHidden/>
          </w:rPr>
          <w:tab/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begin"/>
        </w:r>
        <w:r w:rsidR="00CE272D" w:rsidRPr="00CE272D">
          <w:rPr>
            <w:rFonts w:ascii="Vodafone Rg" w:hAnsi="Vodafone Rg"/>
            <w:b w:val="0"/>
            <w:noProof/>
            <w:webHidden/>
          </w:rPr>
          <w:instrText xml:space="preserve"> PAGEREF _Toc515427600 \h </w:instrText>
        </w:r>
        <w:r w:rsidR="00CE272D" w:rsidRPr="00CE272D">
          <w:rPr>
            <w:rFonts w:ascii="Vodafone Rg" w:hAnsi="Vodafone Rg"/>
            <w:b w:val="0"/>
            <w:noProof/>
            <w:webHidden/>
          </w:rPr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separate"/>
        </w:r>
        <w:r w:rsidR="00CE272D" w:rsidRPr="00CE272D">
          <w:rPr>
            <w:rFonts w:ascii="Vodafone Rg" w:hAnsi="Vodafone Rg"/>
            <w:b w:val="0"/>
            <w:noProof/>
            <w:webHidden/>
          </w:rPr>
          <w:t>1</w:t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end"/>
        </w:r>
      </w:hyperlink>
    </w:p>
    <w:p w14:paraId="6F0E111E" w14:textId="77777777" w:rsidR="00CE272D" w:rsidRPr="00CE272D" w:rsidRDefault="005F72A8" w:rsidP="00CE272D">
      <w:pPr>
        <w:pStyle w:val="TOC1"/>
        <w:tabs>
          <w:tab w:val="right" w:leader="dot" w:pos="10457"/>
        </w:tabs>
        <w:ind w:left="720" w:hanging="720"/>
        <w:rPr>
          <w:rFonts w:ascii="Vodafone Rg" w:eastAsiaTheme="minorEastAsia" w:hAnsi="Vodafone Rg" w:cstheme="minorBidi"/>
          <w:b w:val="0"/>
          <w:caps w:val="0"/>
          <w:noProof/>
          <w:lang w:val="en-US"/>
        </w:rPr>
      </w:pPr>
      <w:hyperlink w:anchor="_Toc515427601" w:history="1">
        <w:r w:rsidR="00CE272D" w:rsidRPr="00CE272D">
          <w:rPr>
            <w:rStyle w:val="Hyperlink"/>
            <w:rFonts w:ascii="Vodafone Rg" w:hAnsi="Vodafone Rg"/>
            <w:b w:val="0"/>
            <w:noProof/>
          </w:rPr>
          <w:t>2.</w:t>
        </w:r>
        <w:r w:rsidR="00CE272D" w:rsidRPr="00CE272D">
          <w:rPr>
            <w:rFonts w:ascii="Vodafone Rg" w:eastAsiaTheme="minorEastAsia" w:hAnsi="Vodafone Rg" w:cstheme="minorBidi"/>
            <w:b w:val="0"/>
            <w:caps w:val="0"/>
            <w:noProof/>
            <w:lang w:val="en-US"/>
          </w:rPr>
          <w:tab/>
        </w:r>
        <w:r w:rsidR="00CE272D" w:rsidRPr="00CE272D">
          <w:rPr>
            <w:rStyle w:val="Hyperlink"/>
            <w:rFonts w:ascii="Vodafone Rg" w:hAnsi="Vodafone Rg"/>
            <w:b w:val="0"/>
            <w:noProof/>
          </w:rPr>
          <w:t>GOALS</w:t>
        </w:r>
        <w:r w:rsidR="00CE272D" w:rsidRPr="00CE272D">
          <w:rPr>
            <w:rFonts w:ascii="Vodafone Rg" w:hAnsi="Vodafone Rg"/>
            <w:b w:val="0"/>
            <w:noProof/>
            <w:webHidden/>
          </w:rPr>
          <w:tab/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begin"/>
        </w:r>
        <w:r w:rsidR="00CE272D" w:rsidRPr="00CE272D">
          <w:rPr>
            <w:rFonts w:ascii="Vodafone Rg" w:hAnsi="Vodafone Rg"/>
            <w:b w:val="0"/>
            <w:noProof/>
            <w:webHidden/>
          </w:rPr>
          <w:instrText xml:space="preserve"> PAGEREF _Toc515427601 \h </w:instrText>
        </w:r>
        <w:r w:rsidR="00CE272D" w:rsidRPr="00CE272D">
          <w:rPr>
            <w:rFonts w:ascii="Vodafone Rg" w:hAnsi="Vodafone Rg"/>
            <w:b w:val="0"/>
            <w:noProof/>
            <w:webHidden/>
          </w:rPr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separate"/>
        </w:r>
        <w:r w:rsidR="00CE272D" w:rsidRPr="00CE272D">
          <w:rPr>
            <w:rFonts w:ascii="Vodafone Rg" w:hAnsi="Vodafone Rg"/>
            <w:b w:val="0"/>
            <w:noProof/>
            <w:webHidden/>
          </w:rPr>
          <w:t>1</w:t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end"/>
        </w:r>
      </w:hyperlink>
    </w:p>
    <w:p w14:paraId="09B39746" w14:textId="77777777" w:rsidR="00CE272D" w:rsidRPr="00CE272D" w:rsidRDefault="005F72A8" w:rsidP="00CE272D">
      <w:pPr>
        <w:pStyle w:val="TOC1"/>
        <w:tabs>
          <w:tab w:val="right" w:leader="dot" w:pos="10457"/>
        </w:tabs>
        <w:ind w:left="720" w:hanging="720"/>
        <w:rPr>
          <w:rFonts w:ascii="Vodafone Rg" w:eastAsiaTheme="minorEastAsia" w:hAnsi="Vodafone Rg" w:cstheme="minorBidi"/>
          <w:b w:val="0"/>
          <w:caps w:val="0"/>
          <w:noProof/>
          <w:lang w:val="en-US"/>
        </w:rPr>
      </w:pPr>
      <w:hyperlink w:anchor="_Toc515427602" w:history="1">
        <w:r w:rsidR="00CE272D" w:rsidRPr="00CE272D">
          <w:rPr>
            <w:rStyle w:val="Hyperlink"/>
            <w:rFonts w:ascii="Vodafone Rg" w:hAnsi="Vodafone Rg"/>
            <w:b w:val="0"/>
            <w:noProof/>
          </w:rPr>
          <w:t>3.</w:t>
        </w:r>
        <w:r w:rsidR="00CE272D" w:rsidRPr="00CE272D">
          <w:rPr>
            <w:rFonts w:ascii="Vodafone Rg" w:eastAsiaTheme="minorEastAsia" w:hAnsi="Vodafone Rg" w:cstheme="minorBidi"/>
            <w:b w:val="0"/>
            <w:caps w:val="0"/>
            <w:noProof/>
            <w:lang w:val="en-US"/>
          </w:rPr>
          <w:tab/>
        </w:r>
        <w:r w:rsidR="00CE272D" w:rsidRPr="00CE272D">
          <w:rPr>
            <w:rStyle w:val="Hyperlink"/>
            <w:rFonts w:ascii="Vodafone Rg" w:hAnsi="Vodafone Rg"/>
            <w:b w:val="0"/>
            <w:noProof/>
          </w:rPr>
          <w:t>OBJECTIVES</w:t>
        </w:r>
        <w:r w:rsidR="00CE272D" w:rsidRPr="00CE272D">
          <w:rPr>
            <w:rFonts w:ascii="Vodafone Rg" w:hAnsi="Vodafone Rg"/>
            <w:b w:val="0"/>
            <w:noProof/>
            <w:webHidden/>
          </w:rPr>
          <w:tab/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begin"/>
        </w:r>
        <w:r w:rsidR="00CE272D" w:rsidRPr="00CE272D">
          <w:rPr>
            <w:rFonts w:ascii="Vodafone Rg" w:hAnsi="Vodafone Rg"/>
            <w:b w:val="0"/>
            <w:noProof/>
            <w:webHidden/>
          </w:rPr>
          <w:instrText xml:space="preserve"> PAGEREF _Toc515427602 \h </w:instrText>
        </w:r>
        <w:r w:rsidR="00CE272D" w:rsidRPr="00CE272D">
          <w:rPr>
            <w:rFonts w:ascii="Vodafone Rg" w:hAnsi="Vodafone Rg"/>
            <w:b w:val="0"/>
            <w:noProof/>
            <w:webHidden/>
          </w:rPr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separate"/>
        </w:r>
        <w:r w:rsidR="00CE272D" w:rsidRPr="00CE272D">
          <w:rPr>
            <w:rFonts w:ascii="Vodafone Rg" w:hAnsi="Vodafone Rg"/>
            <w:b w:val="0"/>
            <w:noProof/>
            <w:webHidden/>
          </w:rPr>
          <w:t>1</w:t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end"/>
        </w:r>
      </w:hyperlink>
    </w:p>
    <w:p w14:paraId="49BF1725" w14:textId="77777777" w:rsidR="00CE272D" w:rsidRPr="00CE272D" w:rsidRDefault="005F72A8" w:rsidP="00CE272D">
      <w:pPr>
        <w:pStyle w:val="TOC1"/>
        <w:tabs>
          <w:tab w:val="right" w:leader="dot" w:pos="10457"/>
        </w:tabs>
        <w:ind w:left="720" w:hanging="720"/>
        <w:rPr>
          <w:rFonts w:ascii="Vodafone Rg" w:eastAsiaTheme="minorEastAsia" w:hAnsi="Vodafone Rg" w:cstheme="minorBidi"/>
          <w:b w:val="0"/>
          <w:caps w:val="0"/>
          <w:noProof/>
          <w:lang w:val="en-US"/>
        </w:rPr>
      </w:pPr>
      <w:hyperlink w:anchor="_Toc515427603" w:history="1">
        <w:r w:rsidR="00CE272D" w:rsidRPr="00CE272D">
          <w:rPr>
            <w:rStyle w:val="Hyperlink"/>
            <w:rFonts w:ascii="Vodafone Rg" w:hAnsi="Vodafone Rg"/>
            <w:b w:val="0"/>
            <w:noProof/>
          </w:rPr>
          <w:t>4.</w:t>
        </w:r>
        <w:r w:rsidR="00CE272D" w:rsidRPr="00CE272D">
          <w:rPr>
            <w:rFonts w:ascii="Vodafone Rg" w:eastAsiaTheme="minorEastAsia" w:hAnsi="Vodafone Rg" w:cstheme="minorBidi"/>
            <w:b w:val="0"/>
            <w:caps w:val="0"/>
            <w:noProof/>
            <w:lang w:val="en-US"/>
          </w:rPr>
          <w:tab/>
        </w:r>
        <w:r w:rsidR="00CE272D" w:rsidRPr="00CE272D">
          <w:rPr>
            <w:rStyle w:val="Hyperlink"/>
            <w:rFonts w:ascii="Vodafone Rg" w:hAnsi="Vodafone Rg"/>
            <w:b w:val="0"/>
            <w:noProof/>
          </w:rPr>
          <w:t>APPLICABILITY</w:t>
        </w:r>
        <w:r w:rsidR="00CE272D" w:rsidRPr="00CE272D">
          <w:rPr>
            <w:rFonts w:ascii="Vodafone Rg" w:hAnsi="Vodafone Rg"/>
            <w:b w:val="0"/>
            <w:noProof/>
            <w:webHidden/>
          </w:rPr>
          <w:tab/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begin"/>
        </w:r>
        <w:r w:rsidR="00CE272D" w:rsidRPr="00CE272D">
          <w:rPr>
            <w:rFonts w:ascii="Vodafone Rg" w:hAnsi="Vodafone Rg"/>
            <w:b w:val="0"/>
            <w:noProof/>
            <w:webHidden/>
          </w:rPr>
          <w:instrText xml:space="preserve"> PAGEREF _Toc515427603 \h </w:instrText>
        </w:r>
        <w:r w:rsidR="00CE272D" w:rsidRPr="00CE272D">
          <w:rPr>
            <w:rFonts w:ascii="Vodafone Rg" w:hAnsi="Vodafone Rg"/>
            <w:b w:val="0"/>
            <w:noProof/>
            <w:webHidden/>
          </w:rPr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separate"/>
        </w:r>
        <w:r w:rsidR="00CE272D" w:rsidRPr="00CE272D">
          <w:rPr>
            <w:rFonts w:ascii="Vodafone Rg" w:hAnsi="Vodafone Rg"/>
            <w:b w:val="0"/>
            <w:noProof/>
            <w:webHidden/>
          </w:rPr>
          <w:t>1</w:t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end"/>
        </w:r>
      </w:hyperlink>
    </w:p>
    <w:p w14:paraId="42E7C18E" w14:textId="77777777" w:rsidR="00CE272D" w:rsidRPr="00CE272D" w:rsidRDefault="005F72A8" w:rsidP="00CE272D">
      <w:pPr>
        <w:pStyle w:val="TOC1"/>
        <w:tabs>
          <w:tab w:val="right" w:leader="dot" w:pos="10457"/>
        </w:tabs>
        <w:ind w:left="720" w:hanging="720"/>
        <w:rPr>
          <w:rFonts w:ascii="Vodafone Rg" w:eastAsiaTheme="minorEastAsia" w:hAnsi="Vodafone Rg" w:cstheme="minorBidi"/>
          <w:b w:val="0"/>
          <w:caps w:val="0"/>
          <w:noProof/>
          <w:lang w:val="en-US"/>
        </w:rPr>
      </w:pPr>
      <w:hyperlink w:anchor="_Toc515427604" w:history="1">
        <w:r w:rsidR="00CE272D" w:rsidRPr="00CE272D">
          <w:rPr>
            <w:rStyle w:val="Hyperlink"/>
            <w:rFonts w:ascii="Vodafone Rg" w:hAnsi="Vodafone Rg"/>
            <w:b w:val="0"/>
            <w:noProof/>
          </w:rPr>
          <w:t>5.</w:t>
        </w:r>
        <w:r w:rsidR="00CE272D" w:rsidRPr="00CE272D">
          <w:rPr>
            <w:rFonts w:ascii="Vodafone Rg" w:eastAsiaTheme="minorEastAsia" w:hAnsi="Vodafone Rg" w:cstheme="minorBidi"/>
            <w:b w:val="0"/>
            <w:caps w:val="0"/>
            <w:noProof/>
            <w:lang w:val="en-US"/>
          </w:rPr>
          <w:tab/>
        </w:r>
        <w:r w:rsidR="00CE272D" w:rsidRPr="00CE272D">
          <w:rPr>
            <w:rStyle w:val="Hyperlink"/>
            <w:rFonts w:ascii="Vodafone Rg" w:hAnsi="Vodafone Rg"/>
            <w:b w:val="0"/>
            <w:noProof/>
          </w:rPr>
          <w:t>SOLUTION</w:t>
        </w:r>
        <w:r w:rsidR="00CE272D" w:rsidRPr="00CE272D">
          <w:rPr>
            <w:rFonts w:ascii="Vodafone Rg" w:hAnsi="Vodafone Rg"/>
            <w:b w:val="0"/>
            <w:noProof/>
            <w:webHidden/>
          </w:rPr>
          <w:tab/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begin"/>
        </w:r>
        <w:r w:rsidR="00CE272D" w:rsidRPr="00CE272D">
          <w:rPr>
            <w:rFonts w:ascii="Vodafone Rg" w:hAnsi="Vodafone Rg"/>
            <w:b w:val="0"/>
            <w:noProof/>
            <w:webHidden/>
          </w:rPr>
          <w:instrText xml:space="preserve"> PAGEREF _Toc515427604 \h </w:instrText>
        </w:r>
        <w:r w:rsidR="00CE272D" w:rsidRPr="00CE272D">
          <w:rPr>
            <w:rFonts w:ascii="Vodafone Rg" w:hAnsi="Vodafone Rg"/>
            <w:b w:val="0"/>
            <w:noProof/>
            <w:webHidden/>
          </w:rPr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separate"/>
        </w:r>
        <w:r w:rsidR="00CE272D" w:rsidRPr="00CE272D">
          <w:rPr>
            <w:rFonts w:ascii="Vodafone Rg" w:hAnsi="Vodafone Rg"/>
            <w:b w:val="0"/>
            <w:noProof/>
            <w:webHidden/>
          </w:rPr>
          <w:t>1</w:t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end"/>
        </w:r>
      </w:hyperlink>
    </w:p>
    <w:p w14:paraId="4FF939A1" w14:textId="77777777" w:rsidR="00CE272D" w:rsidRPr="00CE272D" w:rsidRDefault="005F72A8" w:rsidP="00CE272D">
      <w:pPr>
        <w:pStyle w:val="TOC1"/>
        <w:tabs>
          <w:tab w:val="right" w:leader="dot" w:pos="10457"/>
        </w:tabs>
        <w:ind w:left="720" w:hanging="720"/>
        <w:rPr>
          <w:rFonts w:ascii="Vodafone Rg" w:eastAsiaTheme="minorEastAsia" w:hAnsi="Vodafone Rg" w:cstheme="minorBidi"/>
          <w:b w:val="0"/>
          <w:caps w:val="0"/>
          <w:noProof/>
          <w:lang w:val="en-US"/>
        </w:rPr>
      </w:pPr>
      <w:hyperlink w:anchor="_Toc515427605" w:history="1">
        <w:r w:rsidR="00CE272D" w:rsidRPr="00CE272D">
          <w:rPr>
            <w:rStyle w:val="Hyperlink"/>
            <w:rFonts w:ascii="Vodafone Rg" w:hAnsi="Vodafone Rg"/>
            <w:b w:val="0"/>
            <w:noProof/>
          </w:rPr>
          <w:t>6.</w:t>
        </w:r>
        <w:r w:rsidR="00CE272D" w:rsidRPr="00CE272D">
          <w:rPr>
            <w:rFonts w:ascii="Vodafone Rg" w:eastAsiaTheme="minorEastAsia" w:hAnsi="Vodafone Rg" w:cstheme="minorBidi"/>
            <w:b w:val="0"/>
            <w:caps w:val="0"/>
            <w:noProof/>
            <w:lang w:val="en-US"/>
          </w:rPr>
          <w:tab/>
        </w:r>
        <w:r w:rsidR="00CE272D" w:rsidRPr="00CE272D">
          <w:rPr>
            <w:rStyle w:val="Hyperlink"/>
            <w:rFonts w:ascii="Vodafone Rg" w:hAnsi="Vodafone Rg"/>
            <w:b w:val="0"/>
            <w:noProof/>
          </w:rPr>
          <w:t>HIGH LEVEL PROCESS</w:t>
        </w:r>
        <w:r w:rsidR="00CE272D" w:rsidRPr="00CE272D">
          <w:rPr>
            <w:rFonts w:ascii="Vodafone Rg" w:hAnsi="Vodafone Rg"/>
            <w:b w:val="0"/>
            <w:noProof/>
            <w:webHidden/>
          </w:rPr>
          <w:tab/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begin"/>
        </w:r>
        <w:r w:rsidR="00CE272D" w:rsidRPr="00CE272D">
          <w:rPr>
            <w:rFonts w:ascii="Vodafone Rg" w:hAnsi="Vodafone Rg"/>
            <w:b w:val="0"/>
            <w:noProof/>
            <w:webHidden/>
          </w:rPr>
          <w:instrText xml:space="preserve"> PAGEREF _Toc515427605 \h </w:instrText>
        </w:r>
        <w:r w:rsidR="00CE272D" w:rsidRPr="00CE272D">
          <w:rPr>
            <w:rFonts w:ascii="Vodafone Rg" w:hAnsi="Vodafone Rg"/>
            <w:b w:val="0"/>
            <w:noProof/>
            <w:webHidden/>
          </w:rPr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separate"/>
        </w:r>
        <w:r w:rsidR="00CE272D" w:rsidRPr="00CE272D">
          <w:rPr>
            <w:rFonts w:ascii="Vodafone Rg" w:hAnsi="Vodafone Rg"/>
            <w:b w:val="0"/>
            <w:noProof/>
            <w:webHidden/>
          </w:rPr>
          <w:t>2</w:t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end"/>
        </w:r>
      </w:hyperlink>
    </w:p>
    <w:p w14:paraId="2724B58C" w14:textId="77777777" w:rsidR="00CE272D" w:rsidRPr="00CE272D" w:rsidRDefault="005F72A8" w:rsidP="00CE272D">
      <w:pPr>
        <w:pStyle w:val="TOC1"/>
        <w:tabs>
          <w:tab w:val="right" w:leader="dot" w:pos="10457"/>
        </w:tabs>
        <w:ind w:left="720" w:hanging="720"/>
        <w:rPr>
          <w:rFonts w:ascii="Vodafone Rg" w:eastAsiaTheme="minorEastAsia" w:hAnsi="Vodafone Rg" w:cstheme="minorBidi"/>
          <w:b w:val="0"/>
          <w:caps w:val="0"/>
          <w:noProof/>
          <w:lang w:val="en-US"/>
        </w:rPr>
      </w:pPr>
      <w:hyperlink w:anchor="_Toc515427606" w:history="1">
        <w:r w:rsidR="00CE272D" w:rsidRPr="00CE272D">
          <w:rPr>
            <w:rStyle w:val="Hyperlink"/>
            <w:rFonts w:ascii="Vodafone Rg" w:hAnsi="Vodafone Rg"/>
            <w:b w:val="0"/>
            <w:noProof/>
          </w:rPr>
          <w:t>7.</w:t>
        </w:r>
        <w:r w:rsidR="00CE272D" w:rsidRPr="00CE272D">
          <w:rPr>
            <w:rFonts w:ascii="Vodafone Rg" w:eastAsiaTheme="minorEastAsia" w:hAnsi="Vodafone Rg" w:cstheme="minorBidi"/>
            <w:b w:val="0"/>
            <w:caps w:val="0"/>
            <w:noProof/>
            <w:lang w:val="en-US"/>
          </w:rPr>
          <w:tab/>
        </w:r>
        <w:r w:rsidR="00CE272D" w:rsidRPr="00CE272D">
          <w:rPr>
            <w:rStyle w:val="Hyperlink"/>
            <w:rFonts w:ascii="Vodafone Rg" w:hAnsi="Vodafone Rg"/>
            <w:b w:val="0"/>
            <w:noProof/>
          </w:rPr>
          <w:t>DETAILED PROCESS</w:t>
        </w:r>
        <w:r w:rsidR="00CE272D" w:rsidRPr="00CE272D">
          <w:rPr>
            <w:rFonts w:ascii="Vodafone Rg" w:hAnsi="Vodafone Rg"/>
            <w:b w:val="0"/>
            <w:noProof/>
            <w:webHidden/>
          </w:rPr>
          <w:tab/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begin"/>
        </w:r>
        <w:r w:rsidR="00CE272D" w:rsidRPr="00CE272D">
          <w:rPr>
            <w:rFonts w:ascii="Vodafone Rg" w:hAnsi="Vodafone Rg"/>
            <w:b w:val="0"/>
            <w:noProof/>
            <w:webHidden/>
          </w:rPr>
          <w:instrText xml:space="preserve"> PAGEREF _Toc515427606 \h </w:instrText>
        </w:r>
        <w:r w:rsidR="00CE272D" w:rsidRPr="00CE272D">
          <w:rPr>
            <w:rFonts w:ascii="Vodafone Rg" w:hAnsi="Vodafone Rg"/>
            <w:b w:val="0"/>
            <w:noProof/>
            <w:webHidden/>
          </w:rPr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separate"/>
        </w:r>
        <w:r w:rsidR="00CE272D" w:rsidRPr="00CE272D">
          <w:rPr>
            <w:rFonts w:ascii="Vodafone Rg" w:hAnsi="Vodafone Rg"/>
            <w:b w:val="0"/>
            <w:noProof/>
            <w:webHidden/>
          </w:rPr>
          <w:t>2</w:t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end"/>
        </w:r>
      </w:hyperlink>
    </w:p>
    <w:p w14:paraId="46559074" w14:textId="77777777" w:rsidR="00CE272D" w:rsidRPr="00CE272D" w:rsidRDefault="005F72A8" w:rsidP="00CE272D">
      <w:pPr>
        <w:pStyle w:val="TOC1"/>
        <w:tabs>
          <w:tab w:val="right" w:leader="dot" w:pos="10457"/>
        </w:tabs>
        <w:ind w:left="720" w:hanging="720"/>
        <w:rPr>
          <w:rFonts w:ascii="Vodafone Rg" w:eastAsiaTheme="minorEastAsia" w:hAnsi="Vodafone Rg" w:cstheme="minorBidi"/>
          <w:b w:val="0"/>
          <w:caps w:val="0"/>
          <w:noProof/>
          <w:lang w:val="en-US"/>
        </w:rPr>
      </w:pPr>
      <w:hyperlink w:anchor="_Toc515427607" w:history="1">
        <w:r w:rsidR="00CE272D" w:rsidRPr="00CE272D">
          <w:rPr>
            <w:rStyle w:val="Hyperlink"/>
            <w:rFonts w:ascii="Vodafone Rg" w:hAnsi="Vodafone Rg"/>
            <w:b w:val="0"/>
            <w:noProof/>
          </w:rPr>
          <w:t>8.</w:t>
        </w:r>
        <w:r w:rsidR="00CE272D" w:rsidRPr="00CE272D">
          <w:rPr>
            <w:rFonts w:ascii="Vodafone Rg" w:eastAsiaTheme="minorEastAsia" w:hAnsi="Vodafone Rg" w:cstheme="minorBidi"/>
            <w:b w:val="0"/>
            <w:caps w:val="0"/>
            <w:noProof/>
            <w:lang w:val="en-US"/>
          </w:rPr>
          <w:tab/>
        </w:r>
        <w:r w:rsidR="00CE272D" w:rsidRPr="00CE272D">
          <w:rPr>
            <w:rStyle w:val="Hyperlink"/>
            <w:rFonts w:ascii="Vodafone Rg" w:hAnsi="Vodafone Rg"/>
            <w:b w:val="0"/>
            <w:noProof/>
          </w:rPr>
          <w:t>PROCESS RACI</w:t>
        </w:r>
        <w:r w:rsidR="00CE272D" w:rsidRPr="00CE272D">
          <w:rPr>
            <w:rFonts w:ascii="Vodafone Rg" w:hAnsi="Vodafone Rg"/>
            <w:b w:val="0"/>
            <w:noProof/>
            <w:webHidden/>
          </w:rPr>
          <w:tab/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begin"/>
        </w:r>
        <w:r w:rsidR="00CE272D" w:rsidRPr="00CE272D">
          <w:rPr>
            <w:rFonts w:ascii="Vodafone Rg" w:hAnsi="Vodafone Rg"/>
            <w:b w:val="0"/>
            <w:noProof/>
            <w:webHidden/>
          </w:rPr>
          <w:instrText xml:space="preserve"> PAGEREF _Toc515427607 \h </w:instrText>
        </w:r>
        <w:r w:rsidR="00CE272D" w:rsidRPr="00CE272D">
          <w:rPr>
            <w:rFonts w:ascii="Vodafone Rg" w:hAnsi="Vodafone Rg"/>
            <w:b w:val="0"/>
            <w:noProof/>
            <w:webHidden/>
          </w:rPr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separate"/>
        </w:r>
        <w:r w:rsidR="00CE272D" w:rsidRPr="00CE272D">
          <w:rPr>
            <w:rFonts w:ascii="Vodafone Rg" w:hAnsi="Vodafone Rg"/>
            <w:b w:val="0"/>
            <w:noProof/>
            <w:webHidden/>
          </w:rPr>
          <w:t>3</w:t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end"/>
        </w:r>
      </w:hyperlink>
    </w:p>
    <w:p w14:paraId="5B938EC0" w14:textId="77777777" w:rsidR="00CE272D" w:rsidRPr="00CE272D" w:rsidRDefault="005F72A8" w:rsidP="00CE272D">
      <w:pPr>
        <w:pStyle w:val="TOC1"/>
        <w:tabs>
          <w:tab w:val="right" w:leader="dot" w:pos="10457"/>
        </w:tabs>
        <w:ind w:left="720" w:hanging="720"/>
        <w:rPr>
          <w:rFonts w:ascii="Vodafone Rg" w:eastAsiaTheme="minorEastAsia" w:hAnsi="Vodafone Rg" w:cstheme="minorBidi"/>
          <w:b w:val="0"/>
          <w:caps w:val="0"/>
          <w:noProof/>
          <w:lang w:val="en-US"/>
        </w:rPr>
      </w:pPr>
      <w:hyperlink w:anchor="_Toc515427608" w:history="1">
        <w:r w:rsidR="00CE272D" w:rsidRPr="00CE272D">
          <w:rPr>
            <w:rStyle w:val="Hyperlink"/>
            <w:rFonts w:ascii="Vodafone Rg" w:hAnsi="Vodafone Rg"/>
            <w:b w:val="0"/>
            <w:noProof/>
          </w:rPr>
          <w:t>9.</w:t>
        </w:r>
        <w:r w:rsidR="00CE272D" w:rsidRPr="00CE272D">
          <w:rPr>
            <w:rFonts w:ascii="Vodafone Rg" w:eastAsiaTheme="minorEastAsia" w:hAnsi="Vodafone Rg" w:cstheme="minorBidi"/>
            <w:b w:val="0"/>
            <w:caps w:val="0"/>
            <w:noProof/>
            <w:lang w:val="en-US"/>
          </w:rPr>
          <w:tab/>
        </w:r>
        <w:r w:rsidR="00CE272D" w:rsidRPr="00CE272D">
          <w:rPr>
            <w:rStyle w:val="Hyperlink"/>
            <w:rFonts w:ascii="Vodafone Rg" w:hAnsi="Vodafone Rg"/>
            <w:b w:val="0"/>
            <w:noProof/>
          </w:rPr>
          <w:t>TEMPLATES / REFERENCE DOCUMENTS</w:t>
        </w:r>
        <w:r w:rsidR="00CE272D" w:rsidRPr="00CE272D">
          <w:rPr>
            <w:rFonts w:ascii="Vodafone Rg" w:hAnsi="Vodafone Rg"/>
            <w:b w:val="0"/>
            <w:noProof/>
            <w:webHidden/>
          </w:rPr>
          <w:tab/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begin"/>
        </w:r>
        <w:r w:rsidR="00CE272D" w:rsidRPr="00CE272D">
          <w:rPr>
            <w:rFonts w:ascii="Vodafone Rg" w:hAnsi="Vodafone Rg"/>
            <w:b w:val="0"/>
            <w:noProof/>
            <w:webHidden/>
          </w:rPr>
          <w:instrText xml:space="preserve"> PAGEREF _Toc515427608 \h </w:instrText>
        </w:r>
        <w:r w:rsidR="00CE272D" w:rsidRPr="00CE272D">
          <w:rPr>
            <w:rFonts w:ascii="Vodafone Rg" w:hAnsi="Vodafone Rg"/>
            <w:b w:val="0"/>
            <w:noProof/>
            <w:webHidden/>
          </w:rPr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separate"/>
        </w:r>
        <w:r w:rsidR="00CE272D" w:rsidRPr="00CE272D">
          <w:rPr>
            <w:rFonts w:ascii="Vodafone Rg" w:hAnsi="Vodafone Rg"/>
            <w:b w:val="0"/>
            <w:noProof/>
            <w:webHidden/>
          </w:rPr>
          <w:t>3</w:t>
        </w:r>
        <w:r w:rsidR="00CE272D" w:rsidRPr="00CE272D">
          <w:rPr>
            <w:rFonts w:ascii="Vodafone Rg" w:hAnsi="Vodafone Rg"/>
            <w:b w:val="0"/>
            <w:noProof/>
            <w:webHidden/>
          </w:rPr>
          <w:fldChar w:fldCharType="end"/>
        </w:r>
      </w:hyperlink>
    </w:p>
    <w:p w14:paraId="46D84912" w14:textId="04C0C02B" w:rsidR="00897CEF" w:rsidRPr="00676F87" w:rsidRDefault="00715791" w:rsidP="00CE272D">
      <w:r w:rsidRPr="00CE272D">
        <w:fldChar w:fldCharType="end"/>
      </w:r>
    </w:p>
    <w:p w14:paraId="727811E6" w14:textId="77777777"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13" w:name="_Toc505955810"/>
      <w:bookmarkStart w:id="14" w:name="_Toc515427600"/>
      <w:r w:rsidRPr="00676F87">
        <w:rPr>
          <w:rFonts w:ascii="Vodafone Rg" w:hAnsi="Vodafone Rg"/>
        </w:rPr>
        <w:t>INTRODUCTION</w:t>
      </w:r>
      <w:bookmarkEnd w:id="13"/>
      <w:bookmarkEnd w:id="14"/>
    </w:p>
    <w:p w14:paraId="050B1B83" w14:textId="698EBEEA" w:rsidR="00230626" w:rsidRDefault="001E7C14" w:rsidP="00676F87">
      <w:pPr>
        <w:pStyle w:val="BodyText1"/>
        <w:ind w:left="0"/>
        <w:jc w:val="left"/>
        <w:rPr>
          <w:rFonts w:ascii="Vodafone Rg" w:hAnsi="Vodafone Rg"/>
        </w:rPr>
      </w:pPr>
      <w:r w:rsidRPr="00676F87">
        <w:rPr>
          <w:rFonts w:ascii="Vodafone Rg" w:hAnsi="Vodafone Rg"/>
        </w:rPr>
        <w:t xml:space="preserve">This process will be used to </w:t>
      </w:r>
      <w:r w:rsidR="00B83912" w:rsidRPr="00676F87">
        <w:rPr>
          <w:rFonts w:ascii="Vodafone Rg" w:hAnsi="Vodafone Rg"/>
        </w:rPr>
        <w:t xml:space="preserve">decommission a server </w:t>
      </w:r>
      <w:r w:rsidR="00230626">
        <w:rPr>
          <w:rFonts w:ascii="Vodafone Rg" w:hAnsi="Vodafone Rg"/>
        </w:rPr>
        <w:t xml:space="preserve">CI </w:t>
      </w:r>
      <w:r w:rsidR="00442BC9">
        <w:rPr>
          <w:rFonts w:ascii="Vodafone Rg" w:hAnsi="Vodafone Rg"/>
        </w:rPr>
        <w:t>r</w:t>
      </w:r>
      <w:r w:rsidR="00230626">
        <w:rPr>
          <w:rFonts w:ascii="Vodafone Rg" w:hAnsi="Vodafone Rg"/>
        </w:rPr>
        <w:t>ecord in the CMDB. The process will focus and Historical Server CI records and well as existing (Active Servers in the Infrastructure</w:t>
      </w:r>
      <w:r w:rsidR="003A71AC">
        <w:rPr>
          <w:rFonts w:ascii="Vodafone Rg" w:hAnsi="Vodafone Rg"/>
        </w:rPr>
        <w:t xml:space="preserve"> that are earmarked to be disposed) infrastructure</w:t>
      </w:r>
      <w:r w:rsidR="00230626">
        <w:rPr>
          <w:rFonts w:ascii="Vodafone Rg" w:hAnsi="Vodafone Rg"/>
        </w:rPr>
        <w:t xml:space="preserve"> CI Records.</w:t>
      </w:r>
      <w:r w:rsidR="003A71AC">
        <w:rPr>
          <w:rFonts w:ascii="Vodafone Rg" w:hAnsi="Vodafone Rg"/>
        </w:rPr>
        <w:t xml:space="preserve">  </w:t>
      </w:r>
    </w:p>
    <w:p w14:paraId="39F7771C" w14:textId="76646986" w:rsidR="00663886" w:rsidRDefault="00663886" w:rsidP="00676F87">
      <w:pPr>
        <w:pStyle w:val="BodyText1"/>
        <w:ind w:left="0"/>
        <w:jc w:val="left"/>
        <w:rPr>
          <w:rFonts w:ascii="Vodafone Rg" w:hAnsi="Vodafone Rg"/>
        </w:rPr>
      </w:pPr>
    </w:p>
    <w:p w14:paraId="1CA520F1" w14:textId="77777777" w:rsidR="00663886" w:rsidRPr="00676F87" w:rsidRDefault="00663886" w:rsidP="00663886">
      <w:pPr>
        <w:pStyle w:val="BodyText1"/>
        <w:ind w:left="0"/>
        <w:jc w:val="left"/>
        <w:rPr>
          <w:rFonts w:ascii="Vodafone Rg" w:hAnsi="Vodafone Rg"/>
        </w:rPr>
      </w:pPr>
      <w:r>
        <w:rPr>
          <w:rFonts w:ascii="Vodafone Rg" w:hAnsi="Vodafone Rg"/>
        </w:rPr>
        <w:t xml:space="preserve">Following the Change Control process for decommissioning servers is the Vodacom preferred method as this will assist change management managing the risk and impact of the infrastructure. </w:t>
      </w:r>
    </w:p>
    <w:p w14:paraId="1C89D2EF" w14:textId="615146F3" w:rsidR="003A71AC" w:rsidRDefault="003A71AC" w:rsidP="00676F87">
      <w:pPr>
        <w:pStyle w:val="BodyText1"/>
        <w:ind w:left="0"/>
        <w:jc w:val="left"/>
        <w:rPr>
          <w:rFonts w:ascii="Vodafone Rg" w:hAnsi="Vodafone Rg"/>
        </w:rPr>
      </w:pPr>
    </w:p>
    <w:p w14:paraId="061BB3B2" w14:textId="7360069F" w:rsidR="003A71AC" w:rsidRDefault="003A71AC" w:rsidP="00676F87">
      <w:pPr>
        <w:pStyle w:val="BodyText1"/>
        <w:ind w:left="0"/>
        <w:jc w:val="left"/>
        <w:rPr>
          <w:rFonts w:ascii="Vodafone Rg" w:hAnsi="Vodafone Rg"/>
        </w:rPr>
      </w:pPr>
      <w:r>
        <w:rPr>
          <w:rFonts w:ascii="Vodafone Rg" w:hAnsi="Vodafone Rg"/>
        </w:rPr>
        <w:t>After a successful decommission the server CI (In the CMDB) record Life cycle status will be set to “Disposed” , the record will be soft deleted. (Not visible for any another process module in the CMDB)</w:t>
      </w:r>
    </w:p>
    <w:p w14:paraId="3B3AB458" w14:textId="77777777"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15" w:name="_Toc505955811"/>
      <w:bookmarkStart w:id="16" w:name="_Toc515427601"/>
      <w:r w:rsidRPr="00676F87">
        <w:rPr>
          <w:rFonts w:ascii="Vodafone Rg" w:hAnsi="Vodafone Rg"/>
        </w:rPr>
        <w:t>GOALS</w:t>
      </w:r>
      <w:bookmarkEnd w:id="15"/>
      <w:bookmarkEnd w:id="16"/>
    </w:p>
    <w:p w14:paraId="56256BC9" w14:textId="49081C4A" w:rsidR="001E7C14" w:rsidRPr="00676F87" w:rsidRDefault="0056507E" w:rsidP="00676F87">
      <w:pPr>
        <w:pStyle w:val="BodyText1"/>
        <w:ind w:left="0"/>
        <w:jc w:val="left"/>
        <w:rPr>
          <w:rFonts w:ascii="Vodafone Rg" w:hAnsi="Vodafone Rg"/>
        </w:rPr>
      </w:pPr>
      <w:r>
        <w:rPr>
          <w:rFonts w:ascii="Vodafone Rg" w:hAnsi="Vodafone Rg"/>
        </w:rPr>
        <w:t>The goals of this process is to update the CMDB with rel</w:t>
      </w:r>
      <w:r w:rsidR="00663886">
        <w:rPr>
          <w:rFonts w:ascii="Vodafone Rg" w:hAnsi="Vodafone Rg"/>
        </w:rPr>
        <w:t>evant and accurate information.</w:t>
      </w:r>
    </w:p>
    <w:p w14:paraId="74A4EA5D" w14:textId="621AE7FE"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17" w:name="_Toc505955812"/>
      <w:bookmarkStart w:id="18" w:name="_Toc515427602"/>
      <w:r w:rsidRPr="00676F87">
        <w:rPr>
          <w:rFonts w:ascii="Vodafone Rg" w:hAnsi="Vodafone Rg"/>
        </w:rPr>
        <w:t>OBJECTIVES</w:t>
      </w:r>
      <w:bookmarkEnd w:id="17"/>
      <w:bookmarkEnd w:id="18"/>
    </w:p>
    <w:p w14:paraId="75BFE4A6" w14:textId="2176B7EB" w:rsidR="001E7C14" w:rsidRDefault="0056507E" w:rsidP="00676F87">
      <w:pPr>
        <w:pStyle w:val="BodyText1"/>
        <w:ind w:left="0"/>
        <w:jc w:val="left"/>
        <w:rPr>
          <w:rFonts w:ascii="Vodafone Rg" w:hAnsi="Vodafone Rg"/>
        </w:rPr>
      </w:pPr>
      <w:r>
        <w:rPr>
          <w:rFonts w:ascii="Vodafone Rg" w:hAnsi="Vodafone Rg"/>
        </w:rPr>
        <w:t xml:space="preserve">Updating of the Server CMDB CI records to a decommission state after server has been decommissioned </w:t>
      </w:r>
    </w:p>
    <w:p w14:paraId="5DB39FAD" w14:textId="77777777" w:rsidR="0056507E" w:rsidRDefault="0056507E" w:rsidP="00676F87">
      <w:pPr>
        <w:pStyle w:val="BodyText1"/>
        <w:ind w:left="0"/>
        <w:jc w:val="left"/>
        <w:rPr>
          <w:rFonts w:ascii="Vodafone Rg" w:hAnsi="Vodafone Rg"/>
        </w:rPr>
      </w:pPr>
    </w:p>
    <w:p w14:paraId="4F0194ED" w14:textId="77777777" w:rsidR="0056507E" w:rsidRPr="00676F87" w:rsidRDefault="0056507E" w:rsidP="00676F87">
      <w:pPr>
        <w:pStyle w:val="BodyText1"/>
        <w:ind w:left="0"/>
        <w:jc w:val="left"/>
        <w:rPr>
          <w:rFonts w:ascii="Vodafone Rg" w:hAnsi="Vodafone Rg"/>
        </w:rPr>
      </w:pPr>
    </w:p>
    <w:p w14:paraId="0ABB2337" w14:textId="77777777"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19" w:name="_Toc505955813"/>
      <w:bookmarkStart w:id="20" w:name="_Toc515427603"/>
      <w:r w:rsidRPr="00676F87">
        <w:rPr>
          <w:rFonts w:ascii="Vodafone Rg" w:hAnsi="Vodafone Rg"/>
        </w:rPr>
        <w:lastRenderedPageBreak/>
        <w:t>APPLICABILITY</w:t>
      </w:r>
      <w:bookmarkEnd w:id="19"/>
      <w:bookmarkEnd w:id="20"/>
    </w:p>
    <w:p w14:paraId="4842A3A9" w14:textId="69F9C04D" w:rsidR="001E7C14" w:rsidRPr="00676F87" w:rsidRDefault="001E7C14" w:rsidP="00676F87">
      <w:pPr>
        <w:ind w:left="0"/>
        <w:jc w:val="left"/>
        <w:rPr>
          <w:rFonts w:ascii="Vodafone Rg" w:hAnsi="Vodafone Rg"/>
          <w:szCs w:val="20"/>
        </w:rPr>
      </w:pPr>
      <w:r w:rsidRPr="00676F87">
        <w:rPr>
          <w:rFonts w:ascii="Vodafone Rg" w:hAnsi="Vodafone Rg"/>
        </w:rPr>
        <w:t xml:space="preserve">This process </w:t>
      </w:r>
      <w:r w:rsidRPr="00676F87">
        <w:rPr>
          <w:rFonts w:ascii="Vodafone Rg" w:hAnsi="Vodafone Rg"/>
          <w:noProof/>
        </w:rPr>
        <w:t>is applicable to</w:t>
      </w:r>
      <w:r w:rsidRPr="00676F87">
        <w:rPr>
          <w:rFonts w:ascii="Vodafone Rg" w:hAnsi="Vodafone Rg"/>
        </w:rPr>
        <w:t xml:space="preserve"> all CI Owners of </w:t>
      </w:r>
      <w:r w:rsidR="00F96670">
        <w:rPr>
          <w:rFonts w:ascii="Vodafone Rg" w:hAnsi="Vodafone Rg"/>
        </w:rPr>
        <w:t xml:space="preserve">Sever </w:t>
      </w:r>
      <w:r w:rsidR="00F96670" w:rsidRPr="00676F87">
        <w:rPr>
          <w:rFonts w:ascii="Vodafone Rg" w:hAnsi="Vodafone Rg"/>
        </w:rPr>
        <w:t>that</w:t>
      </w:r>
      <w:r w:rsidRPr="00676F87">
        <w:rPr>
          <w:rFonts w:ascii="Vodafone Rg" w:hAnsi="Vodafone Rg"/>
        </w:rPr>
        <w:t xml:space="preserve"> </w:t>
      </w:r>
      <w:r w:rsidRPr="00676F87">
        <w:rPr>
          <w:rFonts w:ascii="Vodafone Rg" w:hAnsi="Vodafone Rg"/>
          <w:noProof/>
        </w:rPr>
        <w:t>are recorded</w:t>
      </w:r>
      <w:r w:rsidRPr="00676F87">
        <w:rPr>
          <w:rFonts w:ascii="Vodafone Rg" w:hAnsi="Vodafone Rg"/>
        </w:rPr>
        <w:t xml:space="preserve"> in the CMDB.</w:t>
      </w:r>
    </w:p>
    <w:p w14:paraId="3F8D6A74" w14:textId="77777777"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21" w:name="_Toc505955814"/>
      <w:bookmarkStart w:id="22" w:name="_Toc515427604"/>
      <w:r w:rsidRPr="00676F87">
        <w:rPr>
          <w:rFonts w:ascii="Vodafone Rg" w:hAnsi="Vodafone Rg"/>
        </w:rPr>
        <w:t>SOLUTION</w:t>
      </w:r>
      <w:bookmarkEnd w:id="21"/>
      <w:bookmarkEnd w:id="22"/>
    </w:p>
    <w:p w14:paraId="2F39B8BC" w14:textId="77777777" w:rsidR="001E7C14" w:rsidRPr="00676F87" w:rsidRDefault="001E7C14" w:rsidP="00676F87">
      <w:pPr>
        <w:ind w:left="0"/>
        <w:jc w:val="left"/>
        <w:rPr>
          <w:rFonts w:ascii="Vodafone Rg" w:hAnsi="Vodafone Rg"/>
        </w:rPr>
      </w:pPr>
      <w:r w:rsidRPr="00676F87">
        <w:rPr>
          <w:rFonts w:ascii="Vodafone Rg" w:hAnsi="Vodafone Rg"/>
        </w:rPr>
        <w:t xml:space="preserve">Applicable solutions: Remedy Asset </w:t>
      </w:r>
      <w:r w:rsidR="0056507E">
        <w:rPr>
          <w:rFonts w:ascii="Vodafone Rg" w:hAnsi="Vodafone Rg"/>
        </w:rPr>
        <w:t>Management, email and Change request records.</w:t>
      </w:r>
    </w:p>
    <w:p w14:paraId="5470E0E8" w14:textId="77777777" w:rsidR="00676F87" w:rsidRDefault="00676F87">
      <w:pPr>
        <w:spacing w:line="240" w:lineRule="auto"/>
        <w:ind w:left="0"/>
        <w:jc w:val="left"/>
        <w:rPr>
          <w:rFonts w:ascii="Vodafone Rg" w:hAnsi="Vodafone Rg"/>
        </w:rPr>
      </w:pPr>
      <w:r>
        <w:rPr>
          <w:rFonts w:ascii="Vodafone Rg" w:hAnsi="Vodafone Rg"/>
        </w:rPr>
        <w:br w:type="page"/>
      </w:r>
    </w:p>
    <w:p w14:paraId="0971119B" w14:textId="77777777" w:rsidR="001E7C14" w:rsidRPr="00676F87" w:rsidRDefault="001E7C14" w:rsidP="00676F87">
      <w:pPr>
        <w:ind w:left="0"/>
        <w:jc w:val="left"/>
        <w:rPr>
          <w:rFonts w:ascii="Vodafone Rg" w:hAnsi="Vodafone Rg"/>
        </w:rPr>
      </w:pPr>
    </w:p>
    <w:p w14:paraId="51BD1B4F" w14:textId="77777777" w:rsidR="001E7C14" w:rsidRPr="00676F87" w:rsidRDefault="001E7C14" w:rsidP="001E7C14">
      <w:pPr>
        <w:pStyle w:val="Heading10"/>
        <w:numPr>
          <w:ilvl w:val="0"/>
          <w:numId w:val="3"/>
        </w:numPr>
        <w:jc w:val="left"/>
        <w:rPr>
          <w:rFonts w:ascii="Vodafone Rg" w:hAnsi="Vodafone Rg"/>
        </w:rPr>
      </w:pPr>
      <w:bookmarkStart w:id="23" w:name="_Toc505955815"/>
      <w:bookmarkStart w:id="24" w:name="_Toc515427605"/>
      <w:r w:rsidRPr="00676F87">
        <w:rPr>
          <w:rFonts w:ascii="Vodafone Rg" w:hAnsi="Vodafone Rg"/>
          <w:noProof/>
        </w:rPr>
        <w:t>HIGH LEVEL</w:t>
      </w:r>
      <w:r w:rsidRPr="00676F87">
        <w:rPr>
          <w:rFonts w:ascii="Vodafone Rg" w:hAnsi="Vodafone Rg"/>
        </w:rPr>
        <w:t xml:space="preserve"> PROCESS</w:t>
      </w:r>
      <w:bookmarkEnd w:id="23"/>
      <w:bookmarkEnd w:id="24"/>
    </w:p>
    <w:p w14:paraId="5ECD81C9" w14:textId="77777777" w:rsidR="003E6BD4" w:rsidRPr="00676F87" w:rsidRDefault="003E6BD4" w:rsidP="00676F87">
      <w:pPr>
        <w:pStyle w:val="BodyText1"/>
        <w:ind w:left="0"/>
        <w:rPr>
          <w:rFonts w:ascii="Vodafone Rg" w:hAnsi="Vodafone Rg"/>
        </w:rPr>
      </w:pPr>
    </w:p>
    <w:p w14:paraId="15B1DB17" w14:textId="77777777" w:rsidR="00073C9A" w:rsidRDefault="00073C9A" w:rsidP="00676F87">
      <w:pPr>
        <w:pStyle w:val="BodyText1"/>
        <w:ind w:left="0"/>
        <w:rPr>
          <w:rFonts w:ascii="Vodafone Rg" w:hAnsi="Vodafone Rg"/>
        </w:rPr>
      </w:pPr>
    </w:p>
    <w:p w14:paraId="428CFAF2" w14:textId="548F3E04" w:rsidR="003E6BD4" w:rsidRPr="00FC2AAF" w:rsidRDefault="00D2452F" w:rsidP="00676F87">
      <w:pPr>
        <w:pStyle w:val="BodyText1"/>
        <w:ind w:left="0"/>
        <w:rPr>
          <w:rFonts w:ascii="Vodafone Rg" w:hAnsi="Vodafone Rg"/>
          <w:b/>
        </w:rPr>
      </w:pPr>
      <w:r w:rsidRPr="00FC2AAF">
        <w:rPr>
          <w:rFonts w:ascii="Vodafone Rg" w:hAnsi="Vodafone Rg"/>
          <w:b/>
        </w:rPr>
        <w:t>Change Requester</w:t>
      </w:r>
    </w:p>
    <w:p w14:paraId="0648AB9D" w14:textId="77777777" w:rsidR="00391306" w:rsidRPr="00FC2AAF" w:rsidRDefault="00B83912" w:rsidP="00F71D1C">
      <w:pPr>
        <w:pStyle w:val="ListParagraph"/>
        <w:numPr>
          <w:ilvl w:val="0"/>
          <w:numId w:val="7"/>
        </w:numPr>
      </w:pPr>
      <w:r w:rsidRPr="00391306">
        <w:rPr>
          <w:rFonts w:ascii="Vodafone Rg" w:hAnsi="Vodafone Rg"/>
        </w:rPr>
        <w:t xml:space="preserve">Obtain the </w:t>
      </w:r>
      <w:r w:rsidR="0050508F" w:rsidRPr="00391306">
        <w:rPr>
          <w:rFonts w:ascii="Vodafone Rg" w:hAnsi="Vodafone Rg"/>
        </w:rPr>
        <w:t xml:space="preserve">Server </w:t>
      </w:r>
      <w:hyperlink w:anchor="_7.1.1_Search_for" w:history="1">
        <w:r w:rsidRPr="00FC2AAF">
          <w:t>CI</w:t>
        </w:r>
        <w:r w:rsidR="0050508F" w:rsidRPr="00FC2AAF">
          <w:t xml:space="preserve"> Name </w:t>
        </w:r>
        <w:r w:rsidRPr="00FC2AAF">
          <w:t xml:space="preserve">in </w:t>
        </w:r>
        <w:r w:rsidR="00E54D2D" w:rsidRPr="00FC2AAF">
          <w:t>q</w:t>
        </w:r>
        <w:r w:rsidRPr="00FC2AAF">
          <w:t>uestion</w:t>
        </w:r>
      </w:hyperlink>
      <w:r w:rsidR="00391306" w:rsidRPr="00FC2AAF">
        <w:t xml:space="preserve">  </w:t>
      </w:r>
    </w:p>
    <w:p w14:paraId="28F9E671" w14:textId="29AF6C59" w:rsidR="00D2452F" w:rsidRDefault="008C378F" w:rsidP="00F71D1C">
      <w:pPr>
        <w:pStyle w:val="ListParagraph"/>
        <w:numPr>
          <w:ilvl w:val="0"/>
          <w:numId w:val="7"/>
        </w:numPr>
        <w:rPr>
          <w:rStyle w:val="Hyperlink"/>
          <w:rFonts w:ascii="Vodafone Rg" w:hAnsi="Vodafone Rg"/>
          <w:color w:val="auto"/>
          <w:u w:val="none"/>
        </w:rPr>
      </w:pPr>
      <w:r w:rsidRPr="00391306">
        <w:rPr>
          <w:rFonts w:ascii="Vodafone Rg" w:hAnsi="Vodafone Rg"/>
        </w:rPr>
        <w:t xml:space="preserve">Execute the </w:t>
      </w:r>
      <w:r w:rsidR="0089162E" w:rsidRPr="00391306">
        <w:rPr>
          <w:rFonts w:ascii="Vodafone Rg" w:hAnsi="Vodafone Rg"/>
        </w:rPr>
        <w:t xml:space="preserve"> </w:t>
      </w:r>
      <w:r w:rsidR="00782E55" w:rsidRPr="00391306">
        <w:rPr>
          <w:rFonts w:ascii="Vodafone Rg" w:hAnsi="Vodafone Rg"/>
        </w:rPr>
        <w:t xml:space="preserve">Decommission </w:t>
      </w:r>
      <w:hyperlink w:anchor="_Change_Module_Process" w:history="1">
        <w:r w:rsidR="0089162E" w:rsidRPr="00FC2AAF">
          <w:t>Change Request</w:t>
        </w:r>
        <w:r w:rsidR="00D2452F" w:rsidRPr="00FC2AAF">
          <w:t xml:space="preserve"> for infrastructure server</w:t>
        </w:r>
        <w:r w:rsidR="00782E55" w:rsidRPr="00FC2AAF">
          <w:t>s</w:t>
        </w:r>
        <w:r w:rsidR="00D2452F" w:rsidRPr="00391306">
          <w:rPr>
            <w:rStyle w:val="Hyperlink"/>
            <w:rFonts w:ascii="Vodafone Rg" w:hAnsi="Vodafone Rg"/>
          </w:rPr>
          <w:t xml:space="preserve"> </w:t>
        </w:r>
      </w:hyperlink>
      <w:r w:rsidRPr="00391306">
        <w:rPr>
          <w:rStyle w:val="Hyperlink"/>
          <w:rFonts w:ascii="Vodafone Rg" w:hAnsi="Vodafone Rg"/>
          <w:color w:val="auto"/>
          <w:u w:val="none"/>
        </w:rPr>
        <w:t xml:space="preserve"> </w:t>
      </w:r>
    </w:p>
    <w:p w14:paraId="49DC6A26" w14:textId="6ECA2C16" w:rsidR="00BE7366" w:rsidRDefault="00BE7366" w:rsidP="00F71D1C">
      <w:pPr>
        <w:pStyle w:val="ListParagraph"/>
        <w:numPr>
          <w:ilvl w:val="0"/>
          <w:numId w:val="7"/>
        </w:numPr>
        <w:rPr>
          <w:rFonts w:ascii="Vodafone Rg" w:hAnsi="Vodafone Rg"/>
        </w:rPr>
      </w:pPr>
      <w:r>
        <w:rPr>
          <w:rFonts w:ascii="Vodafone Rg" w:hAnsi="Vodafone Rg"/>
        </w:rPr>
        <w:t xml:space="preserve">Ensure that all the effected </w:t>
      </w:r>
      <w:r w:rsidR="0033035D">
        <w:rPr>
          <w:rFonts w:ascii="Vodafone Rg" w:hAnsi="Vodafone Rg"/>
        </w:rPr>
        <w:t>CI’s are</w:t>
      </w:r>
      <w:r>
        <w:rPr>
          <w:rFonts w:ascii="Vodafone Rg" w:hAnsi="Vodafone Rg"/>
        </w:rPr>
        <w:t xml:space="preserve"> related to the change request.</w:t>
      </w:r>
    </w:p>
    <w:p w14:paraId="3423E6BC" w14:textId="6E3382FB" w:rsidR="00CF4D3E" w:rsidRDefault="00CF4D3E" w:rsidP="00CF4D3E">
      <w:pPr>
        <w:rPr>
          <w:rFonts w:ascii="Vodafone Rg" w:hAnsi="Vodafone Rg"/>
        </w:rPr>
      </w:pPr>
    </w:p>
    <w:p w14:paraId="4934D49D" w14:textId="5D99FA7B" w:rsidR="00CF4D3E" w:rsidRPr="00CF4D3E" w:rsidRDefault="0033035D" w:rsidP="00CF4D3E">
      <w:pPr>
        <w:rPr>
          <w:rFonts w:ascii="Vodafone Rg" w:hAnsi="Vodafone Rg"/>
        </w:rPr>
      </w:pPr>
      <w:r w:rsidRPr="00CF4D3E">
        <w:rPr>
          <w:rFonts w:ascii="Vodafone Rg" w:hAnsi="Vodafone Rg"/>
          <w:b/>
        </w:rPr>
        <w:t>Note</w:t>
      </w:r>
      <w:r>
        <w:rPr>
          <w:rFonts w:ascii="Vodafone Rg" w:hAnsi="Vodafone Rg"/>
        </w:rPr>
        <w:t>:</w:t>
      </w:r>
      <w:r w:rsidR="00CF4D3E">
        <w:rPr>
          <w:rFonts w:ascii="Vodafone Rg" w:hAnsi="Vodafone Rg"/>
        </w:rPr>
        <w:t xml:space="preserve">  </w:t>
      </w:r>
      <w:r w:rsidR="00CF4D3E" w:rsidRPr="00CF4D3E">
        <w:rPr>
          <w:rFonts w:ascii="Vodafone Rg" w:hAnsi="Vodafone Rg"/>
          <w:i/>
        </w:rPr>
        <w:t>Configuration will only act on the CI related to the change control and not to the Notes or summary fields in the change control</w:t>
      </w:r>
    </w:p>
    <w:p w14:paraId="7503E647" w14:textId="3419C36A" w:rsidR="004A2BB2" w:rsidRDefault="004A2BB2" w:rsidP="004A2BB2">
      <w:pPr>
        <w:pStyle w:val="ListParagraph"/>
        <w:ind w:left="786"/>
        <w:rPr>
          <w:rFonts w:ascii="Vodafone Rg" w:hAnsi="Vodafone Rg"/>
        </w:rPr>
      </w:pPr>
    </w:p>
    <w:p w14:paraId="72E43B6F" w14:textId="5FA1EF55" w:rsidR="00FC2AAF" w:rsidRDefault="00FC2AAF" w:rsidP="00FC2AAF">
      <w:pPr>
        <w:rPr>
          <w:rFonts w:ascii="Vodafone Rg" w:hAnsi="Vodafone Rg"/>
          <w:i/>
        </w:rPr>
      </w:pPr>
    </w:p>
    <w:p w14:paraId="62676811" w14:textId="1D247326" w:rsidR="00FC2AAF" w:rsidRPr="00FC2AAF" w:rsidRDefault="00FC2AAF" w:rsidP="00FC2AAF">
      <w:pPr>
        <w:pStyle w:val="BodyText1"/>
        <w:ind w:left="0"/>
        <w:rPr>
          <w:rFonts w:ascii="Vodafone Rg" w:hAnsi="Vodafone Rg"/>
          <w:b/>
        </w:rPr>
      </w:pPr>
      <w:r w:rsidRPr="00FC2AAF">
        <w:rPr>
          <w:rFonts w:ascii="Vodafone Rg" w:hAnsi="Vodafone Rg"/>
          <w:b/>
        </w:rPr>
        <w:t>System Administrator executing the Decommission task</w:t>
      </w:r>
    </w:p>
    <w:p w14:paraId="6579F432" w14:textId="50A18C7C" w:rsidR="00FC2AAF" w:rsidRPr="00FC2AAF" w:rsidRDefault="00FC2AAF" w:rsidP="00F71D1C">
      <w:pPr>
        <w:pStyle w:val="ListParagraph"/>
        <w:numPr>
          <w:ilvl w:val="0"/>
          <w:numId w:val="9"/>
        </w:numPr>
      </w:pPr>
      <w:r>
        <w:rPr>
          <w:rFonts w:ascii="Vodafone Rg" w:hAnsi="Vodafone Rg"/>
        </w:rPr>
        <w:t>Decommission the server in the Vodacom Infrastructure</w:t>
      </w:r>
    </w:p>
    <w:p w14:paraId="60973F92" w14:textId="648DF4CB" w:rsidR="00FC2AAF" w:rsidRPr="00FC2AAF" w:rsidRDefault="00FC2AAF" w:rsidP="00F71D1C">
      <w:pPr>
        <w:pStyle w:val="ListParagraph"/>
        <w:numPr>
          <w:ilvl w:val="0"/>
          <w:numId w:val="9"/>
        </w:numPr>
      </w:pPr>
      <w:r>
        <w:rPr>
          <w:rFonts w:ascii="Vodafone Rg" w:hAnsi="Vodafone Rg"/>
        </w:rPr>
        <w:t xml:space="preserve">Ensure the Server DNS have been updated </w:t>
      </w:r>
    </w:p>
    <w:p w14:paraId="696A9C8B" w14:textId="709274AC" w:rsidR="00FC2AAF" w:rsidRPr="00FC2AAF" w:rsidRDefault="00FC2AAF" w:rsidP="00F71D1C">
      <w:pPr>
        <w:pStyle w:val="ListParagraph"/>
        <w:numPr>
          <w:ilvl w:val="0"/>
          <w:numId w:val="9"/>
        </w:numPr>
      </w:pPr>
      <w:r>
        <w:rPr>
          <w:rFonts w:ascii="Vodafone Rg" w:hAnsi="Vodafone Rg"/>
        </w:rPr>
        <w:t>Update the Change Decommission task to Complete (This is to confirm that all the task above is done)</w:t>
      </w:r>
    </w:p>
    <w:p w14:paraId="232E2B9A" w14:textId="77777777" w:rsidR="00FC2AAF" w:rsidRPr="00FC2AAF" w:rsidRDefault="00FC2AAF" w:rsidP="00FC2AAF">
      <w:pPr>
        <w:rPr>
          <w:rFonts w:ascii="Vodafone Rg" w:hAnsi="Vodafone Rg"/>
          <w:i/>
        </w:rPr>
      </w:pPr>
    </w:p>
    <w:p w14:paraId="0890632C" w14:textId="0D6A5266" w:rsidR="005879AA" w:rsidRDefault="005879AA" w:rsidP="005879AA">
      <w:pPr>
        <w:pStyle w:val="ListParagraph"/>
        <w:ind w:left="360"/>
        <w:rPr>
          <w:rFonts w:ascii="Vodafone Rg" w:hAnsi="Vodafone Rg"/>
        </w:rPr>
      </w:pPr>
    </w:p>
    <w:p w14:paraId="42E7BD17" w14:textId="00D76D95" w:rsidR="00CA5467" w:rsidRPr="00E713F0" w:rsidRDefault="00D2452F" w:rsidP="00D2452F">
      <w:pPr>
        <w:ind w:left="0"/>
        <w:rPr>
          <w:rFonts w:ascii="Vodafone Rg" w:hAnsi="Vodafone Rg"/>
          <w:b/>
        </w:rPr>
      </w:pPr>
      <w:r w:rsidRPr="00E713F0">
        <w:rPr>
          <w:rFonts w:ascii="Vodafone Rg" w:hAnsi="Vodafone Rg"/>
          <w:b/>
        </w:rPr>
        <w:t>Change office</w:t>
      </w:r>
      <w:r w:rsidR="00F13A28" w:rsidRPr="00E713F0">
        <w:rPr>
          <w:rFonts w:ascii="Vodafone Rg" w:hAnsi="Vodafone Rg"/>
          <w:b/>
        </w:rPr>
        <w:t xml:space="preserve"> responsibilities towards the decommission</w:t>
      </w:r>
    </w:p>
    <w:p w14:paraId="033B14B6" w14:textId="77C852F3" w:rsidR="00D2452F" w:rsidRPr="00FC2AAF" w:rsidRDefault="00F13A28" w:rsidP="00F71D1C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 w:rsidRPr="00FC2AAF">
        <w:rPr>
          <w:rFonts w:ascii="Vodafone Rg" w:hAnsi="Vodafone Rg"/>
        </w:rPr>
        <w:t xml:space="preserve">Ensure the approvals are obtained </w:t>
      </w:r>
    </w:p>
    <w:p w14:paraId="35637F27" w14:textId="3131C50A" w:rsidR="00F13A28" w:rsidRDefault="00F13A28" w:rsidP="00F71D1C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 w:rsidRPr="00FC2AAF">
        <w:rPr>
          <w:rFonts w:ascii="Vodafone Rg" w:hAnsi="Vodafone Rg"/>
        </w:rPr>
        <w:t>Ensure the risk of the decommission is determined</w:t>
      </w:r>
    </w:p>
    <w:p w14:paraId="39B8C4AC" w14:textId="74B64F06" w:rsidR="00F13A28" w:rsidRDefault="00F13A28" w:rsidP="00F71D1C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>
        <w:rPr>
          <w:rFonts w:ascii="Vodafone Rg" w:hAnsi="Vodafone Rg"/>
        </w:rPr>
        <w:t xml:space="preserve">Ensure that </w:t>
      </w:r>
      <w:proofErr w:type="gramStart"/>
      <w:r>
        <w:rPr>
          <w:rFonts w:ascii="Vodafone Rg" w:hAnsi="Vodafone Rg"/>
        </w:rPr>
        <w:t>the decommission</w:t>
      </w:r>
      <w:proofErr w:type="gramEnd"/>
      <w:r w:rsidR="00E713F0">
        <w:rPr>
          <w:rFonts w:ascii="Vodafone Rg" w:hAnsi="Vodafone Rg"/>
        </w:rPr>
        <w:t xml:space="preserve"> and associated </w:t>
      </w:r>
      <w:r w:rsidR="005334CA">
        <w:rPr>
          <w:rFonts w:ascii="Vodafone Rg" w:hAnsi="Vodafone Rg"/>
        </w:rPr>
        <w:t>task (</w:t>
      </w:r>
      <w:r w:rsidR="00081317">
        <w:rPr>
          <w:rFonts w:ascii="Vodafone Rg" w:hAnsi="Vodafone Rg"/>
        </w:rPr>
        <w:t xml:space="preserve">example Server IP address removed from </w:t>
      </w:r>
      <w:r w:rsidR="002461FC">
        <w:rPr>
          <w:rFonts w:ascii="Vodafone Rg" w:hAnsi="Vodafone Rg"/>
        </w:rPr>
        <w:t>DNS) are</w:t>
      </w:r>
      <w:r>
        <w:rPr>
          <w:rFonts w:ascii="Vodafone Rg" w:hAnsi="Vodafone Rg"/>
        </w:rPr>
        <w:t xml:space="preserve"> executed.</w:t>
      </w:r>
    </w:p>
    <w:p w14:paraId="4601ABE2" w14:textId="1DB3004C" w:rsidR="00DA1174" w:rsidRPr="00391306" w:rsidRDefault="00F13A28" w:rsidP="00F71D1C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 w:rsidRPr="00391306">
        <w:rPr>
          <w:rFonts w:ascii="Vodafone Rg" w:hAnsi="Vodafone Rg"/>
        </w:rPr>
        <w:t xml:space="preserve">Instruct </w:t>
      </w:r>
      <w:r w:rsidR="002D4A6C" w:rsidRPr="00391306">
        <w:rPr>
          <w:rFonts w:ascii="Vodafone Rg" w:hAnsi="Vodafone Rg"/>
        </w:rPr>
        <w:t xml:space="preserve">(Via </w:t>
      </w:r>
      <w:r w:rsidR="00391306" w:rsidRPr="00391306">
        <w:rPr>
          <w:rFonts w:ascii="Vodafone Rg" w:hAnsi="Vodafone Rg"/>
        </w:rPr>
        <w:t xml:space="preserve">the completion of the </w:t>
      </w:r>
      <w:r w:rsidR="002D4A6C" w:rsidRPr="00391306">
        <w:rPr>
          <w:rFonts w:ascii="Vodafone Rg" w:hAnsi="Vodafone Rg"/>
        </w:rPr>
        <w:t xml:space="preserve">Change Decommission Task) </w:t>
      </w:r>
      <w:r w:rsidRPr="00391306">
        <w:rPr>
          <w:rFonts w:ascii="Vodafone Rg" w:hAnsi="Vodafone Rg"/>
        </w:rPr>
        <w:t xml:space="preserve">Configuration Management to decommission </w:t>
      </w:r>
      <w:r w:rsidR="00391306">
        <w:rPr>
          <w:rFonts w:ascii="Vodafone Rg" w:hAnsi="Vodafone Rg"/>
        </w:rPr>
        <w:t>CI Record.</w:t>
      </w:r>
    </w:p>
    <w:p w14:paraId="0D44E385" w14:textId="35E50C22" w:rsidR="00F13A28" w:rsidRDefault="00F13A28" w:rsidP="00F13A28">
      <w:pPr>
        <w:rPr>
          <w:rFonts w:ascii="Vodafone Rg" w:hAnsi="Vodafone Rg"/>
        </w:rPr>
      </w:pPr>
    </w:p>
    <w:p w14:paraId="195241E8" w14:textId="77777777" w:rsidR="00F13A28" w:rsidRPr="00F13A28" w:rsidRDefault="00F13A28" w:rsidP="00E713F0">
      <w:pPr>
        <w:ind w:left="0"/>
        <w:rPr>
          <w:rFonts w:ascii="Vodafone Rg" w:hAnsi="Vodafone Rg"/>
        </w:rPr>
      </w:pPr>
    </w:p>
    <w:p w14:paraId="69F37379" w14:textId="13218992" w:rsidR="00CA5467" w:rsidRDefault="00E713F0" w:rsidP="00E713F0">
      <w:pPr>
        <w:pStyle w:val="ListParagraph"/>
        <w:ind w:left="0"/>
        <w:rPr>
          <w:rFonts w:ascii="Vodafone Rg" w:hAnsi="Vodafone Rg"/>
          <w:b/>
        </w:rPr>
      </w:pPr>
      <w:r w:rsidRPr="00E713F0">
        <w:rPr>
          <w:rFonts w:ascii="Vodafone Rg" w:hAnsi="Vodafone Rg"/>
          <w:b/>
        </w:rPr>
        <w:t>Configuration Management</w:t>
      </w:r>
    </w:p>
    <w:p w14:paraId="32E11980" w14:textId="307E2032" w:rsidR="004426C2" w:rsidRPr="00956E60" w:rsidRDefault="00E713F0" w:rsidP="00F71D1C">
      <w:pPr>
        <w:pStyle w:val="ListParagraph"/>
        <w:numPr>
          <w:ilvl w:val="0"/>
          <w:numId w:val="8"/>
        </w:numPr>
        <w:rPr>
          <w:rFonts w:ascii="Vodafone Rg" w:hAnsi="Vodafone Rg"/>
        </w:rPr>
      </w:pPr>
      <w:r w:rsidRPr="00956E60">
        <w:rPr>
          <w:rFonts w:ascii="Vodafone Rg" w:hAnsi="Vodafone Rg"/>
        </w:rPr>
        <w:t xml:space="preserve">Update the server/s CI Record </w:t>
      </w:r>
    </w:p>
    <w:p w14:paraId="5BEFB2DE" w14:textId="45E990AB" w:rsidR="00E713F0" w:rsidRDefault="008C378F" w:rsidP="00F71D1C">
      <w:pPr>
        <w:pStyle w:val="ListParagraph"/>
        <w:numPr>
          <w:ilvl w:val="0"/>
          <w:numId w:val="8"/>
        </w:numPr>
        <w:rPr>
          <w:rFonts w:ascii="Vodafone Rg" w:hAnsi="Vodafone Rg"/>
        </w:rPr>
      </w:pPr>
      <w:r>
        <w:rPr>
          <w:rFonts w:ascii="Vodafone Rg" w:hAnsi="Vodafone Rg"/>
        </w:rPr>
        <w:t>Accept or Reject the Request / Change task to decommission</w:t>
      </w:r>
    </w:p>
    <w:p w14:paraId="3CB96846" w14:textId="163F3FA7" w:rsidR="00553DE6" w:rsidRDefault="00553DE6" w:rsidP="00F71D1C">
      <w:pPr>
        <w:pStyle w:val="ListParagraph"/>
        <w:numPr>
          <w:ilvl w:val="0"/>
          <w:numId w:val="8"/>
        </w:numPr>
        <w:rPr>
          <w:rFonts w:ascii="Vodafone Rg" w:hAnsi="Vodafone Rg"/>
        </w:rPr>
      </w:pPr>
      <w:r>
        <w:rPr>
          <w:rFonts w:ascii="Vodafone Rg" w:hAnsi="Vodafone Rg"/>
        </w:rPr>
        <w:t>Communicate any rejections</w:t>
      </w:r>
      <w:r w:rsidR="00FC2AAF">
        <w:rPr>
          <w:rFonts w:ascii="Vodafone Rg" w:hAnsi="Vodafone Rg"/>
        </w:rPr>
        <w:t xml:space="preserve"> or the</w:t>
      </w:r>
      <w:r>
        <w:rPr>
          <w:rFonts w:ascii="Vodafone Rg" w:hAnsi="Vodafone Rg"/>
        </w:rPr>
        <w:t xml:space="preserve"> change </w:t>
      </w:r>
      <w:r w:rsidR="00E9056C">
        <w:rPr>
          <w:rFonts w:ascii="Vodafone Rg" w:hAnsi="Vodafone Rg"/>
        </w:rPr>
        <w:t>Office or requester</w:t>
      </w:r>
    </w:p>
    <w:p w14:paraId="22A62ABC" w14:textId="40A358C8" w:rsidR="00FC2AAF" w:rsidRDefault="00FC2AAF" w:rsidP="00F71D1C">
      <w:pPr>
        <w:pStyle w:val="ListParagraph"/>
        <w:numPr>
          <w:ilvl w:val="0"/>
          <w:numId w:val="8"/>
        </w:numPr>
        <w:rPr>
          <w:rFonts w:ascii="Vodafone Rg" w:hAnsi="Vodafone Rg"/>
        </w:rPr>
      </w:pPr>
      <w:r>
        <w:rPr>
          <w:rFonts w:ascii="Vodafone Rg" w:hAnsi="Vodafone Rg"/>
        </w:rPr>
        <w:t>Communicate any other anomalies to the change office</w:t>
      </w:r>
    </w:p>
    <w:p w14:paraId="0A63E98B" w14:textId="4B836C8A" w:rsidR="00E713F0" w:rsidRDefault="00E713F0" w:rsidP="00E713F0">
      <w:pPr>
        <w:pStyle w:val="ListParagraph"/>
        <w:ind w:left="0"/>
        <w:rPr>
          <w:rFonts w:ascii="Vodafone Rg" w:hAnsi="Vodafone Rg"/>
        </w:rPr>
      </w:pPr>
    </w:p>
    <w:p w14:paraId="4EB72732" w14:textId="38328702" w:rsidR="00553DE6" w:rsidRDefault="00553DE6" w:rsidP="00E713F0">
      <w:pPr>
        <w:pStyle w:val="ListParagraph"/>
        <w:ind w:left="0"/>
        <w:rPr>
          <w:rFonts w:ascii="Vodafone Rg" w:hAnsi="Vodafone Rg"/>
        </w:rPr>
      </w:pPr>
    </w:p>
    <w:p w14:paraId="6F0BE0D0" w14:textId="11B6B737" w:rsidR="00E9056C" w:rsidRPr="00676F87" w:rsidRDefault="00DA1174" w:rsidP="00E713F0">
      <w:pPr>
        <w:pStyle w:val="ListParagraph"/>
        <w:ind w:left="0"/>
        <w:rPr>
          <w:rFonts w:ascii="Vodafone Rg" w:hAnsi="Vodafone Rg"/>
        </w:rPr>
      </w:pPr>
      <w:r w:rsidRPr="00DA1174">
        <w:rPr>
          <w:rFonts w:ascii="Vodafone Rg" w:hAnsi="Vodafone Rg"/>
          <w:b/>
        </w:rPr>
        <w:t xml:space="preserve"> </w:t>
      </w:r>
    </w:p>
    <w:p w14:paraId="58C15826" w14:textId="3DEC00C6" w:rsidR="008D4BC7" w:rsidRDefault="008D4BC7" w:rsidP="00334C34">
      <w:pPr>
        <w:pStyle w:val="Heading10"/>
        <w:jc w:val="left"/>
        <w:rPr>
          <w:rFonts w:ascii="Vodafone Rg" w:hAnsi="Vodafone Rg"/>
        </w:rPr>
      </w:pPr>
      <w:bookmarkStart w:id="25" w:name="_Toc515427606"/>
      <w:r w:rsidRPr="00676F87">
        <w:rPr>
          <w:rFonts w:ascii="Vodafone Rg" w:hAnsi="Vodafone Rg"/>
        </w:rPr>
        <w:t xml:space="preserve">DETAILED </w:t>
      </w:r>
      <w:r w:rsidR="00F13A28">
        <w:rPr>
          <w:rFonts w:ascii="Vodafone Rg" w:hAnsi="Vodafone Rg"/>
        </w:rPr>
        <w:t xml:space="preserve">CHANGE REQUESTER </w:t>
      </w:r>
      <w:r w:rsidRPr="00676F87">
        <w:rPr>
          <w:rFonts w:ascii="Vodafone Rg" w:hAnsi="Vodafone Rg"/>
        </w:rPr>
        <w:t>PROCESS</w:t>
      </w:r>
      <w:bookmarkEnd w:id="25"/>
    </w:p>
    <w:p w14:paraId="0C5F8153" w14:textId="7DBA4BCF" w:rsidR="00E459BC" w:rsidRPr="00F71D1C" w:rsidRDefault="00F71D1C" w:rsidP="00E459BC">
      <w:pPr>
        <w:pStyle w:val="BodyText1"/>
        <w:rPr>
          <w:i/>
        </w:rPr>
      </w:pPr>
      <w:proofErr w:type="gramStart"/>
      <w:r w:rsidRPr="00F71D1C">
        <w:rPr>
          <w:b/>
        </w:rPr>
        <w:t>Note</w:t>
      </w:r>
      <w:r>
        <w:t xml:space="preserve"> :</w:t>
      </w:r>
      <w:proofErr w:type="gramEnd"/>
      <w:r>
        <w:t xml:space="preserve">  </w:t>
      </w:r>
      <w:r w:rsidRPr="00F71D1C">
        <w:rPr>
          <w:i/>
        </w:rPr>
        <w:t>Please communicate with Change management Office if you have any Questions to the process below.</w:t>
      </w:r>
    </w:p>
    <w:bookmarkEnd w:id="5"/>
    <w:bookmarkEnd w:id="6"/>
    <w:bookmarkEnd w:id="7"/>
    <w:bookmarkEnd w:id="8"/>
    <w:bookmarkEnd w:id="9"/>
    <w:bookmarkEnd w:id="10"/>
    <w:bookmarkEnd w:id="11"/>
    <w:bookmarkEnd w:id="12"/>
    <w:p w14:paraId="03B75F25" w14:textId="6D032BA6" w:rsidR="00F71D1C" w:rsidRDefault="00F71D1C" w:rsidP="00F71D1C">
      <w:pPr>
        <w:pStyle w:val="BodyText1"/>
      </w:pPr>
    </w:p>
    <w:p w14:paraId="0E5A8BD9" w14:textId="77777777" w:rsidR="00F71D1C" w:rsidRDefault="00F71D1C" w:rsidP="00F71D1C">
      <w:pPr>
        <w:spacing w:before="240" w:after="120"/>
        <w:rPr>
          <w:rFonts w:ascii="Calibri" w:hAnsi="Calibri"/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</w:rPr>
        <w:t>There are two key steps in Remedy for submitting a change request to decommission a server.</w:t>
      </w:r>
    </w:p>
    <w:tbl>
      <w:tblPr>
        <w:tblW w:w="0" w:type="auto"/>
        <w:tblInd w:w="4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3"/>
      </w:tblGrid>
      <w:tr w:rsidR="00F71D1C" w14:paraId="37045B87" w14:textId="77777777" w:rsidTr="00F71D1C">
        <w:trPr>
          <w:trHeight w:val="2180"/>
        </w:trPr>
        <w:tc>
          <w:tcPr>
            <w:tcW w:w="10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3BBCE" w14:textId="77777777" w:rsidR="00F71D1C" w:rsidRDefault="00F71D1C" w:rsidP="00F71D1C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contextualSpacing w:val="0"/>
              <w:jc w:val="left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lastRenderedPageBreak/>
              <w:t>Using the Correct Change Template:</w:t>
            </w:r>
          </w:p>
          <w:p w14:paraId="04389B9E" w14:textId="77777777" w:rsidR="00F71D1C" w:rsidRDefault="00F71D1C" w:rsidP="00F71D1C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Use the Remedy Change Template, “</w:t>
            </w:r>
            <w:r>
              <w:rPr>
                <w:b/>
                <w:bCs/>
                <w:i/>
                <w:iCs/>
                <w:color w:val="00B0F0"/>
                <w:sz w:val="21"/>
                <w:szCs w:val="21"/>
              </w:rPr>
              <w:t>Server Infrastructure &gt;&gt; Decommission &gt;&gt; Decommission Server</w:t>
            </w:r>
            <w:r>
              <w:rPr>
                <w:i/>
                <w:iCs/>
                <w:color w:val="000000"/>
                <w:sz w:val="21"/>
                <w:szCs w:val="21"/>
              </w:rPr>
              <w:t>”</w:t>
            </w:r>
          </w:p>
          <w:p w14:paraId="0AB69E58" w14:textId="77777777" w:rsidR="00F71D1C" w:rsidRDefault="00F71D1C">
            <w:pPr>
              <w:pStyle w:val="ListParagraph"/>
              <w:ind w:left="1080"/>
              <w:rPr>
                <w:color w:val="000000"/>
                <w:sz w:val="21"/>
                <w:szCs w:val="21"/>
              </w:rPr>
            </w:pPr>
            <w:r>
              <w:rPr>
                <w:i/>
                <w:iCs/>
                <w:color w:val="000000"/>
                <w:sz w:val="21"/>
                <w:szCs w:val="21"/>
              </w:rPr>
              <w:t> </w:t>
            </w:r>
            <w:r>
              <w:rPr>
                <w:color w:val="000000"/>
                <w:sz w:val="21"/>
                <w:szCs w:val="21"/>
              </w:rPr>
              <w:t xml:space="preserve">(See </w:t>
            </w:r>
            <w:r>
              <w:rPr>
                <w:color w:val="000000"/>
                <w:sz w:val="21"/>
                <w:szCs w:val="21"/>
                <w:u w:val="single"/>
              </w:rPr>
              <w:t>Snapshot 1</w:t>
            </w:r>
            <w:r>
              <w:rPr>
                <w:color w:val="000000"/>
                <w:sz w:val="21"/>
                <w:szCs w:val="21"/>
              </w:rPr>
              <w:t xml:space="preserve"> below)</w:t>
            </w:r>
          </w:p>
          <w:p w14:paraId="1AE55450" w14:textId="77777777" w:rsidR="00F71D1C" w:rsidRDefault="00F71D1C" w:rsidP="00F71D1C">
            <w:pPr>
              <w:pStyle w:val="ListParagraph"/>
              <w:numPr>
                <w:ilvl w:val="0"/>
                <w:numId w:val="11"/>
              </w:numPr>
              <w:spacing w:before="120" w:line="240" w:lineRule="auto"/>
              <w:contextualSpacing w:val="0"/>
              <w:jc w:val="left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Relating the Correct CI</w:t>
            </w:r>
          </w:p>
          <w:p w14:paraId="6AE03955" w14:textId="77777777" w:rsidR="00F71D1C" w:rsidRDefault="00F71D1C" w:rsidP="00F71D1C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 xml:space="preserve">When relating the Configuration Item to the change request it is important to select the </w:t>
            </w:r>
            <w:r>
              <w:rPr>
                <w:color w:val="000000"/>
                <w:sz w:val="21"/>
                <w:szCs w:val="21"/>
                <w:u w:val="single"/>
              </w:rPr>
              <w:t>correct server name</w:t>
            </w:r>
            <w:r>
              <w:rPr>
                <w:color w:val="000000"/>
                <w:sz w:val="21"/>
                <w:szCs w:val="21"/>
              </w:rPr>
              <w:t>. If the incorrect server is chosen, the incorrect server will be disabled in the CMDB, technology scans and other processes.</w:t>
            </w:r>
          </w:p>
        </w:tc>
      </w:tr>
    </w:tbl>
    <w:p w14:paraId="3D382861" w14:textId="77777777" w:rsidR="00F71D1C" w:rsidRDefault="00F71D1C" w:rsidP="00F71D1C">
      <w:pPr>
        <w:spacing w:before="120"/>
        <w:ind w:left="720"/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Snapshot 1</w:t>
      </w:r>
    </w:p>
    <w:p w14:paraId="2E71DF04" w14:textId="1D0DCD9E" w:rsidR="00F71D1C" w:rsidRDefault="00F71D1C" w:rsidP="00F71D1C">
      <w:pPr>
        <w:ind w:left="720"/>
        <w:rPr>
          <w:b/>
          <w:bCs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689745B8" wp14:editId="6F90B21C">
            <wp:extent cx="5314950" cy="3952875"/>
            <wp:effectExtent l="0" t="0" r="0" b="9525"/>
            <wp:docPr id="9" name="Picture 9" descr="cid:image002.jpg@01D45690.E6BF6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jpg@01D45690.E6BF67D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64C2" w14:textId="77777777" w:rsidR="00F71D1C" w:rsidRDefault="00F71D1C" w:rsidP="00F71D1C">
      <w:pPr>
        <w:rPr>
          <w:color w:val="000000"/>
          <w:sz w:val="24"/>
          <w:szCs w:val="24"/>
        </w:rPr>
      </w:pPr>
    </w:p>
    <w:p w14:paraId="5C8C0258" w14:textId="6BC0884F" w:rsidR="00F71D1C" w:rsidRDefault="00F71D1C" w:rsidP="008F2F65">
      <w:pPr>
        <w:rPr>
          <w:b/>
          <w:bCs/>
          <w:color w:val="000000"/>
          <w:sz w:val="24"/>
          <w:szCs w:val="24"/>
          <w:lang w:val="en-ZA"/>
        </w:rPr>
      </w:pPr>
      <w:r>
        <w:rPr>
          <w:b/>
          <w:bCs/>
          <w:color w:val="000000"/>
          <w:sz w:val="24"/>
          <w:szCs w:val="24"/>
        </w:rPr>
        <w:t xml:space="preserve">Please note below, besides CMDB updates, there may be some tasks related to decommissioning which </w:t>
      </w:r>
      <w:bookmarkStart w:id="26" w:name="_GoBack"/>
      <w:bookmarkEnd w:id="26"/>
      <w:r>
        <w:rPr>
          <w:b/>
          <w:bCs/>
          <w:color w:val="000000"/>
          <w:sz w:val="24"/>
          <w:szCs w:val="24"/>
        </w:rPr>
        <w:t xml:space="preserve">must be </w:t>
      </w:r>
      <w:r>
        <w:rPr>
          <w:b/>
          <w:bCs/>
          <w:color w:val="000000"/>
          <w:sz w:val="24"/>
          <w:szCs w:val="24"/>
          <w:lang w:val="en-ZA"/>
        </w:rPr>
        <w:t xml:space="preserve">driven by the server owner/administrator as is there is no automated decommissioning process driver in place. </w:t>
      </w:r>
    </w:p>
    <w:tbl>
      <w:tblPr>
        <w:tblW w:w="0" w:type="auto"/>
        <w:tblInd w:w="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1"/>
      </w:tblGrid>
      <w:tr w:rsidR="00F71D1C" w14:paraId="443B7D63" w14:textId="77777777" w:rsidTr="00F71D1C">
        <w:trPr>
          <w:trHeight w:val="6011"/>
        </w:trPr>
        <w:tc>
          <w:tcPr>
            <w:tcW w:w="10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2D39F" w14:textId="77777777"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lastRenderedPageBreak/>
              <w:t xml:space="preserve">Informing affected stakeholders to update relevant Systems and Databases </w:t>
            </w:r>
          </w:p>
          <w:p w14:paraId="58BD3295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Topology, Inventory, Asset Management, Configuration Management and BCM/DRP etc.</w:t>
            </w:r>
          </w:p>
          <w:p w14:paraId="6D4A6455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IT, Billing, Finance and Procurement Databases.</w:t>
            </w:r>
          </w:p>
          <w:p w14:paraId="59F7F86E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Third Parties (Updating support contracts, SLAs and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BoQs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).</w:t>
            </w:r>
          </w:p>
          <w:p w14:paraId="19026F00" w14:textId="77777777"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CMDB/Remedy updates (Incident, Change, Asset Management </w:t>
            </w:r>
            <w:proofErr w:type="spellStart"/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etc</w:t>
            </w:r>
            <w:proofErr w:type="spellEnd"/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)</w:t>
            </w:r>
          </w:p>
          <w:p w14:paraId="0D692114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Ensuring that CI’s are recorded as obsolete</w:t>
            </w:r>
          </w:p>
          <w:p w14:paraId="1526BA16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Removing redundant CI Approval and Notification Groups</w:t>
            </w:r>
          </w:p>
          <w:p w14:paraId="09BD8BDA" w14:textId="77777777"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Removing configuration references of the decommissioned server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from other infrastructure/applications/databases (i.e. upstream/downstream, peer-peer, network/element management systems).</w:t>
            </w:r>
          </w:p>
          <w:p w14:paraId="47AAE3F7" w14:textId="77777777"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License Management</w:t>
            </w:r>
          </w:p>
          <w:p w14:paraId="01F8564C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Updating License Management Systems and/or Library </w:t>
            </w:r>
          </w:p>
          <w:p w14:paraId="2F1353BD" w14:textId="77777777"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IP Management</w:t>
            </w:r>
          </w:p>
          <w:p w14:paraId="138040FF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Management of IP Resources (Ranges), DNS maintenance</w:t>
            </w:r>
          </w:p>
          <w:p w14:paraId="3A4A3E1E" w14:textId="77777777"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Security Information and Event Management (SIEM)</w:t>
            </w:r>
          </w:p>
          <w:p w14:paraId="4D3DE9AD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Informing the SIEM operations departments (i.e.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ArcSight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Splunk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, etc.) to remove obsolete servers.</w:t>
            </w:r>
          </w:p>
          <w:p w14:paraId="5B3A7773" w14:textId="77777777"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Access Management</w:t>
            </w:r>
          </w:p>
          <w:p w14:paraId="6D055C4E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Informing UAM Support to remove obsoleted ARM Resources</w:t>
            </w:r>
          </w:p>
          <w:p w14:paraId="01B2FAE6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Informing UAM to remove resources from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CyberArk</w:t>
            </w:r>
            <w:proofErr w:type="spellEnd"/>
          </w:p>
          <w:p w14:paraId="4A500606" w14:textId="77777777" w:rsidR="00F71D1C" w:rsidRDefault="00F71D1C" w:rsidP="00F71D1C">
            <w:pPr>
              <w:pStyle w:val="BodyTextCalibri11Tab-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SOX Controls</w:t>
            </w:r>
          </w:p>
          <w:p w14:paraId="7B03DE0F" w14:textId="77777777" w:rsidR="00F71D1C" w:rsidRDefault="00F71D1C" w:rsidP="00F71D1C">
            <w:pPr>
              <w:pStyle w:val="BodyTextCalibri11Tab-"/>
              <w:numPr>
                <w:ilvl w:val="1"/>
                <w:numId w:val="14"/>
              </w:num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Informing the SOX Office of system changes that could influence the controls</w:t>
            </w:r>
          </w:p>
          <w:p w14:paraId="5E6ADA09" w14:textId="77777777" w:rsidR="00F71D1C" w:rsidRDefault="00F71D1C" w:rsidP="00F71D1C">
            <w:pPr>
              <w:pStyle w:val="BodyTextCalibri11Tab-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Etc…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 Other tasks as is relevant to each service area</w:t>
            </w:r>
          </w:p>
        </w:tc>
      </w:tr>
    </w:tbl>
    <w:p w14:paraId="2DAE6549" w14:textId="77777777" w:rsidR="00F71D1C" w:rsidRPr="00F71D1C" w:rsidRDefault="00F71D1C" w:rsidP="00F71D1C">
      <w:pPr>
        <w:pStyle w:val="BodyText1"/>
      </w:pPr>
    </w:p>
    <w:p w14:paraId="472DAE33" w14:textId="242B3540" w:rsidR="00073C9A" w:rsidRDefault="00073C9A" w:rsidP="00073C9A">
      <w:pPr>
        <w:pStyle w:val="BodyText1"/>
      </w:pPr>
    </w:p>
    <w:p w14:paraId="0A67B22E" w14:textId="45906D9E" w:rsidR="0033035D" w:rsidRDefault="0033035D" w:rsidP="009D7717">
      <w:pPr>
        <w:pStyle w:val="BodyText1"/>
      </w:pPr>
    </w:p>
    <w:p w14:paraId="50CA26E8" w14:textId="1461CB15" w:rsidR="0033035D" w:rsidRDefault="0033035D" w:rsidP="009D7717">
      <w:pPr>
        <w:pStyle w:val="BodyText1"/>
      </w:pPr>
    </w:p>
    <w:p w14:paraId="409C2024" w14:textId="77777777" w:rsidR="0033035D" w:rsidRPr="00676F87" w:rsidRDefault="0033035D" w:rsidP="0033035D">
      <w:pPr>
        <w:pStyle w:val="Heading10"/>
        <w:jc w:val="left"/>
        <w:rPr>
          <w:rFonts w:ascii="Vodafone Rg" w:hAnsi="Vodafone Rg"/>
        </w:rPr>
      </w:pPr>
      <w:r w:rsidRPr="00676F87">
        <w:rPr>
          <w:rFonts w:ascii="Vodafone Rg" w:hAnsi="Vodafone Rg"/>
        </w:rPr>
        <w:t>PROCESS RACI</w:t>
      </w:r>
    </w:p>
    <w:p w14:paraId="4089D434" w14:textId="77777777" w:rsidR="0033035D" w:rsidRPr="00676F87" w:rsidRDefault="0033035D" w:rsidP="0033035D">
      <w:pPr>
        <w:pStyle w:val="BodyText1"/>
        <w:jc w:val="left"/>
        <w:rPr>
          <w:rFonts w:ascii="Vodafone Rg" w:hAnsi="Vodafone R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4"/>
        <w:gridCol w:w="1617"/>
        <w:gridCol w:w="1620"/>
        <w:gridCol w:w="1390"/>
        <w:gridCol w:w="3247"/>
        <w:gridCol w:w="1829"/>
      </w:tblGrid>
      <w:tr w:rsidR="0033035D" w:rsidRPr="00676F87" w14:paraId="505251AB" w14:textId="77777777" w:rsidTr="00F63E87">
        <w:tc>
          <w:tcPr>
            <w:tcW w:w="350" w:type="pct"/>
          </w:tcPr>
          <w:p w14:paraId="029EA18A" w14:textId="77777777"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Step#</w:t>
            </w:r>
          </w:p>
        </w:tc>
        <w:tc>
          <w:tcPr>
            <w:tcW w:w="786" w:type="pct"/>
          </w:tcPr>
          <w:p w14:paraId="1AA7EC06" w14:textId="77777777"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Action</w:t>
            </w:r>
          </w:p>
        </w:tc>
        <w:tc>
          <w:tcPr>
            <w:tcW w:w="787" w:type="pct"/>
          </w:tcPr>
          <w:p w14:paraId="37166133" w14:textId="77777777"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Responsible</w:t>
            </w:r>
          </w:p>
        </w:tc>
        <w:tc>
          <w:tcPr>
            <w:tcW w:w="625" w:type="pct"/>
          </w:tcPr>
          <w:p w14:paraId="709BA2CA" w14:textId="77777777"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Accountable</w:t>
            </w:r>
          </w:p>
        </w:tc>
        <w:tc>
          <w:tcPr>
            <w:tcW w:w="1565" w:type="pct"/>
          </w:tcPr>
          <w:p w14:paraId="1DC1013E" w14:textId="77777777"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Consulted</w:t>
            </w:r>
          </w:p>
        </w:tc>
        <w:tc>
          <w:tcPr>
            <w:tcW w:w="887" w:type="pct"/>
          </w:tcPr>
          <w:p w14:paraId="105963B2" w14:textId="77777777" w:rsidR="0033035D" w:rsidRPr="00F71D1C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  <w:b/>
                <w:i/>
              </w:rPr>
            </w:pPr>
            <w:r w:rsidRPr="00F71D1C">
              <w:rPr>
                <w:rFonts w:ascii="Vodafone Rg" w:hAnsi="Vodafone Rg"/>
                <w:b/>
                <w:i/>
              </w:rPr>
              <w:t>Informed</w:t>
            </w:r>
          </w:p>
        </w:tc>
      </w:tr>
      <w:tr w:rsidR="0033035D" w:rsidRPr="00676F87" w14:paraId="4751AF7A" w14:textId="77777777" w:rsidTr="00F63E87">
        <w:tc>
          <w:tcPr>
            <w:tcW w:w="350" w:type="pct"/>
          </w:tcPr>
          <w:p w14:paraId="0113FB32" w14:textId="77777777"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  <w:shd w:val="clear" w:color="auto" w:fill="FFFFFF" w:themeFill="background1"/>
          </w:tcPr>
          <w:p w14:paraId="76985A1E" w14:textId="727841D3" w:rsidR="0033035D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Register the Required change</w:t>
            </w:r>
            <w:r w:rsidR="00F71D1C">
              <w:rPr>
                <w:rFonts w:ascii="Vodafone Rg" w:hAnsi="Vodafone Rg"/>
              </w:rPr>
              <w:t xml:space="preserve"> and Relate all the CI</w:t>
            </w:r>
          </w:p>
        </w:tc>
        <w:tc>
          <w:tcPr>
            <w:tcW w:w="787" w:type="pct"/>
            <w:shd w:val="clear" w:color="auto" w:fill="FFFFFF" w:themeFill="background1"/>
          </w:tcPr>
          <w:p w14:paraId="4DC63081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Requester</w:t>
            </w:r>
          </w:p>
        </w:tc>
        <w:tc>
          <w:tcPr>
            <w:tcW w:w="625" w:type="pct"/>
            <w:shd w:val="clear" w:color="auto" w:fill="FFFFFF" w:themeFill="background1"/>
          </w:tcPr>
          <w:p w14:paraId="473F90C4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  <w:shd w:val="clear" w:color="auto" w:fill="FFFFFF" w:themeFill="background1"/>
          </w:tcPr>
          <w:p w14:paraId="6CA1891D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Requester Line management</w:t>
            </w:r>
          </w:p>
        </w:tc>
        <w:tc>
          <w:tcPr>
            <w:tcW w:w="887" w:type="pct"/>
            <w:shd w:val="clear" w:color="auto" w:fill="FFFFFF" w:themeFill="background1"/>
          </w:tcPr>
          <w:p w14:paraId="0C161C8B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N/A</w:t>
            </w:r>
          </w:p>
        </w:tc>
      </w:tr>
      <w:tr w:rsidR="0033035D" w:rsidRPr="00676F87" w14:paraId="30070043" w14:textId="77777777" w:rsidTr="00F63E87">
        <w:tc>
          <w:tcPr>
            <w:tcW w:w="350" w:type="pct"/>
          </w:tcPr>
          <w:p w14:paraId="23C5B0E4" w14:textId="77777777"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</w:tcPr>
          <w:p w14:paraId="721FDEEF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Approve the change</w:t>
            </w:r>
          </w:p>
        </w:tc>
        <w:tc>
          <w:tcPr>
            <w:tcW w:w="787" w:type="pct"/>
          </w:tcPr>
          <w:p w14:paraId="4BB87B4C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CI Owner or proxy</w:t>
            </w:r>
          </w:p>
        </w:tc>
        <w:tc>
          <w:tcPr>
            <w:tcW w:w="625" w:type="pct"/>
          </w:tcPr>
          <w:p w14:paraId="7F5EF1D7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</w:tcPr>
          <w:p w14:paraId="7870C022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</w:p>
        </w:tc>
        <w:tc>
          <w:tcPr>
            <w:tcW w:w="887" w:type="pct"/>
          </w:tcPr>
          <w:p w14:paraId="1887E272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N/A</w:t>
            </w:r>
          </w:p>
        </w:tc>
      </w:tr>
      <w:tr w:rsidR="0033035D" w:rsidRPr="00676F87" w14:paraId="508BAFB5" w14:textId="77777777" w:rsidTr="00F63E87">
        <w:tc>
          <w:tcPr>
            <w:tcW w:w="350" w:type="pct"/>
          </w:tcPr>
          <w:p w14:paraId="17A1E3CF" w14:textId="77777777"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</w:tcPr>
          <w:p w14:paraId="38AD2B08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Manage risk and Approvals and decommission task</w:t>
            </w:r>
          </w:p>
        </w:tc>
        <w:tc>
          <w:tcPr>
            <w:tcW w:w="787" w:type="pct"/>
          </w:tcPr>
          <w:p w14:paraId="66589989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Office</w:t>
            </w:r>
          </w:p>
        </w:tc>
        <w:tc>
          <w:tcPr>
            <w:tcW w:w="625" w:type="pct"/>
          </w:tcPr>
          <w:p w14:paraId="70070F7B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</w:tcPr>
          <w:p w14:paraId="59E9E568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office</w:t>
            </w:r>
          </w:p>
        </w:tc>
        <w:tc>
          <w:tcPr>
            <w:tcW w:w="887" w:type="pct"/>
          </w:tcPr>
          <w:p w14:paraId="7D12AD34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N/A</w:t>
            </w:r>
          </w:p>
        </w:tc>
      </w:tr>
      <w:tr w:rsidR="0033035D" w:rsidRPr="00676F87" w14:paraId="59AF3EEA" w14:textId="77777777" w:rsidTr="00F63E87">
        <w:tc>
          <w:tcPr>
            <w:tcW w:w="350" w:type="pct"/>
          </w:tcPr>
          <w:p w14:paraId="19E08A7F" w14:textId="77777777"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</w:tcPr>
          <w:p w14:paraId="562DF883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Instruct Configuration Management to change the CI Record after successful decommission</w:t>
            </w:r>
          </w:p>
        </w:tc>
        <w:tc>
          <w:tcPr>
            <w:tcW w:w="787" w:type="pct"/>
          </w:tcPr>
          <w:p w14:paraId="3CA39348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Office</w:t>
            </w:r>
          </w:p>
        </w:tc>
        <w:tc>
          <w:tcPr>
            <w:tcW w:w="625" w:type="pct"/>
          </w:tcPr>
          <w:p w14:paraId="6A55F4E4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</w:tcPr>
          <w:p w14:paraId="7EA0B075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Change office</w:t>
            </w:r>
          </w:p>
        </w:tc>
        <w:tc>
          <w:tcPr>
            <w:tcW w:w="887" w:type="pct"/>
          </w:tcPr>
          <w:p w14:paraId="759E6C57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N/A</w:t>
            </w:r>
          </w:p>
        </w:tc>
      </w:tr>
      <w:tr w:rsidR="0033035D" w:rsidRPr="00676F87" w14:paraId="5D879FC3" w14:textId="77777777" w:rsidTr="00F63E87">
        <w:tc>
          <w:tcPr>
            <w:tcW w:w="350" w:type="pct"/>
          </w:tcPr>
          <w:p w14:paraId="330D73D8" w14:textId="77777777" w:rsidR="0033035D" w:rsidRPr="00676F87" w:rsidRDefault="0033035D" w:rsidP="00F71D1C">
            <w:pPr>
              <w:pStyle w:val="BodyText1"/>
              <w:numPr>
                <w:ilvl w:val="0"/>
                <w:numId w:val="6"/>
              </w:numPr>
              <w:jc w:val="left"/>
              <w:rPr>
                <w:rFonts w:ascii="Vodafone Rg" w:hAnsi="Vodafone Rg"/>
              </w:rPr>
            </w:pPr>
          </w:p>
        </w:tc>
        <w:tc>
          <w:tcPr>
            <w:tcW w:w="786" w:type="pct"/>
          </w:tcPr>
          <w:p w14:paraId="26220155" w14:textId="62FAE972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Dispose the CI</w:t>
            </w:r>
            <w:r w:rsidR="00F71D1C">
              <w:rPr>
                <w:rFonts w:ascii="Vodafone Rg" w:hAnsi="Vodafone Rg"/>
              </w:rPr>
              <w:t xml:space="preserve"> Record</w:t>
            </w:r>
          </w:p>
        </w:tc>
        <w:tc>
          <w:tcPr>
            <w:tcW w:w="787" w:type="pct"/>
          </w:tcPr>
          <w:p w14:paraId="0199E7E2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Configuration Management</w:t>
            </w:r>
          </w:p>
        </w:tc>
        <w:tc>
          <w:tcPr>
            <w:tcW w:w="625" w:type="pct"/>
          </w:tcPr>
          <w:p w14:paraId="08617FF4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Line Manager</w:t>
            </w:r>
          </w:p>
        </w:tc>
        <w:tc>
          <w:tcPr>
            <w:tcW w:w="1565" w:type="pct"/>
          </w:tcPr>
          <w:p w14:paraId="1F76659F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EIT Configuration Management Team</w:t>
            </w:r>
          </w:p>
        </w:tc>
        <w:tc>
          <w:tcPr>
            <w:tcW w:w="887" w:type="pct"/>
          </w:tcPr>
          <w:p w14:paraId="1C2549A9" w14:textId="77777777" w:rsidR="0033035D" w:rsidRPr="00676F87" w:rsidRDefault="0033035D" w:rsidP="00F63E87">
            <w:pPr>
              <w:pStyle w:val="BodyText1"/>
              <w:ind w:left="0"/>
              <w:jc w:val="left"/>
              <w:rPr>
                <w:rFonts w:ascii="Vodafone Rg" w:hAnsi="Vodafone Rg"/>
              </w:rPr>
            </w:pPr>
            <w:r w:rsidRPr="00676F87">
              <w:rPr>
                <w:rFonts w:ascii="Vodafone Rg" w:hAnsi="Vodafone Rg"/>
              </w:rPr>
              <w:t>EIT Configuration Management Team</w:t>
            </w:r>
          </w:p>
        </w:tc>
      </w:tr>
    </w:tbl>
    <w:p w14:paraId="06B8AFF0" w14:textId="77777777" w:rsidR="0033035D" w:rsidRPr="00073C9A" w:rsidRDefault="0033035D" w:rsidP="009D7717">
      <w:pPr>
        <w:pStyle w:val="BodyText1"/>
      </w:pPr>
    </w:p>
    <w:sectPr w:rsidR="0033035D" w:rsidRPr="00073C9A" w:rsidSect="00676F87">
      <w:headerReference w:type="default" r:id="rId13"/>
      <w:footerReference w:type="default" r:id="rId14"/>
      <w:headerReference w:type="first" r:id="rId15"/>
      <w:footerReference w:type="first" r:id="rId16"/>
      <w:type w:val="oddPage"/>
      <w:pgSz w:w="11907" w:h="16840" w:code="9"/>
      <w:pgMar w:top="720" w:right="720" w:bottom="720" w:left="720" w:header="720" w:footer="907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0BCC3" w14:textId="77777777" w:rsidR="005F72A8" w:rsidRDefault="005F72A8" w:rsidP="002D78B4">
      <w:r>
        <w:separator/>
      </w:r>
    </w:p>
  </w:endnote>
  <w:endnote w:type="continuationSeparator" w:id="0">
    <w:p w14:paraId="76DB55AC" w14:textId="77777777" w:rsidR="005F72A8" w:rsidRDefault="005F72A8" w:rsidP="002D78B4">
      <w:r>
        <w:continuationSeparator/>
      </w:r>
    </w:p>
  </w:endnote>
  <w:endnote w:type="continuationNotice" w:id="1">
    <w:p w14:paraId="64168294" w14:textId="77777777" w:rsidR="005F72A8" w:rsidRDefault="005F72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Arial"/>
    <w:charset w:val="00"/>
    <w:family w:val="swiss"/>
    <w:pitch w:val="variable"/>
    <w:sig w:usb0="00000001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0A1DD" w14:textId="77777777" w:rsidR="00676F87" w:rsidRPr="00D10C22" w:rsidRDefault="00676F87" w:rsidP="00676F87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center" w:pos="4253"/>
        <w:tab w:val="right" w:pos="8505"/>
      </w:tabs>
      <w:suppressAutoHyphens/>
      <w:ind w:left="0"/>
      <w:jc w:val="center"/>
      <w:rPr>
        <w:rFonts w:eastAsia="ヒラギノ角ゴ Pro W3"/>
        <w:color w:val="000000"/>
        <w:sz w:val="16"/>
        <w:szCs w:val="16"/>
        <w:lang w:eastAsia="en-ZA"/>
      </w:rPr>
    </w:pPr>
    <w:r w:rsidRPr="00D10C22">
      <w:rPr>
        <w:rFonts w:eastAsia="ヒラギノ角ゴ Pro W3"/>
        <w:color w:val="000000"/>
        <w:sz w:val="16"/>
        <w:szCs w:val="16"/>
        <w:lang w:eastAsia="en-ZA"/>
      </w:rPr>
      <w:t>UNCONTROLLED IF PRINTED OR REPRODUCED IN ANY FORMAT</w:t>
    </w:r>
  </w:p>
  <w:p w14:paraId="535E9771" w14:textId="77777777" w:rsidR="00676F87" w:rsidRPr="006B4C62" w:rsidRDefault="00676F87" w:rsidP="006B4C62">
    <w:pPr>
      <w:tabs>
        <w:tab w:val="center" w:pos="5245"/>
        <w:tab w:val="right" w:pos="10350"/>
      </w:tabs>
      <w:ind w:left="0"/>
      <w:rPr>
        <w:rFonts w:eastAsia="Calibri" w:cs="Arial"/>
        <w:sz w:val="16"/>
        <w:szCs w:val="16"/>
        <w:lang w:val="en-ZA"/>
      </w:rPr>
    </w:pPr>
    <w:r w:rsidRPr="00D10C22">
      <w:rPr>
        <w:rFonts w:eastAsia="Calibri"/>
        <w:sz w:val="16"/>
        <w:szCs w:val="16"/>
        <w:lang w:val="en-ZA"/>
      </w:rPr>
      <w:t>Document Number</w:t>
    </w:r>
    <w:r w:rsidRPr="00D10C22">
      <w:rPr>
        <w:rFonts w:eastAsia="Calibri" w:cs="Arial"/>
        <w:sz w:val="16"/>
        <w:szCs w:val="16"/>
        <w:lang w:val="en-ZA"/>
      </w:rPr>
      <w:t>:</w:t>
    </w:r>
    <w:r w:rsidRPr="00D10C22">
      <w:rPr>
        <w:rFonts w:eastAsia="Calibri" w:cs="Arial"/>
        <w:sz w:val="16"/>
        <w:szCs w:val="16"/>
        <w:lang w:val="en-US"/>
      </w:rPr>
      <w:t xml:space="preserve"> </w:t>
    </w:r>
    <w:r w:rsidRPr="00113014">
      <w:rPr>
        <w:rFonts w:eastAsia="Calibri" w:cs="Arial"/>
        <w:sz w:val="16"/>
        <w:szCs w:val="16"/>
        <w:lang w:val="en-ZA" w:eastAsia="en-ZA"/>
      </w:rPr>
      <w:t>VOD-MAN-PRC-</w:t>
    </w:r>
    <w:r w:rsidR="00BD7D72">
      <w:rPr>
        <w:rFonts w:eastAsia="Calibri" w:cs="Arial"/>
        <w:sz w:val="16"/>
        <w:szCs w:val="16"/>
        <w:lang w:val="en-ZA" w:eastAsia="en-ZA"/>
      </w:rPr>
      <w:t>0488</w:t>
    </w:r>
    <w:r w:rsidRPr="00D10C22">
      <w:rPr>
        <w:rFonts w:eastAsia="Calibri"/>
        <w:sz w:val="16"/>
        <w:szCs w:val="16"/>
        <w:lang w:val="en-ZA"/>
      </w:rPr>
      <w:tab/>
      <w:t xml:space="preserve"> Revision: </w:t>
    </w:r>
    <w:r>
      <w:rPr>
        <w:rFonts w:eastAsia="Calibri"/>
        <w:sz w:val="16"/>
        <w:szCs w:val="16"/>
        <w:lang w:val="en-ZA"/>
      </w:rPr>
      <w:t>2</w:t>
    </w:r>
    <w:r w:rsidRPr="00D10C22">
      <w:rPr>
        <w:rFonts w:eastAsia="Calibri"/>
        <w:sz w:val="16"/>
        <w:szCs w:val="16"/>
        <w:lang w:val="en-ZA"/>
      </w:rPr>
      <w:t xml:space="preserve">.0 </w:t>
    </w:r>
    <w:r w:rsidRPr="00D10C22">
      <w:rPr>
        <w:rFonts w:eastAsia="Calibri"/>
        <w:sz w:val="16"/>
        <w:szCs w:val="16"/>
        <w:lang w:val="en-ZA"/>
      </w:rPr>
      <w:tab/>
      <w:t xml:space="preserve">Owner: </w:t>
    </w:r>
    <w:r w:rsidR="006B4C62" w:rsidRPr="006B4C62">
      <w:rPr>
        <w:rFonts w:eastAsia="Calibri" w:cs="Arial"/>
        <w:sz w:val="16"/>
        <w:szCs w:val="16"/>
        <w:lang w:val="en-ZA"/>
      </w:rPr>
      <w:t>Jannie Pretorius</w:t>
    </w:r>
  </w:p>
  <w:p w14:paraId="6EE4A323" w14:textId="18E45821" w:rsidR="00676F87" w:rsidRPr="00D10C22" w:rsidRDefault="00676F87" w:rsidP="00676F87">
    <w:pPr>
      <w:tabs>
        <w:tab w:val="center" w:pos="5387"/>
        <w:tab w:val="right" w:pos="10350"/>
      </w:tabs>
      <w:suppressAutoHyphens/>
      <w:ind w:left="0"/>
      <w:rPr>
        <w:rFonts w:eastAsia="ヒラギノ角ゴ Pro W3"/>
        <w:color w:val="000000"/>
        <w:sz w:val="16"/>
        <w:szCs w:val="16"/>
        <w:lang w:eastAsia="en-ZA"/>
      </w:rPr>
    </w:pPr>
    <w:r w:rsidRPr="00D10C22">
      <w:rPr>
        <w:rFonts w:eastAsia="ヒラギノ角ゴ Pro W3"/>
        <w:color w:val="000000"/>
        <w:sz w:val="16"/>
        <w:szCs w:val="16"/>
        <w:lang w:eastAsia="en-ZA"/>
      </w:rPr>
      <w:t xml:space="preserve">Title: </w:t>
    </w:r>
    <w:r>
      <w:rPr>
        <w:rFonts w:eastAsia="ヒラギノ角ゴ Pro W3" w:cs="Arial"/>
        <w:color w:val="000000"/>
        <w:sz w:val="16"/>
        <w:szCs w:val="16"/>
        <w:lang w:eastAsia="en-ZA"/>
      </w:rPr>
      <w:t>Decommission Server CI Record</w:t>
    </w:r>
    <w:r w:rsidRPr="00D10C22">
      <w:rPr>
        <w:rFonts w:eastAsia="ヒラギノ角ゴ Pro W3"/>
        <w:color w:val="000000"/>
        <w:sz w:val="16"/>
        <w:szCs w:val="16"/>
        <w:lang w:eastAsia="en-ZA"/>
      </w:rPr>
      <w:tab/>
      <w:t xml:space="preserve">C2 Vodacom Restricted  </w:t>
    </w:r>
    <w:r w:rsidRPr="00D10C22">
      <w:rPr>
        <w:rFonts w:eastAsia="ヒラギノ角ゴ Pro W3"/>
        <w:color w:val="000000"/>
        <w:sz w:val="16"/>
        <w:szCs w:val="16"/>
        <w:lang w:eastAsia="en-ZA"/>
      </w:rPr>
      <w:tab/>
      <w:t xml:space="preserve">Page </w: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begin"/>
    </w:r>
    <w:r w:rsidRPr="00D10C22">
      <w:rPr>
        <w:rFonts w:eastAsia="ヒラギノ角ゴ Pro W3"/>
        <w:color w:val="000000"/>
        <w:sz w:val="16"/>
        <w:szCs w:val="16"/>
        <w:lang w:eastAsia="en-ZA"/>
      </w:rPr>
      <w:instrText xml:space="preserve"> PAGE </w:instrTex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separate"/>
    </w:r>
    <w:r w:rsidR="008F2F65">
      <w:rPr>
        <w:rFonts w:eastAsia="ヒラギノ角ゴ Pro W3"/>
        <w:noProof/>
        <w:color w:val="000000"/>
        <w:sz w:val="16"/>
        <w:szCs w:val="16"/>
        <w:lang w:eastAsia="en-ZA"/>
      </w:rPr>
      <w:t>5</w: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end"/>
    </w:r>
    <w:r w:rsidRPr="00D10C22">
      <w:rPr>
        <w:rFonts w:eastAsia="ヒラギノ角ゴ Pro W3"/>
        <w:color w:val="000000"/>
        <w:sz w:val="16"/>
        <w:szCs w:val="16"/>
        <w:lang w:eastAsia="en-ZA"/>
      </w:rPr>
      <w:t xml:space="preserve"> of </w: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begin"/>
    </w:r>
    <w:r w:rsidRPr="00D10C22">
      <w:rPr>
        <w:rFonts w:eastAsia="ヒラギノ角ゴ Pro W3"/>
        <w:color w:val="000000"/>
        <w:sz w:val="16"/>
        <w:szCs w:val="16"/>
        <w:lang w:eastAsia="en-ZA"/>
      </w:rPr>
      <w:instrText xml:space="preserve"> NUMPAGES </w:instrTex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separate"/>
    </w:r>
    <w:r w:rsidR="008F2F65">
      <w:rPr>
        <w:rFonts w:eastAsia="ヒラギノ角ゴ Pro W3"/>
        <w:noProof/>
        <w:color w:val="000000"/>
        <w:sz w:val="16"/>
        <w:szCs w:val="16"/>
        <w:lang w:eastAsia="en-ZA"/>
      </w:rPr>
      <w:t>6</w:t>
    </w:r>
    <w:r w:rsidRPr="00D10C22">
      <w:rPr>
        <w:rFonts w:eastAsia="ヒラギノ角ゴ Pro W3"/>
        <w:color w:val="000000"/>
        <w:sz w:val="16"/>
        <w:szCs w:val="16"/>
        <w:lang w:eastAsia="en-Z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66E26" w14:textId="77777777" w:rsidR="008B3D69" w:rsidRDefault="008B3D69" w:rsidP="002D78B4">
    <w:pPr>
      <w:pStyle w:val="Footer"/>
    </w:pPr>
    <w:r>
      <w:t xml:space="preserve">Document number: </w:t>
    </w:r>
    <w:r>
      <w:fldChar w:fldCharType="begin"/>
    </w:r>
    <w:r>
      <w:instrText xml:space="preserve"> SUBJECT  \* MERGEFORMAT </w:instrText>
    </w:r>
    <w:r>
      <w:fldChar w:fldCharType="end"/>
    </w:r>
    <w:r>
      <w:tab/>
      <w:t xml:space="preserve">Revision: </w:t>
    </w:r>
    <w:r w:rsidR="005F72A8">
      <w:fldChar w:fldCharType="begin"/>
    </w:r>
    <w:r w:rsidR="005F72A8">
      <w:instrText xml:space="preserve"> COMMENTS  \* MERGEFORMAT </w:instrText>
    </w:r>
    <w:r w:rsidR="005F72A8">
      <w:fldChar w:fldCharType="separate"/>
    </w:r>
    <w:r>
      <w:t>1</w:t>
    </w:r>
    <w:r w:rsidR="005F72A8">
      <w:fldChar w:fldCharType="end"/>
    </w:r>
    <w:r>
      <w:tab/>
      <w:t>Owner: Glen Olivier</w:t>
    </w:r>
  </w:p>
  <w:p w14:paraId="645C8204" w14:textId="77777777" w:rsidR="008B3D69" w:rsidRDefault="008B3D69" w:rsidP="002D78B4">
    <w:pPr>
      <w:pStyle w:val="Footer"/>
      <w:rPr>
        <w:rStyle w:val="PageNumber"/>
      </w:rPr>
    </w:pPr>
    <w:r>
      <w:t xml:space="preserve">Title: 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TITLE </w:instrText>
    </w:r>
    <w:r>
      <w:rPr>
        <w:rStyle w:val="PageNumber"/>
        <w:b/>
      </w:rPr>
      <w:fldChar w:fldCharType="separate"/>
    </w:r>
    <w:r>
      <w:rPr>
        <w:rStyle w:val="PageNumber"/>
        <w:b/>
      </w:rPr>
      <w:t>One Number Pre-Conversion Check Procedure</w:t>
    </w:r>
    <w:r>
      <w:rPr>
        <w:rStyle w:val="PageNumber"/>
        <w:b/>
      </w:rPr>
      <w:fldChar w:fldCharType="end"/>
    </w:r>
    <w:r>
      <w:rPr>
        <w:rStyle w:val="PageNumber"/>
        <w:b/>
      </w:rPr>
      <w:tab/>
    </w:r>
    <w:r>
      <w:rPr>
        <w:rStyle w:val="PageNumber"/>
        <w:b/>
      </w:rPr>
      <w:tab/>
    </w:r>
    <w:r>
      <w:rPr>
        <w:rStyle w:val="PageNumber"/>
        <w:b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D00C4" w14:textId="77777777" w:rsidR="005F72A8" w:rsidRDefault="005F72A8" w:rsidP="002D78B4">
      <w:r>
        <w:separator/>
      </w:r>
    </w:p>
  </w:footnote>
  <w:footnote w:type="continuationSeparator" w:id="0">
    <w:p w14:paraId="410EF1C5" w14:textId="77777777" w:rsidR="005F72A8" w:rsidRDefault="005F72A8" w:rsidP="002D78B4">
      <w:r>
        <w:continuationSeparator/>
      </w:r>
    </w:p>
  </w:footnote>
  <w:footnote w:type="continuationNotice" w:id="1">
    <w:p w14:paraId="3054372B" w14:textId="77777777" w:rsidR="005F72A8" w:rsidRDefault="005F72A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41B7D" w14:textId="77777777" w:rsidR="00676F87" w:rsidRPr="00AC2649" w:rsidRDefault="00676F87" w:rsidP="00676F87">
    <w:pPr>
      <w:pStyle w:val="Header"/>
      <w:ind w:left="108"/>
    </w:pPr>
    <w:r w:rsidRPr="00AC2649">
      <w:rPr>
        <w:b/>
        <w:noProof/>
        <w:sz w:val="26"/>
        <w:szCs w:val="26"/>
        <w:lang w:val="en-US"/>
      </w:rPr>
      <w:drawing>
        <wp:anchor distT="0" distB="0" distL="114300" distR="114300" simplePos="0" relativeHeight="251658752" behindDoc="0" locked="0" layoutInCell="1" allowOverlap="1" wp14:anchorId="2FF8C1BB" wp14:editId="0CFDFED8">
          <wp:simplePos x="0" y="0"/>
          <wp:positionH relativeFrom="column">
            <wp:posOffset>5981700</wp:posOffset>
          </wp:positionH>
          <wp:positionV relativeFrom="page">
            <wp:posOffset>313055</wp:posOffset>
          </wp:positionV>
          <wp:extent cx="476885" cy="476885"/>
          <wp:effectExtent l="0" t="0" r="0" b="0"/>
          <wp:wrapThrough wrapText="bothSides">
            <wp:wrapPolygon edited="0">
              <wp:start x="4314" y="0"/>
              <wp:lineTo x="0" y="4314"/>
              <wp:lineTo x="0" y="16394"/>
              <wp:lineTo x="4314" y="20708"/>
              <wp:lineTo x="16394" y="20708"/>
              <wp:lineTo x="20708" y="16394"/>
              <wp:lineTo x="20708" y="4314"/>
              <wp:lineTo x="16394" y="0"/>
              <wp:lineTo x="4314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2649">
      <w:rPr>
        <w:b/>
        <w:sz w:val="40"/>
        <w:szCs w:val="40"/>
      </w:rPr>
      <w:tab/>
    </w:r>
  </w:p>
  <w:p w14:paraId="19AF563E" w14:textId="77777777" w:rsidR="008B3D69" w:rsidRPr="00676F87" w:rsidRDefault="008B3D69" w:rsidP="00676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46BFC" w14:textId="77777777" w:rsidR="008B3D69" w:rsidRDefault="008B3D69" w:rsidP="002D78B4">
    <w:pPr>
      <w:pStyle w:val="Header"/>
    </w:pPr>
    <w:r>
      <w:rPr>
        <w:noProof/>
        <w:lang w:val="en-US"/>
      </w:rPr>
      <w:drawing>
        <wp:inline distT="0" distB="0" distL="0" distR="0" wp14:anchorId="7B25073A" wp14:editId="7B25073B">
          <wp:extent cx="914400" cy="44767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0" allowOverlap="1" wp14:anchorId="7B25073C" wp14:editId="7B25073D">
          <wp:simplePos x="0" y="0"/>
          <wp:positionH relativeFrom="column">
            <wp:posOffset>2005330</wp:posOffset>
          </wp:positionH>
          <wp:positionV relativeFrom="paragraph">
            <wp:posOffset>4684395</wp:posOffset>
          </wp:positionV>
          <wp:extent cx="2524760" cy="2159000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760" cy="215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RESTRICTED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7FBC"/>
    <w:multiLevelType w:val="hybridMultilevel"/>
    <w:tmpl w:val="B5006A4E"/>
    <w:lvl w:ilvl="0" w:tplc="D94E233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6ABA"/>
    <w:multiLevelType w:val="hybridMultilevel"/>
    <w:tmpl w:val="F612C778"/>
    <w:lvl w:ilvl="0" w:tplc="12D240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59AD"/>
    <w:multiLevelType w:val="hybridMultilevel"/>
    <w:tmpl w:val="B5006A4E"/>
    <w:lvl w:ilvl="0" w:tplc="D94E233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247E"/>
    <w:multiLevelType w:val="hybridMultilevel"/>
    <w:tmpl w:val="BCBE4F06"/>
    <w:lvl w:ilvl="0" w:tplc="7AD4B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C1B44"/>
    <w:multiLevelType w:val="singleLevel"/>
    <w:tmpl w:val="47B439DC"/>
    <w:lvl w:ilvl="0">
      <w:numFmt w:val="bullet"/>
      <w:pStyle w:val="Stand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3A2C6B32"/>
    <w:multiLevelType w:val="hybridMultilevel"/>
    <w:tmpl w:val="4E9623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967C9"/>
    <w:multiLevelType w:val="hybridMultilevel"/>
    <w:tmpl w:val="9AA40F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C51749"/>
    <w:multiLevelType w:val="multilevel"/>
    <w:tmpl w:val="D0AA8CD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B8B1C97"/>
    <w:multiLevelType w:val="hybridMultilevel"/>
    <w:tmpl w:val="1CB83A96"/>
    <w:lvl w:ilvl="0" w:tplc="1C090005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B964B188">
      <w:start w:val="1"/>
      <w:numFmt w:val="bullet"/>
      <w:lvlText w:val="­"/>
      <w:lvlJc w:val="left"/>
      <w:pPr>
        <w:ind w:left="1224" w:hanging="504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</w:abstractNum>
  <w:abstractNum w:abstractNumId="9" w15:restartNumberingAfterBreak="0">
    <w:nsid w:val="62DE3A3B"/>
    <w:multiLevelType w:val="multilevel"/>
    <w:tmpl w:val="81DEBBF8"/>
    <w:lvl w:ilvl="0">
      <w:start w:val="1"/>
      <w:numFmt w:val="decimal"/>
      <w:pStyle w:val="Heading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317793F"/>
    <w:multiLevelType w:val="multilevel"/>
    <w:tmpl w:val="E158B30C"/>
    <w:lvl w:ilvl="0">
      <w:start w:val="1"/>
      <w:numFmt w:val="decimal"/>
      <w:pStyle w:val="heading2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C977FBA"/>
    <w:multiLevelType w:val="hybridMultilevel"/>
    <w:tmpl w:val="AB4C1CF4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12AFF"/>
    <w:multiLevelType w:val="hybridMultilevel"/>
    <w:tmpl w:val="81E2524A"/>
    <w:lvl w:ilvl="0" w:tplc="1C090005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D688A386">
      <w:start w:val="1"/>
      <w:numFmt w:val="bullet"/>
      <w:lvlText w:val="­"/>
      <w:lvlJc w:val="left"/>
      <w:pPr>
        <w:ind w:left="864" w:hanging="432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7YwMzU1MTEwMTJW0lEKTi0uzszPAykwrAUAQYU1VCwAAAA="/>
  </w:docVars>
  <w:rsids>
    <w:rsidRoot w:val="004F3BAE"/>
    <w:rsid w:val="000003F1"/>
    <w:rsid w:val="0000557F"/>
    <w:rsid w:val="00007AF0"/>
    <w:rsid w:val="00011921"/>
    <w:rsid w:val="00011E68"/>
    <w:rsid w:val="00012946"/>
    <w:rsid w:val="00013C0D"/>
    <w:rsid w:val="00015593"/>
    <w:rsid w:val="00016F70"/>
    <w:rsid w:val="00022F34"/>
    <w:rsid w:val="000312EE"/>
    <w:rsid w:val="00031F7A"/>
    <w:rsid w:val="0003429B"/>
    <w:rsid w:val="00034532"/>
    <w:rsid w:val="0004186A"/>
    <w:rsid w:val="00043E80"/>
    <w:rsid w:val="00056828"/>
    <w:rsid w:val="000627AA"/>
    <w:rsid w:val="00073C9A"/>
    <w:rsid w:val="00081317"/>
    <w:rsid w:val="000816B9"/>
    <w:rsid w:val="000840CE"/>
    <w:rsid w:val="00085F24"/>
    <w:rsid w:val="000900AF"/>
    <w:rsid w:val="00093BA7"/>
    <w:rsid w:val="00094887"/>
    <w:rsid w:val="000A3EF9"/>
    <w:rsid w:val="000A5EB0"/>
    <w:rsid w:val="000A758D"/>
    <w:rsid w:val="000B31DF"/>
    <w:rsid w:val="000B4592"/>
    <w:rsid w:val="000B565B"/>
    <w:rsid w:val="000B65A3"/>
    <w:rsid w:val="000C5469"/>
    <w:rsid w:val="000C557B"/>
    <w:rsid w:val="000C6CA0"/>
    <w:rsid w:val="000C6EAA"/>
    <w:rsid w:val="000C7B5E"/>
    <w:rsid w:val="000D0041"/>
    <w:rsid w:val="000D0533"/>
    <w:rsid w:val="000D4665"/>
    <w:rsid w:val="000D7732"/>
    <w:rsid w:val="000E04C6"/>
    <w:rsid w:val="000E1FBB"/>
    <w:rsid w:val="000E260F"/>
    <w:rsid w:val="000E277D"/>
    <w:rsid w:val="000E74A6"/>
    <w:rsid w:val="000F1152"/>
    <w:rsid w:val="000F1E01"/>
    <w:rsid w:val="000F304E"/>
    <w:rsid w:val="000F4140"/>
    <w:rsid w:val="00100DA5"/>
    <w:rsid w:val="00101580"/>
    <w:rsid w:val="00102B82"/>
    <w:rsid w:val="00103E1E"/>
    <w:rsid w:val="00103E46"/>
    <w:rsid w:val="00104DC8"/>
    <w:rsid w:val="00111BCB"/>
    <w:rsid w:val="00112FAC"/>
    <w:rsid w:val="0011706E"/>
    <w:rsid w:val="0012061A"/>
    <w:rsid w:val="00121361"/>
    <w:rsid w:val="00122DCA"/>
    <w:rsid w:val="001237F1"/>
    <w:rsid w:val="00132C7D"/>
    <w:rsid w:val="00144C05"/>
    <w:rsid w:val="001457DC"/>
    <w:rsid w:val="0014680D"/>
    <w:rsid w:val="00150A7E"/>
    <w:rsid w:val="00153FA8"/>
    <w:rsid w:val="00161808"/>
    <w:rsid w:val="00161F13"/>
    <w:rsid w:val="00163069"/>
    <w:rsid w:val="00165C4A"/>
    <w:rsid w:val="00167EAD"/>
    <w:rsid w:val="00173050"/>
    <w:rsid w:val="001760D3"/>
    <w:rsid w:val="00181423"/>
    <w:rsid w:val="00181AC5"/>
    <w:rsid w:val="00182944"/>
    <w:rsid w:val="00182A72"/>
    <w:rsid w:val="0018519D"/>
    <w:rsid w:val="00185FF6"/>
    <w:rsid w:val="00186070"/>
    <w:rsid w:val="00187609"/>
    <w:rsid w:val="001925A4"/>
    <w:rsid w:val="00195949"/>
    <w:rsid w:val="00195E3A"/>
    <w:rsid w:val="00196892"/>
    <w:rsid w:val="00197DF7"/>
    <w:rsid w:val="00197FB4"/>
    <w:rsid w:val="001A140F"/>
    <w:rsid w:val="001A16BA"/>
    <w:rsid w:val="001A50E3"/>
    <w:rsid w:val="001A5E3A"/>
    <w:rsid w:val="001A5ECE"/>
    <w:rsid w:val="001B055B"/>
    <w:rsid w:val="001B610F"/>
    <w:rsid w:val="001B7486"/>
    <w:rsid w:val="001C08DF"/>
    <w:rsid w:val="001D4D85"/>
    <w:rsid w:val="001D7626"/>
    <w:rsid w:val="001E2F7F"/>
    <w:rsid w:val="001E4524"/>
    <w:rsid w:val="001E570E"/>
    <w:rsid w:val="001E5A05"/>
    <w:rsid w:val="001E5D1D"/>
    <w:rsid w:val="001E69A9"/>
    <w:rsid w:val="001E6E96"/>
    <w:rsid w:val="001E7C14"/>
    <w:rsid w:val="001F4112"/>
    <w:rsid w:val="001F5B66"/>
    <w:rsid w:val="001F6DDE"/>
    <w:rsid w:val="00201CBD"/>
    <w:rsid w:val="0020249F"/>
    <w:rsid w:val="002070F7"/>
    <w:rsid w:val="002109DD"/>
    <w:rsid w:val="002131AB"/>
    <w:rsid w:val="00217C17"/>
    <w:rsid w:val="00221FCB"/>
    <w:rsid w:val="002231E7"/>
    <w:rsid w:val="00223BE7"/>
    <w:rsid w:val="002272BA"/>
    <w:rsid w:val="00230626"/>
    <w:rsid w:val="00232003"/>
    <w:rsid w:val="00234EEE"/>
    <w:rsid w:val="00235E53"/>
    <w:rsid w:val="002409C4"/>
    <w:rsid w:val="0024196C"/>
    <w:rsid w:val="00242C45"/>
    <w:rsid w:val="002461FC"/>
    <w:rsid w:val="00252293"/>
    <w:rsid w:val="00255B57"/>
    <w:rsid w:val="00255DE1"/>
    <w:rsid w:val="00257E33"/>
    <w:rsid w:val="00263870"/>
    <w:rsid w:val="00264816"/>
    <w:rsid w:val="00280D2E"/>
    <w:rsid w:val="00282390"/>
    <w:rsid w:val="002836EA"/>
    <w:rsid w:val="00284841"/>
    <w:rsid w:val="0028644E"/>
    <w:rsid w:val="002962AA"/>
    <w:rsid w:val="00297A46"/>
    <w:rsid w:val="002A33B4"/>
    <w:rsid w:val="002A3992"/>
    <w:rsid w:val="002A5B24"/>
    <w:rsid w:val="002B3718"/>
    <w:rsid w:val="002B462A"/>
    <w:rsid w:val="002B4DF0"/>
    <w:rsid w:val="002C34CB"/>
    <w:rsid w:val="002C4952"/>
    <w:rsid w:val="002C7436"/>
    <w:rsid w:val="002D02BB"/>
    <w:rsid w:val="002D4385"/>
    <w:rsid w:val="002D4767"/>
    <w:rsid w:val="002D4A6C"/>
    <w:rsid w:val="002D4E83"/>
    <w:rsid w:val="002D578B"/>
    <w:rsid w:val="002D78B4"/>
    <w:rsid w:val="002E0336"/>
    <w:rsid w:val="002E090A"/>
    <w:rsid w:val="002E093A"/>
    <w:rsid w:val="002E0D40"/>
    <w:rsid w:val="002E3F76"/>
    <w:rsid w:val="002E4B03"/>
    <w:rsid w:val="002E519C"/>
    <w:rsid w:val="002E710B"/>
    <w:rsid w:val="002F0212"/>
    <w:rsid w:val="002F4EF0"/>
    <w:rsid w:val="002F5CB9"/>
    <w:rsid w:val="00300859"/>
    <w:rsid w:val="00303FE3"/>
    <w:rsid w:val="00306891"/>
    <w:rsid w:val="00315A66"/>
    <w:rsid w:val="00321D05"/>
    <w:rsid w:val="003233CD"/>
    <w:rsid w:val="00326C60"/>
    <w:rsid w:val="0033035D"/>
    <w:rsid w:val="0033210F"/>
    <w:rsid w:val="0033271C"/>
    <w:rsid w:val="00334C34"/>
    <w:rsid w:val="003417BE"/>
    <w:rsid w:val="00342D91"/>
    <w:rsid w:val="003468C6"/>
    <w:rsid w:val="0034705B"/>
    <w:rsid w:val="003556DA"/>
    <w:rsid w:val="00356214"/>
    <w:rsid w:val="00364B7D"/>
    <w:rsid w:val="003662A1"/>
    <w:rsid w:val="0036738D"/>
    <w:rsid w:val="00367720"/>
    <w:rsid w:val="00377F87"/>
    <w:rsid w:val="00382A1C"/>
    <w:rsid w:val="00382D1F"/>
    <w:rsid w:val="00382E21"/>
    <w:rsid w:val="0038302A"/>
    <w:rsid w:val="003877F2"/>
    <w:rsid w:val="00391306"/>
    <w:rsid w:val="00393140"/>
    <w:rsid w:val="003932F5"/>
    <w:rsid w:val="003942BE"/>
    <w:rsid w:val="003975E0"/>
    <w:rsid w:val="00397863"/>
    <w:rsid w:val="003A0345"/>
    <w:rsid w:val="003A1951"/>
    <w:rsid w:val="003A4444"/>
    <w:rsid w:val="003A4594"/>
    <w:rsid w:val="003A4DC7"/>
    <w:rsid w:val="003A71AC"/>
    <w:rsid w:val="003A7FE0"/>
    <w:rsid w:val="003B20F2"/>
    <w:rsid w:val="003B26FE"/>
    <w:rsid w:val="003B6A90"/>
    <w:rsid w:val="003B740B"/>
    <w:rsid w:val="003B7AC8"/>
    <w:rsid w:val="003C0656"/>
    <w:rsid w:val="003C2059"/>
    <w:rsid w:val="003C2365"/>
    <w:rsid w:val="003C5F49"/>
    <w:rsid w:val="003C6726"/>
    <w:rsid w:val="003C6B61"/>
    <w:rsid w:val="003D11F6"/>
    <w:rsid w:val="003D195F"/>
    <w:rsid w:val="003E0DFE"/>
    <w:rsid w:val="003E2FF7"/>
    <w:rsid w:val="003E6BD4"/>
    <w:rsid w:val="003F0DDB"/>
    <w:rsid w:val="003F191F"/>
    <w:rsid w:val="003F1BEF"/>
    <w:rsid w:val="003F2695"/>
    <w:rsid w:val="003F30D0"/>
    <w:rsid w:val="003F3768"/>
    <w:rsid w:val="003F3ACA"/>
    <w:rsid w:val="003F489F"/>
    <w:rsid w:val="0040464B"/>
    <w:rsid w:val="00405E2C"/>
    <w:rsid w:val="004141C4"/>
    <w:rsid w:val="0041439A"/>
    <w:rsid w:val="00414CA6"/>
    <w:rsid w:val="004156C9"/>
    <w:rsid w:val="004162B9"/>
    <w:rsid w:val="00416573"/>
    <w:rsid w:val="004176BD"/>
    <w:rsid w:val="00422433"/>
    <w:rsid w:val="00422713"/>
    <w:rsid w:val="00426BCB"/>
    <w:rsid w:val="004346B4"/>
    <w:rsid w:val="004419EE"/>
    <w:rsid w:val="004426C2"/>
    <w:rsid w:val="00442BC9"/>
    <w:rsid w:val="004440A7"/>
    <w:rsid w:val="00445B03"/>
    <w:rsid w:val="0044714B"/>
    <w:rsid w:val="00450AD1"/>
    <w:rsid w:val="004535E4"/>
    <w:rsid w:val="0046232D"/>
    <w:rsid w:val="00462A68"/>
    <w:rsid w:val="00462BE5"/>
    <w:rsid w:val="00463EF7"/>
    <w:rsid w:val="004672D0"/>
    <w:rsid w:val="0046737E"/>
    <w:rsid w:val="00470B58"/>
    <w:rsid w:val="00474DF9"/>
    <w:rsid w:val="004754AF"/>
    <w:rsid w:val="00476A46"/>
    <w:rsid w:val="00477145"/>
    <w:rsid w:val="004779EB"/>
    <w:rsid w:val="00480144"/>
    <w:rsid w:val="00484A1D"/>
    <w:rsid w:val="004951F9"/>
    <w:rsid w:val="00496748"/>
    <w:rsid w:val="004A0028"/>
    <w:rsid w:val="004A09D5"/>
    <w:rsid w:val="004A2BB2"/>
    <w:rsid w:val="004B295B"/>
    <w:rsid w:val="004B43D9"/>
    <w:rsid w:val="004B7D0A"/>
    <w:rsid w:val="004C02D4"/>
    <w:rsid w:val="004C044B"/>
    <w:rsid w:val="004C2FD4"/>
    <w:rsid w:val="004C68A5"/>
    <w:rsid w:val="004C7385"/>
    <w:rsid w:val="004D0B3A"/>
    <w:rsid w:val="004D1401"/>
    <w:rsid w:val="004D2DDD"/>
    <w:rsid w:val="004D7C9C"/>
    <w:rsid w:val="004E35D8"/>
    <w:rsid w:val="004E420A"/>
    <w:rsid w:val="004E4D65"/>
    <w:rsid w:val="004E5BD4"/>
    <w:rsid w:val="004E5EDF"/>
    <w:rsid w:val="004E629F"/>
    <w:rsid w:val="004F1406"/>
    <w:rsid w:val="004F3BAE"/>
    <w:rsid w:val="004F534D"/>
    <w:rsid w:val="004F5A9A"/>
    <w:rsid w:val="00502BB1"/>
    <w:rsid w:val="00502F46"/>
    <w:rsid w:val="00503306"/>
    <w:rsid w:val="0050508F"/>
    <w:rsid w:val="005068E3"/>
    <w:rsid w:val="00511178"/>
    <w:rsid w:val="00513097"/>
    <w:rsid w:val="00515BE5"/>
    <w:rsid w:val="00517C33"/>
    <w:rsid w:val="00520C89"/>
    <w:rsid w:val="0052496D"/>
    <w:rsid w:val="005321BC"/>
    <w:rsid w:val="00533398"/>
    <w:rsid w:val="005334CA"/>
    <w:rsid w:val="005336C1"/>
    <w:rsid w:val="005353E8"/>
    <w:rsid w:val="00540A61"/>
    <w:rsid w:val="00541B7A"/>
    <w:rsid w:val="0054292F"/>
    <w:rsid w:val="005430A0"/>
    <w:rsid w:val="0054777C"/>
    <w:rsid w:val="005478C1"/>
    <w:rsid w:val="00553DE6"/>
    <w:rsid w:val="00555B39"/>
    <w:rsid w:val="00557E72"/>
    <w:rsid w:val="00557F76"/>
    <w:rsid w:val="005625AA"/>
    <w:rsid w:val="0056507E"/>
    <w:rsid w:val="00567968"/>
    <w:rsid w:val="00570F95"/>
    <w:rsid w:val="0057156B"/>
    <w:rsid w:val="0057290E"/>
    <w:rsid w:val="00574A65"/>
    <w:rsid w:val="005757B8"/>
    <w:rsid w:val="00575D50"/>
    <w:rsid w:val="005807D0"/>
    <w:rsid w:val="00585F92"/>
    <w:rsid w:val="005879AA"/>
    <w:rsid w:val="005926A1"/>
    <w:rsid w:val="00597988"/>
    <w:rsid w:val="005A11D8"/>
    <w:rsid w:val="005A3A6D"/>
    <w:rsid w:val="005A3BCE"/>
    <w:rsid w:val="005A6AA6"/>
    <w:rsid w:val="005A7BF3"/>
    <w:rsid w:val="005B5B24"/>
    <w:rsid w:val="005D0135"/>
    <w:rsid w:val="005D0EA2"/>
    <w:rsid w:val="005D72E0"/>
    <w:rsid w:val="005E0394"/>
    <w:rsid w:val="005E1155"/>
    <w:rsid w:val="005E18A8"/>
    <w:rsid w:val="005E4EF0"/>
    <w:rsid w:val="005F0491"/>
    <w:rsid w:val="005F0E97"/>
    <w:rsid w:val="005F2B99"/>
    <w:rsid w:val="005F67D9"/>
    <w:rsid w:val="005F72A8"/>
    <w:rsid w:val="00601C6B"/>
    <w:rsid w:val="00601FB4"/>
    <w:rsid w:val="006028CA"/>
    <w:rsid w:val="00603234"/>
    <w:rsid w:val="0060345A"/>
    <w:rsid w:val="00611E2F"/>
    <w:rsid w:val="00613063"/>
    <w:rsid w:val="00613BD4"/>
    <w:rsid w:val="0061546E"/>
    <w:rsid w:val="0061655A"/>
    <w:rsid w:val="00616EDD"/>
    <w:rsid w:val="00617891"/>
    <w:rsid w:val="0062274E"/>
    <w:rsid w:val="006318E8"/>
    <w:rsid w:val="0063670A"/>
    <w:rsid w:val="006436D0"/>
    <w:rsid w:val="006440C2"/>
    <w:rsid w:val="00644E91"/>
    <w:rsid w:val="00644F42"/>
    <w:rsid w:val="00663325"/>
    <w:rsid w:val="00663886"/>
    <w:rsid w:val="00665C02"/>
    <w:rsid w:val="006705A2"/>
    <w:rsid w:val="006730C8"/>
    <w:rsid w:val="006735AD"/>
    <w:rsid w:val="00676012"/>
    <w:rsid w:val="00676F87"/>
    <w:rsid w:val="00684CA2"/>
    <w:rsid w:val="00685231"/>
    <w:rsid w:val="00694836"/>
    <w:rsid w:val="00696258"/>
    <w:rsid w:val="006A6AC1"/>
    <w:rsid w:val="006A763D"/>
    <w:rsid w:val="006B00FA"/>
    <w:rsid w:val="006B0F33"/>
    <w:rsid w:val="006B2E31"/>
    <w:rsid w:val="006B4C62"/>
    <w:rsid w:val="006B5C23"/>
    <w:rsid w:val="006B6123"/>
    <w:rsid w:val="006B6CC0"/>
    <w:rsid w:val="006B7F2A"/>
    <w:rsid w:val="006C40A7"/>
    <w:rsid w:val="006C6932"/>
    <w:rsid w:val="006C77AD"/>
    <w:rsid w:val="006C7F1E"/>
    <w:rsid w:val="006D1393"/>
    <w:rsid w:val="006E0545"/>
    <w:rsid w:val="006E100D"/>
    <w:rsid w:val="006E3EA5"/>
    <w:rsid w:val="006E5CE3"/>
    <w:rsid w:val="006E5F71"/>
    <w:rsid w:val="006F0AAB"/>
    <w:rsid w:val="006F5464"/>
    <w:rsid w:val="0070033C"/>
    <w:rsid w:val="0070303E"/>
    <w:rsid w:val="00703A0B"/>
    <w:rsid w:val="00703FD4"/>
    <w:rsid w:val="0070467C"/>
    <w:rsid w:val="00710232"/>
    <w:rsid w:val="007105E5"/>
    <w:rsid w:val="00713FA6"/>
    <w:rsid w:val="00715791"/>
    <w:rsid w:val="00715A33"/>
    <w:rsid w:val="0072141B"/>
    <w:rsid w:val="00722346"/>
    <w:rsid w:val="00725ACF"/>
    <w:rsid w:val="00731727"/>
    <w:rsid w:val="007324B9"/>
    <w:rsid w:val="00735901"/>
    <w:rsid w:val="007373D0"/>
    <w:rsid w:val="00741636"/>
    <w:rsid w:val="00742B23"/>
    <w:rsid w:val="00742EF6"/>
    <w:rsid w:val="00755319"/>
    <w:rsid w:val="00755FB7"/>
    <w:rsid w:val="00757B46"/>
    <w:rsid w:val="00760036"/>
    <w:rsid w:val="007605E6"/>
    <w:rsid w:val="007614BE"/>
    <w:rsid w:val="00762A50"/>
    <w:rsid w:val="007649C9"/>
    <w:rsid w:val="0077085A"/>
    <w:rsid w:val="007727F1"/>
    <w:rsid w:val="00774FE3"/>
    <w:rsid w:val="00781483"/>
    <w:rsid w:val="00782E55"/>
    <w:rsid w:val="007860E8"/>
    <w:rsid w:val="0079252A"/>
    <w:rsid w:val="007A0E81"/>
    <w:rsid w:val="007A2F8C"/>
    <w:rsid w:val="007A4791"/>
    <w:rsid w:val="007B1D35"/>
    <w:rsid w:val="007B47C4"/>
    <w:rsid w:val="007B783B"/>
    <w:rsid w:val="007C3F84"/>
    <w:rsid w:val="007C484B"/>
    <w:rsid w:val="007C4D1B"/>
    <w:rsid w:val="007D1872"/>
    <w:rsid w:val="007D18A4"/>
    <w:rsid w:val="007D1CFD"/>
    <w:rsid w:val="007D493A"/>
    <w:rsid w:val="007D6E0F"/>
    <w:rsid w:val="007E117F"/>
    <w:rsid w:val="007E3EF9"/>
    <w:rsid w:val="007E6591"/>
    <w:rsid w:val="007E74BD"/>
    <w:rsid w:val="007F4262"/>
    <w:rsid w:val="007F43BE"/>
    <w:rsid w:val="007F5E5C"/>
    <w:rsid w:val="007F5F3F"/>
    <w:rsid w:val="007F6BF5"/>
    <w:rsid w:val="0080441E"/>
    <w:rsid w:val="00806CE0"/>
    <w:rsid w:val="00807B2E"/>
    <w:rsid w:val="008140A7"/>
    <w:rsid w:val="00817960"/>
    <w:rsid w:val="00820023"/>
    <w:rsid w:val="00821367"/>
    <w:rsid w:val="008242AE"/>
    <w:rsid w:val="00831992"/>
    <w:rsid w:val="008326EE"/>
    <w:rsid w:val="00833E2E"/>
    <w:rsid w:val="00837A1B"/>
    <w:rsid w:val="00844093"/>
    <w:rsid w:val="00844A28"/>
    <w:rsid w:val="0084570F"/>
    <w:rsid w:val="0085336D"/>
    <w:rsid w:val="00854C92"/>
    <w:rsid w:val="008602BF"/>
    <w:rsid w:val="00862986"/>
    <w:rsid w:val="00866259"/>
    <w:rsid w:val="008671E9"/>
    <w:rsid w:val="00870F08"/>
    <w:rsid w:val="008774F4"/>
    <w:rsid w:val="0089162E"/>
    <w:rsid w:val="00893952"/>
    <w:rsid w:val="00893F2D"/>
    <w:rsid w:val="008965E8"/>
    <w:rsid w:val="00897CEF"/>
    <w:rsid w:val="00897EC5"/>
    <w:rsid w:val="00897FDE"/>
    <w:rsid w:val="008A0F29"/>
    <w:rsid w:val="008A1BB7"/>
    <w:rsid w:val="008A34D7"/>
    <w:rsid w:val="008A3953"/>
    <w:rsid w:val="008B3D69"/>
    <w:rsid w:val="008B6493"/>
    <w:rsid w:val="008C2C52"/>
    <w:rsid w:val="008C378F"/>
    <w:rsid w:val="008D057E"/>
    <w:rsid w:val="008D0BA8"/>
    <w:rsid w:val="008D1790"/>
    <w:rsid w:val="008D17BA"/>
    <w:rsid w:val="008D22A3"/>
    <w:rsid w:val="008D2F00"/>
    <w:rsid w:val="008D44BA"/>
    <w:rsid w:val="008D49ED"/>
    <w:rsid w:val="008D4BC7"/>
    <w:rsid w:val="008E0EBA"/>
    <w:rsid w:val="008E273C"/>
    <w:rsid w:val="008E5A8A"/>
    <w:rsid w:val="008F2DFB"/>
    <w:rsid w:val="008F2F65"/>
    <w:rsid w:val="008F7F8C"/>
    <w:rsid w:val="00900CE1"/>
    <w:rsid w:val="0090326A"/>
    <w:rsid w:val="009034A0"/>
    <w:rsid w:val="009052A9"/>
    <w:rsid w:val="00913A15"/>
    <w:rsid w:val="00913BA8"/>
    <w:rsid w:val="00920623"/>
    <w:rsid w:val="0092092B"/>
    <w:rsid w:val="00920F0E"/>
    <w:rsid w:val="00921ABF"/>
    <w:rsid w:val="0092539A"/>
    <w:rsid w:val="00925C6B"/>
    <w:rsid w:val="00930801"/>
    <w:rsid w:val="0093361E"/>
    <w:rsid w:val="00934326"/>
    <w:rsid w:val="009414F6"/>
    <w:rsid w:val="00945DFC"/>
    <w:rsid w:val="00947906"/>
    <w:rsid w:val="00951368"/>
    <w:rsid w:val="00951E03"/>
    <w:rsid w:val="00956E60"/>
    <w:rsid w:val="00957920"/>
    <w:rsid w:val="009604E5"/>
    <w:rsid w:val="009647B1"/>
    <w:rsid w:val="009650E8"/>
    <w:rsid w:val="00965672"/>
    <w:rsid w:val="0096670A"/>
    <w:rsid w:val="00966A8D"/>
    <w:rsid w:val="009671E9"/>
    <w:rsid w:val="00971C03"/>
    <w:rsid w:val="0097254A"/>
    <w:rsid w:val="009725AC"/>
    <w:rsid w:val="009726D0"/>
    <w:rsid w:val="00972E6C"/>
    <w:rsid w:val="00973C5E"/>
    <w:rsid w:val="009743B3"/>
    <w:rsid w:val="009744C0"/>
    <w:rsid w:val="0098080F"/>
    <w:rsid w:val="009854F6"/>
    <w:rsid w:val="00990008"/>
    <w:rsid w:val="009947F3"/>
    <w:rsid w:val="009967FC"/>
    <w:rsid w:val="009A2787"/>
    <w:rsid w:val="009A5270"/>
    <w:rsid w:val="009A5DF9"/>
    <w:rsid w:val="009A62D1"/>
    <w:rsid w:val="009A74BA"/>
    <w:rsid w:val="009B13BD"/>
    <w:rsid w:val="009B1EF5"/>
    <w:rsid w:val="009B3CD9"/>
    <w:rsid w:val="009B70F7"/>
    <w:rsid w:val="009B7180"/>
    <w:rsid w:val="009C1331"/>
    <w:rsid w:val="009C4D9B"/>
    <w:rsid w:val="009C7D3C"/>
    <w:rsid w:val="009D1264"/>
    <w:rsid w:val="009D4277"/>
    <w:rsid w:val="009D6ADD"/>
    <w:rsid w:val="009D6B88"/>
    <w:rsid w:val="009D7717"/>
    <w:rsid w:val="009E047A"/>
    <w:rsid w:val="009E11D2"/>
    <w:rsid w:val="009E3F15"/>
    <w:rsid w:val="009E66C3"/>
    <w:rsid w:val="009F3DA1"/>
    <w:rsid w:val="009F7D3D"/>
    <w:rsid w:val="00A02469"/>
    <w:rsid w:val="00A11E23"/>
    <w:rsid w:val="00A24AB2"/>
    <w:rsid w:val="00A27F5F"/>
    <w:rsid w:val="00A3449B"/>
    <w:rsid w:val="00A34A77"/>
    <w:rsid w:val="00A35510"/>
    <w:rsid w:val="00A4542F"/>
    <w:rsid w:val="00A5063E"/>
    <w:rsid w:val="00A5371B"/>
    <w:rsid w:val="00A57B30"/>
    <w:rsid w:val="00A6338B"/>
    <w:rsid w:val="00A65E0B"/>
    <w:rsid w:val="00A66A81"/>
    <w:rsid w:val="00A72144"/>
    <w:rsid w:val="00A77648"/>
    <w:rsid w:val="00A77B8A"/>
    <w:rsid w:val="00A82EE2"/>
    <w:rsid w:val="00A84EB1"/>
    <w:rsid w:val="00A91D4C"/>
    <w:rsid w:val="00A9313F"/>
    <w:rsid w:val="00A950D4"/>
    <w:rsid w:val="00AA1070"/>
    <w:rsid w:val="00AB03CD"/>
    <w:rsid w:val="00AB19FB"/>
    <w:rsid w:val="00AB1E95"/>
    <w:rsid w:val="00AB212C"/>
    <w:rsid w:val="00AB49D2"/>
    <w:rsid w:val="00AB5726"/>
    <w:rsid w:val="00AB767E"/>
    <w:rsid w:val="00AC07C2"/>
    <w:rsid w:val="00AC2959"/>
    <w:rsid w:val="00AC4224"/>
    <w:rsid w:val="00AC5F2B"/>
    <w:rsid w:val="00AC5FBD"/>
    <w:rsid w:val="00AC6421"/>
    <w:rsid w:val="00AC7EB8"/>
    <w:rsid w:val="00AD143B"/>
    <w:rsid w:val="00AD1A9F"/>
    <w:rsid w:val="00AD3265"/>
    <w:rsid w:val="00AD49AC"/>
    <w:rsid w:val="00AE447E"/>
    <w:rsid w:val="00AE515B"/>
    <w:rsid w:val="00AF01D5"/>
    <w:rsid w:val="00AF098F"/>
    <w:rsid w:val="00AF2348"/>
    <w:rsid w:val="00AF4EE0"/>
    <w:rsid w:val="00AF6095"/>
    <w:rsid w:val="00B04055"/>
    <w:rsid w:val="00B0651D"/>
    <w:rsid w:val="00B10589"/>
    <w:rsid w:val="00B11896"/>
    <w:rsid w:val="00B15ABB"/>
    <w:rsid w:val="00B17269"/>
    <w:rsid w:val="00B1773C"/>
    <w:rsid w:val="00B20661"/>
    <w:rsid w:val="00B209BB"/>
    <w:rsid w:val="00B242E6"/>
    <w:rsid w:val="00B26D42"/>
    <w:rsid w:val="00B32830"/>
    <w:rsid w:val="00B3311C"/>
    <w:rsid w:val="00B41B60"/>
    <w:rsid w:val="00B41F26"/>
    <w:rsid w:val="00B434DD"/>
    <w:rsid w:val="00B51B47"/>
    <w:rsid w:val="00B700F2"/>
    <w:rsid w:val="00B72663"/>
    <w:rsid w:val="00B731FC"/>
    <w:rsid w:val="00B753FB"/>
    <w:rsid w:val="00B81498"/>
    <w:rsid w:val="00B82CF3"/>
    <w:rsid w:val="00B83912"/>
    <w:rsid w:val="00B87E79"/>
    <w:rsid w:val="00B93588"/>
    <w:rsid w:val="00B95CF0"/>
    <w:rsid w:val="00B9673E"/>
    <w:rsid w:val="00B96A47"/>
    <w:rsid w:val="00B97816"/>
    <w:rsid w:val="00BA73F2"/>
    <w:rsid w:val="00BA747D"/>
    <w:rsid w:val="00BB4186"/>
    <w:rsid w:val="00BB5B88"/>
    <w:rsid w:val="00BB60DF"/>
    <w:rsid w:val="00BC0715"/>
    <w:rsid w:val="00BC1E1C"/>
    <w:rsid w:val="00BC254F"/>
    <w:rsid w:val="00BC29C7"/>
    <w:rsid w:val="00BC52AE"/>
    <w:rsid w:val="00BC5F17"/>
    <w:rsid w:val="00BD16A4"/>
    <w:rsid w:val="00BD260E"/>
    <w:rsid w:val="00BD3336"/>
    <w:rsid w:val="00BD641E"/>
    <w:rsid w:val="00BD74A9"/>
    <w:rsid w:val="00BD7D72"/>
    <w:rsid w:val="00BE3633"/>
    <w:rsid w:val="00BE4948"/>
    <w:rsid w:val="00BE59AF"/>
    <w:rsid w:val="00BE7366"/>
    <w:rsid w:val="00BF3CE2"/>
    <w:rsid w:val="00BF5A91"/>
    <w:rsid w:val="00BF5E4D"/>
    <w:rsid w:val="00BF6A55"/>
    <w:rsid w:val="00BF717D"/>
    <w:rsid w:val="00BF76EE"/>
    <w:rsid w:val="00C0175D"/>
    <w:rsid w:val="00C05628"/>
    <w:rsid w:val="00C1673B"/>
    <w:rsid w:val="00C24860"/>
    <w:rsid w:val="00C25D89"/>
    <w:rsid w:val="00C2664E"/>
    <w:rsid w:val="00C31DF1"/>
    <w:rsid w:val="00C3380C"/>
    <w:rsid w:val="00C3390B"/>
    <w:rsid w:val="00C40294"/>
    <w:rsid w:val="00C46187"/>
    <w:rsid w:val="00C46DFF"/>
    <w:rsid w:val="00C5194E"/>
    <w:rsid w:val="00C56944"/>
    <w:rsid w:val="00C63D3F"/>
    <w:rsid w:val="00C67618"/>
    <w:rsid w:val="00C70125"/>
    <w:rsid w:val="00C7051E"/>
    <w:rsid w:val="00C76E53"/>
    <w:rsid w:val="00C853A2"/>
    <w:rsid w:val="00C86B08"/>
    <w:rsid w:val="00C87AB0"/>
    <w:rsid w:val="00C90666"/>
    <w:rsid w:val="00C93188"/>
    <w:rsid w:val="00C93F46"/>
    <w:rsid w:val="00C93FDC"/>
    <w:rsid w:val="00C96EE1"/>
    <w:rsid w:val="00C97DBA"/>
    <w:rsid w:val="00CA22FF"/>
    <w:rsid w:val="00CA2C7F"/>
    <w:rsid w:val="00CA422B"/>
    <w:rsid w:val="00CA475E"/>
    <w:rsid w:val="00CA5467"/>
    <w:rsid w:val="00CA68F8"/>
    <w:rsid w:val="00CA7106"/>
    <w:rsid w:val="00CB405E"/>
    <w:rsid w:val="00CB59DB"/>
    <w:rsid w:val="00CC146A"/>
    <w:rsid w:val="00CC3E5A"/>
    <w:rsid w:val="00CC5D1C"/>
    <w:rsid w:val="00CD0808"/>
    <w:rsid w:val="00CD14B6"/>
    <w:rsid w:val="00CD4EBC"/>
    <w:rsid w:val="00CD6022"/>
    <w:rsid w:val="00CD63CE"/>
    <w:rsid w:val="00CE0570"/>
    <w:rsid w:val="00CE24B0"/>
    <w:rsid w:val="00CE272D"/>
    <w:rsid w:val="00CE44FB"/>
    <w:rsid w:val="00CE5CAC"/>
    <w:rsid w:val="00CE5E5B"/>
    <w:rsid w:val="00CE62B9"/>
    <w:rsid w:val="00CF2F6C"/>
    <w:rsid w:val="00CF4D0B"/>
    <w:rsid w:val="00CF4D3E"/>
    <w:rsid w:val="00D05CEB"/>
    <w:rsid w:val="00D05F6F"/>
    <w:rsid w:val="00D071C9"/>
    <w:rsid w:val="00D13D9A"/>
    <w:rsid w:val="00D164BF"/>
    <w:rsid w:val="00D210A8"/>
    <w:rsid w:val="00D21290"/>
    <w:rsid w:val="00D2452F"/>
    <w:rsid w:val="00D24689"/>
    <w:rsid w:val="00D27613"/>
    <w:rsid w:val="00D319D1"/>
    <w:rsid w:val="00D331E1"/>
    <w:rsid w:val="00D440C5"/>
    <w:rsid w:val="00D45450"/>
    <w:rsid w:val="00D475FA"/>
    <w:rsid w:val="00D50A66"/>
    <w:rsid w:val="00D52CFC"/>
    <w:rsid w:val="00D55CF4"/>
    <w:rsid w:val="00D55FCA"/>
    <w:rsid w:val="00D611FC"/>
    <w:rsid w:val="00D63F07"/>
    <w:rsid w:val="00D7126C"/>
    <w:rsid w:val="00D72934"/>
    <w:rsid w:val="00D735E2"/>
    <w:rsid w:val="00D73727"/>
    <w:rsid w:val="00D748DD"/>
    <w:rsid w:val="00D77155"/>
    <w:rsid w:val="00D853FD"/>
    <w:rsid w:val="00D85592"/>
    <w:rsid w:val="00D877B6"/>
    <w:rsid w:val="00D91368"/>
    <w:rsid w:val="00D955FA"/>
    <w:rsid w:val="00DA1174"/>
    <w:rsid w:val="00DA2816"/>
    <w:rsid w:val="00DA7729"/>
    <w:rsid w:val="00DB2655"/>
    <w:rsid w:val="00DB4904"/>
    <w:rsid w:val="00DB51CE"/>
    <w:rsid w:val="00DB744B"/>
    <w:rsid w:val="00DC211E"/>
    <w:rsid w:val="00DC544E"/>
    <w:rsid w:val="00DD253B"/>
    <w:rsid w:val="00DD313D"/>
    <w:rsid w:val="00DD42ED"/>
    <w:rsid w:val="00DD5C7D"/>
    <w:rsid w:val="00DD6D07"/>
    <w:rsid w:val="00DD74F1"/>
    <w:rsid w:val="00DE482B"/>
    <w:rsid w:val="00DE7BD4"/>
    <w:rsid w:val="00DF3F5C"/>
    <w:rsid w:val="00DF7896"/>
    <w:rsid w:val="00E01FCF"/>
    <w:rsid w:val="00E030C1"/>
    <w:rsid w:val="00E04360"/>
    <w:rsid w:val="00E069DC"/>
    <w:rsid w:val="00E1003C"/>
    <w:rsid w:val="00E100EA"/>
    <w:rsid w:val="00E1057C"/>
    <w:rsid w:val="00E1057D"/>
    <w:rsid w:val="00E127C4"/>
    <w:rsid w:val="00E13E06"/>
    <w:rsid w:val="00E161F5"/>
    <w:rsid w:val="00E23861"/>
    <w:rsid w:val="00E26D65"/>
    <w:rsid w:val="00E273BD"/>
    <w:rsid w:val="00E33E03"/>
    <w:rsid w:val="00E459BC"/>
    <w:rsid w:val="00E47EEF"/>
    <w:rsid w:val="00E53098"/>
    <w:rsid w:val="00E54D2D"/>
    <w:rsid w:val="00E570DB"/>
    <w:rsid w:val="00E64AB1"/>
    <w:rsid w:val="00E64AC9"/>
    <w:rsid w:val="00E713F0"/>
    <w:rsid w:val="00E7562D"/>
    <w:rsid w:val="00E768A6"/>
    <w:rsid w:val="00E81570"/>
    <w:rsid w:val="00E83857"/>
    <w:rsid w:val="00E84C7B"/>
    <w:rsid w:val="00E87C7E"/>
    <w:rsid w:val="00E9056C"/>
    <w:rsid w:val="00E94953"/>
    <w:rsid w:val="00E94984"/>
    <w:rsid w:val="00E9527D"/>
    <w:rsid w:val="00E9552A"/>
    <w:rsid w:val="00E95E76"/>
    <w:rsid w:val="00EA4F1F"/>
    <w:rsid w:val="00EA644C"/>
    <w:rsid w:val="00EA662E"/>
    <w:rsid w:val="00EC23B3"/>
    <w:rsid w:val="00EC3D45"/>
    <w:rsid w:val="00EC3FB4"/>
    <w:rsid w:val="00EC6394"/>
    <w:rsid w:val="00EC63B6"/>
    <w:rsid w:val="00EC7438"/>
    <w:rsid w:val="00ED30D3"/>
    <w:rsid w:val="00ED548B"/>
    <w:rsid w:val="00ED709C"/>
    <w:rsid w:val="00ED748E"/>
    <w:rsid w:val="00EE1D28"/>
    <w:rsid w:val="00EE30E5"/>
    <w:rsid w:val="00EE5CA0"/>
    <w:rsid w:val="00EF101B"/>
    <w:rsid w:val="00EF136D"/>
    <w:rsid w:val="00EF1BCB"/>
    <w:rsid w:val="00EF24F3"/>
    <w:rsid w:val="00EF2761"/>
    <w:rsid w:val="00EF7A9A"/>
    <w:rsid w:val="00F0087E"/>
    <w:rsid w:val="00F01F4C"/>
    <w:rsid w:val="00F022D8"/>
    <w:rsid w:val="00F03F16"/>
    <w:rsid w:val="00F1185E"/>
    <w:rsid w:val="00F125D4"/>
    <w:rsid w:val="00F13A28"/>
    <w:rsid w:val="00F14B7A"/>
    <w:rsid w:val="00F14FB7"/>
    <w:rsid w:val="00F1560C"/>
    <w:rsid w:val="00F17112"/>
    <w:rsid w:val="00F17C82"/>
    <w:rsid w:val="00F24458"/>
    <w:rsid w:val="00F32D82"/>
    <w:rsid w:val="00F41ED0"/>
    <w:rsid w:val="00F420B1"/>
    <w:rsid w:val="00F46F3E"/>
    <w:rsid w:val="00F50B17"/>
    <w:rsid w:val="00F548B4"/>
    <w:rsid w:val="00F57606"/>
    <w:rsid w:val="00F633B8"/>
    <w:rsid w:val="00F71D1C"/>
    <w:rsid w:val="00F726B5"/>
    <w:rsid w:val="00F733B1"/>
    <w:rsid w:val="00F73CD8"/>
    <w:rsid w:val="00F7722C"/>
    <w:rsid w:val="00F8103A"/>
    <w:rsid w:val="00F838DD"/>
    <w:rsid w:val="00F83F90"/>
    <w:rsid w:val="00F85BEC"/>
    <w:rsid w:val="00F8779B"/>
    <w:rsid w:val="00F87FA3"/>
    <w:rsid w:val="00F91DB7"/>
    <w:rsid w:val="00F926B0"/>
    <w:rsid w:val="00F96670"/>
    <w:rsid w:val="00F968A5"/>
    <w:rsid w:val="00F974FE"/>
    <w:rsid w:val="00F97ABB"/>
    <w:rsid w:val="00FA0023"/>
    <w:rsid w:val="00FA10F7"/>
    <w:rsid w:val="00FA6EFC"/>
    <w:rsid w:val="00FB2ECB"/>
    <w:rsid w:val="00FB36EA"/>
    <w:rsid w:val="00FB691C"/>
    <w:rsid w:val="00FB7721"/>
    <w:rsid w:val="00FC2143"/>
    <w:rsid w:val="00FC24D9"/>
    <w:rsid w:val="00FC2AAF"/>
    <w:rsid w:val="00FC64C7"/>
    <w:rsid w:val="00FC74CD"/>
    <w:rsid w:val="00FD0265"/>
    <w:rsid w:val="00FD4E77"/>
    <w:rsid w:val="00FD616C"/>
    <w:rsid w:val="00FE2127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6764C6FF"/>
  <w15:docId w15:val="{7290CF36-2B1A-445F-BB06-14DFA6EB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8B4"/>
    <w:pPr>
      <w:spacing w:line="276" w:lineRule="auto"/>
      <w:ind w:left="567"/>
      <w:jc w:val="both"/>
    </w:pPr>
    <w:rPr>
      <w:rFonts w:ascii="Arial" w:hAnsi="Arial"/>
      <w:sz w:val="22"/>
      <w:szCs w:val="22"/>
      <w:lang w:val="en-GB" w:eastAsia="en-US"/>
    </w:rPr>
  </w:style>
  <w:style w:type="paragraph" w:styleId="Heading10">
    <w:name w:val="heading 1"/>
    <w:basedOn w:val="Normal"/>
    <w:next w:val="BodyText1"/>
    <w:link w:val="Heading1Char"/>
    <w:qFormat/>
    <w:pPr>
      <w:keepNext/>
      <w:numPr>
        <w:numId w:val="4"/>
      </w:numPr>
      <w:spacing w:before="360" w:after="120"/>
      <w:outlineLvl w:val="0"/>
    </w:pPr>
    <w:rPr>
      <w:b/>
    </w:rPr>
  </w:style>
  <w:style w:type="paragraph" w:styleId="Heading2">
    <w:name w:val="heading 2"/>
    <w:basedOn w:val="Heading10"/>
    <w:next w:val="BodyText2"/>
    <w:qFormat/>
    <w:pPr>
      <w:numPr>
        <w:ilvl w:val="1"/>
      </w:numPr>
      <w:tabs>
        <w:tab w:val="left" w:pos="1418"/>
      </w:tabs>
      <w:spacing w:before="60" w:after="60"/>
      <w:outlineLvl w:val="1"/>
    </w:pPr>
    <w:rPr>
      <w:b w:val="0"/>
      <w:sz w:val="20"/>
    </w:rPr>
  </w:style>
  <w:style w:type="paragraph" w:styleId="Heading3">
    <w:name w:val="heading 3"/>
    <w:basedOn w:val="Normal"/>
    <w:next w:val="BodyText3"/>
    <w:qFormat/>
    <w:pPr>
      <w:keepNext/>
      <w:numPr>
        <w:ilvl w:val="2"/>
        <w:numId w:val="4"/>
      </w:numPr>
      <w:tabs>
        <w:tab w:val="left" w:pos="2268"/>
      </w:tabs>
      <w:spacing w:before="20" w:after="20"/>
      <w:outlineLvl w:val="2"/>
    </w:pPr>
    <w:rPr>
      <w:lang w:val="en-US"/>
    </w:rPr>
  </w:style>
  <w:style w:type="paragraph" w:styleId="Heading4">
    <w:name w:val="heading 4"/>
    <w:basedOn w:val="Normal"/>
    <w:next w:val="Bodytext4"/>
    <w:qFormat/>
    <w:pPr>
      <w:keepNext/>
      <w:numPr>
        <w:ilvl w:val="3"/>
        <w:numId w:val="4"/>
      </w:numPr>
      <w:spacing w:before="40" w:after="40"/>
      <w:outlineLvl w:val="3"/>
    </w:pPr>
    <w:rPr>
      <w:lang w:val="en-US"/>
    </w:rPr>
  </w:style>
  <w:style w:type="paragraph" w:styleId="Heading5">
    <w:name w:val="heading 5"/>
    <w:basedOn w:val="Normal"/>
    <w:next w:val="bodytext5"/>
    <w:qFormat/>
    <w:pPr>
      <w:numPr>
        <w:ilvl w:val="4"/>
        <w:numId w:val="4"/>
      </w:numPr>
      <w:tabs>
        <w:tab w:val="left" w:pos="3119"/>
      </w:tabs>
      <w:spacing w:before="240" w:after="60"/>
      <w:outlineLvl w:val="4"/>
    </w:pPr>
  </w:style>
  <w:style w:type="paragraph" w:styleId="Heading6">
    <w:name w:val="heading 6"/>
    <w:basedOn w:val="Normal"/>
    <w:next w:val="bodytext5"/>
    <w:qFormat/>
    <w:pPr>
      <w:numPr>
        <w:ilvl w:val="5"/>
        <w:numId w:val="4"/>
      </w:numPr>
      <w:tabs>
        <w:tab w:val="left" w:pos="3119"/>
      </w:tabs>
      <w:spacing w:before="240" w:after="60"/>
      <w:outlineLvl w:val="5"/>
    </w:pPr>
  </w:style>
  <w:style w:type="paragraph" w:styleId="Heading7">
    <w:name w:val="heading 7"/>
    <w:basedOn w:val="Normal"/>
    <w:next w:val="bodytext5"/>
    <w:qFormat/>
    <w:pPr>
      <w:numPr>
        <w:ilvl w:val="6"/>
        <w:numId w:val="4"/>
      </w:numPr>
      <w:tabs>
        <w:tab w:val="left" w:pos="3119"/>
      </w:tabs>
      <w:spacing w:before="240" w:after="60"/>
      <w:outlineLvl w:val="6"/>
    </w:pPr>
  </w:style>
  <w:style w:type="paragraph" w:styleId="Heading8">
    <w:name w:val="heading 8"/>
    <w:basedOn w:val="Normal"/>
    <w:next w:val="bodytext5"/>
    <w:qFormat/>
    <w:pPr>
      <w:numPr>
        <w:ilvl w:val="7"/>
        <w:numId w:val="4"/>
      </w:numPr>
      <w:tabs>
        <w:tab w:val="left" w:pos="3119"/>
      </w:tabs>
      <w:spacing w:before="240" w:after="60"/>
      <w:outlineLvl w:val="7"/>
    </w:pPr>
  </w:style>
  <w:style w:type="paragraph" w:styleId="Heading9">
    <w:name w:val="heading 9"/>
    <w:basedOn w:val="Normal"/>
    <w:next w:val="bodytext5"/>
    <w:qFormat/>
    <w:pPr>
      <w:numPr>
        <w:ilvl w:val="8"/>
        <w:numId w:val="4"/>
      </w:numPr>
      <w:tabs>
        <w:tab w:val="left" w:pos="3119"/>
      </w:tabs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Normal"/>
  </w:style>
  <w:style w:type="paragraph" w:styleId="BodyText2">
    <w:name w:val="Body Text 2"/>
    <w:basedOn w:val="Normal"/>
    <w:pPr>
      <w:ind w:left="1418"/>
    </w:pPr>
  </w:style>
  <w:style w:type="paragraph" w:styleId="BodyText3">
    <w:name w:val="Body Text 3"/>
    <w:basedOn w:val="Normal"/>
    <w:pPr>
      <w:ind w:left="2268"/>
    </w:pPr>
  </w:style>
  <w:style w:type="paragraph" w:customStyle="1" w:styleId="Bodytext4">
    <w:name w:val="Body text 4"/>
    <w:basedOn w:val="Normal"/>
    <w:pPr>
      <w:ind w:left="2835"/>
    </w:pPr>
  </w:style>
  <w:style w:type="paragraph" w:customStyle="1" w:styleId="bodytext5">
    <w:name w:val="body text 5"/>
    <w:basedOn w:val="Normal"/>
    <w:pPr>
      <w:ind w:left="2835"/>
    </w:pPr>
  </w:style>
  <w:style w:type="paragraph" w:styleId="TOC1">
    <w:name w:val="toc 1"/>
    <w:basedOn w:val="Normal"/>
    <w:next w:val="Heading10"/>
    <w:autoRedefine/>
    <w:uiPriority w:val="39"/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DotBullet1">
    <w:name w:val="Dot Bullet 1"/>
    <w:basedOn w:val="Normal"/>
    <w:pPr>
      <w:tabs>
        <w:tab w:val="left" w:pos="1800"/>
      </w:tabs>
      <w:ind w:left="1800" w:hanging="360"/>
    </w:pPr>
    <w:rPr>
      <w:lang w:val="en-US"/>
    </w:rPr>
  </w:style>
  <w:style w:type="paragraph" w:styleId="Header">
    <w:name w:val="header"/>
    <w:aliases w:val="*Header,hd,he,BCX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5103"/>
        <w:tab w:val="right" w:pos="9923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Pr>
      <w:lang w:val="en-US"/>
    </w:rPr>
  </w:style>
  <w:style w:type="paragraph" w:styleId="BodyText">
    <w:name w:val="Body Text"/>
    <w:basedOn w:val="Normal"/>
  </w:style>
  <w:style w:type="paragraph" w:styleId="BodyTextIndent">
    <w:name w:val="Body Text Indent"/>
    <w:basedOn w:val="Normal"/>
    <w:pPr>
      <w:ind w:left="720"/>
    </w:pPr>
    <w:rPr>
      <w:color w:val="000000"/>
    </w:rPr>
  </w:style>
  <w:style w:type="paragraph" w:styleId="BodyTextIndent2">
    <w:name w:val="Body Text Indent 2"/>
    <w:basedOn w:val="Normal"/>
    <w:rPr>
      <w:b/>
      <w:color w:val="000000"/>
    </w:rPr>
  </w:style>
  <w:style w:type="paragraph" w:styleId="BodyTextIndent3">
    <w:name w:val="Body Text Indent 3"/>
    <w:basedOn w:val="Normal"/>
    <w:rPr>
      <w:color w:val="000000"/>
    </w:rPr>
  </w:style>
  <w:style w:type="paragraph" w:customStyle="1" w:styleId="heading20">
    <w:name w:val="heading2"/>
    <w:basedOn w:val="heading1"/>
    <w:pPr>
      <w:numPr>
        <w:ilvl w:val="1"/>
        <w:numId w:val="2"/>
      </w:numPr>
      <w:spacing w:before="0" w:after="0"/>
    </w:pPr>
    <w:rPr>
      <w:b w:val="0"/>
      <w:sz w:val="20"/>
    </w:rPr>
  </w:style>
  <w:style w:type="paragraph" w:customStyle="1" w:styleId="heading1">
    <w:name w:val="heading1"/>
    <w:basedOn w:val="Heading10"/>
    <w:pPr>
      <w:numPr>
        <w:numId w:val="1"/>
      </w:numPr>
      <w:spacing w:before="240" w:after="60"/>
      <w:ind w:right="1134"/>
      <w:jc w:val="left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A7FE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E5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-Para">
    <w:name w:val="Heading 3-Para"/>
    <w:basedOn w:val="Heading3"/>
    <w:rsid w:val="00161808"/>
    <w:pPr>
      <w:numPr>
        <w:ilvl w:val="0"/>
        <w:numId w:val="0"/>
      </w:numPr>
      <w:tabs>
        <w:tab w:val="clear" w:pos="2268"/>
        <w:tab w:val="num" w:pos="851"/>
      </w:tabs>
      <w:spacing w:before="240" w:after="60"/>
      <w:ind w:left="851" w:hanging="851"/>
    </w:pPr>
    <w:rPr>
      <w:rFonts w:ascii="Futura Bk" w:hAnsi="Futura Bk" w:cs="Arial"/>
      <w:bCs/>
    </w:rPr>
  </w:style>
  <w:style w:type="paragraph" w:customStyle="1" w:styleId="Heading4-Para">
    <w:name w:val="Heading 4-Para"/>
    <w:basedOn w:val="Heading4"/>
    <w:rsid w:val="00161808"/>
    <w:pPr>
      <w:numPr>
        <w:ilvl w:val="0"/>
        <w:numId w:val="0"/>
      </w:numPr>
      <w:tabs>
        <w:tab w:val="num" w:pos="851"/>
        <w:tab w:val="left" w:pos="1224"/>
      </w:tabs>
      <w:spacing w:before="180" w:after="120"/>
      <w:ind w:left="851" w:hanging="851"/>
    </w:pPr>
    <w:rPr>
      <w:rFonts w:ascii="Futura Bk" w:hAnsi="Futura Bk"/>
      <w:sz w:val="20"/>
    </w:rPr>
  </w:style>
  <w:style w:type="paragraph" w:customStyle="1" w:styleId="StyleHPBasicTextLeft127cm">
    <w:name w:val="Style HP_BasicText + Left:  1.27 cm"/>
    <w:basedOn w:val="Normal"/>
    <w:rsid w:val="00161808"/>
    <w:pPr>
      <w:spacing w:line="230" w:lineRule="exact"/>
      <w:ind w:left="720"/>
    </w:pPr>
    <w:rPr>
      <w:rFonts w:ascii="Futura Bk" w:eastAsia="Times" w:hAnsi="Futura Bk"/>
      <w:sz w:val="18"/>
      <w:lang w:val="en-US"/>
    </w:rPr>
  </w:style>
  <w:style w:type="paragraph" w:customStyle="1" w:styleId="Stand1">
    <w:name w:val="Stand1"/>
    <w:basedOn w:val="Normal"/>
    <w:rsid w:val="00947906"/>
    <w:pPr>
      <w:widowControl w:val="0"/>
      <w:numPr>
        <w:numId w:val="5"/>
      </w:numPr>
    </w:pPr>
    <w:rPr>
      <w:lang w:val="en-US" w:eastAsia="en-GB"/>
    </w:rPr>
  </w:style>
  <w:style w:type="paragraph" w:customStyle="1" w:styleId="Stand">
    <w:name w:val="Stand"/>
    <w:basedOn w:val="Normal"/>
    <w:rsid w:val="00947906"/>
    <w:rPr>
      <w:lang w:val="en-US" w:eastAsia="en-GB"/>
    </w:rPr>
  </w:style>
  <w:style w:type="table" w:customStyle="1" w:styleId="TableGrid1">
    <w:name w:val="Table Grid1"/>
    <w:basedOn w:val="TableNormal"/>
    <w:next w:val="TableGrid"/>
    <w:uiPriority w:val="59"/>
    <w:rsid w:val="008F2DFB"/>
    <w:rPr>
      <w:lang w:val="en-GB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List Paragraph Tab -"/>
    <w:basedOn w:val="Normal"/>
    <w:link w:val="ListParagraphChar"/>
    <w:uiPriority w:val="34"/>
    <w:qFormat/>
    <w:rsid w:val="00831992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A27F5F"/>
  </w:style>
  <w:style w:type="character" w:customStyle="1" w:styleId="FootnoteTextChar">
    <w:name w:val="Footnote Text Char"/>
    <w:basedOn w:val="DefaultParagraphFont"/>
    <w:link w:val="FootnoteText"/>
    <w:rsid w:val="00A27F5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semiHidden/>
    <w:unhideWhenUsed/>
    <w:rsid w:val="00A27F5F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1D7626"/>
  </w:style>
  <w:style w:type="character" w:customStyle="1" w:styleId="EndnoteTextChar">
    <w:name w:val="Endnote Text Char"/>
    <w:basedOn w:val="DefaultParagraphFont"/>
    <w:link w:val="EndnoteText"/>
    <w:semiHidden/>
    <w:rsid w:val="001D7626"/>
    <w:rPr>
      <w:rFonts w:ascii="Arial" w:hAnsi="Arial"/>
      <w:lang w:val="en-GB" w:eastAsia="en-US"/>
    </w:rPr>
  </w:style>
  <w:style w:type="character" w:styleId="EndnoteReference">
    <w:name w:val="endnote reference"/>
    <w:basedOn w:val="DefaultParagraphFont"/>
    <w:semiHidden/>
    <w:unhideWhenUsed/>
    <w:rsid w:val="001D7626"/>
    <w:rPr>
      <w:vertAlign w:val="superscript"/>
    </w:rPr>
  </w:style>
  <w:style w:type="table" w:customStyle="1" w:styleId="TableGrid2">
    <w:name w:val="Table Grid2"/>
    <w:basedOn w:val="TableNormal"/>
    <w:next w:val="TableGrid"/>
    <w:uiPriority w:val="59"/>
    <w:rsid w:val="003B6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2CF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rsid w:val="00B82CF3"/>
    <w:rPr>
      <w:rFonts w:ascii="Arial" w:hAnsi="Arial"/>
      <w:sz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A0345"/>
    <w:rPr>
      <w:b/>
      <w:bCs/>
      <w:sz w:val="20"/>
      <w:lang w:val="en-GB"/>
    </w:rPr>
  </w:style>
  <w:style w:type="character" w:customStyle="1" w:styleId="CommentSubjectChar">
    <w:name w:val="Comment Subject Char"/>
    <w:basedOn w:val="CommentTextChar"/>
    <w:link w:val="CommentSubject"/>
    <w:semiHidden/>
    <w:rsid w:val="003A0345"/>
    <w:rPr>
      <w:rFonts w:ascii="Arial" w:hAnsi="Arial"/>
      <w:b/>
      <w:bCs/>
      <w:sz w:val="22"/>
      <w:lang w:val="en-GB" w:eastAsia="en-US"/>
    </w:rPr>
  </w:style>
  <w:style w:type="character" w:customStyle="1" w:styleId="tgc">
    <w:name w:val="_tgc"/>
    <w:basedOn w:val="DefaultParagraphFont"/>
    <w:rsid w:val="00BC29C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34C3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0"/>
    <w:rsid w:val="001E7C14"/>
    <w:rPr>
      <w:rFonts w:ascii="Arial" w:hAnsi="Arial"/>
      <w:b/>
      <w:sz w:val="22"/>
      <w:szCs w:val="22"/>
      <w:lang w:val="en-GB" w:eastAsia="en-US"/>
    </w:rPr>
  </w:style>
  <w:style w:type="character" w:customStyle="1" w:styleId="ListParagraphChar">
    <w:name w:val="List Paragraph Char"/>
    <w:aliases w:val="List Paragraph Tab - Char"/>
    <w:basedOn w:val="DefaultParagraphFont"/>
    <w:link w:val="ListParagraph"/>
    <w:uiPriority w:val="34"/>
    <w:rsid w:val="001E7C14"/>
    <w:rPr>
      <w:rFonts w:ascii="Arial" w:hAnsi="Arial"/>
      <w:sz w:val="22"/>
      <w:szCs w:val="22"/>
      <w:lang w:val="en-GB" w:eastAsia="en-US"/>
    </w:rPr>
  </w:style>
  <w:style w:type="character" w:customStyle="1" w:styleId="HeaderChar">
    <w:name w:val="Header Char"/>
    <w:aliases w:val="*Header Char,hd Char,he Char,BCX Header Char"/>
    <w:basedOn w:val="DefaultParagraphFont"/>
    <w:link w:val="Header"/>
    <w:rsid w:val="00676F87"/>
    <w:rPr>
      <w:rFonts w:ascii="Arial" w:hAnsi="Arial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6F87"/>
    <w:rPr>
      <w:rFonts w:ascii="Arial" w:hAnsi="Arial"/>
      <w:sz w:val="16"/>
      <w:szCs w:val="22"/>
      <w:lang w:val="en-GB" w:eastAsia="en-US"/>
    </w:rPr>
  </w:style>
  <w:style w:type="paragraph" w:customStyle="1" w:styleId="BodyTextCalibri11Tab-">
    <w:name w:val="Body Text Calibri 11 Tab -"/>
    <w:basedOn w:val="Normal"/>
    <w:rsid w:val="00F71D1C"/>
    <w:pPr>
      <w:spacing w:line="240" w:lineRule="auto"/>
      <w:ind w:left="284"/>
      <w:jc w:val="left"/>
    </w:pPr>
    <w:rPr>
      <w:rFonts w:ascii="Vodafone Rg" w:eastAsiaTheme="minorHAnsi" w:hAnsi="Vodafone Rg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691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208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260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2.jpg@01D45690.E6BF67D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5" ma:contentTypeDescription="Create a new document." ma:contentTypeScope="" ma:versionID="306299f55a7b1f0ddf67c5984feaf94d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2b4384c3a5b580fec9cb1b9e2b766047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E2D56-0773-4D15-B06D-C693FCA8A23C}"/>
</file>

<file path=customXml/itemProps2.xml><?xml version="1.0" encoding="utf-8"?>
<ds:datastoreItem xmlns:ds="http://schemas.openxmlformats.org/officeDocument/2006/customXml" ds:itemID="{C2192F5D-5131-4F51-BC5B-D36A7CC79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2DD30-57FA-4FC0-A99F-BFC909C14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168B73-725C-485B-9809-355EE21A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Decommission Server process</vt:lpstr>
    </vt:vector>
  </TitlesOfParts>
  <Company>VODACOM</Company>
  <LinksUpToDate>false</LinksUpToDate>
  <CharactersWithSpaces>6146</CharactersWithSpaces>
  <SharedDoc>false</SharedDoc>
  <HLinks>
    <vt:vector size="186" baseType="variant">
      <vt:variant>
        <vt:i4>6619196</vt:i4>
      </vt:variant>
      <vt:variant>
        <vt:i4>186</vt:i4>
      </vt:variant>
      <vt:variant>
        <vt:i4>0</vt:i4>
      </vt:variant>
      <vt:variant>
        <vt:i4>5</vt:i4>
      </vt:variant>
      <vt:variant>
        <vt:lpwstr>http://ctpwss01.vodacom.co.za/BusinessContinuityManagement/BSGBCP/BSG Business Continuity Plans/VOD-MAB-PLN-0001 Overall BCP for Billing Systems Group.doc</vt:lpwstr>
      </vt:variant>
      <vt:variant>
        <vt:lpwstr/>
      </vt:variant>
      <vt:variant>
        <vt:i4>6291564</vt:i4>
      </vt:variant>
      <vt:variant>
        <vt:i4>183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180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162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159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_Toc283819945</vt:lpwstr>
      </vt:variant>
      <vt:variant>
        <vt:i4>1703993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_Toc283819944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_Toc283819943</vt:lpwstr>
      </vt:variant>
      <vt:variant>
        <vt:i4>1703993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_Toc283819942</vt:lpwstr>
      </vt:variant>
      <vt:variant>
        <vt:i4>1703993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_Toc283819941</vt:lpwstr>
      </vt:variant>
      <vt:variant>
        <vt:i4>1703993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_Toc283819940</vt:lpwstr>
      </vt:variant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_Toc283819939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_Toc283819938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_Toc283819937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_Toc283819936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_Toc283819935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_Toc283819934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_Toc283819933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_Toc283819932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_Toc283819931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_Toc283819930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_Toc283819929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_Toc283819928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_Toc283819927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_Toc283819926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_Toc283819925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_Toc283819924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_Toc283819923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_Toc283819922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_Toc283819921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_Toc283819920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Decommission Server process</dc:title>
  <dc:creator>Celeste Higgins</dc:creator>
  <dc:description>1</dc:description>
  <cp:lastModifiedBy>Greyling, Johann, Vodacom South Africa</cp:lastModifiedBy>
  <cp:revision>3</cp:revision>
  <cp:lastPrinted>2017-04-24T10:32:00Z</cp:lastPrinted>
  <dcterms:created xsi:type="dcterms:W3CDTF">2018-10-24T04:52:00Z</dcterms:created>
  <dcterms:modified xsi:type="dcterms:W3CDTF">2020-02-04T07:47:00Z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0x0101004AE1B555E600BB49A9B19CCBEE6B4B1F</vt:lpwstr>
  </property>
  <property fmtid="{D5CDD505-2E9C-101B-9397-08002B2CF9AE}" pid="3" name="_dlc_DocIdItemGuid">
    <vt:lpwstr>3d655ee1-13c9-4aa2-b224-9f27b771c90b</vt:lpwstr>
  </property>
</Properties>
</file>