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Label-Efficient AI for Rapid Disaster Response</w:t>
      </w:r>
    </w:p>
    <w:p>
      <w:pPr>
        <w:spacing w:after="200"/>
        <w:jc w:val="center"/>
      </w:pPr>
      <w:r>
        <w:rPr>
          <w:i/>
          <w:iCs/>
          <w:sz w:val="20"/>
          <w:szCs w:val="20"/>
        </w:rPr>
        <w:t xml:space="preserve">CSC-722: Advanced Topics in Machine Learning | Spring 2026</w:t>
      </w:r>
    </w:p>
    <w:p>
      <w:pPr>
        <w:spacing w:after="240"/>
        <w:jc w:val="center"/>
      </w:pPr>
      <w:r>
        <w:rPr>
          <w:sz w:val="20"/>
          <w:szCs w:val="20"/>
        </w:rPr>
        <w:t xml:space="preserve">Rishabh Jain (rjain29@ncsu.edu)</w:t>
      </w:r>
      <w:r>
        <w:rPr>
          <w:sz w:val="20"/>
          <w:szCs w:val="20"/>
        </w:rPr>
        <w:t xml:space="preserve"> | Advisor: Prof. Ranga Raju Vatsavai</w:t>
      </w:r>
    </w:p>
    <w:p>
      <w:pPr>
        <w:pStyle w:val="Heading2"/>
      </w:pPr>
      <w:r>
        <w:t xml:space="preserve">Problem Statement</w:t>
      </w:r>
    </w:p>
    <w:p>
      <w:pPr>
        <w:spacing w:after="180"/>
      </w:pPr>
      <w:r>
        <w:t xml:space="preserve">When natural disasters strike, satellite imagery is available immediately, but damage labels require days of manual mapping by human experts. Emergency response cannot wait—we need AI systems that can rapidly identify structural damage with minimal labeled data and generalize across diverse disaster types and geographic regions.</w:t>
      </w:r>
    </w:p>
    <w:p>
      <w:pPr>
        <w:pStyle w:val="Heading2"/>
      </w:pPr>
      <w:r>
        <w:t xml:space="preserve">Proposed Approach</w:t>
      </w:r>
    </w:p>
    <w:p>
      <w:pPr>
        <w:spacing w:after="120"/>
      </w:pPr>
      <w:r>
        <w:rPr>
          <w:b/>
          <w:bCs/>
        </w:rPr>
        <w:t xml:space="preserve">Two-Phase Pipeline Combining Self-Supervised Learning + Few-Shot Transfer Learning:</w:t>
      </w:r>
    </w:p>
    <w:p>
      <w:pPr>
        <w:spacing w:after="80"/>
        <w:ind w:left="360"/>
      </w:pPr>
      <w:r>
        <w:rPr>
          <w:b/>
          <w:bCs/>
        </w:rPr>
        <w:t xml:space="preserve">Phase 1 (Foundation): </w:t>
      </w:r>
      <w:r>
        <w:t xml:space="preserve">Use self-supervised Masked Image Modeling (MIM) with the Prithvi foundation model (pre-trained on terabytes of Sentinel-2 satellite data) to learn robust topographical representations without labels—the 'grammar' of roofs, roads, and vegetation.</w:t>
      </w:r>
    </w:p>
    <w:p>
      <w:pPr>
        <w:spacing w:after="200"/>
        <w:ind w:left="360"/>
      </w:pPr>
      <w:r>
        <w:rPr>
          <w:b/>
          <w:bCs/>
        </w:rPr>
        <w:t xml:space="preserve">Phase 2 (Damage Detection): </w:t>
      </w:r>
      <w:r>
        <w:t xml:space="preserve">Fine-tune Vision Transformers (ViTs) to compare pre-event and post-event latent representations using the xBD dataset (850K+ labeled buildings across 19 disaster types). Achieve high accuracy with ≤10% labeled data through transfer learning.</w:t>
      </w:r>
    </w:p>
    <w:p>
      <w:pPr>
        <w:pStyle w:val="Heading2"/>
      </w:pPr>
      <w:r>
        <w:t xml:space="preserve">Key Research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c>
          <w:tcPr>
            <w:tcW w:type="dxa" w:w="1200"/>
            <w:tcBorders>
              <w:top w:val="single" w:color="CCCCCC" w:sz="1"/>
              <w:left w:val="single" w:color="CCCCCC" w:sz="1"/>
              <w:bottom w:val="single" w:color="CCCCCC" w:sz="1"/>
              <w:right w:val="single" w:color="CCCCCC" w:sz="1"/>
            </w:tcBorders>
            <w:shd w:fill="E8F3F8" w:val="clear"/>
            <w:tcMar>
              <w:top w:type="dxa" w:w="60"/>
              <w:left w:type="dxa" w:w="100"/>
              <w:bottom w:type="dxa" w:w="60"/>
              <w:right w:type="dxa" w:w="100"/>
            </w:tcMar>
          </w:tcPr>
          <w:p>
            <w:r>
              <w:rPr>
                <w:b/>
                <w:bCs/>
              </w:rPr>
              <w:t xml:space="preserve">Q1</w:t>
            </w:r>
          </w:p>
        </w:tc>
        <w:tc>
          <w:tcPr>
            <w:tcW w:type="dxa" w:w="88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Label Efficiency: Can we achieve &gt;90% accuracy using ≤10% of labeled data?</w:t>
            </w:r>
          </w:p>
        </w:tc>
      </w:tr>
      <w:tr>
        <w:tc>
          <w:tcPr>
            <w:tcW w:type="dxa" w:w="1200"/>
            <w:tcBorders>
              <w:top w:val="single" w:color="CCCCCC" w:sz="1"/>
              <w:left w:val="single" w:color="CCCCCC" w:sz="1"/>
              <w:bottom w:val="single" w:color="CCCCCC" w:sz="1"/>
              <w:right w:val="single" w:color="CCCCCC" w:sz="1"/>
            </w:tcBorders>
            <w:shd w:fill="E8F3F8" w:val="clear"/>
            <w:tcMar>
              <w:top w:type="dxa" w:w="60"/>
              <w:left w:type="dxa" w:w="100"/>
              <w:bottom w:type="dxa" w:w="60"/>
              <w:right w:type="dxa" w:w="100"/>
            </w:tcMar>
          </w:tcPr>
          <w:p>
            <w:r>
              <w:rPr>
                <w:b/>
                <w:bCs/>
              </w:rPr>
              <w:t xml:space="preserve">Q2</w:t>
            </w:r>
          </w:p>
        </w:tc>
        <w:tc>
          <w:tcPr>
            <w:tcW w:type="dxa" w:w="88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Cross-Geography Transfer: Does a model trained on Americas floods generalize to Asia floods?</w:t>
            </w:r>
          </w:p>
        </w:tc>
      </w:tr>
      <w:tr>
        <w:tc>
          <w:tcPr>
            <w:tcW w:type="dxa" w:w="1200"/>
            <w:tcBorders>
              <w:top w:val="single" w:color="CCCCCC" w:sz="1"/>
              <w:left w:val="single" w:color="CCCCCC" w:sz="1"/>
              <w:bottom w:val="single" w:color="CCCCCC" w:sz="1"/>
              <w:right w:val="single" w:color="CCCCCC" w:sz="1"/>
            </w:tcBorders>
            <w:shd w:fill="E8F3F8" w:val="clear"/>
            <w:tcMar>
              <w:top w:type="dxa" w:w="60"/>
              <w:left w:type="dxa" w:w="100"/>
              <w:bottom w:type="dxa" w:w="60"/>
              <w:right w:type="dxa" w:w="100"/>
            </w:tcMar>
          </w:tcPr>
          <w:p>
            <w:r>
              <w:rPr>
                <w:b/>
                <w:bCs/>
              </w:rPr>
              <w:t xml:space="preserve">Q3</w:t>
            </w:r>
          </w:p>
        </w:tc>
        <w:tc>
          <w:tcPr>
            <w:tcW w:type="dxa" w:w="88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Cross-Disaster Transfer: Can a wildfire-trained model detect tsunami damage?</w:t>
            </w:r>
          </w:p>
        </w:tc>
      </w:tr>
      <w:tr>
        <w:tc>
          <w:tcPr>
            <w:tcW w:type="dxa" w:w="1200"/>
            <w:tcBorders>
              <w:top w:val="single" w:color="CCCCCC" w:sz="1"/>
              <w:left w:val="single" w:color="CCCCCC" w:sz="1"/>
              <w:bottom w:val="single" w:color="CCCCCC" w:sz="1"/>
              <w:right w:val="single" w:color="CCCCCC" w:sz="1"/>
            </w:tcBorders>
            <w:shd w:fill="E8F3F8" w:val="clear"/>
            <w:tcMar>
              <w:top w:type="dxa" w:w="60"/>
              <w:left w:type="dxa" w:w="100"/>
              <w:bottom w:type="dxa" w:w="60"/>
              <w:right w:type="dxa" w:w="100"/>
            </w:tcMar>
          </w:tcPr>
          <w:p>
            <w:r>
              <w:rPr>
                <w:b/>
                <w:bCs/>
              </w:rPr>
              <w:t xml:space="preserve">Q4</w:t>
            </w:r>
          </w:p>
        </w:tc>
        <w:tc>
          <w:tcPr>
            <w:tcW w:type="dxa" w:w="88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Self-Supervised Method Comparison: Pixel reconstruction (MAE) vs. contrastive learning?</w:t>
            </w:r>
          </w:p>
        </w:tc>
      </w:tr>
    </w:tbl>
    <w:p>
      <w:pPr>
        <w:spacing w:after="200"/>
      </w:pPr>
      <w:r>
        <w:t xml:space="preserve"/>
      </w:r>
    </w:p>
    <w:p>
      <w:pPr>
        <w:pStyle w:val="Heading2"/>
      </w:pPr>
      <w:r>
        <w:t xml:space="preserve">Technical Stack &amp; Resources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Models</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Prithvi (NASA-IBM foundation model), DINOv2, Vision Transformers (ViTs)</w:t>
            </w:r>
          </w:p>
        </w:tc>
      </w:tr>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Primary Dataset</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xBD: 850K+ labeled buildings, 19 disaster types, 0.5m resolution imagery</w:t>
            </w:r>
          </w:p>
        </w:tc>
      </w:tr>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Course Topics</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Self-supervised learning, Few-shot learning, Transfer learning, Domain adaptation, Foundation models</w:t>
            </w:r>
          </w:p>
        </w:tc>
      </w:tr>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Target Publication</w:t>
            </w:r>
          </w:p>
        </w:tc>
        <w:tc>
          <w:tcPr>
            <w:tcW w:type="dxa" w:w="758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CVPR EarthVision 2026 Workshop (Deadline: March 2, 2026)</w:t>
            </w:r>
          </w:p>
        </w:tc>
      </w:tr>
    </w:tbl>
    <w:p>
      <w:pPr>
        <w:spacing w:after="200"/>
      </w:pPr>
      <w:r>
        <w:t xml:space="preserve"/>
      </w:r>
    </w:p>
    <w:p>
      <w:pPr>
        <w:pStyle w:val="Heading2"/>
      </w:pPr>
      <w:r>
        <w:t xml:space="preserve">Expected Contributions</w:t>
      </w:r>
    </w:p>
    <w:p>
      <w:pPr>
        <w:spacing w:after="80"/>
        <w:ind w:left="360"/>
      </w:pPr>
      <w:r>
        <w:rPr>
          <w:b/>
          <w:bCs/>
        </w:rPr>
        <w:t xml:space="preserve">• </w:t>
      </w:r>
      <w:r>
        <w:t xml:space="preserve">Demonstrate that foundation models reduce labeling requirements by 90% while maintaining high accuracy</w:t>
      </w:r>
    </w:p>
    <w:p>
      <w:pPr>
        <w:spacing w:after="80"/>
        <w:ind w:left="360"/>
      </w:pPr>
      <w:r>
        <w:rPr>
          <w:b/>
          <w:bCs/>
        </w:rPr>
        <w:t xml:space="preserve">• </w:t>
      </w:r>
      <w:r>
        <w:t xml:space="preserve">Establish transfer learning baselines for cross-disaster and cross-geography generalization</w:t>
      </w:r>
    </w:p>
    <w:p>
      <w:pPr>
        <w:spacing w:after="80"/>
        <w:ind w:left="360"/>
      </w:pPr>
      <w:r>
        <w:rPr>
          <w:b/>
          <w:bCs/>
        </w:rPr>
        <w:t xml:space="preserve">• </w:t>
      </w:r>
      <w:r>
        <w:t xml:space="preserve">Provide open-source implementation and reproducible benchmarks for the disaster response community</w:t>
      </w:r>
    </w:p>
    <w:p>
      <w:pPr>
        <w:ind w:left="360"/>
      </w:pPr>
      <w:r>
        <w:rPr>
          <w:b/>
          <w:bCs/>
        </w:rPr>
        <w:t xml:space="preserve">• </w:t>
      </w:r>
      <w:r>
        <w:t xml:space="preserve">Enable rapid deployment of damage assessment AI for future disasters without retraining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20"/>
      <w:outlineLvl w:val="0"/>
    </w:pPr>
    <w:rPr>
      <w:rFonts w:ascii="Arial" w:cs="Arial" w:eastAsia="Arial" w:hAnsi="Arial"/>
      <w:b/>
      <w:bCs/>
      <w:color w:val="1F4788"/>
      <w:sz w:val="28"/>
      <w:szCs w:val="28"/>
    </w:rPr>
  </w:style>
  <w:style w:type="paragraph" w:styleId="Heading2">
    <w:name w:val="Heading 2"/>
    <w:basedOn w:val="Normal"/>
    <w:next w:val="Normal"/>
    <w:qFormat/>
    <w:pPr>
      <w:spacing w:before="100" w:after="10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2026-02-11T00:00:10.214Z</dcterms:created>
  <dcterms:modified xsi:type="dcterms:W3CDTF">2026-02-11T00:00:10.215Z</dcterms:modified>
</cp:coreProperties>
</file>

<file path=docProps/custom.xml><?xml version="1.0" encoding="utf-8"?>
<Properties xmlns="http://schemas.openxmlformats.org/officeDocument/2006/custom-properties" xmlns:vt="http://schemas.openxmlformats.org/officeDocument/2006/docPropsVTypes"/>
</file>