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"/>
      </w:pPr>
      <w:r>
        <w:t>Sample Import Fixture</w:t>
      </w:r>
    </w:p>
    <w:p>
      <w:pPr>
        <w:pStyle w:val="Heading1"/>
      </w:pPr>
      <w:bookmarkStart w:id="1" w:name="_Toc2"/>
      <w:r>
        <w:t>Scope</w:t>
      </w:r>
      <w:bookmarkEnd w:id="1"/>
    </w:p>
    <w:p>
      <w:pPr>
        <w:pStyle w:val="Heading2"/>
      </w:pPr>
      <w:bookmarkStart w:id="2" w:name="_Toc3"/>
      <w:r>
        <w:t>Method</w:t>
      </w:r>
      <w:bookmarkEnd w:id="2"/>
    </w:p>
    <w:p>
      <w:pPr/>
      <w:r>
        <w:rPr/>
        <w:t xml:space="preserve">The survey covers </w:t>
      </w:r>
      <w:r>
        <w:rPr>
          <w:b w:val="1"/>
          <w:bCs w:val="1"/>
        </w:rPr>
        <w:t xml:space="preserve">every region</w:t>
      </w:r>
      <w:r>
        <w:rPr/>
        <w:t xml:space="preserve"> and was </w:t>
      </w:r>
      <w:r>
        <w:rPr>
          <w:i w:val="1"/>
          <w:iCs w:val="1"/>
        </w:rPr>
        <w:t xml:space="preserve">reviewed twice</w:t>
      </w:r>
      <w:r>
        <w:rPr/>
        <w:t xml:space="preserve">, see the </w:t>
      </w:r>
      <w:hyperlink r:id="rId7" w:history="1">
        <w:r>
          <w:rPr>
            <w:color w:val="0563C1"/>
            <w:u w:val="single"/>
          </w:rPr>
          <w:t xml:space="preserve">method note</w:t>
        </w:r>
      </w:hyperlink>
      <w:r>
        <w:rPr/>
        <w:t xml:space="preserve">.</w:t>
      </w:r>
    </w:p>
    <w:p>
      <w:pPr>
        <w:numPr>
          <w:ilvl w:val="0"/>
          <w:numId w:val="4"/>
        </w:numPr>
      </w:pPr>
      <w:r>
        <w:rPr/>
        <w:t xml:space="preserve">Coverage</w:t>
      </w:r>
    </w:p>
    <w:p>
      <w:pPr>
        <w:numPr>
          <w:ilvl w:val="0"/>
          <w:numId w:val="4"/>
        </w:numPr>
      </w:pPr>
      <w:r>
        <w:rPr/>
        <w:t xml:space="preserve">Sampling</w:t>
      </w:r>
    </w:p>
    <w:p>
      <w:pPr>
        <w:numPr>
          <w:ilvl w:val="0"/>
          <w:numId w:val="4"/>
        </w:numPr>
      </w:pPr>
      <w:r>
        <w:rPr/>
        <w:t xml:space="preserve">Weighting</w:t>
      </w:r>
    </w:p>
    <w:p>
      <w:pPr>
        <w:numPr>
          <w:ilvl w:val="0"/>
          <w:numId w:val="5"/>
        </w:numPr>
      </w:pPr>
      <w:r>
        <w:rPr/>
        <w:t xml:space="preserve">Collect responses</w:t>
      </w:r>
    </w:p>
    <w:p>
      <w:pPr>
        <w:numPr>
          <w:ilvl w:val="0"/>
          <w:numId w:val="5"/>
        </w:numPr>
      </w:pPr>
      <w:r>
        <w:rPr/>
        <w:t xml:space="preserve">Publish the summary</w:t>
      </w:r>
    </w:p>
    <w:tbl>
      <w:tblGrid>
        <w:gridCol w:w="4200" w:type="dxa"/>
        <w:gridCol w:w="4200" w:type="dxa"/>
      </w:tblGrid>
      <w:tblPr>
        <w:tblW w:w="0" w:type="auto"/>
        <w:tblLayout w:type="autofit"/>
        <w:bidiVisual w:val="0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D5D1C7"/>
          <w:left w:val="single" w:sz="6" w:color="D5D1C7"/>
          <w:right w:val="single" w:sz="6" w:color="D5D1C7"/>
          <w:bottom w:val="single" w:sz="6" w:color="D5D1C7"/>
          <w:insideH w:val="single" w:sz="6" w:color="D5D1C7"/>
          <w:insideV w:val="single" w:sz="6" w:color="D5D1C7"/>
        </w:tblBorders>
      </w:tblPr>
      <w:tr>
        <w:trPr>
          <w:tblHeader w:val="1"/>
        </w:trPr>
        <w:tc>
          <w:tcPr>
            <w:tcW w:w="4200" w:type="dxa"/>
            <w:shd w:val="clear" w:fill="EFEDE7"/>
          </w:tcPr>
          <w:p>
            <w:pPr/>
            <w:r>
              <w:rPr>
                <w:b w:val="1"/>
                <w:bCs w:val="1"/>
              </w:rPr>
              <w:t xml:space="preserve">Region</w:t>
            </w:r>
          </w:p>
        </w:tc>
        <w:tc>
          <w:tcPr>
            <w:tcW w:w="4200" w:type="dxa"/>
            <w:shd w:val="clear" w:fill="EFEDE7"/>
          </w:tcPr>
          <w:p>
            <w:pPr/>
            <w:r>
              <w:rPr>
                <w:b w:val="1"/>
                <w:bCs w:val="1"/>
              </w:rPr>
              <w:t xml:space="preserve">Yield</w:t>
            </w:r>
          </w:p>
        </w:tc>
      </w:tr>
      <w:tr>
        <w:trPr/>
        <w:tc>
          <w:tcPr>
            <w:tcW w:w="4200" w:type="dxa"/>
          </w:tcPr>
          <w:p>
            <w:pPr/>
            <w:r>
              <w:rPr/>
              <w:t xml:space="preserve">North</w:t>
            </w:r>
          </w:p>
        </w:tc>
        <w:tc>
          <w:tcPr>
            <w:tcW w:w="4200" w:type="dxa"/>
          </w:tcPr>
          <w:p>
            <w:pPr/>
            <w:r>
              <w:rPr/>
              <w:t xml:space="preserve">12.4</w:t>
            </w:r>
          </w:p>
        </w:tc>
      </w:tr>
    </w:tbl>
    <w:p>
      <w:pPr/>
      <w:r>
        <w:pict>
          <v:shape type="#_x0000_t75" stroked="f" style="width:48pt; height:48pt; margin-left:0pt; margin-top:0pt; mso-position-horizontal:left; mso-position-vertical:top; mso-position-horizontal-relative:char; mso-position-vertical-relative:line;">
            <w10:wrap type="inline"/>
            <v:imagedata r:id="rId8" o:title=""/>
          </v:shape>
        </w:pic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nsid w:val="090A379A"/>
    <w:multiLevelType w:val="hybridMultilevel"/>
    <w:lvl w:ilvl="0">
      <w:start w:val="1"/>
      <w:numFmt w:val="bullet"/>
      <w:suff w:val="tab"/>
      <w:lvlText w:val="•"/>
      <w:pPr>
        <w:tabs>
          <w:tab w:val="num" w:pos="360"/>
        </w:tabs>
        <w:ind w:left="360" w:hanging="360"/>
      </w:pPr>
      <w:rPr>
        <w:rFonts w:ascii="Symbol" w:hAnsi="Symbol" w:cs="Symbol"/>
      </w:rPr>
    </w:lvl>
  </w:abstractNum>
  <w:abstractNum w:abstractNumId="5">
    <w:nsid w:val="FB303E12"/>
    <w:multiLevelType w:val="multilevel"/>
    <w:lvl w:ilvl="0">
      <w:start w:val="1"/>
      <w:numFmt w:val="decimal"/>
      <w:suff w:val="tab"/>
      <w:lvlText w:val="%1."/>
      <w:pPr>
        <w:tabs>
          <w:tab w:val="num" w:pos="360"/>
        </w:tabs>
        <w:ind w:left="360" w:hanging="360"/>
      </w:pPr>
      <w:rPr>
        <w:rFonts/>
      </w:rPr>
    </w:lvl>
  </w:abstractNum>
  <w:num w:numId="4">
    <w:abstractNumId w:val="4"/>
  </w:num>
  <w:num w:numId="5">
    <w:abstractNumId w:val="5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Source Serif 4" w:hAnsi="Source Serif 4" w:eastAsia="Source Serif 4" w:cs="Source Serif 4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Title">
    <w:link w:val="titleChar"/>
    <w:name w:val="title"/>
    <w:rPr>
      <w:color w:val="1F2023"/>
      <w:sz w:val="44"/>
      <w:szCs w:val="44"/>
      <w:b w:val="1"/>
      <w:bCs w:val="1"/>
    </w:rPr>
  </w:style>
  <w:style w:type="paragraph" w:styleId="Heading1">
    <w:link w:val="Heading1Char"/>
    <w:name w:val="heading 1"/>
    <w:rPr>
      <w:color w:val="1F2023"/>
      <w:sz w:val="44"/>
      <w:szCs w:val="44"/>
      <w:b w:val="1"/>
      <w:bCs w:val="1"/>
    </w:rPr>
  </w:style>
  <w:style w:type="paragraph" w:styleId="Heading2">
    <w:link w:val="Heading2Char"/>
    <w:name w:val="heading 2"/>
    <w:rPr>
      <w:color w:val="1F2023"/>
      <w:sz w:val="32"/>
      <w:szCs w:val="32"/>
      <w:b w:val="1"/>
      <w:bCs w:val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yperlink" Target="https://example.com/method" TargetMode="External"/><Relationship Id="rId8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2026-09-09T19:13:09+00:00</dcterms:created>
  <dcterms:modified xsi:type="dcterms:W3CDTF">2026-09-09T19:13:09+00:00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