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FF6DB" w14:textId="528E1862" w:rsidR="007454A0" w:rsidRDefault="007454A0"/>
    <w:p w14:paraId="304A45DD" w14:textId="2B95158A" w:rsidR="007454A0" w:rsidRDefault="007454A0"/>
    <w:p w14:paraId="635A5D68" w14:textId="13B29683" w:rsidR="007454A0" w:rsidRDefault="007454A0"/>
    <w:p w14:paraId="584CB52E" w14:textId="11CF985B" w:rsidR="009C16FE" w:rsidRDefault="007454A0" w:rsidP="009C16FE">
      <w:pPr>
        <w:jc w:val="center"/>
      </w:pPr>
      <w:r>
        <w:rPr>
          <w:noProof/>
        </w:rPr>
        <w:drawing>
          <wp:inline distT="0" distB="0" distL="0" distR="0" wp14:anchorId="2434F79E" wp14:editId="657DD615">
            <wp:extent cx="1444705" cy="2224192"/>
            <wp:effectExtent l="0" t="0" r="3175" b="5080"/>
            <wp:docPr id="2" name="Picture 2" descr="UMBC Logos – Brand and Style Guide - UM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 Logos – Brand and Style Guide - UMB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4705" cy="2224192"/>
                    </a:xfrm>
                    <a:prstGeom prst="rect">
                      <a:avLst/>
                    </a:prstGeom>
                    <a:noFill/>
                    <a:ln>
                      <a:noFill/>
                    </a:ln>
                  </pic:spPr>
                </pic:pic>
              </a:graphicData>
            </a:graphic>
          </wp:inline>
        </w:drawing>
      </w:r>
    </w:p>
    <w:p w14:paraId="707D4E79" w14:textId="123858EB" w:rsidR="007454A0" w:rsidRDefault="007454A0" w:rsidP="007454A0">
      <w:pPr>
        <w:jc w:val="center"/>
      </w:pPr>
    </w:p>
    <w:p w14:paraId="16B7E4A6" w14:textId="2CB27B11" w:rsidR="007454A0" w:rsidRDefault="007454A0" w:rsidP="007454A0">
      <w:pPr>
        <w:jc w:val="center"/>
        <w:rPr>
          <w:rFonts w:asciiTheme="majorHAnsi" w:eastAsiaTheme="majorEastAsia" w:hAnsi="Calibri Light" w:cstheme="majorBidi"/>
          <w:color w:val="000000" w:themeColor="text1"/>
          <w:kern w:val="24"/>
          <w:sz w:val="32"/>
          <w:szCs w:val="32"/>
        </w:rPr>
      </w:pPr>
      <w:r w:rsidRPr="007454A0">
        <w:rPr>
          <w:rFonts w:asciiTheme="majorHAnsi" w:eastAsiaTheme="majorEastAsia" w:hAnsi="Calibri Light" w:cstheme="majorBidi"/>
          <w:color w:val="000000" w:themeColor="text1"/>
          <w:kern w:val="24"/>
          <w:sz w:val="32"/>
          <w:szCs w:val="32"/>
        </w:rPr>
        <w:t xml:space="preserve">HIT 663 </w:t>
      </w:r>
      <w:r w:rsidRPr="007454A0">
        <w:rPr>
          <w:rFonts w:asciiTheme="majorHAnsi" w:eastAsiaTheme="majorEastAsia" w:hAnsi="Calibri Light" w:cstheme="majorBidi"/>
          <w:color w:val="000000" w:themeColor="text1"/>
          <w:kern w:val="24"/>
          <w:sz w:val="32"/>
          <w:szCs w:val="32"/>
        </w:rPr>
        <w:br/>
        <w:t>Health IT Policy and Administration</w:t>
      </w:r>
    </w:p>
    <w:p w14:paraId="562818FC" w14:textId="5B536545" w:rsidR="007454A0" w:rsidRDefault="007454A0" w:rsidP="007454A0">
      <w:pPr>
        <w:jc w:val="center"/>
        <w:rPr>
          <w:rFonts w:asciiTheme="majorHAnsi" w:eastAsiaTheme="majorEastAsia" w:hAnsi="Calibri Light" w:cstheme="majorBidi"/>
          <w:color w:val="000000" w:themeColor="text1"/>
          <w:kern w:val="24"/>
          <w:sz w:val="32"/>
          <w:szCs w:val="32"/>
        </w:rPr>
      </w:pPr>
    </w:p>
    <w:p w14:paraId="2960ED39" w14:textId="625989BD" w:rsidR="007454A0" w:rsidRDefault="007454A0" w:rsidP="007454A0">
      <w:pPr>
        <w:jc w:val="center"/>
        <w:rPr>
          <w:rFonts w:asciiTheme="majorHAnsi" w:eastAsiaTheme="majorEastAsia" w:hAnsi="Calibri Light" w:cstheme="majorBidi"/>
          <w:color w:val="000000" w:themeColor="text1"/>
          <w:kern w:val="24"/>
          <w:sz w:val="32"/>
          <w:szCs w:val="32"/>
        </w:rPr>
      </w:pPr>
      <w:r>
        <w:rPr>
          <w:rFonts w:asciiTheme="majorHAnsi" w:eastAsiaTheme="majorEastAsia" w:hAnsi="Calibri Light" w:cstheme="majorBidi"/>
          <w:color w:val="000000" w:themeColor="text1"/>
          <w:kern w:val="24"/>
          <w:sz w:val="32"/>
          <w:szCs w:val="32"/>
        </w:rPr>
        <w:t>Health IT Policy Analysis Paper:</w:t>
      </w:r>
    </w:p>
    <w:p w14:paraId="2005FD44" w14:textId="5190DF2C" w:rsidR="007454A0" w:rsidRPr="00CC6A0D" w:rsidRDefault="007454A0" w:rsidP="007454A0">
      <w:pPr>
        <w:jc w:val="center"/>
        <w:rPr>
          <w:rFonts w:ascii="Times New Roman" w:eastAsiaTheme="majorEastAsia" w:hAnsi="Times New Roman" w:cs="Times New Roman"/>
          <w:color w:val="000000" w:themeColor="text1"/>
          <w:kern w:val="24"/>
          <w:sz w:val="40"/>
          <w:szCs w:val="40"/>
        </w:rPr>
      </w:pPr>
      <w:r w:rsidRPr="00CC6A0D">
        <w:rPr>
          <w:rFonts w:ascii="Times New Roman" w:eastAsiaTheme="majorEastAsia" w:hAnsi="Times New Roman" w:cs="Times New Roman"/>
          <w:color w:val="000000" w:themeColor="text1"/>
          <w:kern w:val="24"/>
          <w:sz w:val="40"/>
          <w:szCs w:val="40"/>
        </w:rPr>
        <w:t>[</w:t>
      </w:r>
      <w:r w:rsidR="00CC6A0D" w:rsidRPr="00CC6A0D">
        <w:rPr>
          <w:rFonts w:ascii="Times New Roman" w:hAnsi="Times New Roman" w:cs="Times New Roman"/>
          <w:sz w:val="40"/>
          <w:szCs w:val="40"/>
        </w:rPr>
        <w:t>"Ensuring Patient Privacy in Virtual Healthcare: Addressing HIPAA Compliance in Telemedicine"</w:t>
      </w:r>
      <w:r w:rsidR="00FC6BEC" w:rsidRPr="00CC6A0D">
        <w:rPr>
          <w:rFonts w:ascii="Times New Roman" w:eastAsiaTheme="majorEastAsia" w:hAnsi="Times New Roman" w:cs="Times New Roman"/>
          <w:color w:val="000000" w:themeColor="text1"/>
          <w:kern w:val="24"/>
          <w:sz w:val="40"/>
          <w:szCs w:val="40"/>
        </w:rPr>
        <w:t>]</w:t>
      </w:r>
    </w:p>
    <w:p w14:paraId="328AA218" w14:textId="48620E4A" w:rsidR="00FC6BEC" w:rsidRDefault="00FC6BEC" w:rsidP="007454A0">
      <w:pPr>
        <w:jc w:val="center"/>
        <w:rPr>
          <w:rFonts w:asciiTheme="majorHAnsi" w:eastAsiaTheme="majorEastAsia" w:hAnsi="Calibri Light" w:cstheme="majorBidi"/>
          <w:color w:val="000000" w:themeColor="text1"/>
          <w:kern w:val="24"/>
          <w:sz w:val="32"/>
          <w:szCs w:val="32"/>
        </w:rPr>
      </w:pPr>
      <w:r>
        <w:rPr>
          <w:rFonts w:asciiTheme="majorHAnsi" w:eastAsiaTheme="majorEastAsia" w:hAnsi="Calibri Light" w:cstheme="majorBidi"/>
          <w:color w:val="000000" w:themeColor="text1"/>
          <w:kern w:val="24"/>
          <w:sz w:val="32"/>
          <w:szCs w:val="32"/>
        </w:rPr>
        <w:t xml:space="preserve">By </w:t>
      </w:r>
    </w:p>
    <w:p w14:paraId="74CB1302" w14:textId="2C092233" w:rsidR="00FC6BEC" w:rsidRDefault="00FC6BEC" w:rsidP="00CC6A0D">
      <w:pPr>
        <w:spacing w:line="240" w:lineRule="auto"/>
        <w:jc w:val="center"/>
        <w:rPr>
          <w:rFonts w:asciiTheme="majorHAnsi" w:eastAsiaTheme="majorEastAsia" w:hAnsi="Calibri Light" w:cstheme="majorBidi"/>
          <w:color w:val="000000" w:themeColor="text1"/>
          <w:kern w:val="24"/>
          <w:sz w:val="32"/>
          <w:szCs w:val="32"/>
        </w:rPr>
      </w:pPr>
      <w:r>
        <w:rPr>
          <w:rFonts w:asciiTheme="majorHAnsi" w:eastAsiaTheme="majorEastAsia" w:hAnsi="Calibri Light" w:cstheme="majorBidi"/>
          <w:color w:val="000000" w:themeColor="text1"/>
          <w:kern w:val="24"/>
          <w:sz w:val="32"/>
          <w:szCs w:val="32"/>
        </w:rPr>
        <w:t>[</w:t>
      </w:r>
      <w:r w:rsidR="00CC6A0D" w:rsidRPr="003E3A73">
        <w:rPr>
          <w:rFonts w:asciiTheme="majorHAnsi" w:eastAsiaTheme="majorEastAsia" w:hAnsi="Calibri Light" w:cstheme="majorBidi"/>
          <w:b/>
          <w:bCs/>
          <w:color w:val="000000" w:themeColor="text1"/>
          <w:kern w:val="24"/>
          <w:sz w:val="32"/>
          <w:szCs w:val="32"/>
        </w:rPr>
        <w:t>Saketha Vallabhaneni</w:t>
      </w:r>
      <w:r>
        <w:rPr>
          <w:rFonts w:asciiTheme="majorHAnsi" w:eastAsiaTheme="majorEastAsia" w:hAnsi="Calibri Light" w:cstheme="majorBidi"/>
          <w:color w:val="000000" w:themeColor="text1"/>
          <w:kern w:val="24"/>
          <w:sz w:val="32"/>
          <w:szCs w:val="32"/>
        </w:rPr>
        <w:t>]</w:t>
      </w:r>
    </w:p>
    <w:p w14:paraId="54B3DBCD" w14:textId="13043B17" w:rsidR="00FC6BEC" w:rsidRDefault="00FC6BEC" w:rsidP="007454A0">
      <w:pPr>
        <w:jc w:val="center"/>
        <w:rPr>
          <w:rFonts w:asciiTheme="majorHAnsi" w:eastAsiaTheme="majorEastAsia" w:hAnsi="Calibri Light" w:cstheme="majorBidi"/>
          <w:color w:val="000000" w:themeColor="text1"/>
          <w:kern w:val="24"/>
          <w:sz w:val="32"/>
          <w:szCs w:val="32"/>
        </w:rPr>
      </w:pPr>
    </w:p>
    <w:p w14:paraId="245B9F40" w14:textId="69F90F12" w:rsidR="00FC6BEC" w:rsidRDefault="00FC6BEC" w:rsidP="007454A0">
      <w:pPr>
        <w:jc w:val="center"/>
        <w:rPr>
          <w:rFonts w:asciiTheme="majorHAnsi" w:eastAsiaTheme="majorEastAsia" w:hAnsi="Calibri Light" w:cstheme="majorBidi"/>
          <w:color w:val="000000" w:themeColor="text1"/>
          <w:kern w:val="24"/>
          <w:sz w:val="32"/>
          <w:szCs w:val="32"/>
        </w:rPr>
      </w:pPr>
    </w:p>
    <w:p w14:paraId="12C427EB" w14:textId="0A3C17F3" w:rsidR="00FC6BEC" w:rsidRDefault="00FC6BEC" w:rsidP="007454A0">
      <w:pPr>
        <w:jc w:val="center"/>
        <w:rPr>
          <w:rFonts w:asciiTheme="majorHAnsi" w:eastAsiaTheme="majorEastAsia" w:hAnsi="Calibri Light" w:cstheme="majorBidi"/>
          <w:color w:val="000000" w:themeColor="text1"/>
          <w:kern w:val="24"/>
          <w:sz w:val="32"/>
          <w:szCs w:val="32"/>
        </w:rPr>
      </w:pPr>
    </w:p>
    <w:p w14:paraId="3E6F73E2" w14:textId="54BD7E31" w:rsidR="00FC6BEC" w:rsidRDefault="00FC6BEC" w:rsidP="007454A0">
      <w:pPr>
        <w:jc w:val="center"/>
        <w:rPr>
          <w:rFonts w:asciiTheme="majorHAnsi" w:eastAsiaTheme="majorEastAsia" w:hAnsi="Calibri Light" w:cstheme="majorBidi"/>
          <w:color w:val="000000" w:themeColor="text1"/>
          <w:kern w:val="24"/>
          <w:sz w:val="32"/>
          <w:szCs w:val="32"/>
        </w:rPr>
      </w:pPr>
    </w:p>
    <w:p w14:paraId="049EF685" w14:textId="61640230" w:rsidR="00FC6BEC" w:rsidRDefault="00FC6BEC" w:rsidP="007454A0">
      <w:pPr>
        <w:jc w:val="center"/>
        <w:rPr>
          <w:rFonts w:asciiTheme="majorHAnsi" w:eastAsiaTheme="majorEastAsia" w:hAnsi="Calibri Light" w:cstheme="majorBidi"/>
          <w:color w:val="000000" w:themeColor="text1"/>
          <w:kern w:val="24"/>
          <w:sz w:val="32"/>
          <w:szCs w:val="32"/>
        </w:rPr>
      </w:pPr>
    </w:p>
    <w:p w14:paraId="54B4DC47" w14:textId="39737EC3" w:rsidR="00FC6BEC" w:rsidRDefault="00FC6BEC" w:rsidP="007454A0">
      <w:pPr>
        <w:jc w:val="center"/>
        <w:rPr>
          <w:rFonts w:asciiTheme="majorHAnsi" w:eastAsiaTheme="majorEastAsia" w:hAnsi="Calibri Light" w:cstheme="majorBidi"/>
          <w:color w:val="000000" w:themeColor="text1"/>
          <w:kern w:val="24"/>
          <w:sz w:val="32"/>
          <w:szCs w:val="32"/>
        </w:rPr>
      </w:pPr>
    </w:p>
    <w:p w14:paraId="6A8B34F1" w14:textId="24A75301" w:rsidR="00FC6BEC" w:rsidRDefault="000F633D" w:rsidP="00F12045">
      <w:pPr>
        <w:rPr>
          <w:rFonts w:cstheme="minorHAnsi"/>
          <w:b/>
          <w:bCs/>
          <w:sz w:val="28"/>
          <w:szCs w:val="28"/>
        </w:rPr>
      </w:pPr>
      <w:r w:rsidRPr="00221E9F">
        <w:rPr>
          <w:rFonts w:cstheme="minorHAnsi"/>
          <w:b/>
          <w:bCs/>
          <w:sz w:val="28"/>
          <w:szCs w:val="28"/>
        </w:rPr>
        <w:t>Abstract</w:t>
      </w:r>
    </w:p>
    <w:p w14:paraId="71F649A4" w14:textId="3B57B774" w:rsidR="003E3A73" w:rsidRPr="00221E9F" w:rsidRDefault="003E3A73" w:rsidP="00F12045">
      <w:pPr>
        <w:rPr>
          <w:rFonts w:cstheme="minorHAnsi"/>
          <w:b/>
          <w:bCs/>
          <w:sz w:val="28"/>
          <w:szCs w:val="28"/>
        </w:rPr>
      </w:pPr>
      <w:r>
        <w:rPr>
          <w:rFonts w:ascii="Segoe UI" w:hAnsi="Segoe UI" w:cs="Segoe UI"/>
          <w:color w:val="0D0D0D"/>
          <w:shd w:val="clear" w:color="auto" w:fill="FFFFFF"/>
        </w:rPr>
        <w:t>This paper delves into the critical importance of upholding patient privacy in telemedicine and the challenges posed by ensuring compliance with the Health Insurance Portability and Accountability Act (HIPAA) regulations within virtual healthcare settings. Telemedicine, originating from mid-20th-century initiatives, has witnessed rapid growth, particularly fueled by advancements in digital communication technologies and heightened by the COVID-19 pandemic. While telemedicine offers unprecedented accessibility and convenience, concerns regarding patient privacy and data security have intensified. The paper explores the widespread impact of HIPAA compliance and privacy challenges across various stakeholders, including patients, healthcare providers, establishments, and regulators. Motivated by a passion for ethics, technology, and healthcare, the author seeks to advocate for robust privacy and regulatory compliance measures in telemedicine. Through analysis of the current state, causes of privacy challenges, stakeholder impacts, and proposed solutions encompassing non-technical and technical components, the paper emphasizes the urgent need for action. Prioritizing public awareness campaigns, swift response to compliance challenges, and collaborative efforts among stakeholders are identified as key strategies to enhance patient trust, mitigate privacy risks, and advance secure telemedicine services. The paper concludes by underlining the necessity of ongoing evaluation, adaptation, and collaboration to realize the full potential of telemedicine while safeguarding patient privacy and data security.</w:t>
      </w:r>
    </w:p>
    <w:p w14:paraId="42281FDC" w14:textId="21BAE7F4" w:rsidR="00CA2A26" w:rsidRDefault="00CA2A26" w:rsidP="00F12045">
      <w:pPr>
        <w:rPr>
          <w:rFonts w:cstheme="minorHAnsi"/>
          <w:b/>
          <w:bCs/>
          <w:sz w:val="28"/>
          <w:szCs w:val="28"/>
        </w:rPr>
      </w:pPr>
    </w:p>
    <w:p w14:paraId="5D0E4A6A" w14:textId="1AE2FC2F" w:rsidR="00DB4AFA" w:rsidRDefault="00460988" w:rsidP="00250FF3">
      <w:pPr>
        <w:jc w:val="both"/>
        <w:rPr>
          <w:rFonts w:cstheme="minorHAnsi"/>
          <w:b/>
          <w:bCs/>
          <w:sz w:val="28"/>
          <w:szCs w:val="28"/>
        </w:rPr>
      </w:pPr>
      <w:r w:rsidRPr="0030159F">
        <w:rPr>
          <w:rFonts w:cstheme="minorHAnsi"/>
          <w:b/>
          <w:bCs/>
          <w:sz w:val="28"/>
          <w:szCs w:val="28"/>
        </w:rPr>
        <w:t xml:space="preserve">Introduction </w:t>
      </w:r>
    </w:p>
    <w:p w14:paraId="59D3D8BE" w14:textId="77777777" w:rsidR="004A22C6" w:rsidRDefault="0030159F" w:rsidP="00250FF3">
      <w:pPr>
        <w:jc w:val="both"/>
        <w:rPr>
          <w:rFonts w:cstheme="minorHAnsi"/>
          <w:i/>
          <w:iCs/>
          <w:sz w:val="24"/>
          <w:szCs w:val="24"/>
        </w:rPr>
      </w:pPr>
      <w:r w:rsidRPr="008876AF">
        <w:rPr>
          <w:rFonts w:cstheme="minorHAnsi"/>
          <w:i/>
          <w:iCs/>
          <w:sz w:val="24"/>
          <w:szCs w:val="24"/>
        </w:rPr>
        <w:t>Statement of the Topic</w:t>
      </w:r>
    </w:p>
    <w:p w14:paraId="4F4C8055" w14:textId="68308298" w:rsidR="0030159F" w:rsidRPr="004A22C6" w:rsidRDefault="004A22C6" w:rsidP="00250FF3">
      <w:pPr>
        <w:jc w:val="both"/>
        <w:rPr>
          <w:rFonts w:cstheme="minorHAnsi"/>
          <w:i/>
          <w:iCs/>
          <w:sz w:val="24"/>
          <w:szCs w:val="24"/>
        </w:rPr>
      </w:pPr>
      <w:r w:rsidRPr="004A22C6">
        <w:rPr>
          <w:rFonts w:cstheme="minorHAnsi"/>
          <w:color w:val="0D0D0D"/>
          <w:sz w:val="24"/>
          <w:szCs w:val="24"/>
          <w:shd w:val="clear" w:color="auto" w:fill="FFFFFF"/>
        </w:rPr>
        <w:t>The statement of the topic centers on the importance of preserving patient privacy in telemedicine and the challenges associated with ensuring compliance with HIPAA regulations in virtual healthcare settings</w:t>
      </w:r>
      <w:r w:rsidRPr="004A22C6">
        <w:rPr>
          <w:rFonts w:ascii="Segoe UI" w:hAnsi="Segoe UI" w:cs="Segoe UI"/>
          <w:color w:val="0D0D0D"/>
          <w:sz w:val="24"/>
          <w:szCs w:val="24"/>
          <w:shd w:val="clear" w:color="auto" w:fill="FFFFFF"/>
        </w:rPr>
        <w:t>.</w:t>
      </w:r>
    </w:p>
    <w:p w14:paraId="2CE727BB" w14:textId="188B4F3A" w:rsidR="008876AF" w:rsidRDefault="00910437" w:rsidP="00250FF3">
      <w:pPr>
        <w:jc w:val="both"/>
        <w:rPr>
          <w:rFonts w:cstheme="minorHAnsi"/>
          <w:i/>
          <w:iCs/>
          <w:sz w:val="24"/>
          <w:szCs w:val="24"/>
        </w:rPr>
      </w:pPr>
      <w:r w:rsidRPr="00910437">
        <w:rPr>
          <w:rFonts w:cstheme="minorHAnsi"/>
          <w:i/>
          <w:iCs/>
          <w:sz w:val="24"/>
          <w:szCs w:val="24"/>
        </w:rPr>
        <w:t>A Brief History of the Topic</w:t>
      </w:r>
    </w:p>
    <w:p w14:paraId="050BDC3B" w14:textId="77777777" w:rsidR="00194F8A" w:rsidRDefault="00C47F43" w:rsidP="00250FF3">
      <w:pPr>
        <w:spacing w:after="0" w:line="240" w:lineRule="auto"/>
        <w:jc w:val="both"/>
        <w:rPr>
          <w:rFonts w:eastAsia="Times New Roman" w:cstheme="minorHAnsi"/>
          <w:sz w:val="24"/>
          <w:szCs w:val="24"/>
        </w:rPr>
      </w:pPr>
      <w:r w:rsidRPr="00C47F43">
        <w:rPr>
          <w:rFonts w:eastAsia="Times New Roman" w:cstheme="minorHAnsi"/>
          <w:sz w:val="24"/>
          <w:szCs w:val="24"/>
        </w:rPr>
        <w:t xml:space="preserve">The origins of telemedicine may be traced back to the middle of the 20th century when proactive medical practitioners started an innovative process of sending medical data and photographs over great distances. These early investigations opened the door for telemedicine's development and a revolutionary change in the way healthcare is provided. </w:t>
      </w:r>
      <w:r>
        <w:rPr>
          <w:rFonts w:eastAsia="Times New Roman" w:cstheme="minorHAnsi"/>
          <w:sz w:val="24"/>
          <w:szCs w:val="24"/>
        </w:rPr>
        <w:t>However,</w:t>
      </w:r>
      <w:r w:rsidRPr="00C47F43">
        <w:rPr>
          <w:rFonts w:eastAsia="Times New Roman" w:cstheme="minorHAnsi"/>
          <w:sz w:val="24"/>
          <w:szCs w:val="24"/>
        </w:rPr>
        <w:t xml:space="preserve"> telemedicine was not truly taken until the internet and digital communication technologies widely flourished. With the development of these technologies, access to high-quality healthcare was no longer restricted by geographical limits, offering up previously unheard-of possibilities for remote medical consultations and treatments.</w:t>
      </w:r>
      <w:r>
        <w:rPr>
          <w:rFonts w:eastAsia="Times New Roman" w:cstheme="minorHAnsi"/>
          <w:sz w:val="24"/>
          <w:szCs w:val="24"/>
        </w:rPr>
        <w:t xml:space="preserve"> </w:t>
      </w:r>
    </w:p>
    <w:p w14:paraId="654CDB04" w14:textId="1CB23C42" w:rsidR="00C47F43" w:rsidRDefault="00C47F43" w:rsidP="00250FF3">
      <w:pPr>
        <w:spacing w:after="0" w:line="240" w:lineRule="auto"/>
        <w:jc w:val="both"/>
        <w:rPr>
          <w:rFonts w:ascii="Times New Roman" w:eastAsia="Times New Roman" w:hAnsi="Times New Roman" w:cs="Times New Roman"/>
          <w:sz w:val="24"/>
          <w:szCs w:val="24"/>
        </w:rPr>
      </w:pPr>
      <w:r w:rsidRPr="00C47F43">
        <w:rPr>
          <w:rFonts w:eastAsia="Times New Roman" w:cstheme="minorHAnsi"/>
          <w:sz w:val="24"/>
          <w:szCs w:val="24"/>
        </w:rPr>
        <w:lastRenderedPageBreak/>
        <w:t xml:space="preserve">The expectations of modern living and society's ever-increasing pace have led to an exponential rise in the popularity of telemedicine in recent years. People </w:t>
      </w:r>
      <w:r w:rsidR="00BF576A">
        <w:rPr>
          <w:rFonts w:eastAsia="Times New Roman" w:cstheme="minorHAnsi"/>
          <w:sz w:val="24"/>
          <w:szCs w:val="24"/>
        </w:rPr>
        <w:t>find it increasingly challenging to balance their duties to their families and jobs, making</w:t>
      </w:r>
      <w:r w:rsidRPr="00C47F43">
        <w:rPr>
          <w:rFonts w:eastAsia="Times New Roman" w:cstheme="minorHAnsi"/>
          <w:sz w:val="24"/>
          <w:szCs w:val="24"/>
        </w:rPr>
        <w:t xml:space="preserve"> remote healthcare services appealing. Furthermore, the start of the COVID-19 pandemic served as a trigger, quickening the telemedicine industry's adoption. Telemedicine became a lifesaver for countless people as lockdown procedures and social distancing rules restricted in-person medical visits. It provides a secure and convenient way for people to get essential medical care from the comfort and security of their own homes</w:t>
      </w:r>
      <w:r w:rsidRPr="00C47F43">
        <w:rPr>
          <w:rFonts w:ascii="Times New Roman" w:eastAsia="Times New Roman" w:hAnsi="Times New Roman" w:cs="Times New Roman"/>
          <w:sz w:val="24"/>
          <w:szCs w:val="24"/>
        </w:rPr>
        <w:t>.</w:t>
      </w:r>
    </w:p>
    <w:p w14:paraId="314BDA16" w14:textId="77777777" w:rsidR="00194F8A" w:rsidRPr="00194F8A" w:rsidRDefault="00194F8A" w:rsidP="00250FF3">
      <w:pPr>
        <w:spacing w:after="0" w:line="240" w:lineRule="auto"/>
        <w:jc w:val="both"/>
        <w:rPr>
          <w:rFonts w:eastAsia="Times New Roman" w:cstheme="minorHAnsi"/>
          <w:sz w:val="24"/>
          <w:szCs w:val="24"/>
        </w:rPr>
      </w:pPr>
      <w:r w:rsidRPr="00194F8A">
        <w:rPr>
          <w:rFonts w:eastAsia="Times New Roman" w:cstheme="minorHAnsi"/>
          <w:sz w:val="24"/>
          <w:szCs w:val="24"/>
        </w:rPr>
        <w:t>With increasing reliance on digital platforms for healthcare delivery, concerns over patient privacy and data security have intensified despite the technology's significant accomplishments and growing acceptance. As telemedicine develops and gets more integrated into healthcare systems, it is crucial to maintain strong patient privacy and data security protections. As a result, even if telemedicine provides previously unattainable levels of accessibility and ease, resolving these issues is essential to preserving belief in its practical use.</w:t>
      </w:r>
    </w:p>
    <w:p w14:paraId="307CFE3A" w14:textId="77777777" w:rsidR="00AC6E91" w:rsidRDefault="00AC6E91" w:rsidP="00250FF3">
      <w:pPr>
        <w:jc w:val="both"/>
        <w:rPr>
          <w:rFonts w:eastAsia="Times New Roman" w:cstheme="minorHAnsi"/>
          <w:sz w:val="24"/>
          <w:szCs w:val="24"/>
        </w:rPr>
      </w:pPr>
    </w:p>
    <w:p w14:paraId="7C9D7605" w14:textId="56639304" w:rsidR="00910437" w:rsidRDefault="00910437" w:rsidP="00250FF3">
      <w:pPr>
        <w:jc w:val="both"/>
        <w:rPr>
          <w:rFonts w:cstheme="minorHAnsi"/>
          <w:i/>
          <w:iCs/>
          <w:sz w:val="24"/>
          <w:szCs w:val="24"/>
        </w:rPr>
      </w:pPr>
      <w:r w:rsidRPr="00C47F43">
        <w:rPr>
          <w:rFonts w:cstheme="minorHAnsi"/>
          <w:i/>
          <w:iCs/>
          <w:sz w:val="24"/>
          <w:szCs w:val="24"/>
        </w:rPr>
        <w:t xml:space="preserve">Location of Focus </w:t>
      </w:r>
    </w:p>
    <w:p w14:paraId="3B071C48" w14:textId="77777777" w:rsidR="00194F8A" w:rsidRPr="00194F8A" w:rsidRDefault="00194F8A" w:rsidP="00250FF3">
      <w:pPr>
        <w:spacing w:after="0" w:line="240" w:lineRule="auto"/>
        <w:jc w:val="both"/>
        <w:rPr>
          <w:rFonts w:eastAsia="Times New Roman" w:cstheme="minorHAnsi"/>
          <w:sz w:val="24"/>
          <w:szCs w:val="24"/>
        </w:rPr>
      </w:pPr>
      <w:r w:rsidRPr="00194F8A">
        <w:rPr>
          <w:rFonts w:eastAsia="Times New Roman" w:cstheme="minorHAnsi"/>
          <w:sz w:val="24"/>
          <w:szCs w:val="24"/>
        </w:rPr>
        <w:t>The difficulties in maintaining patient privacy in telemedicine and managing HIPAA compliance are widespread. Initiatives related to telemedicine are being implemented in different states, regions, and municipalities, and they affect patients and healthcare practitioners everywhere. These issues also transcend geographic borders, impacting people in a variety of communities and healthcare environments, such as clinics, hospitals, and private practices.</w:t>
      </w:r>
    </w:p>
    <w:p w14:paraId="3CDAB283" w14:textId="77777777" w:rsidR="00AC6E91" w:rsidRDefault="00AC6E91" w:rsidP="00250FF3">
      <w:pPr>
        <w:jc w:val="both"/>
        <w:rPr>
          <w:rFonts w:cstheme="minorHAnsi"/>
          <w:i/>
          <w:iCs/>
          <w:sz w:val="24"/>
          <w:szCs w:val="24"/>
        </w:rPr>
      </w:pPr>
    </w:p>
    <w:p w14:paraId="1F230B86" w14:textId="243274C6" w:rsidR="00C122EC" w:rsidRDefault="00C122EC" w:rsidP="00250FF3">
      <w:pPr>
        <w:rPr>
          <w:rFonts w:cstheme="minorHAnsi"/>
          <w:i/>
          <w:iCs/>
          <w:sz w:val="24"/>
          <w:szCs w:val="24"/>
        </w:rPr>
      </w:pPr>
      <w:r>
        <w:rPr>
          <w:rFonts w:cstheme="minorHAnsi"/>
          <w:i/>
          <w:iCs/>
          <w:sz w:val="24"/>
          <w:szCs w:val="24"/>
        </w:rPr>
        <w:t>Who is Affected?</w:t>
      </w:r>
    </w:p>
    <w:p w14:paraId="6A94D45D" w14:textId="77777777" w:rsidR="00250FF3" w:rsidRPr="00250FF3" w:rsidRDefault="00AC6E91" w:rsidP="00250FF3">
      <w:pPr>
        <w:spacing w:after="0" w:line="240" w:lineRule="auto"/>
        <w:rPr>
          <w:rFonts w:eastAsia="Times New Roman" w:cstheme="minorHAnsi"/>
          <w:sz w:val="24"/>
          <w:szCs w:val="24"/>
        </w:rPr>
      </w:pPr>
      <w:r w:rsidRPr="00250FF3">
        <w:rPr>
          <w:rFonts w:eastAsia="Times New Roman" w:cstheme="minorHAnsi"/>
          <w:sz w:val="24"/>
          <w:szCs w:val="24"/>
        </w:rPr>
        <w:t>The following are those most adversely and directly affected by the problems with HIPAA complianc</w:t>
      </w:r>
      <w:r w:rsidR="00250FF3" w:rsidRPr="00250FF3">
        <w:rPr>
          <w:rFonts w:eastAsia="Times New Roman" w:cstheme="minorHAnsi"/>
          <w:sz w:val="24"/>
          <w:szCs w:val="24"/>
        </w:rPr>
        <w:t xml:space="preserve">e </w:t>
      </w:r>
      <w:r w:rsidRPr="00250FF3">
        <w:rPr>
          <w:rFonts w:eastAsia="Times New Roman" w:cstheme="minorHAnsi"/>
          <w:sz w:val="24"/>
          <w:szCs w:val="24"/>
        </w:rPr>
        <w:t>and patient privacy in telemedicine:</w:t>
      </w:r>
    </w:p>
    <w:p w14:paraId="30A2D9A2" w14:textId="77777777" w:rsidR="00250FF3" w:rsidRDefault="00AC6E91" w:rsidP="00250FF3">
      <w:pPr>
        <w:pStyle w:val="ListParagraph"/>
        <w:numPr>
          <w:ilvl w:val="0"/>
          <w:numId w:val="2"/>
        </w:numPr>
        <w:spacing w:after="0" w:line="240" w:lineRule="auto"/>
        <w:rPr>
          <w:rFonts w:eastAsia="Times New Roman" w:cstheme="minorHAnsi"/>
          <w:sz w:val="24"/>
          <w:szCs w:val="24"/>
        </w:rPr>
      </w:pPr>
      <w:r w:rsidRPr="00250FF3">
        <w:rPr>
          <w:rFonts w:eastAsia="Times New Roman" w:cstheme="minorHAnsi"/>
          <w:sz w:val="24"/>
          <w:szCs w:val="24"/>
        </w:rPr>
        <w:t xml:space="preserve">Patients: Unauthorized access to or disclosure of their private health information puts them at risk </w:t>
      </w:r>
      <w:proofErr w:type="gramStart"/>
      <w:r w:rsidRPr="00250FF3">
        <w:rPr>
          <w:rFonts w:eastAsia="Times New Roman" w:cstheme="minorHAnsi"/>
          <w:sz w:val="24"/>
          <w:szCs w:val="24"/>
        </w:rPr>
        <w:t>for</w:t>
      </w:r>
      <w:proofErr w:type="gramEnd"/>
      <w:r w:rsidRPr="00250FF3">
        <w:rPr>
          <w:rFonts w:eastAsia="Times New Roman" w:cstheme="minorHAnsi"/>
          <w:sz w:val="24"/>
          <w:szCs w:val="24"/>
        </w:rPr>
        <w:t xml:space="preserve"> harm and confidentiality violations.</w:t>
      </w:r>
    </w:p>
    <w:p w14:paraId="4972D01F" w14:textId="77777777" w:rsidR="00250FF3" w:rsidRDefault="00AC6E91" w:rsidP="00250FF3">
      <w:pPr>
        <w:pStyle w:val="ListParagraph"/>
        <w:numPr>
          <w:ilvl w:val="0"/>
          <w:numId w:val="2"/>
        </w:numPr>
        <w:spacing w:after="0" w:line="240" w:lineRule="auto"/>
        <w:rPr>
          <w:rFonts w:eastAsia="Times New Roman" w:cstheme="minorHAnsi"/>
          <w:sz w:val="24"/>
          <w:szCs w:val="24"/>
        </w:rPr>
      </w:pPr>
      <w:r w:rsidRPr="00250FF3">
        <w:rPr>
          <w:rFonts w:eastAsia="Times New Roman" w:cstheme="minorHAnsi"/>
          <w:sz w:val="24"/>
          <w:szCs w:val="24"/>
        </w:rPr>
        <w:t>Healthcare Providers: They must manage complicated regulatory requirements while protecting patient data, which can put a strain on resources and make it more difficult to provide effective care.</w:t>
      </w:r>
    </w:p>
    <w:p w14:paraId="293D1BA2" w14:textId="77777777" w:rsidR="00250FF3" w:rsidRDefault="00AC6E91" w:rsidP="00250FF3">
      <w:pPr>
        <w:pStyle w:val="ListParagraph"/>
        <w:numPr>
          <w:ilvl w:val="0"/>
          <w:numId w:val="2"/>
        </w:numPr>
        <w:spacing w:after="0" w:line="240" w:lineRule="auto"/>
        <w:rPr>
          <w:rFonts w:eastAsia="Times New Roman" w:cstheme="minorHAnsi"/>
          <w:sz w:val="24"/>
          <w:szCs w:val="24"/>
        </w:rPr>
      </w:pPr>
      <w:r w:rsidRPr="00250FF3">
        <w:rPr>
          <w:rFonts w:eastAsia="Times New Roman" w:cstheme="minorHAnsi"/>
          <w:sz w:val="24"/>
          <w:szCs w:val="24"/>
        </w:rPr>
        <w:t>Healthcare Establishments: HIPAA standards must be followed to avoid fines, harm to one's reputation, and a decline in patient and stakeholder trust.</w:t>
      </w:r>
    </w:p>
    <w:p w14:paraId="75589573" w14:textId="54A7177E" w:rsidR="00AC6E91" w:rsidRPr="00250FF3" w:rsidRDefault="00AC6E91" w:rsidP="00250FF3">
      <w:pPr>
        <w:pStyle w:val="ListParagraph"/>
        <w:numPr>
          <w:ilvl w:val="0"/>
          <w:numId w:val="2"/>
        </w:numPr>
        <w:spacing w:after="0" w:line="240" w:lineRule="auto"/>
        <w:rPr>
          <w:rFonts w:eastAsia="Times New Roman" w:cstheme="minorHAnsi"/>
          <w:sz w:val="24"/>
          <w:szCs w:val="24"/>
        </w:rPr>
      </w:pPr>
      <w:r w:rsidRPr="00250FF3">
        <w:rPr>
          <w:rFonts w:eastAsia="Times New Roman" w:cstheme="minorHAnsi"/>
          <w:sz w:val="24"/>
          <w:szCs w:val="24"/>
        </w:rPr>
        <w:t>Regulators and Policy Makers: Sufficient protection of patient privacy in telemedicine necessitates ongoing legislative framework modification to account for changing technology environments.</w:t>
      </w:r>
    </w:p>
    <w:p w14:paraId="4F805BD3" w14:textId="77777777" w:rsidR="00AC6E91" w:rsidRDefault="00AC6E91" w:rsidP="00250FF3">
      <w:pPr>
        <w:rPr>
          <w:rFonts w:cstheme="minorHAnsi"/>
          <w:i/>
          <w:iCs/>
          <w:sz w:val="24"/>
          <w:szCs w:val="24"/>
        </w:rPr>
      </w:pPr>
    </w:p>
    <w:p w14:paraId="738482D8" w14:textId="77777777" w:rsidR="003E3A73" w:rsidRDefault="003E3A73" w:rsidP="00250FF3">
      <w:pPr>
        <w:jc w:val="both"/>
        <w:rPr>
          <w:rFonts w:cstheme="minorHAnsi"/>
          <w:i/>
          <w:iCs/>
          <w:sz w:val="24"/>
          <w:szCs w:val="24"/>
        </w:rPr>
      </w:pPr>
    </w:p>
    <w:p w14:paraId="55459915" w14:textId="77777777" w:rsidR="00EA74CB" w:rsidRDefault="00EA74CB" w:rsidP="00250FF3">
      <w:pPr>
        <w:jc w:val="both"/>
        <w:rPr>
          <w:rFonts w:cstheme="minorHAnsi"/>
          <w:i/>
          <w:iCs/>
          <w:sz w:val="24"/>
          <w:szCs w:val="24"/>
        </w:rPr>
      </w:pPr>
    </w:p>
    <w:p w14:paraId="4C964EF0" w14:textId="77777777" w:rsidR="00EA74CB" w:rsidRDefault="00EA74CB" w:rsidP="00250FF3">
      <w:pPr>
        <w:jc w:val="both"/>
        <w:rPr>
          <w:rFonts w:cstheme="minorHAnsi"/>
          <w:i/>
          <w:iCs/>
          <w:sz w:val="24"/>
          <w:szCs w:val="24"/>
        </w:rPr>
      </w:pPr>
    </w:p>
    <w:p w14:paraId="70FBDCD8" w14:textId="6A0E95D0" w:rsidR="00C122EC" w:rsidRDefault="00C122EC" w:rsidP="00250FF3">
      <w:pPr>
        <w:jc w:val="both"/>
        <w:rPr>
          <w:rFonts w:cstheme="minorHAnsi"/>
          <w:i/>
          <w:iCs/>
          <w:sz w:val="24"/>
          <w:szCs w:val="24"/>
        </w:rPr>
      </w:pPr>
      <w:r>
        <w:rPr>
          <w:rFonts w:cstheme="minorHAnsi"/>
          <w:i/>
          <w:iCs/>
          <w:sz w:val="24"/>
          <w:szCs w:val="24"/>
        </w:rPr>
        <w:lastRenderedPageBreak/>
        <w:t>Motivation for this Topic</w:t>
      </w:r>
    </w:p>
    <w:p w14:paraId="4F4D5A9B" w14:textId="64214910" w:rsidR="000E7CB1" w:rsidRPr="000E7CB1" w:rsidRDefault="000E7CB1" w:rsidP="00250FF3">
      <w:pPr>
        <w:spacing w:after="0" w:line="240" w:lineRule="auto"/>
        <w:jc w:val="both"/>
        <w:rPr>
          <w:rFonts w:eastAsia="Times New Roman" w:cstheme="minorHAnsi"/>
          <w:sz w:val="24"/>
          <w:szCs w:val="24"/>
        </w:rPr>
      </w:pPr>
      <w:r w:rsidRPr="000E7CB1">
        <w:rPr>
          <w:rFonts w:eastAsia="Times New Roman" w:cstheme="minorHAnsi"/>
          <w:sz w:val="24"/>
          <w:szCs w:val="24"/>
        </w:rPr>
        <w:t>This subject is important to me personally since it relates to my passion</w:t>
      </w:r>
      <w:r w:rsidR="00617D06">
        <w:rPr>
          <w:rFonts w:eastAsia="Times New Roman" w:cstheme="minorHAnsi"/>
          <w:sz w:val="24"/>
          <w:szCs w:val="24"/>
        </w:rPr>
        <w:t xml:space="preserve"> </w:t>
      </w:r>
      <w:r w:rsidRPr="000E7CB1">
        <w:rPr>
          <w:rFonts w:eastAsia="Times New Roman" w:cstheme="minorHAnsi"/>
          <w:sz w:val="24"/>
          <w:szCs w:val="24"/>
        </w:rPr>
        <w:t xml:space="preserve">for ethics, technology, and healthcare. I have a strong belief in telemedicine's ability to provide access to healthcare services, and I also firmly believe in maintaining patient privacy and data security. Furthermore, maintaining HIPAA compliance in telemedicine is consistent with my view that healthcare institutions and practitioners have an ethical duty to safeguard patient confidentiality. </w:t>
      </w:r>
    </w:p>
    <w:p w14:paraId="069FBE9E" w14:textId="77777777" w:rsidR="000E7CB1" w:rsidRPr="000E7CB1" w:rsidRDefault="000E7CB1" w:rsidP="00250FF3">
      <w:pPr>
        <w:jc w:val="both"/>
        <w:rPr>
          <w:rFonts w:cstheme="minorHAnsi"/>
          <w:i/>
          <w:iCs/>
          <w:sz w:val="24"/>
          <w:szCs w:val="24"/>
        </w:rPr>
      </w:pPr>
    </w:p>
    <w:p w14:paraId="004EA489" w14:textId="4B255B72" w:rsidR="007815DE" w:rsidRDefault="00861DC3" w:rsidP="00F12045">
      <w:pPr>
        <w:rPr>
          <w:rFonts w:cstheme="minorHAnsi"/>
          <w:b/>
          <w:bCs/>
          <w:sz w:val="28"/>
          <w:szCs w:val="28"/>
        </w:rPr>
      </w:pPr>
      <w:r w:rsidRPr="00861DC3">
        <w:rPr>
          <w:rFonts w:cstheme="minorHAnsi"/>
          <w:b/>
          <w:bCs/>
          <w:sz w:val="28"/>
          <w:szCs w:val="28"/>
        </w:rPr>
        <w:t>Analysis of the Current State</w:t>
      </w:r>
    </w:p>
    <w:p w14:paraId="5E406A81" w14:textId="77777777" w:rsidR="006F63F2" w:rsidRDefault="0003612D" w:rsidP="006F63F2">
      <w:pPr>
        <w:rPr>
          <w:rFonts w:cstheme="minorHAnsi"/>
          <w:i/>
          <w:iCs/>
          <w:sz w:val="24"/>
          <w:szCs w:val="24"/>
        </w:rPr>
      </w:pPr>
      <w:r w:rsidRPr="006F63F2">
        <w:rPr>
          <w:rFonts w:cstheme="minorHAnsi"/>
          <w:i/>
          <w:iCs/>
          <w:sz w:val="24"/>
          <w:szCs w:val="24"/>
        </w:rPr>
        <w:t>Causes</w:t>
      </w:r>
    </w:p>
    <w:p w14:paraId="1BAA8D77" w14:textId="7119F4B4" w:rsidR="00D13B4A" w:rsidRPr="008F17A0" w:rsidRDefault="006F63F2" w:rsidP="00D13B4A">
      <w:pPr>
        <w:pStyle w:val="ListParagraph"/>
        <w:numPr>
          <w:ilvl w:val="0"/>
          <w:numId w:val="3"/>
        </w:numPr>
        <w:rPr>
          <w:rFonts w:eastAsia="Times New Roman" w:cstheme="minorHAnsi"/>
          <w:sz w:val="24"/>
          <w:szCs w:val="24"/>
        </w:rPr>
      </w:pPr>
      <w:r w:rsidRPr="008F17A0">
        <w:rPr>
          <w:rFonts w:eastAsia="Times New Roman" w:cstheme="minorHAnsi"/>
          <w:sz w:val="24"/>
          <w:szCs w:val="24"/>
        </w:rPr>
        <w:t>Rapid Technological Advancement: The field of telemedicine is experiencing rapid technological advancements</w:t>
      </w:r>
      <w:r w:rsidR="00ED68C7" w:rsidRPr="008F17A0">
        <w:rPr>
          <w:rFonts w:ascii="Calibri" w:eastAsia="Times New Roman" w:hAnsi="Calibri" w:cs="Calibri"/>
          <w:sz w:val="24"/>
          <w:szCs w:val="24"/>
        </w:rPr>
        <w:t>.</w:t>
      </w:r>
      <w:r w:rsidR="00ED68C7" w:rsidRPr="008F17A0">
        <w:rPr>
          <w:rFonts w:ascii="Calibri" w:hAnsi="Calibri" w:cs="Calibri"/>
          <w:color w:val="3D424E"/>
          <w:sz w:val="24"/>
          <w:szCs w:val="24"/>
          <w:shd w:val="clear" w:color="auto" w:fill="FFFFFF"/>
        </w:rPr>
        <w:t xml:space="preserve"> </w:t>
      </w:r>
      <w:r w:rsidR="00ED68C7" w:rsidRPr="008F17A0">
        <w:rPr>
          <w:rFonts w:ascii="Calibri" w:hAnsi="Calibri" w:cs="Calibri"/>
          <w:sz w:val="24"/>
          <w:szCs w:val="24"/>
          <w:shd w:val="clear" w:color="auto" w:fill="FFFFFF"/>
        </w:rPr>
        <w:t>There is continuous development in the realm of remote healthcare delivery</w:t>
      </w:r>
      <w:r w:rsidRPr="008F17A0">
        <w:rPr>
          <w:rFonts w:ascii="Calibri" w:eastAsia="Times New Roman" w:hAnsi="Calibri" w:cs="Calibri"/>
          <w:sz w:val="24"/>
          <w:szCs w:val="24"/>
        </w:rPr>
        <w:t>. Regulating</w:t>
      </w:r>
      <w:r w:rsidRPr="008F17A0">
        <w:rPr>
          <w:rFonts w:eastAsia="Times New Roman" w:cstheme="minorHAnsi"/>
          <w:sz w:val="24"/>
          <w:szCs w:val="24"/>
        </w:rPr>
        <w:t xml:space="preserve"> the confidentiality and security of patient information, however, is falling behind. This indicates that patient data may be vulnerable due to gaps in the system. </w:t>
      </w:r>
    </w:p>
    <w:p w14:paraId="6A0117E8" w14:textId="77777777" w:rsidR="00C82A87" w:rsidRPr="008F17A0" w:rsidRDefault="006F63F2" w:rsidP="00D13B4A">
      <w:pPr>
        <w:pStyle w:val="ListParagraph"/>
        <w:numPr>
          <w:ilvl w:val="0"/>
          <w:numId w:val="3"/>
        </w:numPr>
        <w:rPr>
          <w:rFonts w:eastAsia="Times New Roman" w:cstheme="minorHAnsi"/>
          <w:sz w:val="24"/>
          <w:szCs w:val="24"/>
        </w:rPr>
      </w:pPr>
      <w:r w:rsidRPr="008F17A0">
        <w:rPr>
          <w:rFonts w:eastAsia="Times New Roman" w:cstheme="minorHAnsi"/>
          <w:sz w:val="24"/>
          <w:szCs w:val="24"/>
        </w:rPr>
        <w:t>Lack of Standardization: Telemedicine systems and techniques vary among healthcare providers. The regulations about patient protection and privacy may differ depending on the location due to this lack of consistency. What is considered secure and private in one location may not be in another.</w:t>
      </w:r>
    </w:p>
    <w:p w14:paraId="5E7CBD8F" w14:textId="33EEC4CF" w:rsidR="006F63F2" w:rsidRPr="00D13B4A" w:rsidRDefault="006F63F2" w:rsidP="00D13B4A">
      <w:pPr>
        <w:pStyle w:val="ListParagraph"/>
        <w:numPr>
          <w:ilvl w:val="0"/>
          <w:numId w:val="3"/>
        </w:numPr>
        <w:rPr>
          <w:rFonts w:eastAsia="Times New Roman" w:cstheme="minorHAnsi"/>
          <w:sz w:val="24"/>
          <w:szCs w:val="24"/>
        </w:rPr>
      </w:pPr>
      <w:r w:rsidRPr="008F17A0">
        <w:rPr>
          <w:rFonts w:eastAsia="Times New Roman" w:cstheme="minorHAnsi"/>
          <w:sz w:val="24"/>
          <w:szCs w:val="24"/>
        </w:rPr>
        <w:t>Limited Infrastructure and Resources: Some healthcare providers lack the funds, equipment, or expertise necessary to ensure that their telemedicine systems are as secure and confidential as they need to</w:t>
      </w:r>
      <w:r w:rsidRPr="00D13B4A">
        <w:rPr>
          <w:rFonts w:eastAsia="Times New Roman" w:cstheme="minorHAnsi"/>
          <w:sz w:val="24"/>
          <w:szCs w:val="24"/>
        </w:rPr>
        <w:t xml:space="preserve"> be. Their inability to afford resources makes it more difficult for them to adhere to HIPAA requirements and any other rules about the security of patient information.</w:t>
      </w:r>
    </w:p>
    <w:p w14:paraId="3B40B42A" w14:textId="77777777" w:rsidR="003E3A73" w:rsidRDefault="003E3A73" w:rsidP="00F12045">
      <w:pPr>
        <w:rPr>
          <w:rFonts w:eastAsia="Times New Roman" w:cstheme="minorHAnsi"/>
          <w:sz w:val="24"/>
          <w:szCs w:val="24"/>
        </w:rPr>
      </w:pPr>
    </w:p>
    <w:p w14:paraId="695694B2" w14:textId="3D9C9659" w:rsidR="0003612D" w:rsidRDefault="00F63643" w:rsidP="00F12045">
      <w:pPr>
        <w:rPr>
          <w:rFonts w:cstheme="minorHAnsi"/>
          <w:i/>
          <w:iCs/>
          <w:sz w:val="24"/>
          <w:szCs w:val="24"/>
        </w:rPr>
      </w:pPr>
      <w:r>
        <w:rPr>
          <w:rFonts w:cstheme="minorHAnsi"/>
          <w:i/>
          <w:iCs/>
          <w:sz w:val="24"/>
          <w:szCs w:val="24"/>
        </w:rPr>
        <w:t xml:space="preserve">Costs: Economic and Financial </w:t>
      </w:r>
    </w:p>
    <w:p w14:paraId="74824ABD" w14:textId="7CC679EE" w:rsidR="00274DB3" w:rsidRPr="00274DB3" w:rsidRDefault="006F63F2" w:rsidP="00274DB3">
      <w:pPr>
        <w:pStyle w:val="ListParagraph"/>
        <w:numPr>
          <w:ilvl w:val="0"/>
          <w:numId w:val="4"/>
        </w:numPr>
        <w:spacing w:after="0" w:line="240" w:lineRule="auto"/>
        <w:rPr>
          <w:rFonts w:ascii="Times New Roman" w:eastAsia="Times New Roman" w:hAnsi="Times New Roman" w:cs="Times New Roman"/>
          <w:sz w:val="24"/>
          <w:szCs w:val="24"/>
        </w:rPr>
      </w:pPr>
      <w:r w:rsidRPr="00573BAE">
        <w:rPr>
          <w:rFonts w:eastAsia="Times New Roman" w:cstheme="minorHAnsi"/>
          <w:sz w:val="24"/>
          <w:szCs w:val="24"/>
        </w:rPr>
        <w:t xml:space="preserve">Investment in Technology: To protect patient data, healthcare companies need to make investments in encryption technology, secure telemedicine platforms, and cybersecurity safeguards. These investments can be costly both upfront and </w:t>
      </w:r>
      <w:proofErr w:type="gramStart"/>
      <w:r w:rsidR="00274DB3">
        <w:rPr>
          <w:rFonts w:eastAsia="Times New Roman" w:cstheme="minorHAnsi"/>
          <w:sz w:val="24"/>
          <w:szCs w:val="24"/>
        </w:rPr>
        <w:t>over time</w:t>
      </w:r>
      <w:proofErr w:type="gramEnd"/>
      <w:r w:rsidRPr="00573BAE">
        <w:rPr>
          <w:rFonts w:eastAsia="Times New Roman" w:cstheme="minorHAnsi"/>
          <w:sz w:val="24"/>
          <w:szCs w:val="24"/>
        </w:rPr>
        <w:t xml:space="preserve">. </w:t>
      </w:r>
    </w:p>
    <w:p w14:paraId="2D74626F" w14:textId="00CA85F9" w:rsidR="00274DB3" w:rsidRPr="00274DB3" w:rsidRDefault="006F63F2" w:rsidP="00274DB3">
      <w:pPr>
        <w:pStyle w:val="ListParagraph"/>
        <w:numPr>
          <w:ilvl w:val="0"/>
          <w:numId w:val="4"/>
        </w:numPr>
        <w:spacing w:after="0" w:line="240" w:lineRule="auto"/>
        <w:rPr>
          <w:rFonts w:ascii="Times New Roman" w:eastAsia="Times New Roman" w:hAnsi="Times New Roman" w:cs="Times New Roman"/>
          <w:sz w:val="24"/>
          <w:szCs w:val="24"/>
        </w:rPr>
      </w:pPr>
      <w:r w:rsidRPr="00274DB3">
        <w:rPr>
          <w:rFonts w:eastAsia="Times New Roman" w:cstheme="minorHAnsi"/>
          <w:sz w:val="24"/>
          <w:szCs w:val="24"/>
        </w:rPr>
        <w:t>Costs associated with compliance: Healthcare facilities bear a financial burden due to the resources needed for staff training, policy development, audits, and regulatory compliance assessments necessary to ensure HIPAA compliance</w:t>
      </w:r>
      <w:r w:rsidRPr="00274DB3">
        <w:rPr>
          <w:rFonts w:ascii="Times New Roman" w:eastAsia="Times New Roman" w:hAnsi="Times New Roman" w:cs="Times New Roman"/>
          <w:sz w:val="24"/>
          <w:szCs w:val="24"/>
        </w:rPr>
        <w:t xml:space="preserve">. </w:t>
      </w:r>
    </w:p>
    <w:p w14:paraId="59DBD481" w14:textId="0C18C619" w:rsidR="006F63F2" w:rsidRPr="00274DB3" w:rsidRDefault="006F63F2" w:rsidP="00274DB3">
      <w:pPr>
        <w:pStyle w:val="ListParagraph"/>
        <w:numPr>
          <w:ilvl w:val="0"/>
          <w:numId w:val="4"/>
        </w:numPr>
        <w:spacing w:after="0" w:line="240" w:lineRule="auto"/>
        <w:rPr>
          <w:rFonts w:ascii="Times New Roman" w:eastAsia="Times New Roman" w:hAnsi="Times New Roman" w:cs="Times New Roman"/>
          <w:sz w:val="24"/>
          <w:szCs w:val="24"/>
        </w:rPr>
      </w:pPr>
      <w:r w:rsidRPr="00274DB3">
        <w:rPr>
          <w:rFonts w:eastAsia="Times New Roman" w:cstheme="minorHAnsi"/>
          <w:sz w:val="24"/>
          <w:szCs w:val="24"/>
        </w:rPr>
        <w:t>Legal and Regulatory Penalties: Serious fines and legal costs may arise from breaking HIPAA requirements</w:t>
      </w:r>
      <w:r w:rsidRPr="00274DB3">
        <w:rPr>
          <w:rFonts w:ascii="Times New Roman" w:eastAsia="Times New Roman" w:hAnsi="Times New Roman" w:cs="Times New Roman"/>
          <w:sz w:val="24"/>
          <w:szCs w:val="24"/>
        </w:rPr>
        <w:t>.</w:t>
      </w:r>
    </w:p>
    <w:p w14:paraId="6108E0AC" w14:textId="77777777" w:rsidR="003E3A73" w:rsidRDefault="006F63F2" w:rsidP="006F63F2">
      <w:pPr>
        <w:spacing w:after="0" w:line="240" w:lineRule="auto"/>
        <w:rPr>
          <w:rFonts w:cstheme="minorHAnsi"/>
          <w:i/>
          <w:iCs/>
          <w:sz w:val="24"/>
          <w:szCs w:val="24"/>
        </w:rPr>
      </w:pPr>
      <w:r w:rsidRPr="006F63F2">
        <w:rPr>
          <w:rFonts w:ascii="Times New Roman" w:eastAsia="Times New Roman" w:hAnsi="Times New Roman" w:cs="Times New Roman"/>
          <w:sz w:val="24"/>
          <w:szCs w:val="24"/>
        </w:rPr>
        <w:br/>
      </w:r>
      <w:r w:rsidRPr="006F63F2">
        <w:rPr>
          <w:rFonts w:ascii="Times New Roman" w:eastAsia="Times New Roman" w:hAnsi="Times New Roman" w:cs="Times New Roman"/>
          <w:sz w:val="24"/>
          <w:szCs w:val="24"/>
        </w:rPr>
        <w:br/>
      </w:r>
    </w:p>
    <w:p w14:paraId="7D3117F2" w14:textId="77777777" w:rsidR="00274DB3" w:rsidRDefault="00274DB3" w:rsidP="006F63F2">
      <w:pPr>
        <w:spacing w:after="0" w:line="240" w:lineRule="auto"/>
        <w:rPr>
          <w:rFonts w:cstheme="minorHAnsi"/>
          <w:i/>
          <w:iCs/>
          <w:sz w:val="24"/>
          <w:szCs w:val="24"/>
        </w:rPr>
      </w:pPr>
    </w:p>
    <w:p w14:paraId="7C02D155" w14:textId="77777777" w:rsidR="00274DB3" w:rsidRDefault="00274DB3" w:rsidP="006F63F2">
      <w:pPr>
        <w:spacing w:after="0" w:line="240" w:lineRule="auto"/>
        <w:rPr>
          <w:rFonts w:cstheme="minorHAnsi"/>
          <w:i/>
          <w:iCs/>
          <w:sz w:val="24"/>
          <w:szCs w:val="24"/>
        </w:rPr>
      </w:pPr>
    </w:p>
    <w:p w14:paraId="65FDC3DD" w14:textId="5F708DF5" w:rsidR="00F63643" w:rsidRDefault="00F63643" w:rsidP="006F63F2">
      <w:pPr>
        <w:spacing w:after="0" w:line="240" w:lineRule="auto"/>
        <w:rPr>
          <w:rFonts w:cstheme="minorHAnsi"/>
          <w:i/>
          <w:iCs/>
          <w:sz w:val="24"/>
          <w:szCs w:val="24"/>
        </w:rPr>
      </w:pPr>
      <w:r>
        <w:rPr>
          <w:rFonts w:cstheme="minorHAnsi"/>
          <w:i/>
          <w:iCs/>
          <w:sz w:val="24"/>
          <w:szCs w:val="24"/>
        </w:rPr>
        <w:lastRenderedPageBreak/>
        <w:t xml:space="preserve">Costs:  Human </w:t>
      </w:r>
    </w:p>
    <w:p w14:paraId="3A9467C9" w14:textId="77777777" w:rsidR="006F63F2" w:rsidRDefault="006F63F2" w:rsidP="006F63F2">
      <w:pPr>
        <w:spacing w:after="0" w:line="240" w:lineRule="auto"/>
        <w:rPr>
          <w:rFonts w:cstheme="minorHAnsi"/>
          <w:i/>
          <w:iCs/>
          <w:sz w:val="24"/>
          <w:szCs w:val="24"/>
        </w:rPr>
      </w:pPr>
    </w:p>
    <w:p w14:paraId="55A841A7" w14:textId="77777777" w:rsidR="00487544" w:rsidRDefault="006F63F2" w:rsidP="006F63F2">
      <w:pPr>
        <w:pStyle w:val="ListParagraph"/>
        <w:numPr>
          <w:ilvl w:val="0"/>
          <w:numId w:val="5"/>
        </w:numPr>
        <w:spacing w:after="0" w:line="240" w:lineRule="auto"/>
        <w:rPr>
          <w:rFonts w:eastAsia="Times New Roman" w:cstheme="minorHAnsi"/>
          <w:sz w:val="24"/>
          <w:szCs w:val="24"/>
        </w:rPr>
      </w:pPr>
      <w:r w:rsidRPr="00487544">
        <w:rPr>
          <w:rFonts w:eastAsia="Times New Roman" w:cstheme="minorHAnsi"/>
          <w:sz w:val="24"/>
          <w:szCs w:val="24"/>
        </w:rPr>
        <w:t xml:space="preserve">Workload and Stress: Healthcare professionals and employees have more work to do to ensure patient privacy and HIPAA compliance. They must use caution while handling patient information, as this can cause stress and slow down their work. Their general well-being and job satisfaction may be impacted by this increased burden. </w:t>
      </w:r>
    </w:p>
    <w:p w14:paraId="3E6D222D" w14:textId="32EB8394" w:rsidR="006F63F2" w:rsidRPr="00487544" w:rsidRDefault="006F63F2" w:rsidP="006F63F2">
      <w:pPr>
        <w:pStyle w:val="ListParagraph"/>
        <w:numPr>
          <w:ilvl w:val="0"/>
          <w:numId w:val="5"/>
        </w:numPr>
        <w:spacing w:after="0" w:line="240" w:lineRule="auto"/>
        <w:rPr>
          <w:rFonts w:eastAsia="Times New Roman" w:cstheme="minorHAnsi"/>
          <w:sz w:val="24"/>
          <w:szCs w:val="24"/>
        </w:rPr>
      </w:pPr>
      <w:r w:rsidRPr="00487544">
        <w:rPr>
          <w:rFonts w:eastAsia="Times New Roman" w:cstheme="minorHAnsi"/>
          <w:sz w:val="24"/>
          <w:szCs w:val="24"/>
        </w:rPr>
        <w:t>Training and Education: Healthcare workers need continual training and education to stay up to date on the most recent privacy laws and technological advancements. To guarantee that everyone understands how to appropriately protect patient information entails devoting time and resources to training courses, conferences, and certifications.</w:t>
      </w:r>
    </w:p>
    <w:p w14:paraId="25E22A87" w14:textId="52DE4901" w:rsidR="006F63F2" w:rsidRPr="006F63F2" w:rsidRDefault="006F63F2" w:rsidP="006F63F2">
      <w:pPr>
        <w:spacing w:after="0" w:line="240" w:lineRule="auto"/>
        <w:rPr>
          <w:rFonts w:ascii="Times New Roman" w:eastAsia="Times New Roman" w:hAnsi="Times New Roman" w:cs="Times New Roman"/>
          <w:sz w:val="24"/>
          <w:szCs w:val="24"/>
        </w:rPr>
      </w:pPr>
    </w:p>
    <w:p w14:paraId="487A56BB" w14:textId="17E8C57C" w:rsidR="00895AF1" w:rsidRDefault="00895AF1" w:rsidP="00F12045">
      <w:pPr>
        <w:rPr>
          <w:rFonts w:cstheme="minorHAnsi"/>
          <w:i/>
          <w:iCs/>
          <w:sz w:val="24"/>
          <w:szCs w:val="24"/>
        </w:rPr>
      </w:pPr>
      <w:r>
        <w:rPr>
          <w:rFonts w:cstheme="minorHAnsi"/>
          <w:i/>
          <w:iCs/>
          <w:sz w:val="24"/>
          <w:szCs w:val="24"/>
        </w:rPr>
        <w:t xml:space="preserve">Stakeholder Analysis </w:t>
      </w:r>
    </w:p>
    <w:p w14:paraId="1A0E49C3" w14:textId="77777777" w:rsidR="00487544" w:rsidRDefault="004F6D92" w:rsidP="00487544">
      <w:pPr>
        <w:pStyle w:val="ListParagraph"/>
        <w:numPr>
          <w:ilvl w:val="0"/>
          <w:numId w:val="6"/>
        </w:numPr>
        <w:spacing w:after="0" w:line="240" w:lineRule="auto"/>
        <w:rPr>
          <w:rFonts w:eastAsia="Times New Roman" w:cstheme="minorHAnsi"/>
          <w:sz w:val="24"/>
          <w:szCs w:val="24"/>
        </w:rPr>
      </w:pPr>
      <w:r w:rsidRPr="00487544">
        <w:rPr>
          <w:rFonts w:eastAsia="Times New Roman" w:cstheme="minorHAnsi"/>
          <w:sz w:val="24"/>
          <w:szCs w:val="24"/>
        </w:rPr>
        <w:t xml:space="preserve">Patients: Patients depend on healthcare professionals to protect the privacy and security of their data. They want guarantees that their data won't be misused or accessed by unauthorized parties, and they expect their privacy to be maintained during telemedicine consultations. </w:t>
      </w:r>
    </w:p>
    <w:p w14:paraId="0C1AFBF3" w14:textId="77777777" w:rsidR="00487544" w:rsidRDefault="004F6D92" w:rsidP="004F6D92">
      <w:pPr>
        <w:pStyle w:val="ListParagraph"/>
        <w:numPr>
          <w:ilvl w:val="0"/>
          <w:numId w:val="6"/>
        </w:numPr>
        <w:spacing w:after="0" w:line="240" w:lineRule="auto"/>
        <w:rPr>
          <w:rFonts w:eastAsia="Times New Roman" w:cstheme="minorHAnsi"/>
          <w:sz w:val="24"/>
          <w:szCs w:val="24"/>
        </w:rPr>
      </w:pPr>
      <w:r w:rsidRPr="00487544">
        <w:rPr>
          <w:rFonts w:eastAsia="Times New Roman" w:cstheme="minorHAnsi"/>
          <w:sz w:val="24"/>
          <w:szCs w:val="24"/>
        </w:rPr>
        <w:t>Healthcare Providers: Healthcare providers must put in place and uphold privacy safeguards for patient data. They must strike a balance between maintaining HIPAA compliance and offering high-quality care, which can be difficult given the limited resources and technology advancements available.</w:t>
      </w:r>
    </w:p>
    <w:p w14:paraId="1B706DDC" w14:textId="77777777" w:rsidR="00487544" w:rsidRDefault="004F6D92" w:rsidP="004F6D92">
      <w:pPr>
        <w:pStyle w:val="ListParagraph"/>
        <w:numPr>
          <w:ilvl w:val="0"/>
          <w:numId w:val="6"/>
        </w:numPr>
        <w:spacing w:after="0" w:line="240" w:lineRule="auto"/>
        <w:rPr>
          <w:rFonts w:eastAsia="Times New Roman" w:cstheme="minorHAnsi"/>
          <w:sz w:val="24"/>
          <w:szCs w:val="24"/>
        </w:rPr>
      </w:pPr>
      <w:r w:rsidRPr="00487544">
        <w:rPr>
          <w:rFonts w:eastAsia="Times New Roman" w:cstheme="minorHAnsi"/>
          <w:sz w:val="24"/>
          <w:szCs w:val="24"/>
        </w:rPr>
        <w:t>Healthcare Establishments: To protect patient privacy and adhere to HIPAA laws, hospitals, clinics, and other healthcare organizations must make investments in infrastructure, technology, and staff training. They risk financial penalties, legal ramifications, and reputational harm if they fail to comply.</w:t>
      </w:r>
    </w:p>
    <w:p w14:paraId="0B37FF20" w14:textId="5F31FAD4" w:rsidR="004F6D92" w:rsidRPr="00487544" w:rsidRDefault="004F6D92" w:rsidP="004F6D92">
      <w:pPr>
        <w:pStyle w:val="ListParagraph"/>
        <w:numPr>
          <w:ilvl w:val="0"/>
          <w:numId w:val="6"/>
        </w:numPr>
        <w:spacing w:after="0" w:line="240" w:lineRule="auto"/>
        <w:rPr>
          <w:rFonts w:eastAsia="Times New Roman" w:cstheme="minorHAnsi"/>
          <w:sz w:val="24"/>
          <w:szCs w:val="24"/>
        </w:rPr>
      </w:pPr>
      <w:r w:rsidRPr="00487544">
        <w:rPr>
          <w:rFonts w:eastAsia="Times New Roman" w:cstheme="minorHAnsi"/>
          <w:sz w:val="24"/>
          <w:szCs w:val="24"/>
        </w:rPr>
        <w:t>Regulators and Policy Makers: In telemedicine, regulatory agencies, and policymakers are essential in setting and implementing standards for patient privacy and data security. To retain the public's confidence in telemedicine services, they must update rules to reflect new privacy concerns and keep up with technical improvements</w:t>
      </w:r>
      <w:r w:rsidRPr="00487544">
        <w:rPr>
          <w:rFonts w:ascii="Times New Roman" w:eastAsia="Times New Roman" w:hAnsi="Times New Roman" w:cs="Times New Roman"/>
          <w:sz w:val="24"/>
          <w:szCs w:val="24"/>
        </w:rPr>
        <w:t>.</w:t>
      </w:r>
    </w:p>
    <w:p w14:paraId="23AE4952" w14:textId="77777777" w:rsidR="004F6D92" w:rsidRPr="004F6D92" w:rsidRDefault="004F6D92" w:rsidP="004F6D92">
      <w:pPr>
        <w:spacing w:after="0" w:line="240" w:lineRule="auto"/>
        <w:rPr>
          <w:rFonts w:eastAsia="Times New Roman" w:cstheme="minorHAnsi"/>
          <w:sz w:val="24"/>
          <w:szCs w:val="24"/>
        </w:rPr>
      </w:pPr>
    </w:p>
    <w:p w14:paraId="2628CBE6" w14:textId="21B16632" w:rsidR="00CD6A63" w:rsidRDefault="00CD6A63" w:rsidP="00F12045">
      <w:pPr>
        <w:rPr>
          <w:rFonts w:cstheme="minorHAnsi"/>
          <w:i/>
          <w:iCs/>
          <w:sz w:val="24"/>
          <w:szCs w:val="24"/>
        </w:rPr>
      </w:pPr>
      <w:r>
        <w:rPr>
          <w:rFonts w:cstheme="minorHAnsi"/>
          <w:i/>
          <w:iCs/>
          <w:sz w:val="24"/>
          <w:szCs w:val="24"/>
        </w:rPr>
        <w:t xml:space="preserve">Public Awareness </w:t>
      </w:r>
    </w:p>
    <w:p w14:paraId="6DDBF470" w14:textId="77777777" w:rsidR="00487544" w:rsidRDefault="004F6D92" w:rsidP="00487544">
      <w:pPr>
        <w:pStyle w:val="ListParagraph"/>
        <w:numPr>
          <w:ilvl w:val="0"/>
          <w:numId w:val="7"/>
        </w:numPr>
        <w:spacing w:after="0" w:line="240" w:lineRule="auto"/>
        <w:rPr>
          <w:rFonts w:eastAsia="Times New Roman" w:cstheme="minorHAnsi"/>
          <w:sz w:val="24"/>
          <w:szCs w:val="24"/>
        </w:rPr>
      </w:pPr>
      <w:r w:rsidRPr="00487544">
        <w:rPr>
          <w:rFonts w:eastAsia="Times New Roman" w:cstheme="minorHAnsi"/>
          <w:sz w:val="24"/>
          <w:szCs w:val="24"/>
        </w:rPr>
        <w:t xml:space="preserve">Education Campaigns: </w:t>
      </w:r>
      <w:r w:rsidR="00006467" w:rsidRPr="00487544">
        <w:rPr>
          <w:rFonts w:eastAsia="Times New Roman" w:cstheme="minorHAnsi"/>
          <w:sz w:val="24"/>
          <w:szCs w:val="24"/>
        </w:rPr>
        <w:t>Start</w:t>
      </w:r>
      <w:r w:rsidRPr="00487544">
        <w:rPr>
          <w:rFonts w:eastAsia="Times New Roman" w:cstheme="minorHAnsi"/>
          <w:sz w:val="24"/>
          <w:szCs w:val="24"/>
        </w:rPr>
        <w:t xml:space="preserve"> educational initiatives to enlighten the public about the advantages and dangers of telemedicine, with a focus on patient data security and their </w:t>
      </w:r>
      <w:r w:rsidR="00006467" w:rsidRPr="00487544">
        <w:rPr>
          <w:rFonts w:eastAsia="Times New Roman" w:cstheme="minorHAnsi"/>
          <w:sz w:val="24"/>
          <w:szCs w:val="24"/>
        </w:rPr>
        <w:t>privacy rights</w:t>
      </w:r>
      <w:r w:rsidRPr="00487544">
        <w:rPr>
          <w:rFonts w:eastAsia="Times New Roman" w:cstheme="minorHAnsi"/>
          <w:sz w:val="24"/>
          <w:szCs w:val="24"/>
        </w:rPr>
        <w:t>.</w:t>
      </w:r>
    </w:p>
    <w:p w14:paraId="726D7B26" w14:textId="77777777" w:rsidR="00487544" w:rsidRDefault="004F6D92" w:rsidP="00487544">
      <w:pPr>
        <w:pStyle w:val="ListParagraph"/>
        <w:numPr>
          <w:ilvl w:val="0"/>
          <w:numId w:val="7"/>
        </w:numPr>
        <w:spacing w:after="0" w:line="240" w:lineRule="auto"/>
        <w:rPr>
          <w:rFonts w:eastAsia="Times New Roman" w:cstheme="minorHAnsi"/>
          <w:sz w:val="24"/>
          <w:szCs w:val="24"/>
        </w:rPr>
      </w:pPr>
      <w:r w:rsidRPr="00487544">
        <w:rPr>
          <w:rFonts w:eastAsia="Times New Roman" w:cstheme="minorHAnsi"/>
          <w:sz w:val="24"/>
          <w:szCs w:val="24"/>
        </w:rPr>
        <w:t xml:space="preserve">Clear Communication: When it comes to telemedicine consultations, healthcare practitioners should be upfront and honest with patients about how their information will be handled. They should also reassure them about </w:t>
      </w:r>
      <w:proofErr w:type="gramStart"/>
      <w:r w:rsidRPr="00487544">
        <w:rPr>
          <w:rFonts w:eastAsia="Times New Roman" w:cstheme="minorHAnsi"/>
          <w:sz w:val="24"/>
          <w:szCs w:val="24"/>
        </w:rPr>
        <w:t>privacy</w:t>
      </w:r>
      <w:proofErr w:type="gramEnd"/>
      <w:r w:rsidRPr="00487544">
        <w:rPr>
          <w:rFonts w:eastAsia="Times New Roman" w:cstheme="minorHAnsi"/>
          <w:sz w:val="24"/>
          <w:szCs w:val="24"/>
        </w:rPr>
        <w:t xml:space="preserve"> precautions that have been put in place and answer any concerns they may have.</w:t>
      </w:r>
    </w:p>
    <w:p w14:paraId="7CBBD8CA" w14:textId="77777777" w:rsidR="003A7147" w:rsidRDefault="004F6D92" w:rsidP="00487544">
      <w:pPr>
        <w:pStyle w:val="ListParagraph"/>
        <w:numPr>
          <w:ilvl w:val="0"/>
          <w:numId w:val="7"/>
        </w:numPr>
        <w:spacing w:after="0" w:line="240" w:lineRule="auto"/>
        <w:rPr>
          <w:rFonts w:eastAsia="Times New Roman" w:cstheme="minorHAnsi"/>
          <w:sz w:val="24"/>
          <w:szCs w:val="24"/>
        </w:rPr>
      </w:pPr>
      <w:r w:rsidRPr="00487544">
        <w:rPr>
          <w:rFonts w:eastAsia="Times New Roman" w:cstheme="minorHAnsi"/>
          <w:sz w:val="24"/>
          <w:szCs w:val="24"/>
        </w:rPr>
        <w:t xml:space="preserve">Patient Engagement: During telemedicine visits, actively include patients in conversations about data security and privacy, encouraging them to share their </w:t>
      </w:r>
      <w:r w:rsidR="003A7147">
        <w:rPr>
          <w:rFonts w:eastAsia="Times New Roman" w:cstheme="minorHAnsi"/>
          <w:sz w:val="24"/>
          <w:szCs w:val="24"/>
        </w:rPr>
        <w:t xml:space="preserve">choices </w:t>
      </w:r>
      <w:r w:rsidRPr="00487544">
        <w:rPr>
          <w:rFonts w:eastAsia="Times New Roman" w:cstheme="minorHAnsi"/>
          <w:sz w:val="24"/>
          <w:szCs w:val="24"/>
        </w:rPr>
        <w:t>and ask concerns about how their personal information is handled.</w:t>
      </w:r>
    </w:p>
    <w:p w14:paraId="2ADCD04A" w14:textId="77777777" w:rsidR="003A7147" w:rsidRDefault="004F6D92" w:rsidP="004F6D92">
      <w:pPr>
        <w:pStyle w:val="ListParagraph"/>
        <w:numPr>
          <w:ilvl w:val="0"/>
          <w:numId w:val="7"/>
        </w:numPr>
        <w:spacing w:after="0" w:line="240" w:lineRule="auto"/>
        <w:rPr>
          <w:rFonts w:eastAsia="Times New Roman" w:cstheme="minorHAnsi"/>
          <w:sz w:val="24"/>
          <w:szCs w:val="24"/>
        </w:rPr>
      </w:pPr>
      <w:r w:rsidRPr="00487544">
        <w:rPr>
          <w:rFonts w:eastAsia="Times New Roman" w:cstheme="minorHAnsi"/>
          <w:sz w:val="24"/>
          <w:szCs w:val="24"/>
        </w:rPr>
        <w:lastRenderedPageBreak/>
        <w:t xml:space="preserve">Accessibility of Information: Providing the </w:t>
      </w:r>
      <w:proofErr w:type="gramStart"/>
      <w:r w:rsidRPr="00487544">
        <w:rPr>
          <w:rFonts w:eastAsia="Times New Roman" w:cstheme="minorHAnsi"/>
          <w:sz w:val="24"/>
          <w:szCs w:val="24"/>
        </w:rPr>
        <w:t>general public</w:t>
      </w:r>
      <w:proofErr w:type="gramEnd"/>
      <w:r w:rsidRPr="00487544">
        <w:rPr>
          <w:rFonts w:eastAsia="Times New Roman" w:cstheme="minorHAnsi"/>
          <w:sz w:val="24"/>
          <w:szCs w:val="24"/>
        </w:rPr>
        <w:t xml:space="preserve"> with easy access to information via websites, pamphlets, and other communication channels regarding telemedicine privacy rules, data security procedures, and patient rights.</w:t>
      </w:r>
    </w:p>
    <w:p w14:paraId="3D697AC2" w14:textId="5CBD92A3" w:rsidR="004F6D92" w:rsidRPr="003A7147" w:rsidRDefault="004F6D92" w:rsidP="004F6D92">
      <w:pPr>
        <w:pStyle w:val="ListParagraph"/>
        <w:numPr>
          <w:ilvl w:val="0"/>
          <w:numId w:val="7"/>
        </w:numPr>
        <w:spacing w:after="0" w:line="240" w:lineRule="auto"/>
        <w:rPr>
          <w:rFonts w:eastAsia="Times New Roman" w:cstheme="minorHAnsi"/>
          <w:sz w:val="24"/>
          <w:szCs w:val="24"/>
        </w:rPr>
      </w:pPr>
      <w:r w:rsidRPr="003A7147">
        <w:rPr>
          <w:rFonts w:cstheme="minorHAnsi"/>
          <w:i/>
          <w:iCs/>
          <w:sz w:val="24"/>
          <w:szCs w:val="24"/>
        </w:rPr>
        <w:t>Collaboration with Advocacy Groups:</w:t>
      </w:r>
      <w:r w:rsidRPr="003A7147">
        <w:rPr>
          <w:rFonts w:cstheme="minorHAnsi"/>
        </w:rPr>
        <w:t xml:space="preserve"> </w:t>
      </w:r>
      <w:r w:rsidR="003A7147">
        <w:rPr>
          <w:rFonts w:eastAsia="Times New Roman" w:cstheme="minorHAnsi"/>
          <w:sz w:val="24"/>
          <w:szCs w:val="24"/>
        </w:rPr>
        <w:t>Collaborate</w:t>
      </w:r>
      <w:r w:rsidRPr="003A7147">
        <w:rPr>
          <w:rFonts w:eastAsia="Times New Roman" w:cstheme="minorHAnsi"/>
          <w:sz w:val="24"/>
          <w:szCs w:val="24"/>
        </w:rPr>
        <w:t xml:space="preserve"> with consumer advocacy organizations and patient advocacy groups to fight for stronger regulatory protections, increase public awareness of telemedicine privacy issues, and provide patients the tools they need to defend their right to privacy.</w:t>
      </w:r>
    </w:p>
    <w:p w14:paraId="6BC51700" w14:textId="12972C69" w:rsidR="004F6D92" w:rsidRDefault="004F6D92" w:rsidP="00F12045">
      <w:pPr>
        <w:rPr>
          <w:rFonts w:cstheme="minorHAnsi"/>
          <w:i/>
          <w:iCs/>
          <w:sz w:val="24"/>
          <w:szCs w:val="24"/>
        </w:rPr>
      </w:pPr>
    </w:p>
    <w:p w14:paraId="70E2FB09" w14:textId="4EC58540" w:rsidR="00087607" w:rsidRDefault="00087607" w:rsidP="00F12045">
      <w:pPr>
        <w:rPr>
          <w:rFonts w:cstheme="minorHAnsi"/>
          <w:i/>
          <w:iCs/>
          <w:sz w:val="24"/>
          <w:szCs w:val="24"/>
        </w:rPr>
      </w:pPr>
    </w:p>
    <w:p w14:paraId="0A95C132" w14:textId="0D96718E" w:rsidR="00087607" w:rsidRDefault="00087607" w:rsidP="00F12045">
      <w:pPr>
        <w:rPr>
          <w:rFonts w:cstheme="minorHAnsi"/>
          <w:i/>
          <w:iCs/>
          <w:sz w:val="24"/>
          <w:szCs w:val="24"/>
        </w:rPr>
      </w:pPr>
      <w:r>
        <w:rPr>
          <w:rFonts w:cstheme="minorHAnsi"/>
          <w:i/>
          <w:iCs/>
          <w:sz w:val="24"/>
          <w:szCs w:val="24"/>
        </w:rPr>
        <w:t xml:space="preserve">Prioritization and Urgency </w:t>
      </w:r>
    </w:p>
    <w:p w14:paraId="4A89A9D6" w14:textId="77777777" w:rsidR="00332163" w:rsidRDefault="004F6D92" w:rsidP="00332163">
      <w:pPr>
        <w:pStyle w:val="ListParagraph"/>
        <w:numPr>
          <w:ilvl w:val="0"/>
          <w:numId w:val="8"/>
        </w:numPr>
        <w:spacing w:after="0" w:line="240" w:lineRule="auto"/>
        <w:rPr>
          <w:rFonts w:eastAsia="Times New Roman" w:cstheme="minorHAnsi"/>
          <w:sz w:val="24"/>
          <w:szCs w:val="24"/>
        </w:rPr>
      </w:pPr>
      <w:r w:rsidRPr="00332163">
        <w:rPr>
          <w:rFonts w:eastAsia="Times New Roman" w:cstheme="minorHAnsi"/>
          <w:sz w:val="24"/>
          <w:szCs w:val="24"/>
        </w:rPr>
        <w:t xml:space="preserve">Risk Assessment: Carrying out thorough risk analyses to pinpoint weak points and rank areas where telemedicine privacy and security procedures need to be improved. </w:t>
      </w:r>
    </w:p>
    <w:p w14:paraId="1218503C" w14:textId="7FC1D808" w:rsidR="00332163" w:rsidRPr="00332163" w:rsidRDefault="004F6D92" w:rsidP="00332163">
      <w:pPr>
        <w:pStyle w:val="ListParagraph"/>
        <w:numPr>
          <w:ilvl w:val="0"/>
          <w:numId w:val="8"/>
        </w:numPr>
        <w:spacing w:after="0" w:line="240" w:lineRule="auto"/>
        <w:rPr>
          <w:rFonts w:eastAsia="Times New Roman" w:cstheme="minorHAnsi"/>
          <w:sz w:val="24"/>
          <w:szCs w:val="24"/>
        </w:rPr>
      </w:pPr>
      <w:r w:rsidRPr="00332163">
        <w:rPr>
          <w:rFonts w:eastAsia="Times New Roman" w:cstheme="minorHAnsi"/>
          <w:sz w:val="24"/>
          <w:szCs w:val="24"/>
        </w:rPr>
        <w:t xml:space="preserve">Resource Allocation: Allocate enough funds, manpower, and technological resources to enable the adoption of strong privacy safeguards and guarantee continuous adherence to HIPAA laws. </w:t>
      </w:r>
    </w:p>
    <w:p w14:paraId="3BB69FD1" w14:textId="77777777" w:rsidR="00E26594" w:rsidRDefault="004F6D92" w:rsidP="00332163">
      <w:pPr>
        <w:pStyle w:val="ListParagraph"/>
        <w:numPr>
          <w:ilvl w:val="0"/>
          <w:numId w:val="8"/>
        </w:numPr>
        <w:spacing w:after="0" w:line="240" w:lineRule="auto"/>
        <w:rPr>
          <w:rFonts w:eastAsia="Times New Roman" w:cstheme="minorHAnsi"/>
          <w:sz w:val="24"/>
          <w:szCs w:val="24"/>
        </w:rPr>
      </w:pPr>
      <w:r w:rsidRPr="00332163">
        <w:rPr>
          <w:rFonts w:eastAsia="Times New Roman" w:cstheme="minorHAnsi"/>
          <w:sz w:val="24"/>
          <w:szCs w:val="24"/>
        </w:rPr>
        <w:t xml:space="preserve">Regulatory Alignment: To reduce compliance risks and improve patient privacy protections, organizations should align their policies and procedures with changing regulatory requirements and industry best practices. </w:t>
      </w:r>
    </w:p>
    <w:p w14:paraId="7AC58634" w14:textId="1C246801" w:rsidR="004F6D92" w:rsidRPr="00332163" w:rsidRDefault="004F6D92" w:rsidP="00332163">
      <w:pPr>
        <w:pStyle w:val="ListParagraph"/>
        <w:numPr>
          <w:ilvl w:val="0"/>
          <w:numId w:val="8"/>
        </w:numPr>
        <w:spacing w:after="0" w:line="240" w:lineRule="auto"/>
        <w:rPr>
          <w:rFonts w:eastAsia="Times New Roman" w:cstheme="minorHAnsi"/>
          <w:sz w:val="24"/>
          <w:szCs w:val="24"/>
        </w:rPr>
      </w:pPr>
      <w:r w:rsidRPr="00332163">
        <w:rPr>
          <w:rFonts w:eastAsia="Times New Roman" w:cstheme="minorHAnsi"/>
          <w:sz w:val="24"/>
          <w:szCs w:val="24"/>
        </w:rPr>
        <w:t xml:space="preserve">Continuous Improvement: Putting in place systems for ongoing assessment, monitoring, and enhancement of telemedicine security and privacy protocols </w:t>
      </w:r>
      <w:r w:rsidR="00DF73DD" w:rsidRPr="00332163">
        <w:rPr>
          <w:rFonts w:eastAsia="Times New Roman" w:cstheme="minorHAnsi"/>
          <w:sz w:val="24"/>
          <w:szCs w:val="24"/>
        </w:rPr>
        <w:t>to</w:t>
      </w:r>
      <w:r w:rsidRPr="00332163">
        <w:rPr>
          <w:rFonts w:eastAsia="Times New Roman" w:cstheme="minorHAnsi"/>
          <w:sz w:val="24"/>
          <w:szCs w:val="24"/>
        </w:rPr>
        <w:t xml:space="preserve"> keep up with new risks and developments in technology. </w:t>
      </w:r>
      <w:r w:rsidRPr="00332163">
        <w:rPr>
          <w:rFonts w:eastAsia="Times New Roman" w:cstheme="minorHAnsi"/>
          <w:sz w:val="24"/>
          <w:szCs w:val="24"/>
        </w:rPr>
        <w:br/>
      </w:r>
      <w:r w:rsidRPr="00332163">
        <w:rPr>
          <w:rFonts w:eastAsia="Times New Roman" w:cstheme="minorHAnsi"/>
          <w:sz w:val="24"/>
          <w:szCs w:val="24"/>
        </w:rPr>
        <w:br/>
        <w:t xml:space="preserve">Working </w:t>
      </w:r>
      <w:r w:rsidR="00DD4DD5" w:rsidRPr="00332163">
        <w:rPr>
          <w:rFonts w:eastAsia="Times New Roman" w:cstheme="minorHAnsi"/>
          <w:sz w:val="24"/>
          <w:szCs w:val="24"/>
        </w:rPr>
        <w:t>with all the healthcare system stakeholders</w:t>
      </w:r>
      <w:r w:rsidRPr="00332163">
        <w:rPr>
          <w:rFonts w:eastAsia="Times New Roman" w:cstheme="minorHAnsi"/>
          <w:sz w:val="24"/>
          <w:szCs w:val="24"/>
        </w:rPr>
        <w:t xml:space="preserve">—policymakers, regulators, trade associations, and patient advocacy groups, among others—to push laws and programs that protect patient privacy and advance telemedicine </w:t>
      </w:r>
      <w:r w:rsidR="00DF73DD" w:rsidRPr="00332163">
        <w:rPr>
          <w:rFonts w:eastAsia="Times New Roman" w:cstheme="minorHAnsi"/>
          <w:sz w:val="24"/>
          <w:szCs w:val="24"/>
        </w:rPr>
        <w:t>regulatory frameworks.</w:t>
      </w:r>
    </w:p>
    <w:p w14:paraId="7DC8CB4D" w14:textId="77777777" w:rsidR="00DF73DD" w:rsidRDefault="00DF73DD" w:rsidP="004F6D92">
      <w:pPr>
        <w:spacing w:after="0" w:line="240" w:lineRule="auto"/>
        <w:rPr>
          <w:rFonts w:eastAsia="Times New Roman" w:cstheme="minorHAnsi"/>
          <w:sz w:val="24"/>
          <w:szCs w:val="24"/>
        </w:rPr>
      </w:pPr>
    </w:p>
    <w:p w14:paraId="314E807D" w14:textId="1C1F53F1" w:rsidR="00DF73DD" w:rsidRPr="00DF73DD" w:rsidRDefault="00DF73DD" w:rsidP="00DF73DD">
      <w:pPr>
        <w:spacing w:after="0" w:line="240" w:lineRule="auto"/>
        <w:rPr>
          <w:rFonts w:eastAsia="Times New Roman" w:cstheme="minorHAnsi"/>
          <w:sz w:val="24"/>
          <w:szCs w:val="24"/>
        </w:rPr>
      </w:pPr>
      <w:r w:rsidRPr="00DF73DD">
        <w:rPr>
          <w:rFonts w:eastAsia="Times New Roman" w:cstheme="minorHAnsi"/>
          <w:sz w:val="24"/>
          <w:szCs w:val="24"/>
        </w:rPr>
        <w:t>Healthcare stakeholders can improve patient trust, reduce privacy threats, and forward the provision of safe and efficient virtual healthcare services by giving priority to public awareness campaigns and swift action to address the difficulties of HIPAA compliance in telemedicine.</w:t>
      </w:r>
    </w:p>
    <w:p w14:paraId="0E6764DB" w14:textId="77777777" w:rsidR="00DF73DD" w:rsidRPr="004F6D92" w:rsidRDefault="00DF73DD" w:rsidP="004F6D92">
      <w:pPr>
        <w:spacing w:after="0" w:line="240" w:lineRule="auto"/>
        <w:rPr>
          <w:rFonts w:eastAsia="Times New Roman" w:cstheme="minorHAnsi"/>
          <w:sz w:val="24"/>
          <w:szCs w:val="24"/>
        </w:rPr>
      </w:pPr>
    </w:p>
    <w:p w14:paraId="0157920C" w14:textId="51BB6CAC" w:rsidR="00087607" w:rsidRDefault="00D10684" w:rsidP="00F12045">
      <w:pPr>
        <w:rPr>
          <w:rFonts w:cstheme="minorHAnsi"/>
          <w:b/>
          <w:bCs/>
          <w:sz w:val="28"/>
          <w:szCs w:val="28"/>
        </w:rPr>
      </w:pPr>
      <w:r w:rsidRPr="00D10684">
        <w:rPr>
          <w:rFonts w:cstheme="minorHAnsi"/>
          <w:b/>
          <w:bCs/>
          <w:sz w:val="28"/>
          <w:szCs w:val="28"/>
        </w:rPr>
        <w:t xml:space="preserve">Proposed Solutions </w:t>
      </w:r>
    </w:p>
    <w:p w14:paraId="1E44E0F9" w14:textId="1B5D4F40" w:rsidR="00D10684" w:rsidRDefault="008A2205" w:rsidP="00F12045">
      <w:pPr>
        <w:rPr>
          <w:rFonts w:cstheme="minorHAnsi"/>
          <w:i/>
          <w:iCs/>
          <w:sz w:val="24"/>
          <w:szCs w:val="24"/>
        </w:rPr>
      </w:pPr>
      <w:r w:rsidRPr="008A2205">
        <w:rPr>
          <w:rFonts w:cstheme="minorHAnsi"/>
          <w:i/>
          <w:iCs/>
          <w:sz w:val="24"/>
          <w:szCs w:val="24"/>
        </w:rPr>
        <w:t xml:space="preserve">Non-Technical Components </w:t>
      </w:r>
    </w:p>
    <w:p w14:paraId="23780F2F" w14:textId="77777777" w:rsidR="004551F8" w:rsidRDefault="00DD4DD5" w:rsidP="004551F8">
      <w:pPr>
        <w:pStyle w:val="ListParagraph"/>
        <w:numPr>
          <w:ilvl w:val="0"/>
          <w:numId w:val="9"/>
        </w:numPr>
        <w:spacing w:after="0" w:line="240" w:lineRule="auto"/>
        <w:rPr>
          <w:rFonts w:eastAsia="Times New Roman" w:cstheme="minorHAnsi"/>
          <w:sz w:val="24"/>
          <w:szCs w:val="24"/>
        </w:rPr>
      </w:pPr>
      <w:r w:rsidRPr="004551F8">
        <w:rPr>
          <w:rFonts w:eastAsia="Times New Roman" w:cstheme="minorHAnsi"/>
          <w:sz w:val="24"/>
          <w:szCs w:val="24"/>
        </w:rPr>
        <w:t xml:space="preserve">Policy Development: When it comes to telemedicine, healthcare institutions should have thorough rules that clearly define patient permission, data handling, and privacy protection. These guidelines must be in line with both industry norms and HIPAA requirements. </w:t>
      </w:r>
    </w:p>
    <w:p w14:paraId="0C155700" w14:textId="77777777" w:rsidR="00EA18FC" w:rsidRDefault="00DD4DD5" w:rsidP="004551F8">
      <w:pPr>
        <w:pStyle w:val="ListParagraph"/>
        <w:numPr>
          <w:ilvl w:val="0"/>
          <w:numId w:val="9"/>
        </w:numPr>
        <w:spacing w:after="0" w:line="240" w:lineRule="auto"/>
        <w:rPr>
          <w:rFonts w:eastAsia="Times New Roman" w:cstheme="minorHAnsi"/>
          <w:sz w:val="24"/>
          <w:szCs w:val="24"/>
        </w:rPr>
      </w:pPr>
      <w:r w:rsidRPr="004551F8">
        <w:rPr>
          <w:rFonts w:eastAsia="Times New Roman" w:cstheme="minorHAnsi"/>
          <w:sz w:val="24"/>
          <w:szCs w:val="24"/>
        </w:rPr>
        <w:t xml:space="preserve">Training and Education: Putting in place comprehensive training initiatives to teach medical staff and providers about HIPAA compliance standards, best practices for telemedicine privacy, and the value of patient data security. To enhance awareness </w:t>
      </w:r>
      <w:proofErr w:type="gramStart"/>
      <w:r w:rsidRPr="004551F8">
        <w:rPr>
          <w:rFonts w:eastAsia="Times New Roman" w:cstheme="minorHAnsi"/>
          <w:sz w:val="24"/>
          <w:szCs w:val="24"/>
        </w:rPr>
        <w:t>and understanding, regular updates and training sessions</w:t>
      </w:r>
      <w:proofErr w:type="gramEnd"/>
      <w:r w:rsidRPr="004551F8">
        <w:rPr>
          <w:rFonts w:eastAsia="Times New Roman" w:cstheme="minorHAnsi"/>
          <w:sz w:val="24"/>
          <w:szCs w:val="24"/>
        </w:rPr>
        <w:t xml:space="preserve"> should be held.</w:t>
      </w:r>
    </w:p>
    <w:p w14:paraId="7DCCF4DD" w14:textId="40EAD5B5" w:rsidR="00DD4DD5" w:rsidRPr="004551F8" w:rsidRDefault="00DD4DD5" w:rsidP="004551F8">
      <w:pPr>
        <w:pStyle w:val="ListParagraph"/>
        <w:numPr>
          <w:ilvl w:val="0"/>
          <w:numId w:val="9"/>
        </w:numPr>
        <w:spacing w:after="0" w:line="240" w:lineRule="auto"/>
        <w:rPr>
          <w:rFonts w:eastAsia="Times New Roman" w:cstheme="minorHAnsi"/>
          <w:sz w:val="24"/>
          <w:szCs w:val="24"/>
        </w:rPr>
      </w:pPr>
      <w:r w:rsidRPr="004551F8">
        <w:rPr>
          <w:rFonts w:eastAsia="Times New Roman" w:cstheme="minorHAnsi"/>
          <w:sz w:val="24"/>
          <w:szCs w:val="24"/>
        </w:rPr>
        <w:lastRenderedPageBreak/>
        <w:t>Patient Engagement: Getting patients actively involved in the telemedicine process by answering their concerns about confidentiality and privacy, getting their permission to share data, and being upfront about privacy precautions. Encouraging patients to actively participate in safeguarding their personal information increases compliance and confidence.</w:t>
      </w:r>
    </w:p>
    <w:p w14:paraId="0C8A6E21" w14:textId="77777777" w:rsidR="00DD4DD5" w:rsidRPr="00DD4DD5" w:rsidRDefault="00DD4DD5" w:rsidP="00F12045">
      <w:pPr>
        <w:rPr>
          <w:rFonts w:cstheme="minorHAnsi"/>
          <w:i/>
          <w:iCs/>
          <w:sz w:val="24"/>
          <w:szCs w:val="24"/>
        </w:rPr>
      </w:pPr>
    </w:p>
    <w:p w14:paraId="40E9A639" w14:textId="0DF77F05" w:rsidR="008A2205" w:rsidRDefault="008A2205" w:rsidP="00F12045">
      <w:pPr>
        <w:rPr>
          <w:rFonts w:cstheme="minorHAnsi"/>
          <w:i/>
          <w:iCs/>
          <w:sz w:val="24"/>
          <w:szCs w:val="24"/>
        </w:rPr>
      </w:pPr>
      <w:r>
        <w:rPr>
          <w:rFonts w:cstheme="minorHAnsi"/>
          <w:i/>
          <w:iCs/>
          <w:sz w:val="24"/>
          <w:szCs w:val="24"/>
        </w:rPr>
        <w:t xml:space="preserve">Technical Components </w:t>
      </w:r>
    </w:p>
    <w:p w14:paraId="3D9BD165" w14:textId="77777777" w:rsidR="00EA18FC" w:rsidRDefault="00DD4DD5" w:rsidP="00EA18FC">
      <w:pPr>
        <w:pStyle w:val="ListParagraph"/>
        <w:numPr>
          <w:ilvl w:val="0"/>
          <w:numId w:val="10"/>
        </w:numPr>
        <w:spacing w:after="0" w:line="240" w:lineRule="auto"/>
        <w:rPr>
          <w:rFonts w:eastAsia="Times New Roman" w:cstheme="minorHAnsi"/>
          <w:sz w:val="24"/>
          <w:szCs w:val="24"/>
        </w:rPr>
      </w:pPr>
      <w:r w:rsidRPr="00EA18FC">
        <w:rPr>
          <w:rFonts w:eastAsia="Times New Roman" w:cstheme="minorHAnsi"/>
          <w:sz w:val="24"/>
          <w:szCs w:val="24"/>
        </w:rPr>
        <w:t xml:space="preserve">Secure </w:t>
      </w:r>
      <w:r w:rsidR="003E3A73" w:rsidRPr="00EA18FC">
        <w:rPr>
          <w:rFonts w:eastAsia="Times New Roman" w:cstheme="minorHAnsi"/>
          <w:sz w:val="24"/>
          <w:szCs w:val="24"/>
        </w:rPr>
        <w:t>Telemedicine</w:t>
      </w:r>
      <w:r w:rsidRPr="00EA18FC">
        <w:rPr>
          <w:rFonts w:eastAsia="Times New Roman" w:cstheme="minorHAnsi"/>
          <w:sz w:val="24"/>
          <w:szCs w:val="24"/>
        </w:rPr>
        <w:t xml:space="preserve"> Platforms: Ensuring the confidentiality and integrity of patient data during remote consultations by implementing telemedicine platforms that are outfitted with sophisticated security features, including multi-factor authentication, access controls, and end-to-end encryption. </w:t>
      </w:r>
    </w:p>
    <w:p w14:paraId="3179B24D" w14:textId="77777777" w:rsidR="00EA18FC" w:rsidRDefault="00DD4DD5" w:rsidP="00EA18FC">
      <w:pPr>
        <w:pStyle w:val="ListParagraph"/>
        <w:numPr>
          <w:ilvl w:val="0"/>
          <w:numId w:val="10"/>
        </w:numPr>
        <w:spacing w:after="0" w:line="240" w:lineRule="auto"/>
        <w:rPr>
          <w:rFonts w:eastAsia="Times New Roman" w:cstheme="minorHAnsi"/>
          <w:sz w:val="24"/>
          <w:szCs w:val="24"/>
        </w:rPr>
      </w:pPr>
      <w:r w:rsidRPr="00EA18FC">
        <w:rPr>
          <w:rFonts w:eastAsia="Times New Roman" w:cstheme="minorHAnsi"/>
          <w:sz w:val="24"/>
          <w:szCs w:val="24"/>
        </w:rPr>
        <w:t xml:space="preserve">Encryption Technologies: Putting strong encryption techniques in place to safeguard the transfer and archiving of private medical data, such as that obtained from video consultations, electronic health records (EHRs), and telemedicine messaging platforms. </w:t>
      </w:r>
    </w:p>
    <w:p w14:paraId="753BFDC1" w14:textId="0C7CF96E" w:rsidR="00DD4DD5" w:rsidRPr="00EA18FC" w:rsidRDefault="00DD4DD5" w:rsidP="00EA18FC">
      <w:pPr>
        <w:pStyle w:val="ListParagraph"/>
        <w:numPr>
          <w:ilvl w:val="0"/>
          <w:numId w:val="10"/>
        </w:numPr>
        <w:spacing w:after="0" w:line="240" w:lineRule="auto"/>
        <w:rPr>
          <w:rFonts w:eastAsia="Times New Roman" w:cstheme="minorHAnsi"/>
          <w:sz w:val="24"/>
          <w:szCs w:val="24"/>
        </w:rPr>
      </w:pPr>
      <w:r w:rsidRPr="00EA18FC">
        <w:rPr>
          <w:rFonts w:eastAsia="Times New Roman" w:cstheme="minorHAnsi"/>
          <w:sz w:val="24"/>
          <w:szCs w:val="24"/>
        </w:rPr>
        <w:t>Monitoring Tools and Audit Trails: Tracking patient data access, identifying unwanted activity, and producing alerts for possible security breaches are all made possible by using monitoring tools and audit trail capabilities. Frequent audits assist in identifying areas for improvement and ensuring compliance with privacy requirements.</w:t>
      </w:r>
    </w:p>
    <w:p w14:paraId="1CAFD711" w14:textId="77777777" w:rsidR="00EA18FC" w:rsidRDefault="00EA18FC" w:rsidP="00F12045">
      <w:pPr>
        <w:rPr>
          <w:rFonts w:cstheme="minorHAnsi"/>
          <w:i/>
          <w:iCs/>
          <w:sz w:val="24"/>
          <w:szCs w:val="24"/>
        </w:rPr>
      </w:pPr>
    </w:p>
    <w:p w14:paraId="1A642CDA" w14:textId="5AB63F86" w:rsidR="008A2205" w:rsidRPr="00263B69" w:rsidRDefault="008A2205" w:rsidP="00F12045">
      <w:pPr>
        <w:rPr>
          <w:rFonts w:cstheme="minorHAnsi"/>
          <w:sz w:val="24"/>
          <w:szCs w:val="24"/>
        </w:rPr>
      </w:pPr>
      <w:r w:rsidRPr="00263B69">
        <w:rPr>
          <w:rFonts w:cstheme="minorHAnsi"/>
          <w:sz w:val="24"/>
          <w:szCs w:val="24"/>
        </w:rPr>
        <w:t xml:space="preserve">Other Considerations </w:t>
      </w:r>
    </w:p>
    <w:p w14:paraId="5797F0F2" w14:textId="77777777" w:rsidR="00EA18FC" w:rsidRPr="00263B69" w:rsidRDefault="00DD4DD5" w:rsidP="00DD4DD5">
      <w:pPr>
        <w:pStyle w:val="ListParagraph"/>
        <w:numPr>
          <w:ilvl w:val="0"/>
          <w:numId w:val="11"/>
        </w:numPr>
        <w:rPr>
          <w:rFonts w:cstheme="minorHAnsi"/>
          <w:sz w:val="24"/>
          <w:szCs w:val="24"/>
        </w:rPr>
      </w:pPr>
      <w:r w:rsidRPr="00263B69">
        <w:rPr>
          <w:rFonts w:cstheme="minorHAnsi"/>
          <w:sz w:val="24"/>
          <w:szCs w:val="24"/>
        </w:rPr>
        <w:t>Telemedicine Ethics Committees: forming multidisciplinary ethics committees inside hospitals to handle moral conundrums and privacy issues unique to telemedicine. These committees can assist in making moral decisions that respect patient rights and legal obligations, as well as offer advice on complicated issues.</w:t>
      </w:r>
    </w:p>
    <w:p w14:paraId="1F5A375D" w14:textId="77777777" w:rsidR="00EA18FC" w:rsidRPr="00263B69" w:rsidRDefault="00DD4DD5" w:rsidP="00DD4DD5">
      <w:pPr>
        <w:pStyle w:val="ListParagraph"/>
        <w:numPr>
          <w:ilvl w:val="0"/>
          <w:numId w:val="11"/>
        </w:numPr>
        <w:rPr>
          <w:rFonts w:cstheme="minorHAnsi"/>
          <w:sz w:val="24"/>
          <w:szCs w:val="24"/>
        </w:rPr>
      </w:pPr>
      <w:r w:rsidRPr="00263B69">
        <w:rPr>
          <w:rFonts w:cstheme="minorHAnsi"/>
          <w:sz w:val="24"/>
          <w:szCs w:val="24"/>
        </w:rPr>
        <w:t>Working together with IT security professionals: Hiring consultants and specialists in IT security to carry out in-depth evaluations of telemedicine systems, spot security flaws, and suggest cybersecurity actions to improve data security and HIPAA compliance.</w:t>
      </w:r>
    </w:p>
    <w:p w14:paraId="1CE08797" w14:textId="54536BC5" w:rsidR="00DD4DD5" w:rsidRPr="00263B69" w:rsidRDefault="00DD4DD5" w:rsidP="00DD4DD5">
      <w:pPr>
        <w:pStyle w:val="ListParagraph"/>
        <w:numPr>
          <w:ilvl w:val="0"/>
          <w:numId w:val="11"/>
        </w:numPr>
        <w:rPr>
          <w:rFonts w:cstheme="minorHAnsi"/>
          <w:sz w:val="24"/>
          <w:szCs w:val="24"/>
        </w:rPr>
      </w:pPr>
      <w:r w:rsidRPr="00263B69">
        <w:rPr>
          <w:rFonts w:cstheme="minorHAnsi"/>
          <w:sz w:val="24"/>
          <w:szCs w:val="24"/>
        </w:rPr>
        <w:t xml:space="preserve">Data Breach Response Plan: Creating a thorough plan that outlines the steps to take </w:t>
      </w:r>
      <w:r w:rsidR="00006467" w:rsidRPr="00263B69">
        <w:rPr>
          <w:rFonts w:cstheme="minorHAnsi"/>
          <w:sz w:val="24"/>
          <w:szCs w:val="24"/>
        </w:rPr>
        <w:t>to</w:t>
      </w:r>
      <w:r w:rsidRPr="00263B69">
        <w:rPr>
          <w:rFonts w:cstheme="minorHAnsi"/>
          <w:sz w:val="24"/>
          <w:szCs w:val="24"/>
        </w:rPr>
        <w:t xml:space="preserve"> detect, contain, and lessen the effects of security incidents involving patient data in telemedicine. Effective management of data breaches requires prompt and open communication with impacted parties as well as regulatory agencies.</w:t>
      </w:r>
    </w:p>
    <w:p w14:paraId="356A4F24" w14:textId="6F3956A7" w:rsidR="008A2205" w:rsidRPr="00263B69" w:rsidRDefault="008A2205" w:rsidP="00F12045">
      <w:pPr>
        <w:rPr>
          <w:rFonts w:cstheme="minorHAnsi"/>
          <w:sz w:val="24"/>
          <w:szCs w:val="24"/>
        </w:rPr>
      </w:pPr>
      <w:r w:rsidRPr="00263B69">
        <w:rPr>
          <w:rFonts w:cstheme="minorHAnsi"/>
          <w:sz w:val="24"/>
          <w:szCs w:val="24"/>
        </w:rPr>
        <w:t xml:space="preserve">Desired Outcomes and Measures of Progress </w:t>
      </w:r>
    </w:p>
    <w:p w14:paraId="573C9E17" w14:textId="77777777" w:rsidR="00EA18FC" w:rsidRPr="00263B69" w:rsidRDefault="00DD4DD5" w:rsidP="00DD4DD5">
      <w:pPr>
        <w:pStyle w:val="ListParagraph"/>
        <w:numPr>
          <w:ilvl w:val="0"/>
          <w:numId w:val="12"/>
        </w:numPr>
        <w:rPr>
          <w:rFonts w:cstheme="minorHAnsi"/>
          <w:sz w:val="24"/>
          <w:szCs w:val="24"/>
        </w:rPr>
      </w:pPr>
      <w:r w:rsidRPr="00263B69">
        <w:rPr>
          <w:rFonts w:cstheme="minorHAnsi"/>
          <w:sz w:val="24"/>
          <w:szCs w:val="24"/>
        </w:rPr>
        <w:t>Improved Patient Trust: Based on feedback, surveys, and patient satisfaction ratings, there is a greater sense of trust among patients regarding the security and privacy of telemedicine services.</w:t>
      </w:r>
    </w:p>
    <w:p w14:paraId="45CCCE69" w14:textId="77777777" w:rsidR="00EA18FC" w:rsidRPr="00263B69" w:rsidRDefault="00DD4DD5" w:rsidP="00DD4DD5">
      <w:pPr>
        <w:pStyle w:val="ListParagraph"/>
        <w:numPr>
          <w:ilvl w:val="0"/>
          <w:numId w:val="12"/>
        </w:numPr>
        <w:rPr>
          <w:rFonts w:cstheme="minorHAnsi"/>
          <w:sz w:val="24"/>
          <w:szCs w:val="24"/>
        </w:rPr>
      </w:pPr>
      <w:r w:rsidRPr="00263B69">
        <w:rPr>
          <w:rFonts w:cstheme="minorHAnsi"/>
          <w:sz w:val="24"/>
          <w:szCs w:val="24"/>
        </w:rPr>
        <w:t>Compliance with Regulatory Standards: Through routine audits, evaluations, and documentation of compliance efforts, shown conformity to HIPAA standards and other pertinent privacy laws.</w:t>
      </w:r>
    </w:p>
    <w:p w14:paraId="513B1493" w14:textId="77777777" w:rsidR="00EA18FC" w:rsidRPr="00263B69" w:rsidRDefault="00DD4DD5" w:rsidP="00DD4DD5">
      <w:pPr>
        <w:pStyle w:val="ListParagraph"/>
        <w:numPr>
          <w:ilvl w:val="0"/>
          <w:numId w:val="12"/>
        </w:numPr>
        <w:rPr>
          <w:rFonts w:cstheme="minorHAnsi"/>
          <w:sz w:val="24"/>
          <w:szCs w:val="24"/>
        </w:rPr>
      </w:pPr>
      <w:r w:rsidRPr="00263B69">
        <w:rPr>
          <w:rFonts w:cstheme="minorHAnsi"/>
          <w:sz w:val="24"/>
          <w:szCs w:val="24"/>
        </w:rPr>
        <w:lastRenderedPageBreak/>
        <w:t xml:space="preserve">Decrease in Security events: Metrics like the </w:t>
      </w:r>
      <w:r w:rsidR="00006467" w:rsidRPr="00263B69">
        <w:rPr>
          <w:rFonts w:cstheme="minorHAnsi"/>
          <w:sz w:val="24"/>
          <w:szCs w:val="24"/>
        </w:rPr>
        <w:t>number</w:t>
      </w:r>
      <w:r w:rsidRPr="00263B69">
        <w:rPr>
          <w:rFonts w:cstheme="minorHAnsi"/>
          <w:sz w:val="24"/>
          <w:szCs w:val="24"/>
        </w:rPr>
        <w:t xml:space="preserve"> of reported events and the seriousness of breaches are used to track the decline in security breaches and unauthorized access to patient data.</w:t>
      </w:r>
    </w:p>
    <w:p w14:paraId="51B6E012" w14:textId="77777777" w:rsidR="00A93DBD" w:rsidRPr="00263B69" w:rsidRDefault="00DD4DD5" w:rsidP="00DD4DD5">
      <w:pPr>
        <w:pStyle w:val="ListParagraph"/>
        <w:numPr>
          <w:ilvl w:val="0"/>
          <w:numId w:val="12"/>
        </w:numPr>
        <w:rPr>
          <w:rFonts w:cstheme="minorHAnsi"/>
          <w:sz w:val="24"/>
          <w:szCs w:val="24"/>
        </w:rPr>
      </w:pPr>
      <w:r w:rsidRPr="00263B69">
        <w:rPr>
          <w:rFonts w:cstheme="minorHAnsi"/>
          <w:sz w:val="24"/>
          <w:szCs w:val="24"/>
        </w:rPr>
        <w:t xml:space="preserve">Better Access to Healthcare: As indicated by the </w:t>
      </w:r>
      <w:r w:rsidR="00006467" w:rsidRPr="00263B69">
        <w:rPr>
          <w:rFonts w:cstheme="minorHAnsi"/>
          <w:sz w:val="24"/>
          <w:szCs w:val="24"/>
        </w:rPr>
        <w:t>number</w:t>
      </w:r>
      <w:r w:rsidRPr="00263B69">
        <w:rPr>
          <w:rFonts w:cstheme="minorHAnsi"/>
          <w:sz w:val="24"/>
          <w:szCs w:val="24"/>
        </w:rPr>
        <w:t xml:space="preserve"> of telemedicine consultations performed and patient results, enhanced access to high-quality healthcare services through telemedicine while upholding robust privacy measures.</w:t>
      </w:r>
    </w:p>
    <w:p w14:paraId="7FD9F872" w14:textId="6FBEFE6F" w:rsidR="00DD4DD5" w:rsidRPr="00263B69" w:rsidRDefault="00DD4DD5" w:rsidP="00DD4DD5">
      <w:pPr>
        <w:pStyle w:val="ListParagraph"/>
        <w:numPr>
          <w:ilvl w:val="0"/>
          <w:numId w:val="12"/>
        </w:numPr>
        <w:rPr>
          <w:rFonts w:cstheme="minorHAnsi"/>
          <w:sz w:val="24"/>
          <w:szCs w:val="24"/>
        </w:rPr>
      </w:pPr>
      <w:r w:rsidRPr="00263B69">
        <w:rPr>
          <w:rFonts w:cstheme="minorHAnsi"/>
          <w:sz w:val="24"/>
          <w:szCs w:val="24"/>
        </w:rPr>
        <w:t xml:space="preserve">Continuous Improvement: Constant assessment and improvement of technical protections and telemedicine privacy policies in response to user comments, lessons learned, and new threats in </w:t>
      </w:r>
      <w:r w:rsidR="00A93DBD" w:rsidRPr="00263B69">
        <w:rPr>
          <w:rFonts w:cstheme="minorHAnsi"/>
          <w:sz w:val="24"/>
          <w:szCs w:val="24"/>
        </w:rPr>
        <w:t xml:space="preserve">the </w:t>
      </w:r>
      <w:r w:rsidR="00C2310F" w:rsidRPr="00263B69">
        <w:rPr>
          <w:rFonts w:cstheme="minorHAnsi"/>
          <w:sz w:val="24"/>
          <w:szCs w:val="24"/>
        </w:rPr>
        <w:t>healthcare</w:t>
      </w:r>
      <w:r w:rsidRPr="00263B69">
        <w:rPr>
          <w:rFonts w:cstheme="minorHAnsi"/>
          <w:sz w:val="24"/>
          <w:szCs w:val="24"/>
        </w:rPr>
        <w:t xml:space="preserve"> cyber-security landscape.</w:t>
      </w:r>
    </w:p>
    <w:p w14:paraId="2C33A2DD" w14:textId="4E5951EC" w:rsidR="008A2205" w:rsidRPr="008A2205" w:rsidRDefault="008A2205" w:rsidP="00F12045">
      <w:pPr>
        <w:rPr>
          <w:rFonts w:cstheme="minorHAnsi"/>
          <w:b/>
          <w:bCs/>
          <w:sz w:val="28"/>
          <w:szCs w:val="28"/>
        </w:rPr>
      </w:pPr>
      <w:r w:rsidRPr="008A2205">
        <w:rPr>
          <w:rFonts w:cstheme="minorHAnsi"/>
          <w:b/>
          <w:bCs/>
          <w:sz w:val="28"/>
          <w:szCs w:val="28"/>
        </w:rPr>
        <w:t xml:space="preserve">Summary and Conclusions </w:t>
      </w:r>
    </w:p>
    <w:p w14:paraId="58F0387A" w14:textId="77777777" w:rsidR="00DD4DD5" w:rsidRPr="00DD4DD5" w:rsidRDefault="00DD4DD5" w:rsidP="00DD4DD5">
      <w:pPr>
        <w:spacing w:after="240" w:line="240" w:lineRule="auto"/>
        <w:rPr>
          <w:rFonts w:eastAsia="Times New Roman" w:cstheme="minorHAnsi"/>
          <w:sz w:val="24"/>
          <w:szCs w:val="24"/>
        </w:rPr>
      </w:pPr>
      <w:r w:rsidRPr="00DD4DD5">
        <w:rPr>
          <w:rFonts w:eastAsia="Times New Roman" w:cstheme="minorHAnsi"/>
          <w:sz w:val="24"/>
          <w:szCs w:val="24"/>
        </w:rPr>
        <w:t>Summary:</w:t>
      </w:r>
    </w:p>
    <w:p w14:paraId="69FD7A4E" w14:textId="77777777" w:rsidR="00F2296A" w:rsidRDefault="00DD4DD5" w:rsidP="00DD4DD5">
      <w:pPr>
        <w:spacing w:after="240" w:line="240" w:lineRule="auto"/>
        <w:rPr>
          <w:rFonts w:eastAsia="Times New Roman" w:cstheme="minorHAnsi"/>
          <w:sz w:val="24"/>
          <w:szCs w:val="24"/>
        </w:rPr>
      </w:pPr>
      <w:r w:rsidRPr="00DD4DD5">
        <w:rPr>
          <w:rFonts w:eastAsia="Times New Roman" w:cstheme="minorHAnsi"/>
          <w:sz w:val="24"/>
          <w:szCs w:val="24"/>
        </w:rPr>
        <w:t xml:space="preserve">To summarize, the rapid development of telemedicine offers numerous prospects to enhance healthcare efficiency and accessibility, especially considering the COVID-19 epidemic. To preserve confidence and safeguard private medical data, HIPAA compliance and patient privacy are crucial in telemedicine environments. The difficulties in patient privacy in telemedicine stem from the quick development of technology, the absence of industry standards, and the shortage of resources among medical professionals. Despite these obstacles, non-technical and technical elements including policy formulation, instruction, safe telemedicine platforms, encryption technologies, and data breach response strategies are included in the suggested solutions. </w:t>
      </w:r>
    </w:p>
    <w:p w14:paraId="09C70F8E" w14:textId="4D7A9541" w:rsidR="00DD4DD5" w:rsidRDefault="00DD4DD5" w:rsidP="00DD4DD5">
      <w:pPr>
        <w:spacing w:after="240" w:line="240" w:lineRule="auto"/>
        <w:rPr>
          <w:rFonts w:eastAsia="Times New Roman" w:cstheme="minorHAnsi"/>
          <w:sz w:val="24"/>
          <w:szCs w:val="24"/>
        </w:rPr>
      </w:pPr>
      <w:r w:rsidRPr="00DD4DD5">
        <w:rPr>
          <w:rFonts w:eastAsia="Times New Roman" w:cstheme="minorHAnsi"/>
          <w:sz w:val="24"/>
          <w:szCs w:val="24"/>
        </w:rPr>
        <w:t>Conclusion:</w:t>
      </w:r>
    </w:p>
    <w:p w14:paraId="3B96EBA7" w14:textId="77777777" w:rsidR="003E3A73" w:rsidRDefault="003E3A73" w:rsidP="003E3A73">
      <w:pPr>
        <w:spacing w:after="240" w:line="240" w:lineRule="auto"/>
        <w:rPr>
          <w:rFonts w:ascii="Times New Roman" w:eastAsia="Times New Roman" w:hAnsi="Times New Roman" w:cs="Times New Roman"/>
          <w:sz w:val="24"/>
          <w:szCs w:val="24"/>
        </w:rPr>
      </w:pPr>
      <w:r w:rsidRPr="003E3A73">
        <w:rPr>
          <w:rFonts w:eastAsia="Times New Roman" w:cstheme="minorHAnsi"/>
          <w:sz w:val="24"/>
          <w:szCs w:val="24"/>
        </w:rPr>
        <w:t>In conclusion, healthcare organizations, providers, legislators, and patients alike must prioritize protecting patient privacy and guaranteeing HIPAA compliance in telemedicine. Healthcare stakeholders can reduce privacy threats, improve regulatory compliance, and promote trust in telemedicine services by putting into practice comprehensive strategies that include both non-technical and technological components. Achieving the intended results, such as better patient access to care and improved healthcare delivery, requires constant assessment, adaptability to new risks, and collaboration across disciplines. To fully achieve telemedicine's potential as a game-changing healthcare solution, patient privacy and data security must continue to be prioritized as the technology develops</w:t>
      </w:r>
      <w:r w:rsidRPr="003E3A73">
        <w:rPr>
          <w:rFonts w:ascii="Times New Roman" w:eastAsia="Times New Roman" w:hAnsi="Times New Roman" w:cs="Times New Roman"/>
          <w:sz w:val="24"/>
          <w:szCs w:val="24"/>
        </w:rPr>
        <w:t>.</w:t>
      </w:r>
    </w:p>
    <w:p w14:paraId="32F778C2" w14:textId="5C385B93" w:rsidR="001D6B77" w:rsidRPr="001D6B77" w:rsidRDefault="00250CDC" w:rsidP="001D6B77">
      <w:pPr>
        <w:spacing w:after="0" w:line="240" w:lineRule="auto"/>
        <w:rPr>
          <w:rFonts w:ascii="Calibri" w:eastAsia="Times New Roman" w:hAnsi="Calibri" w:cs="Calibri"/>
          <w:sz w:val="24"/>
          <w:szCs w:val="24"/>
        </w:rPr>
      </w:pPr>
      <w:r>
        <w:rPr>
          <w:rFonts w:ascii="Calibri" w:eastAsia="Times New Roman" w:hAnsi="Calibri" w:cs="Calibri"/>
          <w:sz w:val="24"/>
          <w:szCs w:val="24"/>
        </w:rPr>
        <w:t>To</w:t>
      </w:r>
      <w:r w:rsidR="001D6B77" w:rsidRPr="001D6B77">
        <w:rPr>
          <w:rFonts w:ascii="Calibri" w:eastAsia="Times New Roman" w:hAnsi="Calibri" w:cs="Calibri"/>
          <w:sz w:val="24"/>
          <w:szCs w:val="24"/>
        </w:rPr>
        <w:t xml:space="preserve"> ensure security and privacy in telehealth and other remote care delivery, I regard my job as a Health Information Technology (HIT) specialist as being crucial</w:t>
      </w:r>
      <w:r>
        <w:rPr>
          <w:rFonts w:ascii="Calibri" w:eastAsia="Times New Roman" w:hAnsi="Calibri" w:cs="Calibri"/>
          <w:sz w:val="24"/>
          <w:szCs w:val="24"/>
        </w:rPr>
        <w:t xml:space="preserve">; </w:t>
      </w:r>
      <w:r w:rsidR="001D6B77" w:rsidRPr="001D6B77">
        <w:rPr>
          <w:rFonts w:ascii="Calibri" w:eastAsia="Times New Roman" w:hAnsi="Calibri" w:cs="Calibri"/>
          <w:sz w:val="24"/>
          <w:szCs w:val="24"/>
        </w:rPr>
        <w:t xml:space="preserve">Keeping up with the most recent developments in data security and encryption technologies will enable me to build strong security into telemedicine platforms. Among my duties are creating and implementing HIPAA-compliant policies, training healthcare providers on data security best practices, and responding quickly to any potential breaches. To further improve our processes and systems, I will work with IT security experts to promote patient involvement. By means of these </w:t>
      </w:r>
      <w:r w:rsidR="001D6B77" w:rsidRPr="001D6B77">
        <w:rPr>
          <w:rFonts w:ascii="Calibri" w:eastAsia="Times New Roman" w:hAnsi="Calibri" w:cs="Calibri"/>
          <w:sz w:val="24"/>
          <w:szCs w:val="24"/>
        </w:rPr>
        <w:lastRenderedPageBreak/>
        <w:t>endeavors, I pledge to maintain the confidentiality of patient data and facilitate the secure, efficient provision of remote healthcare services.</w:t>
      </w:r>
    </w:p>
    <w:p w14:paraId="416ADD29" w14:textId="77777777" w:rsidR="001D6B77" w:rsidRDefault="001D6B77" w:rsidP="003E3A73">
      <w:pPr>
        <w:spacing w:after="240" w:line="240" w:lineRule="auto"/>
        <w:rPr>
          <w:rFonts w:ascii="Times New Roman" w:eastAsia="Times New Roman" w:hAnsi="Times New Roman" w:cs="Times New Roman"/>
          <w:sz w:val="24"/>
          <w:szCs w:val="24"/>
        </w:rPr>
      </w:pPr>
    </w:p>
    <w:p w14:paraId="6EA90D1C" w14:textId="6D35BB99" w:rsidR="009C16FE" w:rsidRPr="009C16FE" w:rsidRDefault="009C16FE" w:rsidP="003E3A73">
      <w:pPr>
        <w:spacing w:after="240" w:line="240" w:lineRule="auto"/>
        <w:rPr>
          <w:rFonts w:eastAsia="Times New Roman" w:cstheme="minorHAnsi"/>
          <w:sz w:val="24"/>
          <w:szCs w:val="24"/>
        </w:rPr>
      </w:pPr>
      <w:r w:rsidRPr="009C16FE">
        <w:rPr>
          <w:rFonts w:eastAsia="Times New Roman" w:cstheme="minorHAnsi"/>
          <w:sz w:val="24"/>
          <w:szCs w:val="24"/>
        </w:rPr>
        <w:t>References:</w:t>
      </w:r>
    </w:p>
    <w:p w14:paraId="45D3870B" w14:textId="77777777" w:rsidR="003E3A73" w:rsidRPr="001D6B77" w:rsidRDefault="003E3A73" w:rsidP="00DD4DD5">
      <w:pPr>
        <w:spacing w:after="240" w:line="240" w:lineRule="auto"/>
        <w:rPr>
          <w:rFonts w:ascii="Calibri" w:eastAsia="Times New Roman" w:hAnsi="Calibri" w:cs="Calibri"/>
          <w:i/>
          <w:iCs/>
          <w:sz w:val="24"/>
          <w:szCs w:val="24"/>
        </w:rPr>
      </w:pPr>
    </w:p>
    <w:p w14:paraId="0CFD71E8" w14:textId="4C2D0C1A" w:rsidR="009C16FE" w:rsidRPr="001D6B77" w:rsidRDefault="009C16FE" w:rsidP="009C16FE">
      <w:pPr>
        <w:pStyle w:val="NormalWeb"/>
        <w:spacing w:before="0" w:beforeAutospacing="0" w:after="0" w:afterAutospacing="0" w:line="480" w:lineRule="auto"/>
        <w:ind w:left="720" w:hanging="720"/>
        <w:rPr>
          <w:rStyle w:val="url"/>
          <w:rFonts w:ascii="Calibri" w:hAnsi="Calibri" w:cs="Calibri"/>
          <w:i/>
          <w:iCs/>
        </w:rPr>
      </w:pPr>
      <w:r w:rsidRPr="001D6B77">
        <w:rPr>
          <w:rFonts w:ascii="Calibri" w:hAnsi="Calibri" w:cs="Calibri"/>
          <w:i/>
          <w:iCs/>
        </w:rPr>
        <w:t xml:space="preserve">Houser, S. H., Flite, C. A., &amp; Foster, S. L. (2023). Privacy and Security Risk Factors Related to Telehealth Services - A Systematic Review. PubMed, 20(1), 1f. </w:t>
      </w:r>
      <w:hyperlink r:id="rId6" w:history="1">
        <w:r w:rsidRPr="001D6B77">
          <w:rPr>
            <w:rStyle w:val="Hyperlink"/>
            <w:rFonts w:ascii="Calibri" w:hAnsi="Calibri" w:cs="Calibri"/>
            <w:i/>
            <w:iCs/>
          </w:rPr>
          <w:t>https://pubmed.ncbi.nlm.nih.gov/37215337</w:t>
        </w:r>
      </w:hyperlink>
    </w:p>
    <w:p w14:paraId="2031A1E3" w14:textId="5F3CE962" w:rsidR="009C16FE" w:rsidRPr="001D6B77" w:rsidRDefault="009C16FE" w:rsidP="009C16FE">
      <w:pPr>
        <w:pStyle w:val="NormalWeb"/>
        <w:spacing w:before="0" w:beforeAutospacing="0" w:after="0" w:afterAutospacing="0" w:line="480" w:lineRule="auto"/>
        <w:ind w:left="720" w:hanging="720"/>
        <w:rPr>
          <w:rStyle w:val="url"/>
          <w:rFonts w:ascii="Calibri" w:hAnsi="Calibri" w:cs="Calibri"/>
          <w:i/>
          <w:iCs/>
        </w:rPr>
      </w:pPr>
      <w:r w:rsidRPr="001D6B77">
        <w:rPr>
          <w:rFonts w:ascii="Calibri" w:hAnsi="Calibri" w:cs="Calibri"/>
          <w:i/>
          <w:iCs/>
        </w:rPr>
        <w:t xml:space="preserve">Jin, M. X., Kim, S. Y., Miller, L. J., Behari, G., &amp; Correa, R. (2020). Telemedicine: Current Impact on the Future. </w:t>
      </w:r>
      <w:proofErr w:type="spellStart"/>
      <w:r w:rsidRPr="001D6B77">
        <w:rPr>
          <w:rFonts w:ascii="Calibri" w:hAnsi="Calibri" w:cs="Calibri"/>
          <w:i/>
          <w:iCs/>
        </w:rPr>
        <w:t>Cureus</w:t>
      </w:r>
      <w:proofErr w:type="spellEnd"/>
      <w:r w:rsidRPr="001D6B77">
        <w:rPr>
          <w:rFonts w:ascii="Calibri" w:hAnsi="Calibri" w:cs="Calibri"/>
          <w:i/>
          <w:iCs/>
        </w:rPr>
        <w:t xml:space="preserve">. </w:t>
      </w:r>
      <w:hyperlink r:id="rId7" w:history="1">
        <w:r w:rsidRPr="001D6B77">
          <w:rPr>
            <w:rStyle w:val="Hyperlink"/>
            <w:rFonts w:ascii="Calibri" w:hAnsi="Calibri" w:cs="Calibri"/>
            <w:i/>
            <w:iCs/>
          </w:rPr>
          <w:t>https://doi.org/10.7759/cureus.9891</w:t>
        </w:r>
      </w:hyperlink>
    </w:p>
    <w:p w14:paraId="1EAE045E" w14:textId="6048174E" w:rsidR="009C16FE" w:rsidRPr="001D6B77" w:rsidRDefault="009C16FE" w:rsidP="009C16FE">
      <w:pPr>
        <w:pStyle w:val="NormalWeb"/>
        <w:spacing w:before="0" w:beforeAutospacing="0" w:after="0" w:afterAutospacing="0" w:line="480" w:lineRule="auto"/>
        <w:ind w:left="720" w:hanging="720"/>
        <w:rPr>
          <w:rStyle w:val="url"/>
          <w:rFonts w:ascii="Calibri" w:hAnsi="Calibri" w:cs="Calibri"/>
          <w:i/>
          <w:iCs/>
        </w:rPr>
      </w:pPr>
      <w:proofErr w:type="spellStart"/>
      <w:r w:rsidRPr="001D6B77">
        <w:rPr>
          <w:rFonts w:ascii="Calibri" w:hAnsi="Calibri" w:cs="Calibri"/>
          <w:i/>
          <w:iCs/>
        </w:rPr>
        <w:t>Monaghesh</w:t>
      </w:r>
      <w:proofErr w:type="spellEnd"/>
      <w:r w:rsidRPr="001D6B77">
        <w:rPr>
          <w:rFonts w:ascii="Calibri" w:hAnsi="Calibri" w:cs="Calibri"/>
          <w:i/>
          <w:iCs/>
        </w:rPr>
        <w:t xml:space="preserve">, E., &amp; Hajizadeh, A. (2020). The Role of Telehealth during COVID-19 Outbreak: A Systematic review based on current evidence. BMC Public Health (Online), 20(1). </w:t>
      </w:r>
      <w:hyperlink r:id="rId8" w:history="1">
        <w:r w:rsidRPr="001D6B77">
          <w:rPr>
            <w:rStyle w:val="Hyperlink"/>
            <w:rFonts w:ascii="Calibri" w:hAnsi="Calibri" w:cs="Calibri"/>
            <w:i/>
            <w:iCs/>
          </w:rPr>
          <w:t>https://doi.org/10.1186/s12889-020-09301-4</w:t>
        </w:r>
      </w:hyperlink>
    </w:p>
    <w:p w14:paraId="4CB40073" w14:textId="77777777" w:rsidR="009C16FE" w:rsidRDefault="009C16FE" w:rsidP="009C16FE">
      <w:pPr>
        <w:pStyle w:val="NormalWeb"/>
        <w:spacing w:before="0" w:beforeAutospacing="0" w:after="0" w:afterAutospacing="0" w:line="480" w:lineRule="auto"/>
        <w:ind w:left="720" w:hanging="720"/>
      </w:pPr>
    </w:p>
    <w:p w14:paraId="49A63373" w14:textId="77777777" w:rsidR="009C16FE" w:rsidRDefault="009C16FE" w:rsidP="009C16FE">
      <w:pPr>
        <w:pStyle w:val="NormalWeb"/>
        <w:spacing w:before="0" w:beforeAutospacing="0" w:after="0" w:afterAutospacing="0" w:line="480" w:lineRule="auto"/>
        <w:ind w:left="720" w:hanging="720"/>
      </w:pPr>
    </w:p>
    <w:p w14:paraId="4EA9588B" w14:textId="77777777" w:rsidR="00DD4DD5" w:rsidRPr="00DD4DD5" w:rsidRDefault="00DD4DD5" w:rsidP="00DD4DD5">
      <w:pPr>
        <w:spacing w:after="240" w:line="240" w:lineRule="auto"/>
        <w:rPr>
          <w:rFonts w:ascii="Times New Roman" w:eastAsia="Times New Roman" w:hAnsi="Times New Roman" w:cs="Times New Roman"/>
          <w:sz w:val="24"/>
          <w:szCs w:val="24"/>
        </w:rPr>
      </w:pPr>
    </w:p>
    <w:p w14:paraId="0A65B211" w14:textId="7A6CF975" w:rsidR="00A078EC" w:rsidRDefault="00A078EC" w:rsidP="00F12045">
      <w:pPr>
        <w:rPr>
          <w:rFonts w:cstheme="minorHAnsi"/>
          <w:i/>
          <w:iCs/>
          <w:sz w:val="24"/>
          <w:szCs w:val="24"/>
        </w:rPr>
      </w:pPr>
    </w:p>
    <w:p w14:paraId="41AB020D" w14:textId="77777777" w:rsidR="00A078EC" w:rsidRDefault="00A078EC" w:rsidP="00F12045">
      <w:pPr>
        <w:rPr>
          <w:rFonts w:cstheme="minorHAnsi"/>
          <w:i/>
          <w:iCs/>
          <w:sz w:val="24"/>
          <w:szCs w:val="24"/>
        </w:rPr>
      </w:pPr>
    </w:p>
    <w:p w14:paraId="4A141F83" w14:textId="0109C8C6" w:rsidR="00910437" w:rsidRDefault="00910437" w:rsidP="00F12045">
      <w:pPr>
        <w:rPr>
          <w:rFonts w:cstheme="minorHAnsi"/>
          <w:i/>
          <w:iCs/>
          <w:sz w:val="24"/>
          <w:szCs w:val="24"/>
        </w:rPr>
      </w:pPr>
    </w:p>
    <w:p w14:paraId="6F6801C9" w14:textId="77777777" w:rsidR="00910437" w:rsidRPr="008876AF" w:rsidRDefault="00910437" w:rsidP="00F12045">
      <w:pPr>
        <w:rPr>
          <w:rFonts w:cstheme="minorHAnsi"/>
          <w:i/>
          <w:iCs/>
          <w:sz w:val="24"/>
          <w:szCs w:val="24"/>
        </w:rPr>
      </w:pPr>
    </w:p>
    <w:p w14:paraId="79242F6A" w14:textId="77777777" w:rsidR="00CA2A26" w:rsidRPr="00CA2A26" w:rsidRDefault="00CA2A26" w:rsidP="00F12045">
      <w:pPr>
        <w:rPr>
          <w:rFonts w:cstheme="minorHAnsi"/>
          <w:b/>
          <w:bCs/>
          <w:sz w:val="24"/>
          <w:szCs w:val="24"/>
        </w:rPr>
      </w:pPr>
    </w:p>
    <w:p w14:paraId="4A0A191A" w14:textId="0071D659" w:rsidR="007454A0" w:rsidRDefault="007454A0" w:rsidP="007454A0">
      <w:pPr>
        <w:jc w:val="center"/>
      </w:pPr>
    </w:p>
    <w:p w14:paraId="2A38D2AD" w14:textId="60F6EF1E" w:rsidR="007454A0" w:rsidRDefault="007454A0" w:rsidP="007454A0">
      <w:pPr>
        <w:jc w:val="center"/>
      </w:pPr>
    </w:p>
    <w:p w14:paraId="7C40470C" w14:textId="77777777" w:rsidR="007454A0" w:rsidRDefault="007454A0" w:rsidP="007454A0">
      <w:pPr>
        <w:jc w:val="center"/>
      </w:pPr>
    </w:p>
    <w:sectPr w:rsidR="0074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6537F"/>
    <w:multiLevelType w:val="hybridMultilevel"/>
    <w:tmpl w:val="E93E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5129"/>
    <w:multiLevelType w:val="hybridMultilevel"/>
    <w:tmpl w:val="D3B8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0477D"/>
    <w:multiLevelType w:val="hybridMultilevel"/>
    <w:tmpl w:val="8946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0757C"/>
    <w:multiLevelType w:val="hybridMultilevel"/>
    <w:tmpl w:val="C734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84B15"/>
    <w:multiLevelType w:val="hybridMultilevel"/>
    <w:tmpl w:val="6D30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A1BAA"/>
    <w:multiLevelType w:val="hybridMultilevel"/>
    <w:tmpl w:val="0B9E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A2495"/>
    <w:multiLevelType w:val="hybridMultilevel"/>
    <w:tmpl w:val="2B9A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061DF"/>
    <w:multiLevelType w:val="hybridMultilevel"/>
    <w:tmpl w:val="02AE1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F50C6E"/>
    <w:multiLevelType w:val="hybridMultilevel"/>
    <w:tmpl w:val="FFAAB00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 w15:restartNumberingAfterBreak="0">
    <w:nsid w:val="70AD71E5"/>
    <w:multiLevelType w:val="hybridMultilevel"/>
    <w:tmpl w:val="45EA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EE0807"/>
    <w:multiLevelType w:val="hybridMultilevel"/>
    <w:tmpl w:val="36801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71678"/>
    <w:multiLevelType w:val="hybridMultilevel"/>
    <w:tmpl w:val="6CD2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1370716">
    <w:abstractNumId w:val="9"/>
  </w:num>
  <w:num w:numId="2" w16cid:durableId="973370025">
    <w:abstractNumId w:val="0"/>
  </w:num>
  <w:num w:numId="3" w16cid:durableId="1183712221">
    <w:abstractNumId w:val="8"/>
  </w:num>
  <w:num w:numId="4" w16cid:durableId="1010445888">
    <w:abstractNumId w:val="10"/>
  </w:num>
  <w:num w:numId="5" w16cid:durableId="873005447">
    <w:abstractNumId w:val="6"/>
  </w:num>
  <w:num w:numId="6" w16cid:durableId="276523952">
    <w:abstractNumId w:val="1"/>
  </w:num>
  <w:num w:numId="7" w16cid:durableId="1418165841">
    <w:abstractNumId w:val="4"/>
  </w:num>
  <w:num w:numId="8" w16cid:durableId="134833339">
    <w:abstractNumId w:val="2"/>
  </w:num>
  <w:num w:numId="9" w16cid:durableId="837309835">
    <w:abstractNumId w:val="7"/>
  </w:num>
  <w:num w:numId="10" w16cid:durableId="1552033014">
    <w:abstractNumId w:val="3"/>
  </w:num>
  <w:num w:numId="11" w16cid:durableId="515076566">
    <w:abstractNumId w:val="11"/>
  </w:num>
  <w:num w:numId="12" w16cid:durableId="518079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A0"/>
    <w:rsid w:val="00006467"/>
    <w:rsid w:val="0003612D"/>
    <w:rsid w:val="00087607"/>
    <w:rsid w:val="000E7CB1"/>
    <w:rsid w:val="000F633D"/>
    <w:rsid w:val="001341C5"/>
    <w:rsid w:val="00164B49"/>
    <w:rsid w:val="00194F8A"/>
    <w:rsid w:val="001D6B77"/>
    <w:rsid w:val="00221E9F"/>
    <w:rsid w:val="00250CDC"/>
    <w:rsid w:val="00250FF3"/>
    <w:rsid w:val="00263B69"/>
    <w:rsid w:val="00274DB3"/>
    <w:rsid w:val="0030159F"/>
    <w:rsid w:val="00332163"/>
    <w:rsid w:val="00345696"/>
    <w:rsid w:val="003A7147"/>
    <w:rsid w:val="003E3A73"/>
    <w:rsid w:val="004551F8"/>
    <w:rsid w:val="00460988"/>
    <w:rsid w:val="00487544"/>
    <w:rsid w:val="004A22C6"/>
    <w:rsid w:val="004F6D92"/>
    <w:rsid w:val="00535B27"/>
    <w:rsid w:val="00553CB2"/>
    <w:rsid w:val="00573BAE"/>
    <w:rsid w:val="0058322C"/>
    <w:rsid w:val="00617D06"/>
    <w:rsid w:val="00690A43"/>
    <w:rsid w:val="006D42E4"/>
    <w:rsid w:val="006F0E38"/>
    <w:rsid w:val="006F63F2"/>
    <w:rsid w:val="007454A0"/>
    <w:rsid w:val="007815DE"/>
    <w:rsid w:val="00861DC3"/>
    <w:rsid w:val="008876AF"/>
    <w:rsid w:val="00895AF1"/>
    <w:rsid w:val="008A2205"/>
    <w:rsid w:val="008F17A0"/>
    <w:rsid w:val="00910437"/>
    <w:rsid w:val="00926081"/>
    <w:rsid w:val="009C16FE"/>
    <w:rsid w:val="00A078EC"/>
    <w:rsid w:val="00A45ABE"/>
    <w:rsid w:val="00A93DBD"/>
    <w:rsid w:val="00AC6E91"/>
    <w:rsid w:val="00AD10EF"/>
    <w:rsid w:val="00AF21F3"/>
    <w:rsid w:val="00BF576A"/>
    <w:rsid w:val="00C122EC"/>
    <w:rsid w:val="00C2310F"/>
    <w:rsid w:val="00C47F43"/>
    <w:rsid w:val="00C82A87"/>
    <w:rsid w:val="00CA2A26"/>
    <w:rsid w:val="00CC6A0D"/>
    <w:rsid w:val="00CD6A63"/>
    <w:rsid w:val="00D10684"/>
    <w:rsid w:val="00D13B4A"/>
    <w:rsid w:val="00D52A59"/>
    <w:rsid w:val="00DB00EC"/>
    <w:rsid w:val="00DB4AFA"/>
    <w:rsid w:val="00DD4DD5"/>
    <w:rsid w:val="00DF73DD"/>
    <w:rsid w:val="00E26594"/>
    <w:rsid w:val="00E74B5C"/>
    <w:rsid w:val="00EA18FC"/>
    <w:rsid w:val="00EA74CB"/>
    <w:rsid w:val="00ED68C7"/>
    <w:rsid w:val="00F12045"/>
    <w:rsid w:val="00F2296A"/>
    <w:rsid w:val="00F63643"/>
    <w:rsid w:val="00FC6BEC"/>
    <w:rsid w:val="00FE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4018E"/>
  <w15:docId w15:val="{E5E1689E-DEB3-4D33-9E36-0C4A6839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FF3"/>
    <w:pPr>
      <w:ind w:left="720"/>
      <w:contextualSpacing/>
    </w:pPr>
  </w:style>
  <w:style w:type="paragraph" w:styleId="NormalWeb">
    <w:name w:val="Normal (Web)"/>
    <w:basedOn w:val="Normal"/>
    <w:uiPriority w:val="99"/>
    <w:semiHidden/>
    <w:unhideWhenUsed/>
    <w:rsid w:val="009C1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9C16FE"/>
  </w:style>
  <w:style w:type="character" w:styleId="Hyperlink">
    <w:name w:val="Hyperlink"/>
    <w:basedOn w:val="DefaultParagraphFont"/>
    <w:uiPriority w:val="99"/>
    <w:unhideWhenUsed/>
    <w:rsid w:val="009C16FE"/>
    <w:rPr>
      <w:color w:val="0563C1" w:themeColor="hyperlink"/>
      <w:u w:val="single"/>
    </w:rPr>
  </w:style>
  <w:style w:type="character" w:styleId="UnresolvedMention">
    <w:name w:val="Unresolved Mention"/>
    <w:basedOn w:val="DefaultParagraphFont"/>
    <w:uiPriority w:val="99"/>
    <w:semiHidden/>
    <w:unhideWhenUsed/>
    <w:rsid w:val="009C1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3405">
      <w:bodyDiv w:val="1"/>
      <w:marLeft w:val="0"/>
      <w:marRight w:val="0"/>
      <w:marTop w:val="0"/>
      <w:marBottom w:val="0"/>
      <w:divBdr>
        <w:top w:val="none" w:sz="0" w:space="0" w:color="auto"/>
        <w:left w:val="none" w:sz="0" w:space="0" w:color="auto"/>
        <w:bottom w:val="none" w:sz="0" w:space="0" w:color="auto"/>
        <w:right w:val="none" w:sz="0" w:space="0" w:color="auto"/>
      </w:divBdr>
    </w:div>
    <w:div w:id="131793586">
      <w:bodyDiv w:val="1"/>
      <w:marLeft w:val="0"/>
      <w:marRight w:val="0"/>
      <w:marTop w:val="0"/>
      <w:marBottom w:val="0"/>
      <w:divBdr>
        <w:top w:val="none" w:sz="0" w:space="0" w:color="auto"/>
        <w:left w:val="none" w:sz="0" w:space="0" w:color="auto"/>
        <w:bottom w:val="none" w:sz="0" w:space="0" w:color="auto"/>
        <w:right w:val="none" w:sz="0" w:space="0" w:color="auto"/>
      </w:divBdr>
    </w:div>
    <w:div w:id="186798805">
      <w:bodyDiv w:val="1"/>
      <w:marLeft w:val="0"/>
      <w:marRight w:val="0"/>
      <w:marTop w:val="0"/>
      <w:marBottom w:val="0"/>
      <w:divBdr>
        <w:top w:val="none" w:sz="0" w:space="0" w:color="auto"/>
        <w:left w:val="none" w:sz="0" w:space="0" w:color="auto"/>
        <w:bottom w:val="none" w:sz="0" w:space="0" w:color="auto"/>
        <w:right w:val="none" w:sz="0" w:space="0" w:color="auto"/>
      </w:divBdr>
    </w:div>
    <w:div w:id="294414107">
      <w:bodyDiv w:val="1"/>
      <w:marLeft w:val="0"/>
      <w:marRight w:val="0"/>
      <w:marTop w:val="0"/>
      <w:marBottom w:val="0"/>
      <w:divBdr>
        <w:top w:val="none" w:sz="0" w:space="0" w:color="auto"/>
        <w:left w:val="none" w:sz="0" w:space="0" w:color="auto"/>
        <w:bottom w:val="none" w:sz="0" w:space="0" w:color="auto"/>
        <w:right w:val="none" w:sz="0" w:space="0" w:color="auto"/>
      </w:divBdr>
    </w:div>
    <w:div w:id="388304672">
      <w:bodyDiv w:val="1"/>
      <w:marLeft w:val="0"/>
      <w:marRight w:val="0"/>
      <w:marTop w:val="0"/>
      <w:marBottom w:val="0"/>
      <w:divBdr>
        <w:top w:val="none" w:sz="0" w:space="0" w:color="auto"/>
        <w:left w:val="none" w:sz="0" w:space="0" w:color="auto"/>
        <w:bottom w:val="none" w:sz="0" w:space="0" w:color="auto"/>
        <w:right w:val="none" w:sz="0" w:space="0" w:color="auto"/>
      </w:divBdr>
    </w:div>
    <w:div w:id="708840817">
      <w:bodyDiv w:val="1"/>
      <w:marLeft w:val="0"/>
      <w:marRight w:val="0"/>
      <w:marTop w:val="0"/>
      <w:marBottom w:val="0"/>
      <w:divBdr>
        <w:top w:val="none" w:sz="0" w:space="0" w:color="auto"/>
        <w:left w:val="none" w:sz="0" w:space="0" w:color="auto"/>
        <w:bottom w:val="none" w:sz="0" w:space="0" w:color="auto"/>
        <w:right w:val="none" w:sz="0" w:space="0" w:color="auto"/>
      </w:divBdr>
    </w:div>
    <w:div w:id="774523810">
      <w:bodyDiv w:val="1"/>
      <w:marLeft w:val="0"/>
      <w:marRight w:val="0"/>
      <w:marTop w:val="0"/>
      <w:marBottom w:val="0"/>
      <w:divBdr>
        <w:top w:val="none" w:sz="0" w:space="0" w:color="auto"/>
        <w:left w:val="none" w:sz="0" w:space="0" w:color="auto"/>
        <w:bottom w:val="none" w:sz="0" w:space="0" w:color="auto"/>
        <w:right w:val="none" w:sz="0" w:space="0" w:color="auto"/>
      </w:divBdr>
      <w:divsChild>
        <w:div w:id="572786529">
          <w:marLeft w:val="-720"/>
          <w:marRight w:val="0"/>
          <w:marTop w:val="0"/>
          <w:marBottom w:val="0"/>
          <w:divBdr>
            <w:top w:val="none" w:sz="0" w:space="0" w:color="auto"/>
            <w:left w:val="none" w:sz="0" w:space="0" w:color="auto"/>
            <w:bottom w:val="none" w:sz="0" w:space="0" w:color="auto"/>
            <w:right w:val="none" w:sz="0" w:space="0" w:color="auto"/>
          </w:divBdr>
        </w:div>
      </w:divsChild>
    </w:div>
    <w:div w:id="937831560">
      <w:bodyDiv w:val="1"/>
      <w:marLeft w:val="0"/>
      <w:marRight w:val="0"/>
      <w:marTop w:val="0"/>
      <w:marBottom w:val="0"/>
      <w:divBdr>
        <w:top w:val="none" w:sz="0" w:space="0" w:color="auto"/>
        <w:left w:val="none" w:sz="0" w:space="0" w:color="auto"/>
        <w:bottom w:val="none" w:sz="0" w:space="0" w:color="auto"/>
        <w:right w:val="none" w:sz="0" w:space="0" w:color="auto"/>
      </w:divBdr>
    </w:div>
    <w:div w:id="967200143">
      <w:bodyDiv w:val="1"/>
      <w:marLeft w:val="0"/>
      <w:marRight w:val="0"/>
      <w:marTop w:val="0"/>
      <w:marBottom w:val="0"/>
      <w:divBdr>
        <w:top w:val="none" w:sz="0" w:space="0" w:color="auto"/>
        <w:left w:val="none" w:sz="0" w:space="0" w:color="auto"/>
        <w:bottom w:val="none" w:sz="0" w:space="0" w:color="auto"/>
        <w:right w:val="none" w:sz="0" w:space="0" w:color="auto"/>
      </w:divBdr>
      <w:divsChild>
        <w:div w:id="592476453">
          <w:marLeft w:val="-720"/>
          <w:marRight w:val="0"/>
          <w:marTop w:val="0"/>
          <w:marBottom w:val="0"/>
          <w:divBdr>
            <w:top w:val="none" w:sz="0" w:space="0" w:color="auto"/>
            <w:left w:val="none" w:sz="0" w:space="0" w:color="auto"/>
            <w:bottom w:val="none" w:sz="0" w:space="0" w:color="auto"/>
            <w:right w:val="none" w:sz="0" w:space="0" w:color="auto"/>
          </w:divBdr>
        </w:div>
      </w:divsChild>
    </w:div>
    <w:div w:id="998538357">
      <w:bodyDiv w:val="1"/>
      <w:marLeft w:val="0"/>
      <w:marRight w:val="0"/>
      <w:marTop w:val="0"/>
      <w:marBottom w:val="0"/>
      <w:divBdr>
        <w:top w:val="none" w:sz="0" w:space="0" w:color="auto"/>
        <w:left w:val="none" w:sz="0" w:space="0" w:color="auto"/>
        <w:bottom w:val="none" w:sz="0" w:space="0" w:color="auto"/>
        <w:right w:val="none" w:sz="0" w:space="0" w:color="auto"/>
      </w:divBdr>
    </w:div>
    <w:div w:id="1016233602">
      <w:bodyDiv w:val="1"/>
      <w:marLeft w:val="0"/>
      <w:marRight w:val="0"/>
      <w:marTop w:val="0"/>
      <w:marBottom w:val="0"/>
      <w:divBdr>
        <w:top w:val="none" w:sz="0" w:space="0" w:color="auto"/>
        <w:left w:val="none" w:sz="0" w:space="0" w:color="auto"/>
        <w:bottom w:val="none" w:sz="0" w:space="0" w:color="auto"/>
        <w:right w:val="none" w:sz="0" w:space="0" w:color="auto"/>
      </w:divBdr>
      <w:divsChild>
        <w:div w:id="1343123699">
          <w:marLeft w:val="-720"/>
          <w:marRight w:val="0"/>
          <w:marTop w:val="0"/>
          <w:marBottom w:val="0"/>
          <w:divBdr>
            <w:top w:val="none" w:sz="0" w:space="0" w:color="auto"/>
            <w:left w:val="none" w:sz="0" w:space="0" w:color="auto"/>
            <w:bottom w:val="none" w:sz="0" w:space="0" w:color="auto"/>
            <w:right w:val="none" w:sz="0" w:space="0" w:color="auto"/>
          </w:divBdr>
        </w:div>
      </w:divsChild>
    </w:div>
    <w:div w:id="1043822748">
      <w:bodyDiv w:val="1"/>
      <w:marLeft w:val="0"/>
      <w:marRight w:val="0"/>
      <w:marTop w:val="0"/>
      <w:marBottom w:val="0"/>
      <w:divBdr>
        <w:top w:val="none" w:sz="0" w:space="0" w:color="auto"/>
        <w:left w:val="none" w:sz="0" w:space="0" w:color="auto"/>
        <w:bottom w:val="none" w:sz="0" w:space="0" w:color="auto"/>
        <w:right w:val="none" w:sz="0" w:space="0" w:color="auto"/>
      </w:divBdr>
    </w:div>
    <w:div w:id="1179467201">
      <w:bodyDiv w:val="1"/>
      <w:marLeft w:val="0"/>
      <w:marRight w:val="0"/>
      <w:marTop w:val="0"/>
      <w:marBottom w:val="0"/>
      <w:divBdr>
        <w:top w:val="none" w:sz="0" w:space="0" w:color="auto"/>
        <w:left w:val="none" w:sz="0" w:space="0" w:color="auto"/>
        <w:bottom w:val="none" w:sz="0" w:space="0" w:color="auto"/>
        <w:right w:val="none" w:sz="0" w:space="0" w:color="auto"/>
      </w:divBdr>
    </w:div>
    <w:div w:id="1322346558">
      <w:bodyDiv w:val="1"/>
      <w:marLeft w:val="0"/>
      <w:marRight w:val="0"/>
      <w:marTop w:val="0"/>
      <w:marBottom w:val="0"/>
      <w:divBdr>
        <w:top w:val="none" w:sz="0" w:space="0" w:color="auto"/>
        <w:left w:val="none" w:sz="0" w:space="0" w:color="auto"/>
        <w:bottom w:val="none" w:sz="0" w:space="0" w:color="auto"/>
        <w:right w:val="none" w:sz="0" w:space="0" w:color="auto"/>
      </w:divBdr>
    </w:div>
    <w:div w:id="1368723102">
      <w:bodyDiv w:val="1"/>
      <w:marLeft w:val="0"/>
      <w:marRight w:val="0"/>
      <w:marTop w:val="0"/>
      <w:marBottom w:val="0"/>
      <w:divBdr>
        <w:top w:val="none" w:sz="0" w:space="0" w:color="auto"/>
        <w:left w:val="none" w:sz="0" w:space="0" w:color="auto"/>
        <w:bottom w:val="none" w:sz="0" w:space="0" w:color="auto"/>
        <w:right w:val="none" w:sz="0" w:space="0" w:color="auto"/>
      </w:divBdr>
    </w:div>
    <w:div w:id="1490517037">
      <w:bodyDiv w:val="1"/>
      <w:marLeft w:val="0"/>
      <w:marRight w:val="0"/>
      <w:marTop w:val="0"/>
      <w:marBottom w:val="0"/>
      <w:divBdr>
        <w:top w:val="none" w:sz="0" w:space="0" w:color="auto"/>
        <w:left w:val="none" w:sz="0" w:space="0" w:color="auto"/>
        <w:bottom w:val="none" w:sz="0" w:space="0" w:color="auto"/>
        <w:right w:val="none" w:sz="0" w:space="0" w:color="auto"/>
      </w:divBdr>
    </w:div>
    <w:div w:id="1670475468">
      <w:bodyDiv w:val="1"/>
      <w:marLeft w:val="0"/>
      <w:marRight w:val="0"/>
      <w:marTop w:val="0"/>
      <w:marBottom w:val="0"/>
      <w:divBdr>
        <w:top w:val="none" w:sz="0" w:space="0" w:color="auto"/>
        <w:left w:val="none" w:sz="0" w:space="0" w:color="auto"/>
        <w:bottom w:val="none" w:sz="0" w:space="0" w:color="auto"/>
        <w:right w:val="none" w:sz="0" w:space="0" w:color="auto"/>
      </w:divBdr>
    </w:div>
    <w:div w:id="1682586757">
      <w:bodyDiv w:val="1"/>
      <w:marLeft w:val="0"/>
      <w:marRight w:val="0"/>
      <w:marTop w:val="0"/>
      <w:marBottom w:val="0"/>
      <w:divBdr>
        <w:top w:val="none" w:sz="0" w:space="0" w:color="auto"/>
        <w:left w:val="none" w:sz="0" w:space="0" w:color="auto"/>
        <w:bottom w:val="none" w:sz="0" w:space="0" w:color="auto"/>
        <w:right w:val="none" w:sz="0" w:space="0" w:color="auto"/>
      </w:divBdr>
    </w:div>
    <w:div w:id="1710257949">
      <w:bodyDiv w:val="1"/>
      <w:marLeft w:val="0"/>
      <w:marRight w:val="0"/>
      <w:marTop w:val="0"/>
      <w:marBottom w:val="0"/>
      <w:divBdr>
        <w:top w:val="none" w:sz="0" w:space="0" w:color="auto"/>
        <w:left w:val="none" w:sz="0" w:space="0" w:color="auto"/>
        <w:bottom w:val="none" w:sz="0" w:space="0" w:color="auto"/>
        <w:right w:val="none" w:sz="0" w:space="0" w:color="auto"/>
      </w:divBdr>
    </w:div>
    <w:div w:id="1717504767">
      <w:bodyDiv w:val="1"/>
      <w:marLeft w:val="0"/>
      <w:marRight w:val="0"/>
      <w:marTop w:val="0"/>
      <w:marBottom w:val="0"/>
      <w:divBdr>
        <w:top w:val="none" w:sz="0" w:space="0" w:color="auto"/>
        <w:left w:val="none" w:sz="0" w:space="0" w:color="auto"/>
        <w:bottom w:val="none" w:sz="0" w:space="0" w:color="auto"/>
        <w:right w:val="none" w:sz="0" w:space="0" w:color="auto"/>
      </w:divBdr>
    </w:div>
    <w:div w:id="1739475729">
      <w:bodyDiv w:val="1"/>
      <w:marLeft w:val="0"/>
      <w:marRight w:val="0"/>
      <w:marTop w:val="0"/>
      <w:marBottom w:val="0"/>
      <w:divBdr>
        <w:top w:val="none" w:sz="0" w:space="0" w:color="auto"/>
        <w:left w:val="none" w:sz="0" w:space="0" w:color="auto"/>
        <w:bottom w:val="none" w:sz="0" w:space="0" w:color="auto"/>
        <w:right w:val="none" w:sz="0" w:space="0" w:color="auto"/>
      </w:divBdr>
    </w:div>
    <w:div w:id="1816142672">
      <w:bodyDiv w:val="1"/>
      <w:marLeft w:val="0"/>
      <w:marRight w:val="0"/>
      <w:marTop w:val="0"/>
      <w:marBottom w:val="0"/>
      <w:divBdr>
        <w:top w:val="none" w:sz="0" w:space="0" w:color="auto"/>
        <w:left w:val="none" w:sz="0" w:space="0" w:color="auto"/>
        <w:bottom w:val="none" w:sz="0" w:space="0" w:color="auto"/>
        <w:right w:val="none" w:sz="0" w:space="0" w:color="auto"/>
      </w:divBdr>
    </w:div>
    <w:div w:id="1944721692">
      <w:bodyDiv w:val="1"/>
      <w:marLeft w:val="0"/>
      <w:marRight w:val="0"/>
      <w:marTop w:val="0"/>
      <w:marBottom w:val="0"/>
      <w:divBdr>
        <w:top w:val="none" w:sz="0" w:space="0" w:color="auto"/>
        <w:left w:val="none" w:sz="0" w:space="0" w:color="auto"/>
        <w:bottom w:val="none" w:sz="0" w:space="0" w:color="auto"/>
        <w:right w:val="none" w:sz="0" w:space="0" w:color="auto"/>
      </w:divBdr>
    </w:div>
    <w:div w:id="2092660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12889-020-09301-4" TargetMode="External"/><Relationship Id="rId3" Type="http://schemas.openxmlformats.org/officeDocument/2006/relationships/settings" Target="settings.xml"/><Relationship Id="rId7" Type="http://schemas.openxmlformats.org/officeDocument/2006/relationships/hyperlink" Target="https://doi.org/10.7759/cureus.98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37215337"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2564</Words>
  <Characters>16518</Characters>
  <Application>Microsoft Office Word</Application>
  <DocSecurity>0</DocSecurity>
  <Lines>311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Mulhern</dc:creator>
  <cp:keywords/>
  <dc:description/>
  <cp:lastModifiedBy>Surya Teja Vallabhaneni</cp:lastModifiedBy>
  <cp:revision>2</cp:revision>
  <dcterms:created xsi:type="dcterms:W3CDTF">2024-05-21T00:59:00Z</dcterms:created>
  <dcterms:modified xsi:type="dcterms:W3CDTF">2024-05-21T00:59:00Z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e2ea07258a6e21b68d7c209c29691481e9d1362176b479a8c852dbb861df35e2</vt:lpwstr>
  </property>
</Properties>
</file>