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footer2.xml" ContentType="application/vnd.openxmlformats-officedocument.wordprocessingml.footer+xml"/>
  <Override PartName="/word/header1.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FCA5883" w14:textId="412F20B9">
      <w:pPr>
        <w:pStyle w:val="1130"/>
        <w:suppressLineNumbers w:val="false"/>
        <w:pBdr/>
        <w:spacing w:line="300" w:lineRule="auto"/>
        <w:ind/>
        <w:rPr/>
      </w:pPr>
      <w:r>
        <w:t xml:space="preserve">                                                                                                                                                                        </w:t>
      </w:r>
      <w:r>
        <w:t xml:space="preserve">Generative AI Based on Medical Visual Question Answering (VQA) Techniques</w:t>
      </w:r>
      <w:r/>
    </w:p>
    <w:p w14:paraId="13CB27D0" w14:textId="50B9AC34">
      <w:pPr>
        <w:pStyle w:val="1132"/>
        <w:suppressLineNumbers w:val="false"/>
        <w:pBdr/>
        <w:spacing w:line="300" w:lineRule="auto"/>
        <w:ind/>
        <w:rPr>
          <w:b/>
        </w:rPr>
      </w:pPr>
      <w:r>
        <w:rPr>
          <w:b/>
          <w:bCs/>
        </w:rPr>
        <w:t xml:space="preserve">by</w:t>
      </w:r>
      <w:r>
        <w:br/>
      </w:r>
      <w:r>
        <w:rPr>
          <w:b/>
          <w:bCs/>
        </w:rPr>
        <w:t xml:space="preserve">[</w:t>
      </w:r>
      <w:r>
        <w:rPr>
          <w:b/>
          <w:bCs/>
        </w:rPr>
        <w:t xml:space="preserve">Sarthak Kaushik</w:t>
      </w:r>
      <w:r>
        <w:rPr>
          <w:b/>
          <w:bCs/>
        </w:rPr>
        <w:t xml:space="preserve">]</w:t>
      </w:r>
      <w:r>
        <w:rPr>
          <w:b/>
        </w:rPr>
      </w:r>
      <w:r>
        <w:rPr>
          <w:b/>
        </w:rPr>
      </w:r>
    </w:p>
    <w:p w14:paraId="333A2FAA" w14:textId="50D887F3">
      <w:pPr>
        <w:pStyle w:val="1132"/>
        <w:suppressLineNumbers w:val="false"/>
        <w:pBdr/>
        <w:spacing w:line="300" w:lineRule="auto"/>
        <w:ind/>
        <w:rPr/>
      </w:pPr>
      <w:r>
        <w:t xml:space="preserve">Thesis</w:t>
      </w:r>
      <w:r>
        <w:t xml:space="preserve"> </w:t>
      </w:r>
      <w:r>
        <w:t xml:space="preserve">Submitted in Partial Fulfillment of the</w:t>
      </w:r>
      <w:r>
        <w:br/>
      </w:r>
      <w:r>
        <w:t xml:space="preserve">Requirements for the Degree of</w:t>
      </w:r>
      <w:r>
        <w:br/>
      </w:r>
      <w:r>
        <w:t xml:space="preserve">Master of</w:t>
      </w:r>
      <w:r>
        <w:t xml:space="preserve"> Computer Science</w:t>
      </w:r>
      <w:r/>
    </w:p>
    <w:p w14:paraId="5A436014" w14:textId="2AE8244C">
      <w:pPr>
        <w:pStyle w:val="1132"/>
        <w:suppressLineNumbers w:val="false"/>
        <w:pBdr/>
        <w:spacing w:line="300" w:lineRule="auto"/>
        <w:ind/>
        <w:rPr/>
      </w:pPr>
      <w:r>
        <w:t xml:space="preserve">i</w:t>
      </w:r>
      <w:r>
        <w:t xml:space="preserve">n the</w:t>
      </w:r>
      <w:r>
        <w:br/>
      </w:r>
      <w:r>
        <w:t xml:space="preserve">[</w:t>
      </w:r>
      <w:r>
        <w:t xml:space="preserve">Department of</w:t>
      </w:r>
      <w:r>
        <w:t xml:space="preserve"> Computer Science</w:t>
      </w:r>
      <w:r>
        <w:t xml:space="preserve">]</w:t>
      </w:r>
      <w:r>
        <w:br/>
      </w:r>
      <w:r>
        <w:t xml:space="preserve">[</w:t>
      </w:r>
      <w:r>
        <w:t xml:space="preserve">Faculty o</w:t>
      </w:r>
      <w:r>
        <w:t xml:space="preserve">f Computer Science</w:t>
      </w:r>
      <w:r>
        <w:t xml:space="preserve">]</w:t>
      </w:r>
      <w:r/>
    </w:p>
    <w:p w14:paraId="65C9B881" w14:textId="77777777">
      <w:pPr>
        <w:pStyle w:val="1132"/>
        <w:suppressLineNumbers w:val="false"/>
        <w:pBdr/>
        <w:spacing w:line="300" w:lineRule="auto"/>
        <w:ind/>
        <w:rPr/>
      </w:pPr>
      <w:r/>
      <w:r/>
    </w:p>
    <w:p w14:paraId="06B81385" w14:textId="16F92474">
      <w:pPr>
        <w:pStyle w:val="1132"/>
        <w:suppressLineNumbers w:val="false"/>
        <w:pBdr/>
        <w:spacing w:line="300" w:lineRule="auto"/>
        <w:ind/>
        <w:rPr/>
      </w:pPr>
      <w:r>
        <w:rPr>
          <w:rFonts w:cs="Arial"/>
        </w:rPr>
        <w:t xml:space="preserve">©</w:t>
      </w:r>
      <w:r>
        <w:t xml:space="preserve"> </w:t>
      </w:r>
      <w:r>
        <w:t xml:space="preserve">[</w:t>
      </w:r>
      <w:r>
        <w:t xml:space="preserve">Sarthak Kaushik</w:t>
      </w:r>
      <w:r>
        <w:t xml:space="preserve">]</w:t>
      </w:r>
      <w:r>
        <w:t xml:space="preserve"> </w:t>
      </w:r>
      <w:r>
        <w:t xml:space="preserve">2026</w:t>
      </w:r>
      <w:r>
        <w:br/>
      </w:r>
      <w:r>
        <w:t xml:space="preserve">LAKEHEAD</w:t>
      </w:r>
      <w:r>
        <w:t xml:space="preserve"> </w:t>
      </w:r>
      <w:r>
        <w:t xml:space="preserve">UNIVERSITY</w:t>
      </w:r>
      <w:r>
        <w:br/>
      </w:r>
      <w:r>
        <w:t xml:space="preserve">[</w:t>
      </w:r>
      <w:r>
        <w:t xml:space="preserve">April 2026</w:t>
      </w:r>
      <w:r>
        <w:t xml:space="preserve">]</w:t>
      </w:r>
      <w:r/>
    </w:p>
    <w:p w14:paraId="2DBEFD46" w14:textId="77777777">
      <w:pPr>
        <w:pStyle w:val="1132"/>
        <w:suppressLineNumbers w:val="false"/>
        <w:pBdr/>
        <w:spacing w:line="300" w:lineRule="auto"/>
        <w:ind/>
        <w:rPr/>
      </w:pPr>
      <w:r/>
      <w:r/>
    </w:p>
    <w:p w14:paraId="38105075" w14:textId="77777777">
      <w:pPr>
        <w:pStyle w:val="1127"/>
        <w:suppressLineNumbers w:val="false"/>
        <w:pBdr/>
        <w:spacing w:line="300" w:lineRule="auto"/>
        <w:ind/>
        <w:jc w:val="center"/>
        <w:rPr/>
      </w:pPr>
      <w:r/>
      <w:r/>
    </w:p>
    <w:p w14:paraId="1307437E" w14:textId="36D59F4F">
      <w:pPr>
        <w:pStyle w:val="1132"/>
        <w:suppressLineNumbers w:val="false"/>
        <w:pBdr/>
        <w:spacing w:line="300" w:lineRule="auto"/>
        <w:ind/>
        <w:rPr>
          <w:sz w:val="20"/>
          <w:szCs w:val="20"/>
        </w:rPr>
      </w:pPr>
      <w:r>
        <w:rPr>
          <w:sz w:val="20"/>
          <w:szCs w:val="20"/>
        </w:rPr>
        <w:t xml:space="preserve">Copyright in this work is held by the author. Please ensure that any reproduction </w:t>
      </w:r>
      <w:r>
        <w:br/>
      </w:r>
      <w:r>
        <w:rPr>
          <w:sz w:val="20"/>
          <w:szCs w:val="20"/>
        </w:rPr>
        <w:t xml:space="preserve">or re-use is done in accordance with the relevant national copyright legislation.</w:t>
      </w:r>
      <w:r>
        <w:rPr>
          <w:sz w:val="20"/>
          <w:szCs w:val="20"/>
        </w:rPr>
      </w:r>
      <w:r>
        <w:rPr>
          <w:sz w:val="20"/>
          <w:szCs w:val="20"/>
        </w:rPr>
      </w:r>
    </w:p>
    <w:p w14:paraId="228480A5" w14:textId="77777777">
      <w:pPr>
        <w:pStyle w:val="1135"/>
        <w:suppressLineNumbers w:val="false"/>
        <w:pBdr/>
        <w:spacing w:line="300" w:lineRule="auto"/>
        <w:ind/>
        <w:rPr/>
      </w:pPr>
      <w:r/>
      <w:bookmarkStart w:id="0" w:name="_Toc66285129"/>
      <w:r>
        <w:t xml:space="preserve">Declaration of Committee</w:t>
      </w:r>
      <w:bookmarkEnd w:id="0"/>
      <w:r/>
      <w:r/>
    </w:p>
    <w:tbl>
      <w:tblPr>
        <w:tblStyle w:val="1185"/>
        <w:tblW w:w="0" w:type="auto"/>
        <w:tblCellMar>
          <w:left w:w="115" w:type="dxa"/>
          <w:top w:w="29" w:type="dxa"/>
          <w:right w:w="115" w:type="dxa"/>
          <w:bottom w:w="29" w:type="dxa"/>
        </w:tblCellMar>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196"/>
        <w:gridCol w:w="866"/>
        <w:gridCol w:w="4578"/>
      </w:tblGrid>
      <w:tr>
        <w:trPr/>
        <w:tc>
          <w:tcPr>
            <w:tcBorders/>
            <w:tcW w:w="3196" w:type="dxa"/>
            <w:textDirection w:val="lrTb"/>
            <w:noWrap w:val="false"/>
          </w:tcPr>
          <w:p w14:paraId="5048088A" w14:textId="77777777">
            <w:pPr>
              <w:pStyle w:val="1161"/>
              <w:suppressLineNumbers w:val="false"/>
              <w:pBdr/>
              <w:spacing w:line="300" w:lineRule="auto"/>
              <w:ind/>
              <w:rPr>
                <w:b/>
              </w:rPr>
            </w:pPr>
            <w:r>
              <w:rPr>
                <w:b/>
              </w:rPr>
              <w:t xml:space="preserve">Name:</w:t>
            </w:r>
            <w:r>
              <w:rPr>
                <w:b/>
              </w:rPr>
            </w:r>
            <w:r>
              <w:rPr>
                <w:b/>
              </w:rPr>
            </w:r>
          </w:p>
        </w:tc>
        <w:tc>
          <w:tcPr>
            <w:gridSpan w:val="2"/>
            <w:tcBorders/>
            <w:tcW w:w="5444" w:type="dxa"/>
            <w:textDirection w:val="lrTb"/>
            <w:noWrap w:val="false"/>
          </w:tcPr>
          <w:p w14:paraId="767C84B9" w14:textId="511737C0">
            <w:pPr>
              <w:pStyle w:val="1161"/>
              <w:suppressLineNumbers w:val="false"/>
              <w:pBdr/>
              <w:spacing w:line="300" w:lineRule="auto"/>
              <w:ind/>
              <w:rPr>
                <w:b/>
                <w:bCs/>
              </w:rPr>
            </w:pPr>
            <w:r>
              <w:rPr>
                <w:b/>
                <w:bCs/>
              </w:rPr>
              <w:t xml:space="preserve">Sarthak Kaushi</w:t>
            </w:r>
            <w:r>
              <w:rPr>
                <w:b/>
                <w:bCs/>
              </w:rPr>
              <w:t xml:space="preserve">k</w:t>
            </w:r>
            <w:r>
              <w:rPr>
                <w:b/>
                <w:bCs/>
              </w:rPr>
            </w:r>
            <w:r>
              <w:rPr>
                <w:b/>
                <w:bCs/>
              </w:rPr>
            </w:r>
          </w:p>
        </w:tc>
      </w:tr>
      <w:tr>
        <w:trPr/>
        <w:tc>
          <w:tcPr>
            <w:tcBorders/>
            <w:tcW w:w="3196" w:type="dxa"/>
            <w:textDirection w:val="lrTb"/>
            <w:noWrap w:val="false"/>
          </w:tcPr>
          <w:p w14:paraId="762AE02A" w14:textId="77777777">
            <w:pPr>
              <w:pStyle w:val="1161"/>
              <w:suppressLineNumbers w:val="false"/>
              <w:pBdr/>
              <w:spacing w:line="300" w:lineRule="auto"/>
              <w:ind/>
              <w:rPr>
                <w:b/>
              </w:rPr>
            </w:pPr>
            <w:r>
              <w:rPr>
                <w:b/>
              </w:rPr>
              <w:t xml:space="preserve">Degree:</w:t>
            </w:r>
            <w:r>
              <w:rPr>
                <w:b/>
              </w:rPr>
            </w:r>
            <w:r>
              <w:rPr>
                <w:b/>
              </w:rPr>
            </w:r>
          </w:p>
        </w:tc>
        <w:tc>
          <w:tcPr>
            <w:gridSpan w:val="2"/>
            <w:tcBorders/>
            <w:tcW w:w="5444" w:type="dxa"/>
            <w:textDirection w:val="lrTb"/>
            <w:noWrap w:val="false"/>
          </w:tcPr>
          <w:p w14:paraId="65E69B80" w14:textId="7A01887E">
            <w:pPr>
              <w:pStyle w:val="1161"/>
              <w:suppressLineNumbers w:val="false"/>
              <w:pBdr/>
              <w:spacing w:line="300" w:lineRule="auto"/>
              <w:ind/>
              <w:rPr>
                <w:b/>
              </w:rPr>
            </w:pPr>
            <w:r>
              <w:rPr>
                <w:b/>
              </w:rPr>
              <w:t xml:space="preserve">Master of </w:t>
            </w:r>
            <w:r>
              <w:rPr>
                <w:b/>
              </w:rPr>
              <w:t xml:space="preserve">Computer Science</w:t>
            </w:r>
            <w:r>
              <w:rPr>
                <w:b/>
              </w:rPr>
            </w:r>
            <w:r>
              <w:rPr>
                <w:b/>
              </w:rPr>
            </w:r>
          </w:p>
        </w:tc>
      </w:tr>
      <w:tr>
        <w:trPr/>
        <w:tc>
          <w:tcPr>
            <w:tcBorders/>
            <w:tcW w:w="3196" w:type="dxa"/>
            <w:textDirection w:val="lrTb"/>
            <w:noWrap w:val="false"/>
          </w:tcPr>
          <w:p w14:paraId="1F00EF8E" w14:textId="5A1F1E5D">
            <w:pPr>
              <w:pStyle w:val="1161"/>
              <w:suppressLineNumbers w:val="false"/>
              <w:pBdr/>
              <w:spacing w:line="300" w:lineRule="auto"/>
              <w:ind/>
              <w:rPr>
                <w:b/>
              </w:rPr>
            </w:pPr>
            <w:r>
              <w:rPr>
                <w:b/>
              </w:rPr>
              <w:t xml:space="preserve">Title:</w:t>
            </w:r>
            <w:r>
              <w:rPr>
                <w:b/>
              </w:rPr>
            </w:r>
            <w:r>
              <w:rPr>
                <w:b/>
              </w:rPr>
            </w:r>
          </w:p>
        </w:tc>
        <w:tc>
          <w:tcPr>
            <w:gridSpan w:val="2"/>
            <w:tcBorders/>
            <w:tcW w:w="5444" w:type="dxa"/>
            <w:textDirection w:val="lrTb"/>
            <w:noWrap w:val="false"/>
          </w:tcPr>
          <w:p w14:paraId="01F2DD80" w14:textId="5F9C1390">
            <w:pPr>
              <w:pStyle w:val="1161"/>
              <w:suppressLineNumbers w:val="false"/>
              <w:pBdr/>
              <w:spacing w:line="300" w:lineRule="auto"/>
              <w:ind/>
              <w:rPr>
                <w:b/>
                <w:bCs/>
              </w:rPr>
            </w:pPr>
            <w:r>
              <w:rPr>
                <w:b/>
                <w:bCs/>
              </w:rPr>
              <w:t xml:space="preserve">Generative AI Based on Medical Visual Question Answering (VQA) Techniques</w:t>
            </w:r>
            <w:r>
              <w:rPr>
                <w:b/>
                <w:bCs/>
              </w:rPr>
            </w:r>
            <w:r>
              <w:rPr>
                <w:b/>
                <w:bCs/>
              </w:rPr>
            </w:r>
          </w:p>
        </w:tc>
      </w:tr>
      <w:tr>
        <w:trPr/>
        <w:tc>
          <w:tcPr>
            <w:tcBorders/>
            <w:tcW w:w="3196" w:type="dxa"/>
            <w:textDirection w:val="lrTb"/>
            <w:noWrap w:val="false"/>
          </w:tcPr>
          <w:p w14:paraId="6A335CEA" w14:textId="77777777">
            <w:pPr>
              <w:pStyle w:val="1161"/>
              <w:suppressLineNumbers w:val="false"/>
              <w:pBdr/>
              <w:spacing w:line="300" w:lineRule="auto"/>
              <w:ind/>
              <w:rPr>
                <w:b/>
              </w:rPr>
            </w:pPr>
            <w:r>
              <w:rPr>
                <w:b/>
              </w:rPr>
              <w:t xml:space="preserve">Committee:</w:t>
            </w:r>
            <w:r>
              <w:rPr>
                <w:b/>
              </w:rPr>
            </w:r>
            <w:r>
              <w:rPr>
                <w:b/>
              </w:rPr>
            </w:r>
          </w:p>
        </w:tc>
        <w:tc>
          <w:tcPr>
            <w:tcBorders/>
            <w:tcW w:w="866" w:type="dxa"/>
            <w:textDirection w:val="lrTb"/>
            <w:noWrap w:val="false"/>
          </w:tcPr>
          <w:p w14:paraId="4F8062AF" w14:textId="77777777">
            <w:pPr>
              <w:pStyle w:val="1161"/>
              <w:suppressLineNumbers w:val="false"/>
              <w:pBdr/>
              <w:spacing w:line="300" w:lineRule="auto"/>
              <w:ind/>
              <w:rPr>
                <w:b/>
              </w:rPr>
            </w:pPr>
            <w:r>
              <w:rPr>
                <w:b/>
              </w:rPr>
              <w:t xml:space="preserve">Chair:</w:t>
            </w:r>
            <w:r>
              <w:rPr>
                <w:b/>
              </w:rPr>
            </w:r>
            <w:r>
              <w:rPr>
                <w:b/>
              </w:rPr>
            </w:r>
          </w:p>
        </w:tc>
        <w:tc>
          <w:tcPr>
            <w:tcBorders/>
            <w:tcW w:w="4578" w:type="dxa"/>
            <w:textDirection w:val="lrTb"/>
            <w:noWrap w:val="false"/>
          </w:tcPr>
          <w:p w14:paraId="67A7F9A6" w14:textId="7F5B3135">
            <w:pPr>
              <w:pStyle w:val="1161"/>
              <w:suppressLineNumbers w:val="false"/>
              <w:pBdr/>
              <w:spacing w:line="300" w:lineRule="auto"/>
              <w:ind/>
              <w:rPr/>
            </w:pPr>
            <w:r>
              <w:rPr>
                <w:b/>
                <w:bCs/>
              </w:rPr>
              <w:t xml:space="preserve">[</w:t>
            </w:r>
            <w:r>
              <w:rPr>
                <w:b/>
                <w:bCs/>
              </w:rPr>
              <w:t xml:space="preserve">Dr. Sabah </w:t>
            </w:r>
            <w:r>
              <w:rPr>
                <w:b/>
                <w:bCs/>
              </w:rPr>
              <w:t xml:space="preserve">Mohammed]</w:t>
            </w:r>
            <w:r/>
          </w:p>
          <w:p w14:paraId="0B56C013" w14:textId="7CD78399">
            <w:pPr>
              <w:pStyle w:val="1161"/>
              <w:suppressLineNumbers w:val="false"/>
              <w:pBdr/>
              <w:spacing w:line="300" w:lineRule="auto"/>
              <w:ind/>
              <w:rPr/>
            </w:pPr>
            <w:r>
              <w:t xml:space="preserve">Supervisor</w:t>
            </w:r>
            <w:r>
              <w:br/>
            </w:r>
            <w:r>
              <w:t xml:space="preserve">[</w:t>
            </w:r>
            <w:r>
              <w:t xml:space="preserve">Chair, Department of Computer Science</w:t>
            </w:r>
            <w:r>
              <w:t xml:space="preserve">]</w:t>
            </w:r>
            <w:r/>
          </w:p>
        </w:tc>
      </w:tr>
      <w:tr>
        <w:trPr/>
        <w:tc>
          <w:tcPr>
            <w:tcBorders/>
            <w:tcW w:w="3196" w:type="dxa"/>
            <w:textDirection w:val="lrTb"/>
            <w:noWrap w:val="false"/>
          </w:tcPr>
          <w:p w14:paraId="717CF5DF" w14:textId="77777777">
            <w:pPr>
              <w:pStyle w:val="1161"/>
              <w:suppressLineNumbers w:val="false"/>
              <w:pBdr/>
              <w:spacing w:line="300" w:lineRule="auto"/>
              <w:ind/>
              <w:rPr>
                <w:b/>
              </w:rPr>
            </w:pPr>
            <w:r>
              <w:rPr>
                <w:b/>
              </w:rPr>
            </w:r>
            <w:r>
              <w:rPr>
                <w:b/>
              </w:rPr>
            </w:r>
            <w:r>
              <w:rPr>
                <w:b/>
              </w:rPr>
            </w:r>
          </w:p>
        </w:tc>
        <w:tc>
          <w:tcPr>
            <w:gridSpan w:val="2"/>
            <w:tcBorders/>
            <w:tcW w:w="5444" w:type="dxa"/>
            <w:textDirection w:val="lrTb"/>
            <w:noWrap w:val="false"/>
          </w:tcPr>
          <w:p w14:paraId="61F17128" w14:textId="43A49BD2">
            <w:pPr>
              <w:pStyle w:val="1161"/>
              <w:suppressLineNumbers w:val="false"/>
              <w:pBdr/>
              <w:spacing w:line="300" w:lineRule="auto"/>
              <w:ind/>
              <w:rPr/>
            </w:pPr>
            <w:r>
              <w:rPr>
                <w:b/>
                <w:bCs/>
              </w:rPr>
              <w:t xml:space="preserve">[</w:t>
            </w:r>
            <w:r>
              <w:rPr>
                <w:b/>
                <w:bCs/>
              </w:rPr>
              <w:t xml:space="preserve">Dr. Jinan </w:t>
            </w:r>
            <w:r>
              <w:rPr>
                <w:b/>
                <w:bCs/>
              </w:rPr>
              <w:t xml:space="preserve">Fiaidhi</w:t>
            </w:r>
            <w:r>
              <w:rPr>
                <w:b/>
                <w:bCs/>
              </w:rPr>
              <w:t xml:space="preserve">]</w:t>
            </w:r>
            <w:r>
              <w:br/>
            </w:r>
            <w:r>
              <w:t xml:space="preserve">Supervisor</w:t>
            </w:r>
            <w:r>
              <w:br/>
            </w:r>
            <w:r>
              <w:t xml:space="preserve">[</w:t>
            </w:r>
            <w:r>
              <w:t xml:space="preserve">Full Professor</w:t>
            </w:r>
            <w:r>
              <w:t xml:space="preserve">, </w:t>
            </w:r>
            <w:r>
              <w:t xml:space="preserve">Department of Computer Science</w:t>
            </w:r>
            <w:r>
              <w:t xml:space="preserve">]</w:t>
            </w:r>
            <w:r/>
          </w:p>
        </w:tc>
      </w:tr>
      <w:tr>
        <w:trPr/>
        <w:tc>
          <w:tcPr>
            <w:tcBorders/>
            <w:tcW w:w="3196" w:type="dxa"/>
            <w:textDirection w:val="lrTb"/>
            <w:noWrap w:val="false"/>
          </w:tcPr>
          <w:p w14:paraId="295F3AC7" w14:textId="77777777">
            <w:pPr>
              <w:pStyle w:val="1161"/>
              <w:suppressLineNumbers w:val="false"/>
              <w:pBdr/>
              <w:spacing w:line="300" w:lineRule="auto"/>
              <w:ind/>
              <w:rPr>
                <w:b/>
              </w:rPr>
            </w:pPr>
            <w:r>
              <w:rPr>
                <w:b/>
              </w:rPr>
            </w:r>
            <w:r>
              <w:rPr>
                <w:b/>
              </w:rPr>
            </w:r>
            <w:r>
              <w:rPr>
                <w:b/>
              </w:rPr>
            </w:r>
          </w:p>
        </w:tc>
        <w:tc>
          <w:tcPr>
            <w:gridSpan w:val="2"/>
            <w:tcBorders/>
            <w:tcW w:w="5444" w:type="dxa"/>
            <w:textDirection w:val="lrTb"/>
            <w:noWrap w:val="false"/>
          </w:tcPr>
          <w:p w14:paraId="455EB2AB" w14:textId="2DE30CCD">
            <w:pPr>
              <w:pStyle w:val="1161"/>
              <w:suppressLineNumbers w:val="false"/>
              <w:pBdr/>
              <w:spacing w:line="300" w:lineRule="auto"/>
              <w:ind/>
              <w:rPr>
                <w:b/>
                <w:bCs/>
              </w:rPr>
            </w:pPr>
            <w:r>
              <w:rPr>
                <w:b/>
                <w:bCs/>
              </w:rPr>
            </w:r>
            <w:r>
              <w:rPr>
                <w:b/>
                <w:bCs/>
              </w:rPr>
            </w:r>
            <w:r>
              <w:rPr>
                <w:b/>
                <w:bCs/>
              </w:rPr>
            </w:r>
          </w:p>
        </w:tc>
      </w:tr>
    </w:tbl>
    <w:p w14:paraId="5CDFA64C" w14:textId="77777777">
      <w:pPr>
        <w:pStyle w:val="1127"/>
        <w:suppressLineNumbers w:val="false"/>
        <w:pBdr/>
        <w:spacing w:line="300" w:lineRule="auto"/>
        <w:ind/>
        <w:rPr/>
      </w:pPr>
      <w:r/>
      <w:r/>
    </w:p>
    <w:p w14:paraId="737AF15A" w14:textId="4E89F67E">
      <w:pPr>
        <w:pStyle w:val="1135"/>
        <w:suppressLineNumbers w:val="false"/>
        <w:pBdr/>
        <w:spacing w:line="300" w:lineRule="auto"/>
        <w:ind/>
        <w:rPr/>
      </w:pPr>
      <w:r/>
      <w:bookmarkStart w:id="1" w:name="_Toc66285130"/>
      <w:r>
        <w:t xml:space="preserve">Ethics Statement</w:t>
      </w:r>
      <w:bookmarkEnd w:id="1"/>
      <w:r>
        <w:rPr>
          <w:lang w:val="en-US"/>
        </w:rPr>
      </w:r>
      <w:r/>
    </w:p>
    <w:p w14:paraId="1DC20FB9" w14:textId="5A59ED0F">
      <w:pPr>
        <w:pStyle w:val="1151"/>
        <w:suppressLineNumbers w:val="false"/>
        <w:pBdr/>
        <w:spacing w:line="300" w:lineRule="auto"/>
        <w:ind/>
        <w:jc w:val="left"/>
        <w:rPr/>
      </w:pPr>
      <w:r>
        <w:t xml:space="preserve">T</w:t>
      </w:r>
      <w:r>
        <w:t xml:space="preserve">his dissertation relies on secondary analysis of existing datasets in gastrointestinal endoscopy and ulcerative colitis severity assessment. No new human participants were recruited by the author, and no new clinical data were collected directly for this s</w:t>
      </w:r>
      <w:r>
        <w:t xml:space="preserve">tudy. Final ethics wording will be updated after institutional determination regarding Research Ethics Board approval or exemption.</w:t>
      </w:r>
      <w:r/>
    </w:p>
    <w:p w14:paraId="27BA7813" w14:textId="77777777">
      <w:pPr>
        <w:pStyle w:val="1135"/>
        <w:suppressLineNumbers w:val="false"/>
        <w:pBdr/>
        <w:spacing w:line="300" w:lineRule="auto"/>
        <w:ind/>
        <w:rPr/>
      </w:pPr>
      <w:r/>
      <w:bookmarkStart w:id="2" w:name="_Toc66285131"/>
      <w:r>
        <w:t xml:space="preserve">Abstract</w:t>
      </w:r>
      <w:bookmarkEnd w:id="2"/>
      <w:r/>
      <w:r/>
    </w:p>
    <w:p w14:paraId="4DADEB1D">
      <w:pPr>
        <w:suppressLineNumbers w:val="false"/>
        <w:pBdr/>
        <w:spacing w:after="100" w:afterAutospacing="1" w:before="100" w:beforeAutospacing="1" w:line="300" w:lineRule="auto"/>
        <w:ind w:firstLine="720"/>
        <w:rPr/>
      </w:pPr>
      <w:r>
        <w:rPr>
          <w:rFonts w:eastAsia="Times New Roman" w:cs="Arial"/>
          <w:lang w:val="en-IN" w:eastAsia="en-IN"/>
        </w:rPr>
        <w:t xml:space="preserve">M</w:t>
      </w:r>
      <w:r>
        <w:rPr>
          <w:rFonts w:eastAsia="Times New Roman" w:cs="Arial"/>
          <w:lang w:val="en-IN" w:eastAsia="en-IN"/>
        </w:rPr>
        <w:t xml:space="preserve">edical Visual Question Answering (MedVQA) offers a more clinically useful interface than standalone image classification because it enables physicians to query medical images directly in natural language. In gastrointestinal (GI) endoscopy, this is especia</w:t>
      </w:r>
      <w:r>
        <w:rPr>
          <w:rFonts w:eastAsia="Times New Roman" w:cs="Arial"/>
          <w:lang w:val="en-IN" w:eastAsia="en-IN"/>
        </w:rPr>
        <w:t xml:space="preserve">l</w:t>
      </w:r>
      <w:r>
        <w:rPr>
          <w:rFonts w:eastAsia="Times New Roman" w:cs="Arial"/>
          <w:lang w:val="en-IN" w:eastAsia="en-IN"/>
        </w:rPr>
        <w:t xml:space="preserve">ly valuable for colonoscopy workflows, where clinically useful systems must do more than detect findings: they must support structured, explainable, and safety-aware interaction. Despite recent progress, practical GI MedVQA remains limited by dataset heter</w:t>
      </w:r>
      <w:r>
        <w:rPr>
          <w:rFonts w:eastAsia="Times New Roman" w:cs="Arial"/>
          <w:lang w:val="en-IN" w:eastAsia="en-IN"/>
        </w:rPr>
        <w:t xml:space="preserve">ogeneity, class imbalance, answer-space mismatch, weak grounding in free-text generation, and poor robustness under domain shift.</w:t>
      </w:r>
      <w:r>
        <w:rPr>
          <w:rFonts w:eastAsia="Times New Roman" w:cs="Arial"/>
          <w:lang w:val="en-IN" w:eastAsia="en-IN"/>
        </w:rPr>
      </w:r>
      <w:r/>
    </w:p>
    <w:p w14:paraId="27080BB1">
      <w:pPr>
        <w:suppressLineNumbers w:val="false"/>
        <w:pBdr/>
        <w:spacing w:after="100" w:afterAutospacing="1" w:before="100" w:beforeAutospacing="1" w:line="300" w:lineRule="auto"/>
        <w:ind w:firstLine="720"/>
        <w:rPr/>
      </w:pPr>
      <w:r>
        <w:rPr>
          <w:rFonts w:eastAsia="Times New Roman" w:cs="Arial"/>
          <w:lang w:val="en-IN" w:eastAsia="en-IN"/>
        </w:rPr>
        <w:t xml:space="preserve">T</w:t>
      </w:r>
      <w:r>
        <w:rPr>
          <w:rFonts w:eastAsia="Times New Roman" w:cs="Arial"/>
          <w:lang w:val="en-IN" w:eastAsia="en-IN"/>
        </w:rPr>
        <w:t xml:space="preserve">his dissertation investigates these limitations and develops a reproducibility-first, claim-bounded framework for clinician-facing artificial intelligence in colonoscopy, with particular emphasis on ulcerative colitis (UC) severity assessment. Through mult</w:t>
      </w:r>
      <w:r>
        <w:rPr>
          <w:rFonts w:eastAsia="Times New Roman" w:cs="Arial"/>
          <w:lang w:val="en-IN" w:eastAsia="en-IN"/>
        </w:rPr>
        <w:t xml:space="preserve">i</w:t>
      </w:r>
      <w:r>
        <w:rPr>
          <w:rFonts w:eastAsia="Times New Roman" w:cs="Arial"/>
          <w:lang w:val="en-IN" w:eastAsia="en-IN"/>
        </w:rPr>
        <w:t xml:space="preserve">-dataset benchmarking across HyperKvasir, Kvasir-VQA, Kvasir-VQA-x1, ImageCLEF MEDVQA-GI, and LIMUC, the study shows that constrained and supervised pipelines currently provide a more reliable foundation for GI MedVQA than naive zero-shot vision-language g</w:t>
      </w:r>
      <w:r>
        <w:rPr>
          <w:rFonts w:eastAsia="Times New Roman" w:cs="Arial"/>
          <w:lang w:val="en-IN" w:eastAsia="en-IN"/>
        </w:rPr>
        <w:t xml:space="preserve">e</w:t>
      </w:r>
      <w:r>
        <w:rPr>
          <w:rFonts w:eastAsia="Times New Roman" w:cs="Arial"/>
          <w:lang w:val="en-IN" w:eastAsia="en-IN"/>
        </w:rPr>
        <w:t xml:space="preserve">neration. Building on this finding, the dissertation proposes a controlled generative severity-scoring approach for Mayo endoscopic subscore prediction on LIMUC, designed around explicit output constraints, reproducible evaluation, and clinically interpret</w:t>
      </w:r>
      <w:r>
        <w:rPr>
          <w:rFonts w:eastAsia="Times New Roman" w:cs="Arial"/>
          <w:lang w:val="en-IN" w:eastAsia="en-IN"/>
        </w:rPr>
        <w:t xml:space="preserve">able analysis.</w:t>
      </w:r>
      <w:r>
        <w:rPr>
          <w:rFonts w:eastAsia="Times New Roman" w:cs="Arial"/>
          <w:lang w:val="en-IN" w:eastAsia="en-IN"/>
        </w:rPr>
      </w:r>
      <w:r/>
    </w:p>
    <w:p w14:paraId="59DE8606">
      <w:pPr>
        <w:suppressLineNumbers w:val="false"/>
        <w:pBdr/>
        <w:spacing w:after="100" w:afterAutospacing="1" w:before="100" w:beforeAutospacing="1" w:line="300" w:lineRule="auto"/>
        <w:ind w:firstLine="720"/>
        <w:rPr/>
      </w:pPr>
      <w:r>
        <w:rPr>
          <w:rFonts w:eastAsia="Times New Roman" w:cs="Arial"/>
          <w:lang w:val="en-IN" w:eastAsia="en-IN"/>
        </w:rPr>
        <w:t xml:space="preserve">T</w:t>
      </w:r>
      <w:r>
        <w:rPr>
          <w:rFonts w:eastAsia="Times New Roman" w:cs="Arial"/>
          <w:lang w:val="en-IN" w:eastAsia="en-IN"/>
        </w:rPr>
        <w:t xml:space="preserve">o extend model-level performance into physician-facing interaction, the dissertation also introduces a modular PICO-grounded GenAI wrapper that integrates structured query parsing, retrieval support, citation-linked synthesis, refusal behavior, and audit-o</w:t>
      </w:r>
      <w:r>
        <w:rPr>
          <w:rFonts w:eastAsia="Times New Roman" w:cs="Arial"/>
          <w:lang w:val="en-IN" w:eastAsia="en-IN"/>
        </w:rPr>
        <w:t xml:space="preserve">riented traceability. Together, these components establish an evidence-aware path from GI MedVQA benchmarking to bounded physician-query support.</w:t>
      </w:r>
      <w:r>
        <w:rPr>
          <w:rFonts w:eastAsia="Times New Roman" w:cs="Arial"/>
          <w:lang w:val="en-IN" w:eastAsia="en-IN"/>
        </w:rPr>
      </w:r>
      <w:r/>
    </w:p>
    <w:p w14:paraId="121D582C">
      <w:pPr>
        <w:suppressLineNumbers w:val="false"/>
        <w:pBdr/>
        <w:spacing w:after="100" w:afterAutospacing="1" w:before="100" w:beforeAutospacing="1" w:line="300" w:lineRule="auto"/>
        <w:ind w:firstLine="720"/>
        <w:rPr/>
      </w:pPr>
      <w:r>
        <w:rPr>
          <w:rFonts w:eastAsia="Times New Roman" w:cs="Arial"/>
          <w:lang w:val="en-IN" w:eastAsia="en-IN"/>
        </w:rPr>
        <w:t xml:space="preserve">T</w:t>
      </w:r>
      <w:r>
        <w:rPr>
          <w:rFonts w:eastAsia="Times New Roman" w:cs="Arial"/>
          <w:lang w:val="en-IN" w:eastAsia="en-IN"/>
        </w:rPr>
        <w:t xml:space="preserve">he central conclusion of this dissertation is that clinically useful multimodal systems in endoscopy should prioritize reliability, auditability, and governance before any claim of deployment readiness. The framework developed here therefore contributes a </w:t>
      </w:r>
      <w:r>
        <w:rPr>
          <w:rFonts w:eastAsia="Times New Roman" w:cs="Arial"/>
          <w:lang w:val="en-IN" w:eastAsia="en-IN"/>
        </w:rPr>
        <w:t xml:space="preserve">research-grade foundation for decision support under physician supervision, while explicitly rejecting autonomous clinical use at the present stage.</w:t>
      </w:r>
      <w:r>
        <w:rPr>
          <w:rFonts w:eastAsia="Times New Roman" w:cs="Arial"/>
          <w:lang w:val="en-IN" w:eastAsia="en-IN"/>
        </w:rPr>
      </w:r>
      <w:r/>
    </w:p>
    <w:p w14:paraId="60A59B6A" w14:textId="77777777">
      <w:pPr>
        <w:suppressLineNumbers w:val="false"/>
        <w:pBdr/>
        <w:spacing w:after="100" w:afterAutospacing="1" w:before="100" w:beforeAutospacing="1" w:line="300" w:lineRule="auto"/>
        <w:ind/>
        <w:rPr>
          <w:rFonts w:eastAsia="Times New Roman" w:cs="Arial"/>
        </w:rPr>
      </w:pPr>
      <w:r>
        <w:rPr>
          <w:rFonts w:eastAsia="Times New Roman" w:cs="Arial"/>
          <w:lang w:val="en-IN" w:eastAsia="en-IN"/>
        </w:rPr>
        <w:t xml:space="preserve">Keywords: medical visual question answering, gastrointestinal endoscopy, colonoscopy, ulcerative colitis, Mayo endoscopic subscore, vision-language models, retrieval-augmented generation, clinical decision support</w:t>
      </w:r>
      <w:r>
        <w:rPr>
          <w:rFonts w:eastAsia="Times New Roman" w:cs="Arial"/>
        </w:rPr>
      </w:r>
      <w:r>
        <w:rPr>
          <w:rFonts w:eastAsia="Times New Roman" w:cs="Arial"/>
        </w:rPr>
      </w:r>
    </w:p>
    <w:p w14:paraId="279134F9" w14:textId="77777777">
      <w:pPr>
        <w:pStyle w:val="1135"/>
        <w:suppressLineNumbers w:val="false"/>
        <w:pBdr/>
        <w:spacing w:line="300" w:lineRule="auto"/>
        <w:ind/>
        <w:rPr>
          <w:color w:val="auto"/>
        </w:rPr>
      </w:pPr>
      <w:r>
        <w:rPr>
          <w:color w:val="auto"/>
        </w:rPr>
        <w:t xml:space="preserve">Dedication</w:t>
      </w:r>
      <w:r>
        <w:rPr>
          <w:color w:val="auto"/>
        </w:rPr>
      </w:r>
      <w:r>
        <w:rPr>
          <w:color w:val="auto"/>
        </w:rPr>
      </w:r>
    </w:p>
    <w:p w14:paraId="7B7AE08B">
      <w:pPr>
        <w:pStyle w:val="1128"/>
        <w:pBdr/>
        <w:spacing/>
        <w:ind w:firstLine="0"/>
        <w:rPr/>
      </w:pPr>
      <w:r>
        <w:rPr>
          <w:color w:val="auto"/>
        </w:rPr>
      </w:r>
      <w:r>
        <w:rPr>
          <w:color w:val="auto"/>
        </w:rPr>
        <w:t xml:space="preserve">To my family, professors, mentors, friends, and all those who supported me throughout this journey. This work is dedicated to all of you.</w:t>
      </w:r>
      <w:r>
        <w:rPr>
          <w:color w:val="auto"/>
        </w:rPr>
      </w:r>
      <w:r/>
    </w:p>
    <w:p w14:paraId="2F5AEE33" w14:textId="77777777">
      <w:pPr>
        <w:pStyle w:val="1135"/>
        <w:suppressLineNumbers w:val="false"/>
        <w:pBdr/>
        <w:spacing w:line="300" w:lineRule="auto"/>
        <w:ind/>
        <w:rPr/>
      </w:pPr>
      <w:r/>
      <w:bookmarkStart w:id="4" w:name="_Toc66285133"/>
      <w:r>
        <w:t xml:space="preserve">Acknowledgements</w:t>
      </w:r>
      <w:bookmarkEnd w:id="4"/>
      <w:r/>
      <w:r/>
    </w:p>
    <w:p w14:paraId="245C8B49">
      <w:pPr>
        <w:pStyle w:val="1128"/>
        <w:suppressLineNumbers w:val="false"/>
        <w:pBdr/>
        <w:spacing w:line="300" w:lineRule="auto"/>
        <w:ind/>
        <w:rPr/>
      </w:pPr>
      <w:r>
        <w:t xml:space="preserve">I would like to express my sincere gratitude to all those whose support, guidance, and encouragement made the completion of this dissertation possible.</w:t>
      </w:r>
      <w:r/>
    </w:p>
    <w:p w14:paraId="76285B90">
      <w:pPr>
        <w:pStyle w:val="1128"/>
        <w:suppressLineNumbers w:val="false"/>
        <w:pBdr/>
        <w:spacing w:line="300" w:lineRule="auto"/>
        <w:ind/>
        <w:rPr/>
      </w:pPr>
      <w:r>
        <w:t xml:space="preserve">First and foremost, I am profoundly grateful to my family for their unwavering love, patience, sacrifices, and steadfast belief in me. Their encouragement sustained me throughout this journey and provided the foundation upon which this achievement rests.</w:t>
      </w:r>
      <w:r/>
    </w:p>
    <w:p w14:paraId="7879E4CF">
      <w:pPr>
        <w:pStyle w:val="1128"/>
        <w:suppressLineNumbers w:val="false"/>
        <w:pBdr/>
        <w:spacing w:line="300" w:lineRule="auto"/>
        <w:ind/>
        <w:rPr/>
      </w:pPr>
      <w:r>
        <w:t xml:space="preserve">I</w:t>
      </w:r>
      <w:r>
        <w:t xml:space="preserve"> extend my sincere appreciation to Dr. Sabah Mohammad and Dr. Jinan Fiaidhi for their guidance, academic support, and valuable insight throughout the course of this research. Their encouragement and scholarly direction contributed meaningfully to the devel</w:t>
      </w:r>
      <w:r>
        <w:t xml:space="preserve">opment of this dissertation and to my growth as a researcher.</w:t>
      </w:r>
      <w:r/>
    </w:p>
    <w:p w14:paraId="4E907A4E">
      <w:pPr>
        <w:pStyle w:val="1128"/>
        <w:suppressLineNumbers w:val="false"/>
        <w:pBdr/>
        <w:spacing w:line="300" w:lineRule="auto"/>
        <w:ind/>
        <w:rPr/>
      </w:pPr>
      <w:r>
        <w:t xml:space="preserve">I also wish to acknowledge my professors and mentors, whose teaching, advice, and example have shaped my academic journey in lasting and meaningful ways.</w:t>
      </w:r>
      <w:r/>
    </w:p>
    <w:p w14:paraId="07152966">
      <w:pPr>
        <w:pStyle w:val="1128"/>
        <w:suppressLineNumbers w:val="false"/>
        <w:pBdr/>
        <w:spacing w:line="300" w:lineRule="auto"/>
        <w:ind/>
        <w:rPr/>
      </w:pPr>
      <w:r>
        <w:t xml:space="preserve">I offer special thanks to Dr. Arnold Kim for his generosity, guidance, and encouragement. His support and perspective have been deeply appreciated.</w:t>
      </w:r>
      <w:r/>
    </w:p>
    <w:p w14:paraId="10525496">
      <w:pPr>
        <w:pStyle w:val="1128"/>
        <w:suppressLineNumbers w:val="false"/>
        <w:pBdr/>
        <w:spacing w:line="300" w:lineRule="auto"/>
        <w:ind/>
        <w:rPr/>
      </w:pPr>
      <w:r>
        <w:t xml:space="preserve">I am equally grateful to my friends for their understanding, companionship, and encouragement throughout this demanding journey. Their support made many challenges easier to endure and many milestones more meaningful.</w:t>
      </w:r>
      <w:r/>
    </w:p>
    <w:p w14:paraId="5E728AC9" w14:textId="65820004">
      <w:pPr>
        <w:pStyle w:val="1128"/>
        <w:suppressLineNumbers w:val="false"/>
        <w:pBdr/>
        <w:spacing w:line="300" w:lineRule="auto"/>
        <w:ind/>
        <w:rPr/>
      </w:pPr>
      <w:r>
        <w:t xml:space="preserve">F</w:t>
      </w:r>
      <w:r>
        <w:t xml:space="preserve">inally, I would like to acknowledge with gratitude all those who, in one way or another, contributed to this work. This dissertation reflects not only my own efforts, but also the kindness, confidence, and support of the many people who stood beside me alo</w:t>
      </w:r>
      <w:r>
        <w:t xml:space="preserve">ng the way.</w:t>
      </w:r>
      <w:r/>
    </w:p>
    <w:p w14:paraId="6B431FCD" w14:textId="77777777">
      <w:pPr>
        <w:pStyle w:val="1135"/>
        <w:suppressLineNumbers w:val="false"/>
        <w:pBdr/>
        <w:tabs>
          <w:tab w:val="left" w:leader="none" w:pos="1170"/>
        </w:tabs>
        <w:spacing w:line="300" w:lineRule="auto"/>
        <w:ind/>
        <w:rPr/>
      </w:pPr>
      <w:r/>
      <w:bookmarkStart w:id="5" w:name="_Toc66285134"/>
      <w:r>
        <w:t xml:space="preserve">Table of Contents</w:t>
      </w:r>
      <w:bookmarkEnd w:id="5"/>
      <w:r/>
      <w:r/>
    </w:p>
    <w:p w14:paraId="70615491">
      <w:pPr>
        <w:pStyle w:val="1140"/>
        <w:suppressLineNumbers w:val="false"/>
        <w:pBdr/>
        <w:spacing w:line="300" w:lineRule="auto"/>
        <w:ind/>
        <w:rPr>
          <w:rFonts w:ascii="Arial" w:hAnsi="Arial" w:cs="Arial"/>
        </w:rPr>
      </w:pPr>
      <w:r>
        <w:rPr>
          <w:rFonts w:ascii="Arial" w:hAnsi="Arial" w:eastAsia="Arial" w:cs="Arial"/>
          <w:sz w:val="20"/>
        </w:rPr>
        <w:fldChar w:fldCharType="begin"/>
      </w:r>
      <w:r>
        <w:rPr>
          <w:rFonts w:ascii="Arial" w:hAnsi="Arial" w:eastAsia="Arial" w:cs="Arial"/>
          <w:sz w:val="20"/>
        </w:rPr>
        <w:instrText xml:space="preserve"> TOC \o "1-4" \h \z \u </w:instrText>
      </w:r>
      <w:r>
        <w:rPr>
          <w:rFonts w:ascii="Arial" w:hAnsi="Arial" w:eastAsia="Arial" w:cs="Arial"/>
          <w:sz w:val="20"/>
        </w:rPr>
        <w:fldChar w:fldCharType="separate"/>
      </w:r>
      <w:r>
        <w:rPr>
          <w:rFonts w:ascii="Arial" w:hAnsi="Arial" w:eastAsia="Arial" w:cs="Arial" w:eastAsiaTheme="minorEastAsia"/>
          <w:bCs w:val="0"/>
          <w:szCs w:val="22"/>
        </w:rPr>
        <w:t xml:space="preserve">Declaration of Committee ................................................................................................ ii</w:t>
      </w:r>
      <w:r>
        <w:rPr>
          <w:rFonts w:ascii="Arial" w:hAnsi="Arial" w:cs="Arial"/>
        </w:rPr>
      </w:r>
      <w:r>
        <w:rPr>
          <w:rFonts w:ascii="Arial" w:hAnsi="Arial" w:cs="Arial"/>
        </w:rPr>
      </w:r>
    </w:p>
    <w:p w14:paraId="75A7DF95">
      <w:pPr>
        <w:pStyle w:val="1140"/>
        <w:suppressLineNumbers w:val="false"/>
        <w:pBdr/>
        <w:spacing w:line="300" w:lineRule="auto"/>
        <w:ind/>
        <w:rPr>
          <w:rFonts w:ascii="Arial" w:hAnsi="Arial" w:cs="Arial"/>
        </w:rPr>
      </w:pPr>
      <w:r>
        <w:rPr>
          <w:rFonts w:ascii="Arial" w:hAnsi="Arial" w:eastAsia="Arial" w:cs="Arial" w:eastAsiaTheme="minorEastAsia"/>
          <w:bCs w:val="0"/>
          <w:szCs w:val="22"/>
        </w:rPr>
        <w:t xml:space="preserve">Ethics Statement ............................................................................................................. iii</w:t>
      </w:r>
      <w:r>
        <w:rPr>
          <w:rFonts w:ascii="Arial" w:hAnsi="Arial" w:cs="Arial"/>
        </w:rPr>
      </w:r>
      <w:r>
        <w:rPr>
          <w:rFonts w:ascii="Arial" w:hAnsi="Arial" w:cs="Arial"/>
        </w:rPr>
      </w:r>
    </w:p>
    <w:p w14:paraId="2353674D">
      <w:pPr>
        <w:pStyle w:val="1140"/>
        <w:suppressLineNumbers w:val="false"/>
        <w:pBdr/>
        <w:spacing w:line="300" w:lineRule="auto"/>
        <w:ind/>
        <w:rPr>
          <w:rFonts w:ascii="Arial" w:hAnsi="Arial" w:cs="Arial"/>
        </w:rPr>
      </w:pPr>
      <w:r>
        <w:rPr>
          <w:rFonts w:ascii="Arial" w:hAnsi="Arial" w:eastAsia="Arial" w:cs="Arial" w:eastAsiaTheme="minorEastAsia"/>
          <w:bCs w:val="0"/>
          <w:szCs w:val="22"/>
        </w:rPr>
        <w:t xml:space="preserve">Abstract ........................................................................................................................... iv</w:t>
      </w:r>
      <w:r>
        <w:rPr>
          <w:rFonts w:ascii="Arial" w:hAnsi="Arial" w:cs="Arial"/>
        </w:rPr>
      </w:r>
      <w:r>
        <w:rPr>
          <w:rFonts w:ascii="Arial" w:hAnsi="Arial" w:cs="Arial"/>
        </w:rPr>
      </w:r>
    </w:p>
    <w:p w14:paraId="11501C8F">
      <w:pPr>
        <w:pStyle w:val="1140"/>
        <w:suppressLineNumbers w:val="false"/>
        <w:pBdr/>
        <w:spacing w:line="300" w:lineRule="auto"/>
        <w:ind/>
        <w:rPr>
          <w:rFonts w:ascii="Arial" w:hAnsi="Arial" w:cs="Arial"/>
        </w:rPr>
      </w:pPr>
      <w:r>
        <w:rPr>
          <w:rFonts w:ascii="Arial" w:hAnsi="Arial" w:eastAsia="Arial" w:cs="Arial" w:eastAsiaTheme="minorEastAsia"/>
          <w:bCs w:val="0"/>
          <w:szCs w:val="22"/>
        </w:rPr>
        <w:t xml:space="preserve">Dedication ........................................................................................................................ v</w:t>
      </w:r>
      <w:r>
        <w:rPr>
          <w:rFonts w:ascii="Arial" w:hAnsi="Arial" w:cs="Arial"/>
        </w:rPr>
      </w:r>
      <w:r>
        <w:rPr>
          <w:rFonts w:ascii="Arial" w:hAnsi="Arial" w:cs="Arial"/>
        </w:rPr>
      </w:r>
    </w:p>
    <w:p w14:paraId="249DB12D">
      <w:pPr>
        <w:pStyle w:val="1140"/>
        <w:suppressLineNumbers w:val="false"/>
        <w:pBdr/>
        <w:spacing w:line="300" w:lineRule="auto"/>
        <w:ind/>
        <w:rPr>
          <w:rFonts w:ascii="Arial" w:hAnsi="Arial" w:cs="Arial"/>
        </w:rPr>
      </w:pPr>
      <w:r>
        <w:rPr>
          <w:rFonts w:ascii="Arial" w:hAnsi="Arial" w:eastAsia="Arial" w:cs="Arial" w:eastAsiaTheme="minorEastAsia"/>
          <w:bCs w:val="0"/>
          <w:szCs w:val="22"/>
        </w:rPr>
        <w:t xml:space="preserve">Acknowledgments ........................................................................................................... vi</w:t>
      </w:r>
      <w:r>
        <w:rPr>
          <w:rFonts w:ascii="Arial" w:hAnsi="Arial" w:cs="Arial"/>
        </w:rPr>
      </w:r>
      <w:r>
        <w:rPr>
          <w:rFonts w:ascii="Arial" w:hAnsi="Arial" w:cs="Arial"/>
        </w:rPr>
      </w:r>
    </w:p>
    <w:p w14:paraId="471ECEE5">
      <w:pPr>
        <w:pStyle w:val="1140"/>
        <w:suppressLineNumbers w:val="false"/>
        <w:pBdr/>
        <w:spacing w:line="300" w:lineRule="auto"/>
        <w:ind/>
        <w:rPr>
          <w:rFonts w:ascii="Arial" w:hAnsi="Arial" w:cs="Arial"/>
        </w:rPr>
      </w:pPr>
      <w:r>
        <w:rPr>
          <w:rFonts w:ascii="Arial" w:hAnsi="Arial" w:eastAsia="Arial" w:cs="Arial" w:eastAsiaTheme="minorEastAsia"/>
          <w:bCs w:val="0"/>
          <w:szCs w:val="22"/>
        </w:rPr>
        <w:t xml:space="preserve">Table of Contents ........................................................................................................... vii</w:t>
      </w:r>
      <w:r>
        <w:rPr>
          <w:rFonts w:ascii="Arial" w:hAnsi="Arial" w:cs="Arial"/>
        </w:rPr>
      </w:r>
      <w:r>
        <w:rPr>
          <w:rFonts w:ascii="Arial" w:hAnsi="Arial" w:cs="Arial"/>
        </w:rPr>
      </w:r>
    </w:p>
    <w:p w14:paraId="2BD86F5E">
      <w:pPr>
        <w:pStyle w:val="1140"/>
        <w:suppressLineNumbers w:val="false"/>
        <w:pBdr/>
        <w:spacing w:line="300" w:lineRule="auto"/>
        <w:ind/>
        <w:rPr>
          <w:rFonts w:ascii="Arial" w:hAnsi="Arial" w:cs="Arial"/>
        </w:rPr>
      </w:pPr>
      <w:r>
        <w:rPr>
          <w:rFonts w:ascii="Arial" w:hAnsi="Arial" w:eastAsia="Arial" w:cs="Arial" w:eastAsiaTheme="minorEastAsia"/>
          <w:b/>
          <w:bCs/>
          <w:szCs w:val="22"/>
        </w:rPr>
        <w:t xml:space="preserve">Chapter 1. Introduction</w:t>
      </w:r>
      <w:r>
        <w:rPr>
          <w:rFonts w:ascii="Arial" w:hAnsi="Arial" w:eastAsia="Arial" w:cs="Arial" w:eastAsiaTheme="minorEastAsia"/>
          <w:bCs w:val="0"/>
          <w:szCs w:val="22"/>
        </w:rPr>
        <w:t xml:space="preserve"> ................................................................................................. 1</w:t>
      </w:r>
      <w:r>
        <w:rPr>
          <w:rFonts w:ascii="Arial" w:hAnsi="Arial" w:cs="Arial"/>
        </w:rPr>
      </w:r>
      <w:r>
        <w:rPr>
          <w:rFonts w:ascii="Arial" w:hAnsi="Arial" w:cs="Arial"/>
        </w:rPr>
      </w:r>
    </w:p>
    <w:p w14:paraId="218FB89A">
      <w:pPr>
        <w:pStyle w:val="1140"/>
        <w:suppressLineNumbers w:val="false"/>
        <w:pBdr/>
        <w:spacing w:line="300" w:lineRule="auto"/>
        <w:ind/>
        <w:rPr>
          <w:rFonts w:ascii="Arial" w:hAnsi="Arial" w:cs="Arial"/>
        </w:rPr>
      </w:pPr>
      <w:r>
        <w:rPr>
          <w:rFonts w:ascii="Arial" w:hAnsi="Arial" w:eastAsia="Arial" w:cs="Arial" w:eastAsiaTheme="minorEastAsia"/>
          <w:bCs w:val="0"/>
          <w:szCs w:val="22"/>
        </w:rPr>
        <w:t xml:space="preserve">- 1.1 Background and Motivation ..................................................................................... 2</w:t>
      </w:r>
      <w:r>
        <w:rPr>
          <w:rFonts w:ascii="Arial" w:hAnsi="Arial" w:cs="Arial"/>
        </w:rPr>
      </w:r>
      <w:r>
        <w:rPr>
          <w:rFonts w:ascii="Arial" w:hAnsi="Arial" w:cs="Arial"/>
        </w:rPr>
      </w:r>
    </w:p>
    <w:p w14:paraId="06004D18">
      <w:pPr>
        <w:pStyle w:val="1140"/>
        <w:suppressLineNumbers w:val="false"/>
        <w:pBdr/>
        <w:spacing w:line="300" w:lineRule="auto"/>
        <w:ind/>
        <w:rPr>
          <w:rFonts w:ascii="Arial" w:hAnsi="Arial" w:cs="Arial"/>
        </w:rPr>
      </w:pPr>
      <w:r>
        <w:rPr>
          <w:rFonts w:ascii="Arial" w:hAnsi="Arial" w:eastAsia="Arial" w:cs="Arial" w:eastAsiaTheme="minorEastAsia"/>
          <w:bCs w:val="0"/>
          <w:szCs w:val="22"/>
        </w:rPr>
        <w:t xml:space="preserve">- 1.2 Why GI Endoscopy and Colonoscopy ..................................................................... 4</w:t>
      </w:r>
      <w:r>
        <w:rPr>
          <w:rFonts w:ascii="Arial" w:hAnsi="Arial" w:cs="Arial"/>
        </w:rPr>
      </w:r>
      <w:r>
        <w:rPr>
          <w:rFonts w:ascii="Arial" w:hAnsi="Arial" w:cs="Arial"/>
        </w:rPr>
      </w:r>
    </w:p>
    <w:p w14:paraId="300F052F">
      <w:pPr>
        <w:pStyle w:val="1140"/>
        <w:suppressLineNumbers w:val="false"/>
        <w:pBdr/>
        <w:spacing w:line="300" w:lineRule="auto"/>
        <w:ind/>
        <w:rPr>
          <w:rFonts w:ascii="Arial" w:hAnsi="Arial" w:cs="Arial"/>
        </w:rPr>
      </w:pPr>
      <w:r>
        <w:rPr>
          <w:rFonts w:ascii="Arial" w:hAnsi="Arial" w:eastAsia="Arial" w:cs="Arial" w:eastAsiaTheme="minorEastAsia"/>
          <w:bCs w:val="0"/>
          <w:szCs w:val="22"/>
        </w:rPr>
        <w:t xml:space="preserve">- 1.3 Clinical Motivation: Ulcerative Colitis Severity as a Flagship Use Case ................. 5</w:t>
      </w:r>
      <w:r>
        <w:rPr>
          <w:rFonts w:ascii="Arial" w:hAnsi="Arial" w:cs="Arial"/>
        </w:rPr>
      </w:r>
      <w:r>
        <w:rPr>
          <w:rFonts w:ascii="Arial" w:hAnsi="Arial" w:cs="Arial"/>
        </w:rPr>
      </w:r>
    </w:p>
    <w:p w14:paraId="204C482C">
      <w:pPr>
        <w:pStyle w:val="1140"/>
        <w:suppressLineNumbers w:val="false"/>
        <w:pBdr/>
        <w:spacing w:line="300" w:lineRule="auto"/>
        <w:ind/>
        <w:rPr>
          <w:rFonts w:ascii="Arial" w:hAnsi="Arial" w:cs="Arial"/>
        </w:rPr>
      </w:pPr>
      <w:r>
        <w:rPr>
          <w:rFonts w:ascii="Arial" w:hAnsi="Arial" w:eastAsia="Arial" w:cs="Arial" w:eastAsiaTheme="minorEastAsia"/>
          <w:bCs w:val="0"/>
          <w:szCs w:val="22"/>
        </w:rPr>
        <w:t xml:space="preserve">- 1.4 Problem Statement ................................................................................................. 7</w:t>
      </w:r>
      <w:r>
        <w:rPr>
          <w:rFonts w:ascii="Arial" w:hAnsi="Arial" w:cs="Arial"/>
        </w:rPr>
      </w:r>
      <w:r>
        <w:rPr>
          <w:rFonts w:ascii="Arial" w:hAnsi="Arial" w:cs="Arial"/>
        </w:rPr>
      </w:r>
    </w:p>
    <w:p w14:paraId="788E3ED1">
      <w:pPr>
        <w:pStyle w:val="1140"/>
        <w:suppressLineNumbers w:val="false"/>
        <w:pBdr/>
        <w:spacing w:line="300" w:lineRule="auto"/>
        <w:ind/>
        <w:rPr>
          <w:rFonts w:ascii="Arial" w:hAnsi="Arial" w:cs="Arial"/>
        </w:rPr>
      </w:pPr>
      <w:r>
        <w:rPr>
          <w:rFonts w:ascii="Arial" w:hAnsi="Arial" w:eastAsia="Arial" w:cs="Arial" w:eastAsiaTheme="minorEastAsia"/>
          <w:bCs w:val="0"/>
          <w:szCs w:val="22"/>
        </w:rPr>
        <w:t xml:space="preserve">- 1.5 Aim and Objectives ................................................................................................. 9</w:t>
      </w:r>
      <w:r>
        <w:rPr>
          <w:rFonts w:ascii="Arial" w:hAnsi="Arial" w:cs="Arial"/>
        </w:rPr>
      </w:r>
      <w:r>
        <w:rPr>
          <w:rFonts w:ascii="Arial" w:hAnsi="Arial" w:cs="Arial"/>
        </w:rPr>
      </w:r>
    </w:p>
    <w:p w14:paraId="4716553F">
      <w:pPr>
        <w:pStyle w:val="1140"/>
        <w:suppressLineNumbers w:val="false"/>
        <w:pBdr/>
        <w:spacing w:line="300" w:lineRule="auto"/>
        <w:ind/>
        <w:rPr>
          <w:rFonts w:ascii="Arial" w:hAnsi="Arial" w:cs="Arial"/>
        </w:rPr>
      </w:pPr>
      <w:r>
        <w:rPr>
          <w:rFonts w:ascii="Arial" w:hAnsi="Arial" w:eastAsia="Arial" w:cs="Arial" w:eastAsiaTheme="minorEastAsia"/>
          <w:bCs w:val="0"/>
          <w:szCs w:val="22"/>
        </w:rPr>
        <w:t xml:space="preserve">- 1.6 Research Questions .............................................................................................. 10</w:t>
      </w:r>
      <w:r>
        <w:rPr>
          <w:rFonts w:ascii="Arial" w:hAnsi="Arial" w:cs="Arial"/>
        </w:rPr>
      </w:r>
      <w:r>
        <w:rPr>
          <w:rFonts w:ascii="Arial" w:hAnsi="Arial" w:cs="Arial"/>
        </w:rPr>
      </w:r>
    </w:p>
    <w:p w14:paraId="3B338609">
      <w:pPr>
        <w:pStyle w:val="1140"/>
        <w:suppressLineNumbers w:val="false"/>
        <w:pBdr/>
        <w:spacing w:line="300" w:lineRule="auto"/>
        <w:ind/>
        <w:rPr>
          <w:rFonts w:ascii="Arial" w:hAnsi="Arial" w:cs="Arial"/>
        </w:rPr>
      </w:pPr>
      <w:r>
        <w:rPr>
          <w:rFonts w:ascii="Arial" w:hAnsi="Arial" w:eastAsia="Arial" w:cs="Arial" w:eastAsiaTheme="minorEastAsia"/>
          <w:bCs w:val="0"/>
          <w:szCs w:val="22"/>
        </w:rPr>
        <w:t xml:space="preserve">- 1.7 Scope, Assumptions, and Delimitations ................................................................ 11</w:t>
      </w:r>
      <w:r>
        <w:rPr>
          <w:rFonts w:ascii="Arial" w:hAnsi="Arial" w:cs="Arial"/>
        </w:rPr>
      </w:r>
      <w:r>
        <w:rPr>
          <w:rFonts w:ascii="Arial" w:hAnsi="Arial" w:cs="Arial"/>
        </w:rPr>
      </w:r>
    </w:p>
    <w:p w14:paraId="16E1E2D5">
      <w:pPr>
        <w:pStyle w:val="1140"/>
        <w:suppressLineNumbers w:val="false"/>
        <w:pBdr/>
        <w:spacing w:line="300" w:lineRule="auto"/>
        <w:ind/>
        <w:rPr>
          <w:rFonts w:ascii="Arial" w:hAnsi="Arial" w:cs="Arial"/>
        </w:rPr>
      </w:pPr>
      <w:r>
        <w:rPr>
          <w:rFonts w:ascii="Arial" w:hAnsi="Arial" w:eastAsia="Arial" w:cs="Arial" w:eastAsiaTheme="minorEastAsia"/>
          <w:bCs w:val="0"/>
          <w:szCs w:val="22"/>
        </w:rPr>
        <w:t xml:space="preserve">- 1.8 Scenario-Driven Framing ...................................................................................... 13</w:t>
      </w:r>
      <w:r>
        <w:rPr>
          <w:rFonts w:ascii="Arial" w:hAnsi="Arial" w:cs="Arial"/>
        </w:rPr>
      </w:r>
      <w:r>
        <w:rPr>
          <w:rFonts w:ascii="Arial" w:hAnsi="Arial" w:cs="Arial"/>
        </w:rPr>
      </w:r>
    </w:p>
    <w:p w14:paraId="719F77B8">
      <w:pPr>
        <w:pStyle w:val="1140"/>
        <w:suppressLineNumbers w:val="false"/>
        <w:pBdr/>
        <w:spacing w:line="300" w:lineRule="auto"/>
        <w:ind/>
        <w:rPr>
          <w:rFonts w:ascii="Arial" w:hAnsi="Arial" w:cs="Arial"/>
        </w:rPr>
      </w:pPr>
      <w:r>
        <w:rPr>
          <w:rFonts w:ascii="Arial" w:hAnsi="Arial" w:eastAsia="Arial" w:cs="Arial" w:eastAsiaTheme="minorEastAsia"/>
          <w:bCs w:val="0"/>
          <w:szCs w:val="22"/>
        </w:rPr>
        <w:t xml:space="preserve">- 1.9 Conceptual Framework and System Flow ............................................................ 14</w:t>
      </w:r>
      <w:r>
        <w:rPr>
          <w:rFonts w:ascii="Arial" w:hAnsi="Arial" w:cs="Arial"/>
        </w:rPr>
      </w:r>
      <w:r>
        <w:rPr>
          <w:rFonts w:ascii="Arial" w:hAnsi="Arial" w:cs="Arial"/>
        </w:rPr>
      </w:r>
    </w:p>
    <w:p w14:paraId="14F739E7">
      <w:pPr>
        <w:pStyle w:val="1140"/>
        <w:suppressLineNumbers w:val="false"/>
        <w:pBdr/>
        <w:spacing w:line="300" w:lineRule="auto"/>
        <w:ind/>
        <w:rPr>
          <w:rFonts w:ascii="Arial" w:hAnsi="Arial" w:cs="Arial"/>
        </w:rPr>
      </w:pPr>
      <w:r>
        <w:rPr>
          <w:rFonts w:ascii="Arial" w:hAnsi="Arial" w:eastAsia="Arial" w:cs="Arial" w:eastAsiaTheme="minorEastAsia"/>
          <w:bCs w:val="0"/>
          <w:szCs w:val="22"/>
        </w:rPr>
        <w:t xml:space="preserve">- 1.10 </w:t>
      </w:r>
      <w:r>
        <w:rPr>
          <w:rFonts w:ascii="Arial" w:hAnsi="Arial" w:eastAsia="Arial" w:cs="Arial" w:eastAsiaTheme="minorEastAsia"/>
          <w:bCs w:val="0"/>
          <w:szCs w:val="22"/>
        </w:rPr>
        <w:t xml:space="preserve">Contributions of This Dissertation</w:t>
      </w:r>
      <w:r>
        <w:rPr>
          <w:rFonts w:ascii="Arial" w:hAnsi="Arial" w:eastAsia="Arial" w:cs="Arial" w:eastAsiaTheme="minorEastAsia"/>
          <w:bCs w:val="0"/>
          <w:szCs w:val="22"/>
        </w:rPr>
        <w:t xml:space="preserve"> ....................................................................... 16</w:t>
      </w:r>
      <w:r>
        <w:rPr>
          <w:rFonts w:ascii="Arial" w:hAnsi="Arial" w:cs="Arial"/>
        </w:rPr>
      </w:r>
      <w:r>
        <w:rPr>
          <w:rFonts w:ascii="Arial" w:hAnsi="Arial" w:cs="Arial"/>
        </w:rPr>
      </w:r>
    </w:p>
    <w:p w14:paraId="1DF772F1">
      <w:pPr>
        <w:pStyle w:val="1140"/>
        <w:suppressLineNumbers w:val="false"/>
        <w:pBdr/>
        <w:spacing w:line="300" w:lineRule="auto"/>
        <w:ind/>
        <w:rPr>
          <w:rFonts w:ascii="Arial" w:hAnsi="Arial" w:cs="Arial"/>
        </w:rPr>
      </w:pPr>
      <w:r>
        <w:rPr>
          <w:rFonts w:ascii="Arial" w:hAnsi="Arial" w:eastAsia="Arial" w:cs="Arial" w:eastAsiaTheme="minorEastAsia"/>
          <w:bCs w:val="0"/>
          <w:szCs w:val="22"/>
        </w:rPr>
        <w:t xml:space="preserve">- 1.11 Chapter-by-Chapter Summary ............................................................................ 16</w:t>
      </w:r>
      <w:r>
        <w:rPr>
          <w:rFonts w:ascii="Arial" w:hAnsi="Arial" w:cs="Arial"/>
        </w:rPr>
      </w:r>
      <w:r>
        <w:rPr>
          <w:rFonts w:ascii="Arial" w:hAnsi="Arial" w:cs="Arial"/>
        </w:rPr>
      </w:r>
    </w:p>
    <w:p w14:paraId="4AA05F10">
      <w:pPr>
        <w:pStyle w:val="1140"/>
        <w:suppressLineNumbers w:val="false"/>
        <w:pBdr/>
        <w:spacing w:line="300" w:lineRule="auto"/>
        <w:ind/>
        <w:rPr>
          <w:rFonts w:ascii="Arial" w:hAnsi="Arial" w:cs="Arial"/>
        </w:rPr>
      </w:pPr>
      <w:r>
        <w:rPr>
          <w:rFonts w:ascii="Arial" w:hAnsi="Arial" w:eastAsia="Arial" w:cs="Arial" w:eastAsiaTheme="minorEastAsia"/>
          <w:b/>
          <w:bCs/>
          <w:szCs w:val="22"/>
        </w:rPr>
        <w:t xml:space="preserve">Chapter 2. Survey of VQA in Medicine with Application to Colonoscopy</w:t>
      </w:r>
      <w:r>
        <w:rPr>
          <w:rFonts w:ascii="Arial" w:hAnsi="Arial" w:eastAsia="Arial" w:cs="Arial" w:eastAsiaTheme="minorEastAsia"/>
          <w:bCs w:val="0"/>
          <w:szCs w:val="22"/>
        </w:rPr>
        <w:t xml:space="preserve">.............. 18</w:t>
      </w:r>
      <w:r>
        <w:rPr>
          <w:rFonts w:ascii="Arial" w:hAnsi="Arial" w:cs="Arial"/>
        </w:rPr>
      </w:r>
      <w:r>
        <w:rPr>
          <w:rFonts w:ascii="Arial" w:hAnsi="Arial" w:cs="Arial"/>
        </w:rPr>
      </w:r>
    </w:p>
    <w:p w14:paraId="612ED5E9">
      <w:pPr>
        <w:pStyle w:val="1140"/>
        <w:suppressLineNumbers w:val="false"/>
        <w:pBdr/>
        <w:spacing w:line="300" w:lineRule="auto"/>
        <w:ind/>
        <w:rPr>
          <w:rFonts w:ascii="Arial" w:hAnsi="Arial" w:cs="Arial"/>
        </w:rPr>
      </w:pPr>
      <w:r>
        <w:rPr>
          <w:rFonts w:ascii="Arial" w:hAnsi="Arial" w:eastAsia="Arial" w:cs="Arial" w:eastAsiaTheme="minorEastAsia"/>
          <w:bCs w:val="0"/>
          <w:szCs w:val="22"/>
        </w:rPr>
        <w:t xml:space="preserve">- 2.1 Introduction ........................................................................................................... 19</w:t>
      </w:r>
      <w:r>
        <w:rPr>
          <w:rFonts w:ascii="Arial" w:hAnsi="Arial" w:cs="Arial"/>
        </w:rPr>
      </w:r>
      <w:r>
        <w:rPr>
          <w:rFonts w:ascii="Arial" w:hAnsi="Arial" w:cs="Arial"/>
        </w:rPr>
      </w:r>
    </w:p>
    <w:p w14:paraId="7BD900A0">
      <w:pPr>
        <w:pStyle w:val="1140"/>
        <w:suppressLineNumbers w:val="false"/>
        <w:pBdr/>
        <w:spacing w:line="300" w:lineRule="auto"/>
        <w:ind/>
        <w:rPr>
          <w:rFonts w:ascii="Arial" w:hAnsi="Arial" w:cs="Arial"/>
        </w:rPr>
      </w:pPr>
      <w:r>
        <w:rPr>
          <w:rFonts w:ascii="Arial" w:hAnsi="Arial" w:eastAsia="Arial" w:cs="Arial" w:eastAsiaTheme="minorEastAsia"/>
          <w:bCs w:val="0"/>
          <w:szCs w:val="22"/>
        </w:rPr>
        <w:t xml:space="preserve">- 2.2 Scoping Review Design ........................................................................................ 20</w:t>
      </w:r>
      <w:r>
        <w:rPr>
          <w:rFonts w:ascii="Arial" w:hAnsi="Arial" w:cs="Arial"/>
        </w:rPr>
      </w:r>
      <w:r>
        <w:rPr>
          <w:rFonts w:ascii="Arial" w:hAnsi="Arial" w:cs="Arial"/>
        </w:rPr>
      </w:r>
    </w:p>
    <w:p w14:paraId="1B30B803">
      <w:pPr>
        <w:pStyle w:val="1140"/>
        <w:suppressLineNumbers w:val="false"/>
        <w:pBdr/>
        <w:spacing w:line="300" w:lineRule="auto"/>
        <w:ind/>
        <w:rPr>
          <w:rFonts w:ascii="Arial" w:hAnsi="Arial" w:cs="Arial"/>
        </w:rPr>
      </w:pPr>
      <w:r>
        <w:rPr>
          <w:rFonts w:ascii="Arial" w:hAnsi="Arial" w:eastAsia="Arial" w:cs="Arial" w:eastAsiaTheme="minorEastAsia"/>
          <w:bCs w:val="0"/>
          <w:szCs w:val="22"/>
        </w:rPr>
        <w:t xml:space="preserve">- 2.3 Evolution of VQA Methods: From General AI to Clinical MedVQA ....................... 22</w:t>
      </w:r>
      <w:r>
        <w:rPr>
          <w:rFonts w:ascii="Arial" w:hAnsi="Arial" w:cs="Arial"/>
        </w:rPr>
      </w:r>
      <w:r>
        <w:rPr>
          <w:rFonts w:ascii="Arial" w:hAnsi="Arial" w:cs="Arial"/>
        </w:rPr>
      </w:r>
    </w:p>
    <w:p w14:paraId="79F3D432">
      <w:pPr>
        <w:pStyle w:val="1140"/>
        <w:suppressLineNumbers w:val="false"/>
        <w:pBdr/>
        <w:spacing w:line="300" w:lineRule="auto"/>
        <w:ind/>
        <w:rPr>
          <w:rFonts w:ascii="Arial" w:hAnsi="Arial" w:cs="Arial"/>
        </w:rPr>
      </w:pPr>
      <w:r>
        <w:rPr>
          <w:rFonts w:ascii="Arial" w:hAnsi="Arial" w:eastAsia="Arial" w:cs="Arial" w:eastAsiaTheme="minorEastAsia"/>
          <w:bCs w:val="0"/>
          <w:szCs w:val="22"/>
        </w:rPr>
        <w:t xml:space="preserve">- 2.4 Dataset and Benchmark Landscape ..................................................................... 23</w:t>
      </w:r>
      <w:r>
        <w:rPr>
          <w:rFonts w:ascii="Arial" w:hAnsi="Arial" w:cs="Arial"/>
        </w:rPr>
      </w:r>
      <w:r>
        <w:rPr>
          <w:rFonts w:ascii="Arial" w:hAnsi="Arial" w:cs="Arial"/>
        </w:rPr>
      </w:r>
    </w:p>
    <w:p w14:paraId="2DD2889E">
      <w:pPr>
        <w:pStyle w:val="1140"/>
        <w:suppressLineNumbers w:val="false"/>
        <w:pBdr/>
        <w:spacing w:line="300" w:lineRule="auto"/>
        <w:ind/>
        <w:rPr>
          <w:rFonts w:ascii="Arial" w:hAnsi="Arial" w:cs="Arial"/>
        </w:rPr>
      </w:pPr>
      <w:r>
        <w:rPr>
          <w:rFonts w:ascii="Arial" w:hAnsi="Arial" w:eastAsia="Arial" w:cs="Arial" w:eastAsiaTheme="minorEastAsia"/>
          <w:bCs w:val="0"/>
          <w:szCs w:val="22"/>
        </w:rPr>
        <w:t xml:space="preserve">- 2.5 Survey of Technique Families ............................................................................... 25</w:t>
      </w:r>
      <w:r>
        <w:rPr>
          <w:rFonts w:ascii="Arial" w:hAnsi="Arial" w:cs="Arial"/>
        </w:rPr>
      </w:r>
      <w:r>
        <w:rPr>
          <w:rFonts w:ascii="Arial" w:hAnsi="Arial" w:cs="Arial"/>
        </w:rPr>
      </w:r>
    </w:p>
    <w:p w14:paraId="64990361">
      <w:pPr>
        <w:pStyle w:val="1140"/>
        <w:suppressLineNumbers w:val="false"/>
        <w:pBdr/>
        <w:spacing w:line="300" w:lineRule="auto"/>
        <w:ind/>
        <w:rPr>
          <w:rFonts w:ascii="Arial" w:hAnsi="Arial" w:cs="Arial"/>
        </w:rPr>
      </w:pPr>
      <w:r>
        <w:rPr>
          <w:rFonts w:ascii="Arial" w:hAnsi="Arial" w:eastAsia="Arial" w:cs="Arial" w:eastAsiaTheme="minorEastAsia"/>
          <w:bCs w:val="0"/>
          <w:szCs w:val="22"/>
        </w:rPr>
        <w:t xml:space="preserve">- 2.6 Evaluation Practices in the Literature .................................................................... 28</w:t>
      </w:r>
      <w:r>
        <w:rPr>
          <w:rFonts w:ascii="Arial" w:hAnsi="Arial" w:cs="Arial"/>
        </w:rPr>
      </w:r>
      <w:r>
        <w:rPr>
          <w:rFonts w:ascii="Arial" w:hAnsi="Arial" w:cs="Arial"/>
        </w:rPr>
      </w:r>
    </w:p>
    <w:p w14:paraId="3DBA77E9">
      <w:pPr>
        <w:pStyle w:val="1140"/>
        <w:suppressLineNumbers w:val="false"/>
        <w:pBdr/>
        <w:spacing w:line="300" w:lineRule="auto"/>
        <w:ind/>
        <w:rPr>
          <w:rFonts w:ascii="Arial" w:hAnsi="Arial" w:cs="Arial"/>
        </w:rPr>
      </w:pPr>
      <w:r>
        <w:rPr>
          <w:rFonts w:ascii="Arial" w:hAnsi="Arial" w:eastAsia="Arial" w:cs="Arial" w:eastAsiaTheme="minorEastAsia"/>
          <w:bCs w:val="0"/>
          <w:szCs w:val="22"/>
        </w:rPr>
        <w:t xml:space="preserve">- 2.7 Scenario-Oriented Technique Suitability for Colonoscopy .................................... 31</w:t>
      </w:r>
      <w:r>
        <w:rPr>
          <w:rFonts w:ascii="Arial" w:hAnsi="Arial" w:cs="Arial"/>
        </w:rPr>
      </w:r>
      <w:r>
        <w:rPr>
          <w:rFonts w:ascii="Arial" w:hAnsi="Arial" w:cs="Arial"/>
        </w:rPr>
      </w:r>
    </w:p>
    <w:p w14:paraId="4CC8FE2B">
      <w:pPr>
        <w:pStyle w:val="1140"/>
        <w:suppressLineNumbers w:val="false"/>
        <w:pBdr/>
        <w:spacing w:line="300" w:lineRule="auto"/>
        <w:ind/>
        <w:rPr>
          <w:rFonts w:ascii="Arial" w:hAnsi="Arial" w:cs="Arial"/>
        </w:rPr>
      </w:pPr>
      <w:r>
        <w:rPr>
          <w:rFonts w:ascii="Arial" w:hAnsi="Arial" w:eastAsia="Arial" w:cs="Arial" w:eastAsiaTheme="minorEastAsia"/>
          <w:bCs w:val="0"/>
          <w:szCs w:val="22"/>
        </w:rPr>
        <w:t xml:space="preserve">- 2.8 2024-2026 Trends in MedVQA Research ............................................................. 31</w:t>
      </w:r>
      <w:r>
        <w:rPr>
          <w:rFonts w:ascii="Arial" w:hAnsi="Arial" w:cs="Arial"/>
        </w:rPr>
      </w:r>
      <w:r>
        <w:rPr>
          <w:rFonts w:ascii="Arial" w:hAnsi="Arial" w:cs="Arial"/>
        </w:rPr>
      </w:r>
    </w:p>
    <w:p w14:paraId="63DFC225">
      <w:pPr>
        <w:pStyle w:val="1140"/>
        <w:suppressLineNumbers w:val="false"/>
        <w:pBdr/>
        <w:spacing w:line="300" w:lineRule="auto"/>
        <w:ind/>
        <w:rPr>
          <w:rFonts w:ascii="Arial" w:hAnsi="Arial" w:cs="Arial"/>
        </w:rPr>
      </w:pPr>
      <w:r>
        <w:rPr>
          <w:rFonts w:ascii="Arial" w:hAnsi="Arial" w:eastAsia="Arial" w:cs="Arial" w:eastAsiaTheme="minorEastAsia"/>
          <w:bCs w:val="0"/>
          <w:szCs w:val="22"/>
        </w:rPr>
        <w:t xml:space="preserve">- 2.9 Evidence Triangulation with Repository Results ................................................... 32</w:t>
      </w:r>
      <w:r>
        <w:rPr>
          <w:rFonts w:ascii="Arial" w:hAnsi="Arial" w:cs="Arial"/>
        </w:rPr>
      </w:r>
      <w:r>
        <w:rPr>
          <w:rFonts w:ascii="Arial" w:hAnsi="Arial" w:cs="Arial"/>
        </w:rPr>
      </w:r>
    </w:p>
    <w:p w14:paraId="4604A9D2">
      <w:pPr>
        <w:pStyle w:val="1140"/>
        <w:suppressLineNumbers w:val="false"/>
        <w:pBdr/>
        <w:spacing w:line="300" w:lineRule="auto"/>
        <w:ind/>
        <w:rPr>
          <w:rFonts w:ascii="Arial" w:hAnsi="Arial" w:cs="Arial"/>
        </w:rPr>
      </w:pPr>
      <w:r>
        <w:rPr>
          <w:rFonts w:ascii="Arial" w:hAnsi="Arial" w:eastAsia="Arial" w:cs="Arial" w:eastAsiaTheme="minorEastAsia"/>
          <w:bCs w:val="0"/>
          <w:szCs w:val="22"/>
        </w:rPr>
        <w:t xml:space="preserve">- 2.10 Key Gaps and Open Problems ............................................................................ 33</w:t>
      </w:r>
      <w:r>
        <w:rPr>
          <w:rFonts w:ascii="Arial" w:hAnsi="Arial" w:cs="Arial"/>
        </w:rPr>
      </w:r>
      <w:r>
        <w:rPr>
          <w:rFonts w:ascii="Arial" w:hAnsi="Arial" w:cs="Arial"/>
        </w:rPr>
      </w:r>
    </w:p>
    <w:p w14:paraId="443497C3">
      <w:pPr>
        <w:pStyle w:val="1140"/>
        <w:suppressLineNumbers w:val="false"/>
        <w:pBdr/>
        <w:spacing w:line="300" w:lineRule="auto"/>
        <w:ind/>
        <w:rPr>
          <w:rFonts w:ascii="Arial" w:hAnsi="Arial" w:cs="Arial"/>
        </w:rPr>
      </w:pPr>
      <w:r>
        <w:rPr>
          <w:rFonts w:ascii="Arial" w:hAnsi="Arial" w:eastAsia="Arial" w:cs="Arial" w:eastAsiaTheme="minorEastAsia"/>
          <w:bCs w:val="0"/>
          <w:szCs w:val="22"/>
        </w:rPr>
        <w:t xml:space="preserve">- 2.11 Chapter Summary and Transition ........................................................................ 34</w:t>
      </w:r>
      <w:r>
        <w:rPr>
          <w:rFonts w:ascii="Arial" w:hAnsi="Arial" w:cs="Arial"/>
        </w:rPr>
      </w:r>
      <w:r>
        <w:rPr>
          <w:rFonts w:ascii="Arial" w:hAnsi="Arial" w:cs="Arial"/>
        </w:rPr>
      </w:r>
    </w:p>
    <w:p w14:paraId="35526A9B">
      <w:pPr>
        <w:pStyle w:val="1140"/>
        <w:suppressLineNumbers w:val="false"/>
        <w:pBdr/>
        <w:spacing w:line="300" w:lineRule="auto"/>
        <w:ind/>
        <w:rPr>
          <w:rFonts w:ascii="Arial" w:hAnsi="Arial" w:cs="Arial"/>
        </w:rPr>
      </w:pPr>
      <w:r>
        <w:rPr>
          <w:rFonts w:ascii="Arial" w:hAnsi="Arial" w:eastAsia="Arial" w:cs="Arial" w:eastAsiaTheme="minorEastAsia"/>
          <w:b/>
          <w:bCs/>
          <w:szCs w:val="22"/>
        </w:rPr>
        <w:t xml:space="preserve">Chapter 3. Investigating Existing VQA Techniques Across GI-Endoscopy       Datasets</w:t>
      </w:r>
      <w:r>
        <w:rPr>
          <w:rFonts w:ascii="Arial" w:hAnsi="Arial" w:eastAsia="Arial" w:cs="Arial" w:eastAsiaTheme="minorEastAsia"/>
          <w:bCs w:val="0"/>
          <w:szCs w:val="22"/>
        </w:rPr>
        <w:t xml:space="preserve"> ...............................................................................................................35</w:t>
      </w:r>
      <w:r>
        <w:rPr>
          <w:rFonts w:ascii="Arial" w:hAnsi="Arial" w:cs="Arial"/>
        </w:rPr>
      </w:r>
      <w:r>
        <w:rPr>
          <w:rFonts w:ascii="Arial" w:hAnsi="Arial" w:cs="Arial"/>
        </w:rPr>
      </w:r>
    </w:p>
    <w:p w14:paraId="06E3111E">
      <w:pPr>
        <w:pStyle w:val="1140"/>
        <w:suppressLineNumbers w:val="false"/>
        <w:pBdr/>
        <w:spacing w:line="300" w:lineRule="auto"/>
        <w:ind/>
        <w:rPr>
          <w:rFonts w:ascii="Arial" w:hAnsi="Arial" w:cs="Arial"/>
        </w:rPr>
      </w:pPr>
      <w:r>
        <w:rPr>
          <w:rFonts w:ascii="Arial" w:hAnsi="Arial" w:eastAsia="Arial" w:cs="Arial" w:eastAsiaTheme="minorEastAsia"/>
          <w:bCs w:val="0"/>
          <w:szCs w:val="22"/>
        </w:rPr>
        <w:t xml:space="preserve">- 3.1 Chapter Overview and Evaluation Goal ................................................................ 35</w:t>
      </w:r>
      <w:r>
        <w:rPr>
          <w:rFonts w:ascii="Arial" w:hAnsi="Arial" w:cs="Arial"/>
        </w:rPr>
      </w:r>
      <w:r>
        <w:rPr>
          <w:rFonts w:ascii="Arial" w:hAnsi="Arial" w:cs="Arial"/>
        </w:rPr>
      </w:r>
    </w:p>
    <w:p w14:paraId="3E9C691A">
      <w:pPr>
        <w:pStyle w:val="1140"/>
        <w:suppressLineNumbers w:val="false"/>
        <w:pBdr/>
        <w:spacing w:line="300" w:lineRule="auto"/>
        <w:ind/>
        <w:rPr>
          <w:rFonts w:ascii="Arial" w:hAnsi="Arial" w:cs="Arial"/>
        </w:rPr>
      </w:pPr>
      <w:r>
        <w:rPr>
          <w:rFonts w:ascii="Arial" w:hAnsi="Arial" w:eastAsia="Arial" w:cs="Arial" w:eastAsiaTheme="minorEastAsia"/>
          <w:bCs w:val="0"/>
          <w:szCs w:val="22"/>
        </w:rPr>
        <w:t xml:space="preserve">- 3.2 Experimental Scenarios and Data Regimes .......................................................... 38</w:t>
      </w:r>
      <w:r>
        <w:rPr>
          <w:rFonts w:ascii="Arial" w:hAnsi="Arial" w:cs="Arial"/>
        </w:rPr>
      </w:r>
      <w:r>
        <w:rPr>
          <w:rFonts w:ascii="Arial" w:hAnsi="Arial" w:cs="Arial"/>
        </w:rPr>
      </w:r>
    </w:p>
    <w:p w14:paraId="0F4B176E">
      <w:pPr>
        <w:pStyle w:val="1140"/>
        <w:suppressLineNumbers w:val="false"/>
        <w:pBdr/>
        <w:spacing w:line="300" w:lineRule="auto"/>
        <w:ind/>
        <w:rPr>
          <w:rFonts w:ascii="Arial" w:hAnsi="Arial" w:cs="Arial"/>
        </w:rPr>
      </w:pPr>
      <w:r>
        <w:rPr>
          <w:rFonts w:ascii="Arial" w:hAnsi="Arial" w:eastAsia="Arial" w:cs="Arial" w:eastAsiaTheme="minorEastAsia"/>
          <w:bCs w:val="0"/>
          <w:szCs w:val="22"/>
        </w:rPr>
        <w:t xml:space="preserve">- 3.3 Evaluation Metrics and Statistical Protocol ............................................................ 44</w:t>
      </w:r>
      <w:r>
        <w:rPr>
          <w:rFonts w:ascii="Arial" w:hAnsi="Arial" w:cs="Arial"/>
        </w:rPr>
      </w:r>
      <w:r>
        <w:rPr>
          <w:rFonts w:ascii="Arial" w:hAnsi="Arial" w:cs="Arial"/>
        </w:rPr>
      </w:r>
    </w:p>
    <w:p w14:paraId="19249B51">
      <w:pPr>
        <w:pStyle w:val="1140"/>
        <w:suppressLineNumbers w:val="false"/>
        <w:pBdr/>
        <w:spacing w:line="300" w:lineRule="auto"/>
        <w:ind/>
        <w:rPr>
          <w:rFonts w:ascii="Arial" w:hAnsi="Arial" w:cs="Arial"/>
        </w:rPr>
      </w:pPr>
      <w:r>
        <w:rPr>
          <w:rFonts w:ascii="Arial" w:hAnsi="Arial" w:eastAsia="Arial" w:cs="Arial" w:eastAsiaTheme="minorEastAsia"/>
          <w:bCs w:val="0"/>
          <w:szCs w:val="22"/>
        </w:rPr>
        <w:t xml:space="preserve">- 3.4 Baseline and Existing-Model Results .................................................................... 50</w:t>
      </w:r>
      <w:r>
        <w:rPr>
          <w:rFonts w:ascii="Arial" w:hAnsi="Arial" w:cs="Arial"/>
        </w:rPr>
      </w:r>
      <w:r>
        <w:rPr>
          <w:rFonts w:ascii="Arial" w:hAnsi="Arial" w:cs="Arial"/>
        </w:rPr>
      </w:r>
    </w:p>
    <w:p w14:paraId="538B0E2E">
      <w:pPr>
        <w:pStyle w:val="1140"/>
        <w:suppressLineNumbers w:val="false"/>
        <w:pBdr/>
        <w:spacing w:line="300" w:lineRule="auto"/>
        <w:ind/>
        <w:rPr>
          <w:rFonts w:ascii="Arial" w:hAnsi="Arial" w:cs="Arial"/>
        </w:rPr>
      </w:pPr>
      <w:r>
        <w:rPr>
          <w:rFonts w:ascii="Arial" w:hAnsi="Arial" w:eastAsia="Arial" w:cs="Arial" w:eastAsiaTheme="minorEastAsia"/>
          <w:bCs w:val="0"/>
          <w:szCs w:val="22"/>
        </w:rPr>
        <w:t xml:space="preserve">- 3.5 Cross-Dataset Synthesis and Findings ................................................................. 62</w:t>
      </w:r>
      <w:r>
        <w:rPr>
          <w:rFonts w:ascii="Arial" w:hAnsi="Arial" w:cs="Arial"/>
        </w:rPr>
      </w:r>
      <w:r>
        <w:rPr>
          <w:rFonts w:ascii="Arial" w:hAnsi="Arial" w:cs="Arial"/>
        </w:rPr>
      </w:r>
    </w:p>
    <w:p w14:paraId="54755D64">
      <w:pPr>
        <w:pStyle w:val="1140"/>
        <w:suppressLineNumbers w:val="false"/>
        <w:pBdr/>
        <w:spacing w:line="300" w:lineRule="auto"/>
        <w:ind/>
        <w:rPr>
          <w:rFonts w:ascii="Arial" w:hAnsi="Arial" w:cs="Arial"/>
        </w:rPr>
      </w:pPr>
      <w:r>
        <w:rPr>
          <w:rFonts w:ascii="Arial" w:hAnsi="Arial" w:eastAsia="Arial" w:cs="Arial" w:eastAsiaTheme="minorEastAsia"/>
          <w:bCs w:val="0"/>
          <w:szCs w:val="22"/>
        </w:rPr>
        <w:t xml:space="preserve">- 3.6 Position After Chapter 3 ........................................................................................ 65</w:t>
      </w:r>
      <w:r>
        <w:rPr>
          <w:rFonts w:ascii="Arial" w:hAnsi="Arial" w:cs="Arial"/>
        </w:rPr>
      </w:r>
      <w:r>
        <w:rPr>
          <w:rFonts w:ascii="Arial" w:hAnsi="Arial" w:cs="Arial"/>
        </w:rPr>
      </w:r>
    </w:p>
    <w:p w14:paraId="53FF13A8">
      <w:pPr>
        <w:pStyle w:val="1140"/>
        <w:suppressLineNumbers w:val="false"/>
        <w:pBdr/>
        <w:spacing w:line="300" w:lineRule="auto"/>
        <w:ind/>
        <w:rPr>
          <w:rFonts w:ascii="Arial" w:hAnsi="Arial" w:cs="Arial"/>
        </w:rPr>
      </w:pPr>
      <w:r>
        <w:rPr>
          <w:rFonts w:ascii="Arial" w:hAnsi="Arial" w:eastAsia="Arial" w:cs="Arial" w:eastAsiaTheme="minorEastAsia"/>
          <w:bCs w:val="0"/>
          <w:szCs w:val="22"/>
        </w:rPr>
        <w:t xml:space="preserve">- 3.7 Artifact Manifest for Figures and Tables ................................................................ 65</w:t>
      </w:r>
      <w:r>
        <w:rPr>
          <w:rFonts w:ascii="Arial" w:hAnsi="Arial" w:cs="Arial"/>
        </w:rPr>
      </w:r>
      <w:r>
        <w:rPr>
          <w:rFonts w:ascii="Arial" w:hAnsi="Arial" w:cs="Arial"/>
        </w:rPr>
      </w:r>
    </w:p>
    <w:p w14:paraId="6F6A5ED1">
      <w:pPr>
        <w:pStyle w:val="1140"/>
        <w:suppressLineNumbers w:val="false"/>
        <w:pBdr/>
        <w:spacing w:line="300" w:lineRule="auto"/>
        <w:ind/>
        <w:rPr>
          <w:rFonts w:ascii="Arial" w:hAnsi="Arial" w:cs="Arial"/>
        </w:rPr>
      </w:pPr>
      <w:r>
        <w:rPr>
          <w:rFonts w:ascii="Arial" w:hAnsi="Arial" w:eastAsia="Arial" w:cs="Arial" w:eastAsiaTheme="minorEastAsia"/>
          <w:bCs w:val="0"/>
          <w:szCs w:val="22"/>
        </w:rPr>
        <w:t xml:space="preserve">- 3.8 Figures and Tables Checklist ................................................................................ 65</w:t>
      </w:r>
      <w:r>
        <w:rPr>
          <w:rFonts w:ascii="Arial" w:hAnsi="Arial" w:cs="Arial"/>
        </w:rPr>
      </w:r>
      <w:r>
        <w:rPr>
          <w:rFonts w:ascii="Arial" w:hAnsi="Arial" w:cs="Arial"/>
        </w:rPr>
      </w:r>
    </w:p>
    <w:p w14:paraId="78D56C55">
      <w:pPr>
        <w:pBdr/>
        <w:spacing/>
        <w:ind/>
        <w:rPr/>
      </w:pPr>
      <w:r>
        <w:rPr>
          <w:rFonts w:ascii="Arial" w:hAnsi="Arial" w:cs="Arial"/>
        </w:rPr>
      </w:r>
      <w:r>
        <w:rPr>
          <w:rFonts w:ascii="Arial" w:hAnsi="Arial" w:cs="Arial"/>
        </w:rPr>
      </w:r>
      <w:r/>
    </w:p>
    <w:p w14:paraId="4FDDD91D">
      <w:pPr>
        <w:pBdr/>
        <w:spacing w:line="120" w:lineRule="auto"/>
        <w:ind/>
        <w:rPr>
          <w:b/>
          <w:bCs/>
        </w:rPr>
      </w:pPr>
      <w:r>
        <w:rPr>
          <w:rFonts w:ascii="Arial" w:hAnsi="Arial" w:cs="Arial"/>
          <w:b/>
          <w:bCs/>
        </w:rPr>
        <w:t xml:space="preserve">Chapter 4. Generative Vision-Language Modeling for Ulcerative Colitis Severity</w:t>
      </w:r>
      <w:r>
        <w:rPr>
          <w:b/>
          <w:bCs/>
        </w:rPr>
      </w:r>
      <w:r>
        <w:rPr>
          <w:b/>
          <w:bCs/>
        </w:rPr>
      </w:r>
    </w:p>
    <w:p w14:paraId="001E1942">
      <w:pPr>
        <w:pBdr/>
        <w:spacing w:line="120" w:lineRule="auto"/>
        <w:ind/>
        <w:rPr/>
      </w:pPr>
      <w:r>
        <w:rPr>
          <w:rFonts w:ascii="Arial" w:hAnsi="Arial" w:cs="Arial"/>
        </w:rPr>
        <w:t xml:space="preserve">- 4.1 Chapter Overview and Methodological Rationale ................................................. 66</w:t>
      </w:r>
      <w:r/>
    </w:p>
    <w:p w14:paraId="117522FF">
      <w:pPr>
        <w:pBdr/>
        <w:spacing w:line="120" w:lineRule="auto"/>
        <w:ind/>
        <w:rPr/>
      </w:pPr>
      <w:r>
        <w:rPr>
          <w:rFonts w:ascii="Arial" w:hAnsi="Arial" w:cs="Arial"/>
        </w:rPr>
        <w:t xml:space="preserve">- 4.2 Dataset, Clinical Task, and Scope ........................................................................ 67</w:t>
      </w:r>
      <w:r/>
    </w:p>
    <w:p w14:paraId="2619006E">
      <w:pPr>
        <w:pBdr/>
        <w:spacing w:line="120" w:lineRule="auto"/>
        <w:ind/>
        <w:rPr/>
      </w:pPr>
      <w:r>
        <w:rPr>
          <w:rFonts w:ascii="Arial" w:hAnsi="Arial" w:cs="Arial"/>
        </w:rPr>
        <w:t xml:space="preserve">- 4.3 Proposed Severity-Oriented Pipeline .................................................................... 70</w:t>
      </w:r>
      <w:r/>
    </w:p>
    <w:p w14:paraId="1DC1B455">
      <w:pPr>
        <w:pBdr/>
        <w:spacing w:line="120" w:lineRule="auto"/>
        <w:ind/>
        <w:rPr/>
      </w:pPr>
      <w:r>
        <w:rPr>
          <w:rFonts w:ascii="Arial" w:hAnsi="Arial" w:cs="Arial"/>
        </w:rPr>
        <w:t xml:space="preserve">- 4.4 Experimental Design and Evaluation Protocol ...................................................... 72</w:t>
      </w:r>
      <w:r/>
    </w:p>
    <w:p w14:paraId="0D745D6D">
      <w:pPr>
        <w:pBdr/>
        <w:spacing w:line="120" w:lineRule="auto"/>
        <w:ind/>
        <w:rPr/>
      </w:pPr>
      <w:r>
        <w:rPr>
          <w:rFonts w:ascii="Arial" w:hAnsi="Arial" w:cs="Arial"/>
        </w:rPr>
        <w:t xml:space="preserve">- 4.5 Results .................................................................................................................. 75</w:t>
      </w:r>
      <w:r/>
    </w:p>
    <w:p w14:paraId="344D4B49">
      <w:pPr>
        <w:pBdr/>
        <w:spacing w:line="120" w:lineRule="auto"/>
        <w:ind/>
        <w:rPr/>
      </w:pPr>
      <w:r>
        <w:rPr>
          <w:rFonts w:ascii="Arial" w:hAnsi="Arial" w:cs="Arial"/>
        </w:rPr>
        <w:t xml:space="preserve">- 4.6 Discussion ............................................................................................................. 81</w:t>
      </w:r>
      <w:r/>
    </w:p>
    <w:p w14:paraId="2A219026">
      <w:pPr>
        <w:pBdr/>
        <w:spacing w:line="120" w:lineRule="auto"/>
        <w:ind/>
        <w:rPr/>
      </w:pPr>
      <w:r>
        <w:rPr>
          <w:rFonts w:ascii="Arial" w:hAnsi="Arial" w:cs="Arial"/>
        </w:rPr>
        <w:t xml:space="preserve">- 4.7 Limitations and Claim Boundary ........................................................................... 83</w:t>
      </w:r>
      <w:r/>
    </w:p>
    <w:p w14:paraId="0C738224">
      <w:pPr>
        <w:pBdr/>
        <w:spacing w:line="120" w:lineRule="auto"/>
        <w:ind/>
        <w:rPr>
          <w:rFonts w:ascii="Arial" w:hAnsi="Arial" w:cs="Arial"/>
          <w:highlight w:val="none"/>
        </w:rPr>
      </w:pPr>
      <w:r>
        <w:rPr>
          <w:rFonts w:ascii="Arial" w:hAnsi="Arial" w:cs="Arial"/>
        </w:rPr>
        <w:t xml:space="preserve">- 4.8 Chapter Summary and Transition to Chapter 5 .................................................... 83</w:t>
      </w:r>
      <w:r>
        <w:rPr>
          <w:rFonts w:ascii="Arial" w:hAnsi="Arial" w:cs="Arial"/>
          <w:highlight w:val="none"/>
        </w:rPr>
      </w:r>
      <w:r>
        <w:rPr>
          <w:rFonts w:ascii="Arial" w:hAnsi="Arial" w:cs="Arial"/>
          <w:highlight w:val="none"/>
        </w:rPr>
      </w:r>
    </w:p>
    <w:p w14:paraId="4675DEAB">
      <w:pPr>
        <w:pBdr/>
        <w:spacing w:line="120" w:lineRule="auto"/>
        <w:ind/>
        <w:rPr>
          <w:rFonts w:ascii="Arial" w:hAnsi="Arial" w:cs="Arial"/>
        </w:rPr>
      </w:pPr>
      <w:r>
        <w:rPr>
          <w:rFonts w:ascii="Arial" w:hAnsi="Arial" w:cs="Arial"/>
          <w:highlight w:val="none"/>
        </w:rPr>
      </w:r>
      <w:r>
        <w:rPr>
          <w:rFonts w:ascii="Arial" w:hAnsi="Arial" w:cs="Arial"/>
        </w:rPr>
      </w:r>
      <w:r>
        <w:rPr>
          <w:rFonts w:ascii="Arial" w:hAnsi="Arial" w:cs="Arial"/>
        </w:rPr>
      </w:r>
    </w:p>
    <w:p w14:paraId="41BFCA5B">
      <w:pPr>
        <w:pBdr/>
        <w:spacing w:line="120" w:lineRule="auto"/>
        <w:ind/>
        <w:rPr>
          <w:b/>
          <w:bCs/>
        </w:rPr>
      </w:pPr>
      <w:r>
        <w:rPr>
          <w:rFonts w:ascii="Arial" w:hAnsi="Arial" w:cs="Arial"/>
          <w:b/>
          <w:bCs/>
        </w:rPr>
        <w:t xml:space="preserve">Chapter 5. PICO-Grounded GenAI Wrapper for Physician Query Support ............ 85</w:t>
      </w:r>
      <w:r>
        <w:rPr>
          <w:b/>
          <w:bCs/>
        </w:rPr>
      </w:r>
      <w:r>
        <w:rPr>
          <w:b/>
          <w:bCs/>
        </w:rPr>
      </w:r>
    </w:p>
    <w:p w14:paraId="63DFE884">
      <w:pPr>
        <w:pBdr/>
        <w:spacing w:line="120" w:lineRule="auto"/>
        <w:ind/>
        <w:rPr/>
      </w:pPr>
      <w:r>
        <w:rPr>
          <w:rFonts w:ascii="Arial" w:hAnsi="Arial" w:cs="Arial"/>
        </w:rPr>
        <w:t xml:space="preserve">- 5.1 Chapter Purpose and Contribution ........................................................................ 85</w:t>
      </w:r>
      <w:r/>
    </w:p>
    <w:p w14:paraId="040B3F4C">
      <w:pPr>
        <w:pBdr/>
        <w:spacing w:line="120" w:lineRule="auto"/>
        <w:ind/>
        <w:rPr/>
      </w:pPr>
      <w:r>
        <w:rPr>
          <w:rFonts w:ascii="Arial" w:hAnsi="Arial" w:cs="Arial"/>
        </w:rPr>
        <w:t xml:space="preserve">- 5.2 Boundary Conditions from Chapter 4 Freeze ........................................................ 85</w:t>
      </w:r>
      <w:r/>
    </w:p>
    <w:p w14:paraId="6DF1C214">
      <w:pPr>
        <w:pBdr/>
        <w:spacing w:line="120" w:lineRule="auto"/>
        <w:ind/>
        <w:rPr/>
      </w:pPr>
      <w:r>
        <w:rPr>
          <w:rFonts w:ascii="Arial" w:hAnsi="Arial" w:cs="Arial"/>
        </w:rPr>
        <w:t xml:space="preserve">- 5.3 Design Objectives and Non-Objectives ................................................................. 86</w:t>
      </w:r>
      <w:r/>
    </w:p>
    <w:p w14:paraId="012934D1">
      <w:pPr>
        <w:pBdr/>
        <w:spacing w:line="120" w:lineRule="auto"/>
        <w:ind/>
        <w:rPr/>
      </w:pPr>
      <w:r>
        <w:rPr>
          <w:rFonts w:ascii="Arial" w:hAnsi="Arial" w:cs="Arial"/>
        </w:rPr>
        <w:t xml:space="preserve">- 5.4 System Architecture and Contracts ....................................................................... 86</w:t>
      </w:r>
      <w:r/>
    </w:p>
    <w:p w14:paraId="61BF171A">
      <w:pPr>
        <w:pBdr/>
        <w:spacing w:line="120" w:lineRule="auto"/>
        <w:ind/>
        <w:rPr/>
      </w:pPr>
      <w:r>
        <w:rPr>
          <w:rFonts w:ascii="Arial" w:hAnsi="Arial" w:cs="Arial"/>
        </w:rPr>
        <w:t xml:space="preserve">- 5.5 Experimental Protocol and Frozen Artifacts .......................................................... 88</w:t>
      </w:r>
      <w:r/>
    </w:p>
    <w:p w14:paraId="26F1F58C">
      <w:pPr>
        <w:pBdr/>
        <w:spacing w:line="120" w:lineRule="auto"/>
        <w:ind/>
        <w:rPr/>
      </w:pPr>
      <w:r>
        <w:rPr>
          <w:rFonts w:ascii="Arial" w:hAnsi="Arial" w:cs="Arial"/>
        </w:rPr>
        <w:t xml:space="preserve">- 5.6 Results .................................................................................................................. 89</w:t>
      </w:r>
      <w:r/>
    </w:p>
    <w:p w14:paraId="5F888031">
      <w:pPr>
        <w:pBdr/>
        <w:spacing w:line="120" w:lineRule="auto"/>
        <w:ind/>
        <w:rPr/>
      </w:pPr>
      <w:r>
        <w:rPr>
          <w:rFonts w:ascii="Arial" w:hAnsi="Arial" w:cs="Arial"/>
        </w:rPr>
        <w:t xml:space="preserve">- 5.7 Error Analysis and Observed Failure Modes ........................................................ 93</w:t>
      </w:r>
      <w:r/>
    </w:p>
    <w:p w14:paraId="3B053384">
      <w:pPr>
        <w:pBdr/>
        <w:spacing w:line="120" w:lineRule="auto"/>
        <w:ind/>
        <w:rPr/>
      </w:pPr>
      <w:r>
        <w:rPr>
          <w:rFonts w:ascii="Arial" w:hAnsi="Arial" w:cs="Arial"/>
        </w:rPr>
        <w:t xml:space="preserve">- 5.8 Threats to Validity and Limitations ........................................................................ 94</w:t>
      </w:r>
      <w:r/>
    </w:p>
    <w:p w14:paraId="5506E363">
      <w:pPr>
        <w:pBdr/>
        <w:spacing w:line="120" w:lineRule="auto"/>
        <w:ind/>
        <w:rPr/>
      </w:pPr>
      <w:r>
        <w:rPr>
          <w:rFonts w:ascii="Arial" w:hAnsi="Arial" w:cs="Arial"/>
        </w:rPr>
        <w:t xml:space="preserve">- 5.9 Reproducibility and Completion Audit Status .......................................................  94</w:t>
      </w:r>
      <w:r/>
    </w:p>
    <w:p w14:paraId="5C5D9F64">
      <w:pPr>
        <w:pBdr/>
        <w:spacing w:line="120" w:lineRule="auto"/>
        <w:ind/>
        <w:rPr/>
      </w:pPr>
      <w:r>
        <w:rPr>
          <w:rFonts w:ascii="Arial" w:hAnsi="Arial" w:cs="Arial"/>
        </w:rPr>
        <w:t xml:space="preserve">- 5.10 Chapter 5 Claim Guardrail .................................................................................. 95</w:t>
      </w:r>
      <w:r/>
    </w:p>
    <w:p w14:paraId="11623630">
      <w:pPr>
        <w:pBdr/>
        <w:spacing w:line="120" w:lineRule="auto"/>
        <w:ind/>
        <w:rPr/>
      </w:pPr>
      <w:r>
        <w:rPr>
          <w:rFonts w:ascii="Arial" w:hAnsi="Arial" w:cs="Arial"/>
        </w:rPr>
        <w:t xml:space="preserve">- 5.11 Summary ............................................................................................................. 95</w:t>
      </w:r>
      <w:r/>
    </w:p>
    <w:p w14:paraId="2EFB04C7">
      <w:pPr>
        <w:pBdr/>
        <w:spacing/>
        <w:ind/>
        <w:rPr/>
      </w:pPr>
      <w:r>
        <w:rPr>
          <w:rFonts w:ascii="Arial" w:hAnsi="Arial" w:cs="Arial"/>
        </w:rPr>
      </w:r>
      <w:r/>
    </w:p>
    <w:p w14:paraId="37378411">
      <w:pPr>
        <w:pBdr/>
        <w:spacing w:line="120" w:lineRule="auto"/>
        <w:ind/>
        <w:rPr/>
      </w:pPr>
      <w:r>
        <w:rPr>
          <w:rFonts w:ascii="Arial" w:hAnsi="Arial" w:cs="Arial"/>
          <w:b/>
          <w:bCs/>
        </w:rPr>
        <w:t xml:space="preserve">Chapter 6. Conclusions and Future Research </w:t>
      </w:r>
      <w:r>
        <w:rPr>
          <w:rFonts w:ascii="Arial" w:hAnsi="Arial" w:cs="Arial"/>
        </w:rPr>
        <w:t xml:space="preserve">.......................................................... 97</w:t>
      </w:r>
      <w:r/>
    </w:p>
    <w:p w14:paraId="7D38D9C9">
      <w:pPr>
        <w:pBdr/>
        <w:spacing w:line="120" w:lineRule="auto"/>
        <w:ind/>
        <w:rPr/>
      </w:pPr>
      <w:r>
        <w:rPr>
          <w:rFonts w:ascii="Arial" w:hAnsi="Arial" w:cs="Arial"/>
        </w:rPr>
        <w:t xml:space="preserve">- 6.1 Chapter Purpose and Position in the Dissertation .............................. .................. 97</w:t>
      </w:r>
      <w:r/>
    </w:p>
    <w:p w14:paraId="40CB6F15">
      <w:pPr>
        <w:pBdr/>
        <w:spacing w:line="120" w:lineRule="auto"/>
        <w:ind/>
        <w:rPr/>
      </w:pPr>
      <w:r>
        <w:rPr>
          <w:rFonts w:ascii="Arial" w:hAnsi="Arial" w:cs="Arial"/>
        </w:rPr>
        <w:t xml:space="preserve">- 6.2 Consolidated Narrative of What Was Demonstrated ............................................. 98</w:t>
      </w:r>
      <w:r/>
    </w:p>
    <w:p w14:paraId="661C8AB7">
      <w:pPr>
        <w:pBdr/>
        <w:spacing w:line="120" w:lineRule="auto"/>
        <w:ind/>
        <w:rPr/>
      </w:pPr>
      <w:r>
        <w:rPr>
          <w:rFonts w:ascii="Arial" w:hAnsi="Arial" w:cs="Arial"/>
        </w:rPr>
        <w:t xml:space="preserve">- 6.3 Integrated Answers to Research Questions .......................................................... 98</w:t>
      </w:r>
      <w:r/>
    </w:p>
    <w:p w14:paraId="4B30E6DB">
      <w:pPr>
        <w:pBdr/>
        <w:spacing w:line="120" w:lineRule="auto"/>
        <w:ind/>
        <w:rPr/>
      </w:pPr>
      <w:r>
        <w:rPr>
          <w:rFonts w:ascii="Arial" w:hAnsi="Arial" w:cs="Arial"/>
        </w:rPr>
        <w:t xml:space="preserve">- 6.4 Final Contributions ............................................................................................... 101</w:t>
      </w:r>
      <w:r/>
    </w:p>
    <w:p w14:paraId="6C1B6E82">
      <w:pPr>
        <w:pBdr/>
        <w:spacing w:line="120" w:lineRule="auto"/>
        <w:ind/>
        <w:rPr/>
      </w:pPr>
      <w:r>
        <w:rPr>
          <w:rFonts w:ascii="Arial" w:hAnsi="Arial" w:cs="Arial"/>
        </w:rPr>
        <w:t xml:space="preserve">- 6.5 Revisit of Dissertation Hypotheses ...................................................................... 102</w:t>
      </w:r>
      <w:r>
        <w:rPr>
          <w:rFonts w:ascii="Arial" w:hAnsi="Arial" w:cs="Arial"/>
        </w:rPr>
      </w:r>
      <w:r/>
    </w:p>
    <w:p w14:paraId="36D00547">
      <w:pPr>
        <w:pBdr/>
        <w:spacing w:line="120" w:lineRule="auto"/>
        <w:ind/>
        <w:rPr/>
      </w:pPr>
      <w:r>
        <w:rPr>
          <w:rFonts w:ascii="Arial" w:hAnsi="Arial" w:cs="Arial"/>
        </w:rPr>
        <w:t xml:space="preserve">- 6.6 Practical Implications for Clinician-Facing AI ....................................................... 103</w:t>
      </w:r>
      <w:r/>
    </w:p>
    <w:p w14:paraId="2CD795C6">
      <w:pPr>
        <w:pBdr/>
        <w:spacing w:line="120" w:lineRule="auto"/>
        <w:ind/>
        <w:rPr/>
      </w:pPr>
      <w:r>
        <w:rPr>
          <w:rFonts w:ascii="Arial" w:hAnsi="Arial" w:cs="Arial"/>
        </w:rPr>
        <w:t xml:space="preserve">- 6.7 Limitations and Validity Boundaries ..................................................................... 104</w:t>
      </w:r>
      <w:r/>
    </w:p>
    <w:p w14:paraId="27F6DB7B">
      <w:pPr>
        <w:pBdr/>
        <w:spacing w:line="120" w:lineRule="auto"/>
        <w:ind/>
        <w:rPr/>
      </w:pPr>
      <w:r>
        <w:rPr>
          <w:rFonts w:ascii="Arial" w:hAnsi="Arial" w:cs="Arial"/>
        </w:rPr>
        <w:t xml:space="preserve">- 6.8 Future Research Agenda .................................................................................... 105</w:t>
      </w:r>
      <w:r/>
    </w:p>
    <w:p w14:paraId="077D1685">
      <w:pPr>
        <w:pBdr/>
        <w:spacing w:line="120" w:lineRule="auto"/>
        <w:ind/>
        <w:rPr/>
      </w:pPr>
      <w:r>
        <w:rPr>
          <w:rFonts w:ascii="Arial" w:hAnsi="Arial" w:cs="Arial"/>
        </w:rPr>
        <w:t xml:space="preserve">- 6.9 Final Conclusion .................................................................................................. 106</w:t>
      </w:r>
      <w:r>
        <w:rPr>
          <w:rFonts w:ascii="Arial" w:hAnsi="Arial" w:cs="Arial"/>
        </w:rPr>
      </w:r>
      <w:r/>
    </w:p>
    <w:p w14:paraId="13EF3C93">
      <w:pPr>
        <w:pStyle w:val="1140"/>
        <w:suppressLineNumbers w:val="false"/>
        <w:pBdr/>
        <w:spacing w:line="300" w:lineRule="auto"/>
        <w:ind/>
        <w:rPr>
          <w:rFonts w:ascii="Arial" w:hAnsi="Arial" w:cs="Arial"/>
        </w:rPr>
      </w:pPr>
      <w:r>
        <w:rPr>
          <w:rFonts w:ascii="Arial" w:hAnsi="Arial" w:eastAsia="Arial" w:cs="Arial" w:eastAsiaTheme="minorEastAsia"/>
          <w:b/>
          <w:bCs/>
          <w:szCs w:val="22"/>
        </w:rPr>
        <w:t xml:space="preserve">References </w:t>
      </w:r>
      <w:r>
        <w:rPr>
          <w:rFonts w:ascii="Arial" w:hAnsi="Arial" w:eastAsia="Arial" w:cs="Arial" w:eastAsiaTheme="minorEastAsia"/>
          <w:bCs w:val="0"/>
          <w:szCs w:val="22"/>
        </w:rPr>
        <w:t xml:space="preserve">................................................................................................................... </w:t>
      </w:r>
      <w:r>
        <w:rPr>
          <w:rFonts w:ascii="Arial" w:hAnsi="Arial" w:cs="Arial"/>
        </w:rPr>
      </w:r>
      <w:r>
        <w:rPr>
          <w:rFonts w:ascii="Arial" w:hAnsi="Arial" w:cs="Arial"/>
        </w:rPr>
      </w:r>
    </w:p>
    <w:p w14:paraId="14B2237F">
      <w:pPr>
        <w:pBdr/>
        <w:spacing/>
        <w:ind/>
        <w:rPr/>
      </w:pPr>
      <w:r>
        <w:rPr>
          <w:rFonts w:asciiTheme="minorHAnsi" w:hAnsiTheme="minorHAnsi" w:eastAsiaTheme="minorEastAsia"/>
          <w:bCs w:val="0"/>
          <w:szCs w:val="22"/>
        </w:rPr>
      </w:r>
      <w:r>
        <w:rPr>
          <w:rFonts w:asciiTheme="minorHAnsi" w:hAnsiTheme="minorHAnsi" w:eastAsiaTheme="minorEastAsia"/>
          <w:bCs w:val="0"/>
          <w:szCs w:val="22"/>
        </w:rPr>
      </w:r>
      <w:r/>
    </w:p>
    <w:p w14:paraId="449CDAE5" w14:textId="77777777">
      <w:pPr>
        <w:pStyle w:val="1128"/>
        <w:suppressLineNumbers w:val="false"/>
        <w:pBdr/>
        <w:spacing w:line="300" w:lineRule="auto"/>
        <w:ind/>
        <w:rPr/>
      </w:pPr>
      <w:r/>
      <w:r/>
    </w:p>
    <w:p w14:paraId="1B68C9C0" w14:textId="77777777">
      <w:pPr>
        <w:pStyle w:val="1128"/>
        <w:suppressLineNumbers w:val="false"/>
        <w:pBdr/>
        <w:spacing w:line="300" w:lineRule="auto"/>
        <w:ind/>
        <w:rPr/>
      </w:pPr>
      <w:r/>
      <w:r/>
    </w:p>
    <w:p w14:paraId="7DFE54F9" w14:textId="77777777">
      <w:pPr>
        <w:pStyle w:val="1128"/>
        <w:suppressLineNumbers w:val="false"/>
        <w:pBdr/>
        <w:spacing w:line="300" w:lineRule="auto"/>
        <w:ind/>
        <w:rPr/>
        <w:sectPr>
          <w:headerReference w:type="default" r:id="rId9"/>
          <w:footerReference w:type="default" r:id="rId10"/>
          <w:footnotePr/>
          <w:endnotePr/>
          <w:type w:val="nextPage"/>
          <w:pgSz w:h="15840" w:orient="portrait" w:w="12240"/>
          <w:pgMar w:top="1440" w:right="1800" w:bottom="1440" w:left="1800" w:header="720" w:footer="720" w:gutter="0"/>
          <w:pgNumType w:fmt="lowerRoman"/>
          <w:cols w:num="1" w:sep="0" w:space="720" w:equalWidth="1"/>
          <w:titlePg/>
        </w:sectPr>
      </w:pPr>
      <w:r/>
      <w:r/>
    </w:p>
    <w:p w14:paraId="480507BE" w14:textId="462E815D">
      <w:pPr>
        <w:pStyle w:val="1115"/>
        <w:suppressLineNumbers w:val="false"/>
        <w:pBdr/>
        <w:spacing w:line="300" w:lineRule="auto"/>
        <w:ind/>
        <w:rPr/>
      </w:pPr>
      <w:r>
        <w:br/>
      </w:r>
      <w:r>
        <w:br/>
      </w:r>
      <w:bookmarkStart w:id="12" w:name="_Toc66285140"/>
      <w:r>
        <w:t xml:space="preserve">Introduction</w:t>
      </w:r>
      <w:bookmarkEnd w:id="12"/>
      <w:r/>
      <w:r/>
    </w:p>
    <w:p w14:paraId="5998F02E">
      <w:pPr>
        <w:pStyle w:val="1128"/>
        <w:pBdr/>
        <w:spacing/>
        <w:ind w:firstLine="0"/>
        <w:rPr>
          <w:b/>
          <w:bCs/>
          <w:sz w:val="28"/>
          <w:szCs w:val="28"/>
        </w:rPr>
      </w:pPr>
      <w:r>
        <w:rPr>
          <w:b/>
          <w:bCs/>
          <w:sz w:val="28"/>
          <w:szCs w:val="28"/>
        </w:rPr>
        <w:t xml:space="preserve">1.0 Chapter 1 Overview</w:t>
      </w:r>
      <w:r>
        <w:rPr>
          <w:b/>
          <w:bCs/>
          <w:sz w:val="28"/>
          <w:szCs w:val="28"/>
        </w:rPr>
      </w:r>
      <w:r>
        <w:rPr>
          <w:b/>
          <w:bCs/>
          <w:sz w:val="28"/>
          <w:szCs w:val="28"/>
        </w:rPr>
      </w:r>
    </w:p>
    <w:p w14:paraId="023B684F">
      <w:pPr>
        <w:pStyle w:val="1128"/>
        <w:suppressLineNumbers w:val="false"/>
        <w:pBdr/>
        <w:spacing w:after="240" w:before="120" w:line="300" w:lineRule="auto"/>
        <w:ind w:firstLine="720"/>
        <w:rPr/>
      </w:pPr>
      <w:r>
        <w:t xml:space="preserve">C</w:t>
      </w:r>
      <w:r>
        <w:t xml:space="preserve">hapter 1 defines the full research foundation of this dissertation and clarifies why GI-endoscopy MedVQA must be evaluated beyond aggregate benchmark scores. The chapter first establishes the clinical motivation for question-driven AI support in colonoscop</w:t>
      </w:r>
      <w:r>
        <w:t xml:space="preserve">y</w:t>
      </w:r>
      <w:r>
        <w:t xml:space="preserve">, then formalizes the central methodological gap: current systems can produce strong average performance while still failing on clinically high-risk, imbalanced, or format-sensitive cases. It then translates this gap into a concrete research program by sta</w:t>
      </w:r>
      <w:r>
        <w:t xml:space="preserve">t</w:t>
      </w:r>
      <w:r>
        <w:t xml:space="preserve">ing the thesis aim, objectives, research questions, and working hypotheses. In addition, Chapter 1 sets the operational boundaries of the work, including what is in scope, what is explicitly out of scope, and how PICO-oriented evidence mapping is used as a</w:t>
      </w:r>
      <w:r>
        <w:t xml:space="preserve"> controlled extension pathway rather than a replacement for visual reliability. Finally, the chapter introduces the scenario-driven framing, conceptual pipeline, and risk-control logic that guide all subsequent experiments and interpretations.</w:t>
      </w:r>
      <w:r/>
    </w:p>
    <w:p w14:paraId="6ED7D3D8">
      <w:pPr>
        <w:pStyle w:val="1128"/>
        <w:suppressLineNumbers w:val="false"/>
        <w:pBdr/>
        <w:spacing w:after="240" w:before="120" w:line="300" w:lineRule="auto"/>
        <w:ind w:firstLine="0"/>
        <w:rPr/>
      </w:pPr>
      <w:r>
        <w:t xml:space="preserve">At a glance, this chapter:</w:t>
      </w:r>
      <w:r/>
    </w:p>
    <w:p w14:paraId="4CA84745">
      <w:pPr>
        <w:pStyle w:val="1128"/>
        <w:suppressLineNumbers w:val="false"/>
        <w:pBdr/>
        <w:spacing w:after="240" w:before="120" w:line="120" w:lineRule="auto"/>
        <w:ind w:firstLine="0"/>
        <w:rPr/>
      </w:pPr>
      <w:r>
        <w:t xml:space="preserve">1. Establishes background and motivation for MedVQA in GI endoscopy.</w:t>
      </w:r>
      <w:r/>
    </w:p>
    <w:p w14:paraId="14ACB86D">
      <w:pPr>
        <w:pStyle w:val="1128"/>
        <w:suppressLineNumbers w:val="false"/>
        <w:pBdr/>
        <w:spacing w:after="240" w:before="120" w:line="120" w:lineRule="auto"/>
        <w:ind w:firstLine="0"/>
        <w:rPr/>
      </w:pPr>
      <w:r>
        <w:t xml:space="preserve">2. Defines the reliability and translational gap the dissertation addresses.</w:t>
      </w:r>
      <w:r/>
    </w:p>
    <w:p w14:paraId="6C1DB768">
      <w:pPr>
        <w:pStyle w:val="1128"/>
        <w:suppressLineNumbers w:val="false"/>
        <w:pBdr/>
        <w:spacing w:after="240" w:before="120" w:line="120" w:lineRule="auto"/>
        <w:ind w:firstLine="0"/>
        <w:rPr/>
      </w:pPr>
      <w:r>
        <w:t xml:space="preserve">3. Formalizes aim, objectives, and research questions with evaluation mapping.</w:t>
      </w:r>
      <w:r/>
    </w:p>
    <w:p w14:paraId="35CAC59A">
      <w:pPr>
        <w:pStyle w:val="1128"/>
        <w:suppressLineNumbers w:val="false"/>
        <w:pBdr/>
        <w:spacing w:after="240" w:before="120" w:line="120" w:lineRule="auto"/>
        <w:ind w:firstLine="0"/>
        <w:rPr/>
      </w:pPr>
      <w:r>
        <w:t xml:space="preserve">4. Specifies scope, assumptions, and governance constraints for defensible claims.</w:t>
      </w:r>
      <w:r/>
    </w:p>
    <w:p w14:paraId="509D5112">
      <w:pPr>
        <w:pStyle w:val="1128"/>
        <w:suppressLineNumbers w:val="false"/>
        <w:pBdr/>
        <w:spacing w:after="240" w:before="120" w:line="120" w:lineRule="auto"/>
        <w:ind w:firstLine="0"/>
        <w:rPr/>
      </w:pPr>
      <w:r>
        <w:t xml:space="preserve">5. Provides the conceptual and chapter-level roadmap used in Chapters 2 and 3.</w:t>
      </w:r>
      <w:r/>
    </w:p>
    <w:p w14:paraId="5F5E1B7B">
      <w:pPr>
        <w:pStyle w:val="1128"/>
        <w:suppressLineNumbers w:val="false"/>
        <w:pBdr/>
        <w:spacing w:after="240" w:before="120" w:line="300" w:lineRule="auto"/>
        <w:ind w:firstLine="0"/>
        <w:rPr/>
      </w:pPr>
      <w:r>
        <w:t xml:space="preserve">The next chapter converts this foundation into a structured scoping review that identifies the most relevant model families, benchmarks, and open gaps for GI-oriented evaluation.</w:t>
      </w:r>
      <w:r/>
    </w:p>
    <w:p w14:paraId="11E1564F">
      <w:pPr>
        <w:pStyle w:val="1128"/>
        <w:pBdr/>
        <w:spacing/>
        <w:ind w:firstLine="0"/>
        <w:rPr/>
      </w:pPr>
      <w:r/>
      <w:r/>
    </w:p>
    <w:p w14:paraId="1960384C" w14:textId="1BF67330">
      <w:pPr>
        <w:pStyle w:val="1128"/>
        <w:suppressLineNumbers w:val="false"/>
        <w:pBdr/>
        <w:spacing w:line="300" w:lineRule="auto"/>
        <w:ind w:firstLine="0"/>
        <w:rPr>
          <w:b/>
          <w:bCs/>
          <w:sz w:val="28"/>
          <w:szCs w:val="28"/>
        </w:rPr>
      </w:pPr>
      <w:r>
        <w:rPr>
          <w:b/>
          <w:bCs/>
          <w:sz w:val="28"/>
          <w:szCs w:val="28"/>
          <w:lang w:val="en-US"/>
        </w:rPr>
        <w:t xml:space="preserve">1.1 </w:t>
      </w:r>
      <w:r>
        <w:rPr>
          <w:b/>
          <w:bCs/>
          <w:sz w:val="28"/>
          <w:szCs w:val="28"/>
        </w:rPr>
        <w:t xml:space="preserve">Background</w:t>
      </w:r>
      <w:r>
        <w:rPr>
          <w:b/>
          <w:bCs/>
          <w:sz w:val="28"/>
          <w:szCs w:val="28"/>
          <w:lang w:val="en-US"/>
        </w:rPr>
        <w:t xml:space="preserve"> &amp; Motivation</w:t>
      </w:r>
      <w:r>
        <w:rPr>
          <w:b/>
          <w:bCs/>
          <w:sz w:val="28"/>
          <w:szCs w:val="28"/>
        </w:rPr>
      </w:r>
      <w:r>
        <w:rPr>
          <w:b/>
          <w:bCs/>
          <w:sz w:val="28"/>
          <w:szCs w:val="28"/>
        </w:rPr>
      </w:r>
    </w:p>
    <w:p w14:paraId="22F4C05B">
      <w:pPr>
        <w:pStyle w:val="1128"/>
        <w:suppressLineNumbers w:val="false"/>
        <w:pBdr/>
        <w:spacing w:line="300" w:lineRule="auto"/>
        <w:ind/>
        <w:rPr>
          <w:highlight w:val="none"/>
        </w:rPr>
      </w:pPr>
      <w:r>
        <w:t xml:space="preserve">M</w:t>
      </w:r>
      <w:r>
        <w:t xml:space="preserve">edical Visual Question Answering (MedVQA) is an interdisciplinary field that integrates computer vision (CV), natural language processing (NLP), and clinical medicine. It aims to build artificial intelligence systems that can interpret medical images and a</w:t>
      </w:r>
      <w:r>
        <w:t xml:space="preserve">n</w:t>
      </w:r>
      <w:r>
        <w:t xml:space="preserve">sw</w:t>
      </w:r>
      <w:r>
        <w:t xml:space="preserve">er clinically relevant questions expressed in natural language. In contrast to conventional image classification systems that return only categorical predictions, </w:t>
        <w:tab/>
        <w:tab/>
        <w:t xml:space="preserve">MedVQA is designed to support question-driven interaction. This interaction model is closel</w:t>
      </w:r>
      <w:r>
        <w:t xml:space="preserve">y aligned with how clinicians reason in practice, where interpretation is typically guided by targeted questions rather than isolated labels.</w:t>
      </w:r>
      <w:r>
        <w:rPr>
          <w:highlight w:val="none"/>
        </w:rPr>
      </w:r>
      <w:r>
        <w:rPr>
          <w:highlight w:val="none"/>
        </w:rPr>
      </w:r>
    </w:p>
    <w:p w14:paraId="46A201E7">
      <w:pPr>
        <w:pStyle w:val="1128"/>
        <w:suppressLineNumbers w:val="false"/>
        <w:pBdr/>
        <w:spacing w:line="300" w:lineRule="auto"/>
        <w:ind/>
        <w:rPr/>
      </w:pPr>
      <w:r>
        <w:t xml:space="preserve">M</w:t>
      </w:r>
      <w:r>
        <w:t xml:space="preserve">edVQA offers substantial potential for clinical decision support. Its expected benefits include improved diagnostic consistency, reduced physician workload, and wider access to specialist-level interpretation in telemedicine and resource-constrained settin</w:t>
      </w:r>
      <w:r>
        <w:t xml:space="preserve">gs. The long-term objective is not to replace clinical judgment, but to provide an intelligent and transparent assistant that can complement clinical reasoning within existing workflows.</w:t>
      </w:r>
      <w:r/>
    </w:p>
    <w:p w14:paraId="2B68F821">
      <w:pPr>
        <w:pStyle w:val="1128"/>
        <w:suppressLineNumbers w:val="false"/>
        <w:pBdr/>
        <w:spacing w:line="300" w:lineRule="auto"/>
        <w:ind/>
        <w:rPr/>
      </w:pPr>
      <w:r>
        <w:t xml:space="preserve">U</w:t>
      </w:r>
      <w:r>
        <w:t xml:space="preserve">nlike general-domain VQA, MedVQA faces domain-specific constraints. Medical images often include subtle, overlapping, or low-contrast findings that require specialized interpretation. Clinical questions frequently require multi-step reasoning, in which vis</w:t>
      </w:r>
      <w:r>
        <w:t xml:space="preserve">ual evidence must be combined with biomedical context and task intent. These characteristics make MedVQA both a technically demanding multimodal task and a clinically sensitive reliability challenge.</w:t>
      </w:r>
      <w:r/>
    </w:p>
    <w:p w14:paraId="3F05320D">
      <w:pPr>
        <w:pStyle w:val="1128"/>
        <w:suppressLineNumbers w:val="false"/>
        <w:pBdr/>
        <w:spacing w:line="300" w:lineRule="auto"/>
        <w:ind/>
        <w:rPr/>
      </w:pPr>
      <w:r>
        <w:t xml:space="preserve">T</w:t>
      </w:r>
      <w:r>
        <w:t xml:space="preserve">he technical foundation of MedVQA combines CV-based image representation with NLP-based question understanding and answer synthesis. Early systems were predominantly discriminative, using an image encoder, a question encoder, a fusion module, and a fixed a</w:t>
      </w:r>
      <w:r>
        <w:t xml:space="preserve">n</w:t>
      </w:r>
      <w:r>
        <w:t xml:space="preserve">swer set. These systems performed adequately on constrained tasks but showed limited flexibility for nuanced and open-ended clinical questions [1], [2], [3]. Recent work has shifted toward transformer-based multimodal architectures and generative response </w:t>
      </w:r>
      <w:r>
        <w:t xml:space="preserve">m</w:t>
      </w:r>
      <w:r>
        <w:t xml:space="preserve">odels, supported by large-scale vision-language pretraining [4], [5] and contemporary MedVQA surveys of large multimodal model behavior [8], [9]. In parallel, biomedical language models such as BioBERT and BioGPT have improved domain-specific language unde</w:t>
      </w:r>
      <w:r>
        <w:t xml:space="preserve">rstanding and generation [6], [7].</w:t>
      </w:r>
      <w:r/>
    </w:p>
    <w:p w14:paraId="6B8C6098">
      <w:pPr>
        <w:pStyle w:val="1128"/>
        <w:suppressLineNumbers w:val="false"/>
        <w:pBdr/>
        <w:spacing w:line="300" w:lineRule="auto"/>
        <w:ind w:firstLine="0"/>
        <w:rPr/>
      </w:pPr>
      <w:r>
        <w:t xml:space="preserve">Despite this progress, the gap between benchmark performance and reliable clinical utility remains significant. Three persistent tensions define the present landscape:</w:t>
      </w:r>
      <w:r/>
    </w:p>
    <w:p w14:paraId="7461EE90">
      <w:pPr>
        <w:pStyle w:val="1128"/>
        <w:suppressLineNumbers w:val="false"/>
        <w:pBdr/>
        <w:spacing w:line="300" w:lineRule="auto"/>
        <w:ind w:firstLine="0"/>
        <w:rPr/>
      </w:pPr>
      <w:r>
        <w:rPr>
          <w:b/>
          <w:bCs/>
        </w:rPr>
        <w:t xml:space="preserve">Expressiveness versus reliability</w:t>
      </w:r>
      <w:r>
        <w:t xml:space="preserve">: Generative models can produce richer answers, but may exhibit lexical drift, weak grounding, or hallucinated content.</w:t>
      </w:r>
      <w:r/>
    </w:p>
    <w:p w14:paraId="70982DA6">
      <w:pPr>
        <w:pStyle w:val="1128"/>
        <w:suppressLineNumbers w:val="false"/>
        <w:pBdr/>
        <w:spacing w:line="300" w:lineRule="auto"/>
        <w:ind w:firstLine="0"/>
        <w:rPr/>
      </w:pPr>
      <w:r>
        <w:rPr>
          <w:b/>
          <w:bCs/>
        </w:rPr>
        <w:t xml:space="preserve">Aggregate performance versus clinical robustness</w:t>
      </w:r>
      <w:r>
        <w:t xml:space="preserve">: High overall accuracy can conceal clinically critical failures in minority classes.</w:t>
      </w:r>
      <w:r/>
    </w:p>
    <w:p w14:paraId="583EDBB9">
      <w:pPr>
        <w:pStyle w:val="1128"/>
        <w:suppressLineNumbers w:val="false"/>
        <w:pBdr/>
        <w:spacing w:line="300" w:lineRule="auto"/>
        <w:ind w:firstLine="0"/>
        <w:rPr/>
      </w:pPr>
      <w:r>
        <w:rPr>
          <w:b/>
          <w:bCs/>
        </w:rPr>
        <w:t xml:space="preserve">General multimodal capability versus medical domain specificity</w:t>
      </w:r>
      <w:r>
        <w:t xml:space="preserve">: Zero-shot transfer from general VLMs often underperforms in specialized clinical settings.</w:t>
      </w:r>
      <w:r/>
    </w:p>
    <w:p w14:paraId="5093C8F0">
      <w:pPr>
        <w:pStyle w:val="1128"/>
        <w:suppressLineNumbers w:val="false"/>
        <w:pBdr/>
        <w:spacing w:line="300" w:lineRule="auto"/>
        <w:ind w:firstLine="0"/>
        <w:rPr>
          <w:highlight w:val="none"/>
        </w:rPr>
      </w:pPr>
      <w:r>
        <w:t xml:space="preserve">This dissertation is motivated by these tensions and investigates them in the context of gastrointestinal endoscopy, with a specific focus on colonoscopy-oriented MedVQA.</w:t>
      </w:r>
      <w:r>
        <w:rPr>
          <w:highlight w:val="none"/>
        </w:rPr>
      </w:r>
      <w:r>
        <w:rPr>
          <w:highlight w:val="none"/>
        </w:rPr>
      </w:r>
    </w:p>
    <w:p w14:paraId="0351C390">
      <w:pPr>
        <w:pStyle w:val="1128"/>
        <w:suppressLineNumbers w:val="false"/>
        <w:pBdr/>
        <w:spacing w:line="300" w:lineRule="auto"/>
        <w:ind w:firstLine="0"/>
        <w:rPr>
          <w:b/>
          <w:bCs/>
        </w:rPr>
      </w:pPr>
      <w:r>
        <w:rPr>
          <w:b/>
          <w:bCs/>
        </w:rPr>
        <w:t xml:space="preserve">1.1.1 From Fixed-Answer Systems to Generative Multimodal Models</w:t>
      </w:r>
      <w:r>
        <w:rPr>
          <w:b/>
          <w:bCs/>
        </w:rPr>
      </w:r>
      <w:r>
        <w:rPr>
          <w:b/>
          <w:bCs/>
        </w:rPr>
      </w:r>
    </w:p>
    <w:p w14:paraId="0CBD08B1">
      <w:pPr>
        <w:pStyle w:val="1128"/>
        <w:suppressLineNumbers w:val="false"/>
        <w:pBdr/>
        <w:spacing w:line="300" w:lineRule="auto"/>
        <w:ind w:firstLine="720"/>
        <w:rPr/>
      </w:pPr>
      <w:r>
        <w:t xml:space="preserve">T</w:t>
      </w:r>
      <w:r>
        <w:t xml:space="preserve">he historical evolution of MedVQA provides an important context for this thesis. In early systems, answer generation was operationally equivalent to label selection. This formulation enabled straightforward optimization and evaluation, but it constrained c</w:t>
      </w:r>
      <w:r>
        <w:t xml:space="preserve">linically meaningful expression. Complex questions were often reduced to coarse categorical outputs, limiting interpretability and reducing practical value for clinicians.</w:t>
      </w:r>
      <w:r/>
    </w:p>
    <w:p w14:paraId="36C7FAFB">
      <w:pPr>
        <w:pStyle w:val="1128"/>
        <w:suppressLineNumbers w:val="false"/>
        <w:pBdr/>
        <w:spacing w:line="300" w:lineRule="auto"/>
        <w:ind w:firstLine="720"/>
        <w:rPr/>
      </w:pPr>
      <w:r>
        <w:t xml:space="preserve">T</w:t>
      </w:r>
      <w:r>
        <w:t xml:space="preserve">ransformer-era multimodal models improved cross-modal alignment and enabled free-text response generation. This transition addressed important limitations of earlier systems, particularly weak question-image interaction and restricted output vocabulary. Ho</w:t>
      </w:r>
      <w:r>
        <w:t xml:space="preserve">w</w:t>
      </w:r>
      <w:r>
        <w:t xml:space="preserve">ever, it also introduced new risks. In clinical settings, a fluent answer that is weakly grounded in image evidence may be more problematic than a constrained but verifiable answer. Consequently, model expressiveness must be balanced with grounding, calibr</w:t>
      </w:r>
      <w:r>
        <w:t xml:space="preserve">ation, and error control.</w:t>
      </w:r>
      <w:r/>
    </w:p>
    <w:p w14:paraId="5AE4DE3D">
      <w:pPr>
        <w:pStyle w:val="1128"/>
        <w:suppressLineNumbers w:val="false"/>
        <w:pBdr/>
        <w:spacing w:line="300" w:lineRule="auto"/>
        <w:ind w:firstLine="720"/>
        <w:rPr/>
      </w:pPr>
      <w:r>
        <w:t xml:space="preserve">A</w:t>
      </w:r>
      <w:r>
        <w:t xml:space="preserve">nother major shift has occurred at the evaluation level. Instead of reporting performance within a single benchmark only, recent studies increasingly examine cross-dataset behavior and robustness to distributional changes. This is particularly relevant in </w:t>
      </w:r>
      <w:r>
        <w:t xml:space="preserve">GI endoscopy, where data heterogeneity in question templates, answer conventions, and visual characteristics can be substantial.</w:t>
      </w:r>
      <w:r/>
    </w:p>
    <w:p w14:paraId="4A828679">
      <w:pPr>
        <w:pStyle w:val="1128"/>
        <w:suppressLineNumbers w:val="false"/>
        <w:pBdr/>
        <w:spacing w:line="300" w:lineRule="auto"/>
        <w:ind w:firstLine="0"/>
        <w:rPr>
          <w:b/>
          <w:bCs/>
        </w:rPr>
      </w:pPr>
      <w:r>
        <w:rPr>
          <w:b/>
          <w:bCs/>
        </w:rPr>
        <w:t xml:space="preserve">1.1.2 Limitations of Aggregate Benchmark Scores in Clinical AI</w:t>
      </w:r>
      <w:r>
        <w:rPr>
          <w:b/>
          <w:bCs/>
        </w:rPr>
      </w:r>
      <w:r>
        <w:rPr>
          <w:b/>
          <w:bCs/>
        </w:rPr>
      </w:r>
    </w:p>
    <w:p w14:paraId="0A88D7D9">
      <w:pPr>
        <w:pStyle w:val="1128"/>
        <w:suppressLineNumbers w:val="false"/>
        <w:pBdr/>
        <w:spacing w:line="300" w:lineRule="auto"/>
        <w:ind w:firstLine="720"/>
        <w:rPr/>
      </w:pPr>
      <w:r>
        <w:t xml:space="preserve">B</w:t>
      </w:r>
      <w:r>
        <w:t xml:space="preserve">enchmark metrics remain necessary, but they are not sufficient for clinical validation. A model can achieve high overall accuracy while failing on rare yet clinically consequential categories. Weighted scores may obscure failures in underrepresented classe</w:t>
      </w:r>
      <w:r>
        <w:t xml:space="preserve">s, and single-point metrics may not capture the clinical implications of specific error types.</w:t>
      </w:r>
      <w:r/>
    </w:p>
    <w:p w14:paraId="4A441F6B">
      <w:pPr>
        <w:pStyle w:val="1128"/>
        <w:suppressLineNumbers w:val="false"/>
        <w:pBdr/>
        <w:spacing w:line="300" w:lineRule="auto"/>
        <w:ind w:firstLine="720"/>
        <w:rPr/>
      </w:pPr>
      <w:r>
        <w:t xml:space="preserve">F</w:t>
      </w:r>
      <w:r>
        <w:t xml:space="preserve">or severity-oriented tasks, ordinal relationships are also important. Confusing adjacent grades is not equivalent to missing severe disease altogether. Therefore, evaluation design in clinical MedVQA should include classwise metrics, imbalance-aware metric</w:t>
      </w:r>
      <w:r>
        <w:t xml:space="preserve">s, ordinally sensitive metrics, and scenario-level acceptance logic.</w:t>
      </w:r>
      <w:r/>
    </w:p>
    <w:p w14:paraId="422F1720">
      <w:pPr>
        <w:pStyle w:val="1128"/>
        <w:suppressLineNumbers w:val="false"/>
        <w:pBdr/>
        <w:spacing w:line="300" w:lineRule="auto"/>
        <w:ind w:firstLine="720"/>
        <w:rPr/>
      </w:pPr>
      <w:r>
        <w:t xml:space="preserve">T</w:t>
      </w:r>
      <w:r>
        <w:t xml:space="preserve">his dissertation adopts that broader evaluation view from Chapter 1 onward. In addition, answer format itself is treated as an evaluable design choice. For certain use cases, label-only output may be sufficient; for others, clinicians may require rationale</w:t>
      </w:r>
      <w:r>
        <w:t xml:space="preserve">, confidence estimates, or evidence pointers. A reliable clinical assistant must be assessed on both predictive accuracy and output usability.</w:t>
      </w:r>
      <w:r/>
    </w:p>
    <w:p w14:paraId="7DC3B329">
      <w:pPr>
        <w:pStyle w:val="1128"/>
        <w:suppressLineNumbers w:val="false"/>
        <w:pBdr/>
        <w:spacing w:line="300" w:lineRule="auto"/>
        <w:ind w:firstLine="0"/>
        <w:rPr>
          <w:b/>
          <w:bCs/>
          <w:sz w:val="28"/>
          <w:szCs w:val="28"/>
        </w:rPr>
      </w:pPr>
      <w:r>
        <w:rPr>
          <w:b/>
          <w:bCs/>
          <w:sz w:val="28"/>
          <w:szCs w:val="28"/>
        </w:rPr>
        <w:t xml:space="preserve">1.2 Why GI Endoscopy and Colonoscopy</w:t>
      </w:r>
      <w:r>
        <w:rPr>
          <w:b/>
          <w:bCs/>
          <w:sz w:val="28"/>
          <w:szCs w:val="28"/>
        </w:rPr>
      </w:r>
      <w:r>
        <w:rPr>
          <w:b/>
          <w:bCs/>
          <w:sz w:val="28"/>
          <w:szCs w:val="28"/>
        </w:rPr>
      </w:r>
    </w:p>
    <w:p w14:paraId="2238219F">
      <w:pPr>
        <w:pStyle w:val="1128"/>
        <w:suppressLineNumbers w:val="false"/>
        <w:pBdr/>
        <w:spacing w:line="300" w:lineRule="auto"/>
        <w:ind w:firstLine="0"/>
        <w:rPr/>
      </w:pPr>
      <w:r>
        <w:t xml:space="preserve">Gastrointestinal (GI) endoscopy is a strategically important target for MedVQA from both clinical and methodological perspectives.</w:t>
      </w:r>
      <w:r/>
    </w:p>
    <w:p w14:paraId="34E4FC19">
      <w:pPr>
        <w:pStyle w:val="1128"/>
        <w:suppressLineNumbers w:val="false"/>
        <w:pBdr/>
        <w:spacing w:line="300" w:lineRule="auto"/>
        <w:ind w:firstLine="720"/>
        <w:rPr/>
      </w:pPr>
      <w:r>
        <w:t xml:space="preserve">C</w:t>
      </w:r>
      <w:r>
        <w:t xml:space="preserve">linically, colonoscopy supports screening, diagnosis, and follow-up across multiple disease contexts, including colorectal neoplasia and inflammatory bowel disease. Endoscopic interpretation directly affects treatment escalation, surveillance decisions, an</w:t>
      </w:r>
      <w:r>
        <w:t xml:space="preserve">d procedural reporting. In routine practice, clinicians frequently pose focused questions such as:</w:t>
      </w:r>
      <w:r/>
    </w:p>
    <w:p w14:paraId="721F4E92">
      <w:pPr>
        <w:pStyle w:val="1128"/>
        <w:numPr>
          <w:ilvl w:val="0"/>
          <w:numId w:val="11"/>
        </w:numPr>
        <w:suppressLineNumbers w:val="false"/>
        <w:pBdr/>
        <w:spacing w:line="120" w:lineRule="auto"/>
        <w:ind/>
        <w:rPr/>
      </w:pPr>
      <w:r>
        <w:t xml:space="preserve">Is an abnormality present?</w:t>
      </w:r>
      <w:r/>
    </w:p>
    <w:p w14:paraId="60356D3B">
      <w:pPr>
        <w:pStyle w:val="1128"/>
        <w:numPr>
          <w:ilvl w:val="0"/>
          <w:numId w:val="11"/>
        </w:numPr>
        <w:suppressLineNumbers w:val="false"/>
        <w:pBdr/>
        <w:spacing w:line="120" w:lineRule="auto"/>
        <w:ind/>
        <w:rPr/>
      </w:pPr>
      <w:r>
        <w:t xml:space="preserve">How many findings are visible?</w:t>
      </w:r>
      <w:r/>
    </w:p>
    <w:p w14:paraId="34D6544D">
      <w:pPr>
        <w:pStyle w:val="1128"/>
        <w:numPr>
          <w:ilvl w:val="0"/>
          <w:numId w:val="11"/>
        </w:numPr>
        <w:suppressLineNumbers w:val="false"/>
        <w:pBdr/>
        <w:spacing w:line="120" w:lineRule="auto"/>
        <w:ind/>
        <w:rPr/>
      </w:pPr>
      <w:r>
        <w:t xml:space="preserve">Where is the lesion located?</w:t>
      </w:r>
      <w:r/>
    </w:p>
    <w:p w14:paraId="3BB894DE">
      <w:pPr>
        <w:pStyle w:val="1128"/>
        <w:numPr>
          <w:ilvl w:val="0"/>
          <w:numId w:val="11"/>
        </w:numPr>
        <w:suppressLineNumbers w:val="false"/>
        <w:pBdr/>
        <w:spacing w:line="120" w:lineRule="auto"/>
        <w:ind/>
        <w:rPr/>
      </w:pPr>
      <w:r>
        <w:t xml:space="preserve">What type or morphology is observed?</w:t>
      </w:r>
      <w:r/>
    </w:p>
    <w:p w14:paraId="151B2E34">
      <w:pPr>
        <w:pStyle w:val="1128"/>
        <w:numPr>
          <w:ilvl w:val="0"/>
          <w:numId w:val="11"/>
        </w:numPr>
        <w:suppressLineNumbers w:val="false"/>
        <w:pBdr/>
        <w:spacing w:line="120" w:lineRule="auto"/>
        <w:ind/>
        <w:rPr/>
      </w:pPr>
      <w:r>
        <w:t xml:space="preserve">What is the likely severity of inflammation?</w:t>
      </w:r>
      <w:r/>
    </w:p>
    <w:p w14:paraId="2E00C101">
      <w:pPr>
        <w:pStyle w:val="1128"/>
        <w:suppressLineNumbers w:val="false"/>
        <w:pBdr/>
        <w:spacing w:line="300" w:lineRule="auto"/>
        <w:ind w:firstLine="0"/>
        <w:rPr/>
      </w:pPr>
      <w:r>
        <w:t xml:space="preserve">These question types map naturally to MedVQA task families and are suitable for systematic evaluation.</w:t>
      </w:r>
      <w:r/>
    </w:p>
    <w:p w14:paraId="47040743">
      <w:pPr>
        <w:pStyle w:val="1128"/>
        <w:suppressLineNumbers w:val="false"/>
        <w:pBdr/>
        <w:spacing w:line="300" w:lineRule="auto"/>
        <w:ind w:firstLine="720"/>
        <w:rPr/>
      </w:pPr>
      <w:r>
        <w:t xml:space="preserve">F</w:t>
      </w:r>
      <w:r>
        <w:t xml:space="preserve">rom a technical perspective, GI endoscopy is challenging. Image quality can vary due to motion blur, specular reflections, debris, variable bowel preparation, and viewpoint variation. Question-answer distributions can be highly imbalanced, with clinically </w:t>
      </w:r>
      <w:r>
        <w:t xml:space="preserve">important severe classes often underrepresented. Consequently, colonoscopy MedVQA provides a realistic and stringent setting for evaluating reliability under domain shift and class imbalance.</w:t>
      </w:r>
      <w:r/>
    </w:p>
    <w:p w14:paraId="3E7DDF47">
      <w:pPr>
        <w:pStyle w:val="1128"/>
        <w:suppressLineNumbers w:val="false"/>
        <w:pBdr/>
        <w:spacing w:line="300" w:lineRule="auto"/>
        <w:ind w:firstLine="0"/>
        <w:rPr/>
      </w:pPr>
      <w:r>
        <w:t xml:space="preserve">Recent dataset development makes this thesis direction feasible:</w:t>
      </w:r>
      <w:r/>
    </w:p>
    <w:p w14:paraId="734AA1D9">
      <w:pPr>
        <w:pStyle w:val="1128"/>
        <w:numPr>
          <w:ilvl w:val="0"/>
          <w:numId w:val="12"/>
        </w:numPr>
        <w:suppressLineNumbers w:val="false"/>
        <w:pBdr/>
        <w:spacing w:after="240" w:before="120" w:line="300" w:lineRule="auto"/>
        <w:ind/>
        <w:rPr/>
      </w:pPr>
      <w:r>
        <w:t xml:space="preserve">Kvasir-VQA introduced GI-focused visual question answering at scale (58,849 QA pairs over 6,500 images) [12], [19].</w:t>
      </w:r>
      <w:r/>
    </w:p>
    <w:p w14:paraId="49416A30">
      <w:pPr>
        <w:pStyle w:val="1128"/>
        <w:numPr>
          <w:ilvl w:val="0"/>
          <w:numId w:val="12"/>
        </w:numPr>
        <w:suppressLineNumbers w:val="false"/>
        <w:pBdr/>
        <w:spacing w:after="240" w:before="120" w:line="300" w:lineRule="auto"/>
        <w:ind/>
        <w:rPr/>
      </w:pPr>
      <w:r>
        <w:t xml:space="preserve">Kvasir-VQA-x1 expanded complexity and scale (159,549 QA pairs) and introduced transformed/robustness-oriented settings [13].</w:t>
      </w:r>
      <w:r/>
    </w:p>
    <w:p w14:paraId="43E406F3">
      <w:pPr>
        <w:pStyle w:val="1128"/>
        <w:numPr>
          <w:ilvl w:val="0"/>
          <w:numId w:val="12"/>
        </w:numPr>
        <w:suppressLineNumbers w:val="false"/>
        <w:pBdr/>
        <w:spacing w:after="240" w:before="120" w:line="300" w:lineRule="auto"/>
        <w:ind/>
        <w:rPr/>
      </w:pPr>
      <w:r>
        <w:t xml:space="preserve">ImageCLEF MEDVQA-GI provided shared benchmarking tracks for GI VQA [10], [11].</w:t>
      </w:r>
      <w:r/>
    </w:p>
    <w:p w14:paraId="5132C9B7">
      <w:pPr>
        <w:pStyle w:val="1128"/>
        <w:numPr>
          <w:ilvl w:val="0"/>
          <w:numId w:val="12"/>
        </w:numPr>
        <w:suppressLineNumbers w:val="false"/>
        <w:pBdr/>
        <w:spacing w:after="240" w:before="120" w:line="300" w:lineRule="auto"/>
        <w:ind/>
        <w:rPr/>
      </w:pPr>
      <w:r>
        <w:t xml:space="preserve">HyperKvasir and LIMUC provide broader GI visual context and severity-oriented subsets [15], [18].</w:t>
      </w:r>
      <w:r>
        <w:rPr>
          <w:highlight w:val="none"/>
        </w:rPr>
      </w:r>
      <w:r/>
    </w:p>
    <w:p w14:paraId="1C29015A">
      <w:pPr>
        <w:pStyle w:val="1128"/>
        <w:suppressLineNumbers w:val="false"/>
        <w:pBdr/>
        <w:spacing w:line="300" w:lineRule="auto"/>
        <w:ind w:firstLine="0"/>
        <w:rPr>
          <w:highlight w:val="none"/>
        </w:rPr>
      </w:pPr>
      <w:r>
        <w:t xml:space="preserve">These resources enable reproducible analysis, but they do not remove the central challenge: building systems that remain reliable not only on common benchmark patterns, but also on clinically high-risk cases.</w:t>
      </w:r>
      <w:r>
        <w:rPr>
          <w:highlight w:val="none"/>
        </w:rPr>
      </w:r>
      <w:r>
        <w:rPr>
          <w:highlight w:val="none"/>
        </w:rPr>
      </w:r>
    </w:p>
    <w:p w14:paraId="5ACADD6D">
      <w:pPr>
        <w:pStyle w:val="1128"/>
        <w:suppressLineNumbers w:val="false"/>
        <w:pBdr/>
        <w:spacing w:line="300" w:lineRule="auto"/>
        <w:ind w:firstLine="0"/>
        <w:rPr>
          <w:b/>
          <w:bCs/>
          <w:highlight w:val="none"/>
        </w:rPr>
      </w:pPr>
      <w:r>
        <w:rPr>
          <w:b/>
          <w:bCs/>
          <w:highlight w:val="none"/>
          <w:lang w:val="en-US"/>
        </w:rPr>
        <w:t xml:space="preserve">1.2.1 </w:t>
      </w:r>
      <w:r>
        <w:rPr>
          <w:b/>
          <w:bCs/>
          <w:highlight w:val="none"/>
        </w:rPr>
        <w:t xml:space="preserve">Colonoscopy Question Families and Their Decision Roles</w:t>
      </w:r>
      <w:r>
        <w:rPr>
          <w:b/>
          <w:bCs/>
          <w:highlight w:val="none"/>
        </w:rPr>
      </w:r>
      <w:r>
        <w:rPr>
          <w:b/>
          <w:bCs/>
          <w:highlight w:val="none"/>
        </w:rPr>
      </w:r>
    </w:p>
    <w:p w14:paraId="2440C9D2">
      <w:pPr>
        <w:pStyle w:val="1128"/>
        <w:suppressLineNumbers w:val="false"/>
        <w:pBdr/>
        <w:spacing w:line="300" w:lineRule="auto"/>
        <w:ind w:firstLine="0"/>
        <w:rPr>
          <w:highlight w:val="none"/>
        </w:rPr>
      </w:pPr>
      <w:r>
        <w:rPr>
          <w:highlight w:val="none"/>
        </w:rPr>
      </w:r>
      <w:r>
        <w:rPr>
          <w:highlight w:val="none"/>
        </w:rPr>
        <w:t xml:space="preserve">To ensure methodological clarity, this thesis maps question families to their clinical decision roles.</w:t>
      </w:r>
      <w:r>
        <w:rPr>
          <w:highlight w:val="none"/>
        </w:rPr>
      </w:r>
      <w:r>
        <w:rPr>
          <w:highlight w:val="none"/>
        </w:rPr>
      </w:r>
    </w:p>
    <w:tbl>
      <w:tblPr>
        <w:tblStyle w:val="1185"/>
        <w:tblW w:w="0" w:type="auto"/>
        <w:tblBorders/>
        <w:tblLook w:val="04A0" w:firstRow="1" w:lastRow="0" w:firstColumn="1" w:lastColumn="0" w:noHBand="0" w:noVBand="1"/>
      </w:tblPr>
      <w:tblGrid>
        <w:gridCol w:w="2160"/>
        <w:gridCol w:w="2160"/>
        <w:gridCol w:w="2160"/>
        <w:gridCol w:w="2160"/>
      </w:tblGrid>
      <w:tr>
        <w:trPr/>
        <w:tc>
          <w:tcPr>
            <w:tcBorders/>
            <w:tcW w:w="2160" w:type="dxa"/>
            <w:textDirection w:val="lrTb"/>
            <w:noWrap w:val="false"/>
          </w:tcPr>
          <w:p w14:paraId="49006CFE">
            <w:pPr>
              <w:suppressLineNumbers w:val="false"/>
              <w:pBdr/>
              <w:spacing w:after="0" w:before="0" w:line="300" w:lineRule="auto"/>
              <w:ind/>
              <w:rPr>
                <w:color w:val="000000" w:themeColor="text1"/>
              </w:rPr>
            </w:pPr>
            <w:r>
              <w:rPr>
                <w:rFonts w:ascii="Arial" w:hAnsi="Arial" w:eastAsia="Arial" w:cs="Arial"/>
                <w:b/>
                <w:color w:val="000000" w:themeColor="text1"/>
                <w:sz w:val="21"/>
              </w:rPr>
              <w:t xml:space="preserve">Question family</w:t>
            </w:r>
            <w:r>
              <w:rPr>
                <w:color w:val="000000" w:themeColor="text1"/>
              </w:rPr>
            </w:r>
            <w:r>
              <w:rPr>
                <w:color w:val="000000" w:themeColor="text1"/>
              </w:rPr>
            </w:r>
          </w:p>
        </w:tc>
        <w:tc>
          <w:tcPr>
            <w:tcBorders/>
            <w:tcW w:w="2160" w:type="dxa"/>
            <w:textDirection w:val="lrTb"/>
            <w:noWrap w:val="false"/>
          </w:tcPr>
          <w:p w14:paraId="73864AC6">
            <w:pPr>
              <w:suppressLineNumbers w:val="false"/>
              <w:pBdr/>
              <w:spacing w:after="0" w:before="0" w:line="300" w:lineRule="auto"/>
              <w:ind/>
              <w:rPr>
                <w:color w:val="000000" w:themeColor="text1"/>
              </w:rPr>
            </w:pPr>
            <w:r>
              <w:rPr>
                <w:rFonts w:ascii="Arial" w:hAnsi="Arial" w:eastAsia="Arial" w:cs="Arial"/>
                <w:b/>
                <w:color w:val="000000" w:themeColor="text1"/>
                <w:sz w:val="21"/>
              </w:rPr>
              <w:t xml:space="preserve">Example</w:t>
            </w:r>
            <w:r>
              <w:rPr>
                <w:color w:val="000000" w:themeColor="text1"/>
              </w:rPr>
            </w:r>
            <w:r>
              <w:rPr>
                <w:color w:val="000000" w:themeColor="text1"/>
              </w:rPr>
            </w:r>
          </w:p>
        </w:tc>
        <w:tc>
          <w:tcPr>
            <w:tcBorders/>
            <w:tcW w:w="2160" w:type="dxa"/>
            <w:textDirection w:val="lrTb"/>
            <w:noWrap w:val="false"/>
          </w:tcPr>
          <w:p w14:paraId="7CBA5471">
            <w:pPr>
              <w:suppressLineNumbers w:val="false"/>
              <w:pBdr/>
              <w:spacing w:after="0" w:before="0" w:line="300" w:lineRule="auto"/>
              <w:ind/>
              <w:rPr>
                <w:color w:val="000000" w:themeColor="text1"/>
              </w:rPr>
            </w:pPr>
            <w:r>
              <w:rPr>
                <w:rFonts w:ascii="Arial" w:hAnsi="Arial" w:eastAsia="Arial" w:cs="Arial"/>
                <w:b/>
                <w:color w:val="000000" w:themeColor="text1"/>
                <w:sz w:val="21"/>
              </w:rPr>
              <w:t xml:space="preserve">Dominant challenge</w:t>
            </w:r>
            <w:r>
              <w:rPr>
                <w:color w:val="000000" w:themeColor="text1"/>
              </w:rPr>
            </w:r>
            <w:r>
              <w:rPr>
                <w:color w:val="000000" w:themeColor="text1"/>
              </w:rPr>
            </w:r>
          </w:p>
        </w:tc>
        <w:tc>
          <w:tcPr>
            <w:tcBorders/>
            <w:tcW w:w="2160" w:type="dxa"/>
            <w:textDirection w:val="lrTb"/>
            <w:noWrap w:val="false"/>
          </w:tcPr>
          <w:p w14:paraId="259194BC">
            <w:pPr>
              <w:suppressLineNumbers w:val="false"/>
              <w:pBdr/>
              <w:spacing w:after="0" w:before="0" w:line="300" w:lineRule="auto"/>
              <w:ind/>
              <w:rPr>
                <w:color w:val="000000" w:themeColor="text1"/>
              </w:rPr>
            </w:pPr>
            <w:r>
              <w:rPr>
                <w:rFonts w:ascii="Arial" w:hAnsi="Arial" w:eastAsia="Arial" w:cs="Arial"/>
                <w:b/>
                <w:color w:val="000000" w:themeColor="text1"/>
                <w:sz w:val="21"/>
              </w:rPr>
              <w:t xml:space="preserve">Decision role</w:t>
            </w:r>
            <w:r>
              <w:rPr>
                <w:color w:val="000000" w:themeColor="text1"/>
              </w:rPr>
            </w:r>
            <w:r>
              <w:rPr>
                <w:color w:val="000000" w:themeColor="text1"/>
              </w:rPr>
            </w:r>
          </w:p>
        </w:tc>
      </w:tr>
      <w:tr>
        <w:trPr/>
        <w:tc>
          <w:tcPr>
            <w:tcBorders/>
            <w:tcW w:w="2160" w:type="dxa"/>
            <w:textDirection w:val="lrTb"/>
            <w:noWrap w:val="false"/>
          </w:tcPr>
          <w:p w14:paraId="15099791">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Presence</w:t>
            </w:r>
            <w:r>
              <w:rPr>
                <w:color w:val="000000" w:themeColor="text1"/>
              </w:rPr>
            </w:r>
            <w:r>
              <w:rPr>
                <w:color w:val="000000" w:themeColor="text1"/>
              </w:rPr>
            </w:r>
          </w:p>
        </w:tc>
        <w:tc>
          <w:tcPr>
            <w:tcBorders/>
            <w:tcW w:w="2160" w:type="dxa"/>
            <w:textDirection w:val="lrTb"/>
            <w:noWrap w:val="false"/>
          </w:tcPr>
          <w:p w14:paraId="4DCA3DC6">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"Is there active bleeding?"</w:t>
            </w:r>
            <w:r>
              <w:rPr>
                <w:color w:val="000000" w:themeColor="text1"/>
              </w:rPr>
            </w:r>
            <w:r>
              <w:rPr>
                <w:color w:val="000000" w:themeColor="text1"/>
              </w:rPr>
            </w:r>
          </w:p>
        </w:tc>
        <w:tc>
          <w:tcPr>
            <w:tcBorders/>
            <w:tcW w:w="2160" w:type="dxa"/>
            <w:textDirection w:val="lrTb"/>
            <w:noWrap w:val="false"/>
          </w:tcPr>
          <w:p w14:paraId="64628A52">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False-negative control</w:t>
            </w:r>
            <w:r>
              <w:rPr>
                <w:color w:val="000000" w:themeColor="text1"/>
              </w:rPr>
            </w:r>
            <w:r>
              <w:rPr>
                <w:color w:val="000000" w:themeColor="text1"/>
              </w:rPr>
            </w:r>
          </w:p>
        </w:tc>
        <w:tc>
          <w:tcPr>
            <w:tcBorders/>
            <w:tcW w:w="2160" w:type="dxa"/>
            <w:textDirection w:val="lrTb"/>
            <w:noWrap w:val="false"/>
          </w:tcPr>
          <w:p w14:paraId="71AFA437">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Immediate risk awareness</w:t>
            </w:r>
            <w:r>
              <w:rPr>
                <w:color w:val="000000" w:themeColor="text1"/>
              </w:rPr>
            </w:r>
            <w:r>
              <w:rPr>
                <w:color w:val="000000" w:themeColor="text1"/>
              </w:rPr>
            </w:r>
          </w:p>
        </w:tc>
      </w:tr>
      <w:tr>
        <w:trPr/>
        <w:tc>
          <w:tcPr>
            <w:tcBorders/>
            <w:tcW w:w="2160" w:type="dxa"/>
            <w:textDirection w:val="lrTb"/>
            <w:noWrap w:val="false"/>
          </w:tcPr>
          <w:p w14:paraId="227DB3DC">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Count</w:t>
            </w:r>
            <w:r>
              <w:rPr>
                <w:color w:val="000000" w:themeColor="text1"/>
              </w:rPr>
            </w:r>
            <w:r>
              <w:rPr>
                <w:color w:val="000000" w:themeColor="text1"/>
              </w:rPr>
            </w:r>
          </w:p>
        </w:tc>
        <w:tc>
          <w:tcPr>
            <w:tcBorders/>
            <w:tcW w:w="2160" w:type="dxa"/>
            <w:textDirection w:val="lrTb"/>
            <w:noWrap w:val="false"/>
          </w:tcPr>
          <w:p w14:paraId="32362732">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"How many polyps are visible?"</w:t>
            </w:r>
            <w:r>
              <w:rPr>
                <w:color w:val="000000" w:themeColor="text1"/>
              </w:rPr>
            </w:r>
            <w:r>
              <w:rPr>
                <w:color w:val="000000" w:themeColor="text1"/>
              </w:rPr>
            </w:r>
          </w:p>
        </w:tc>
        <w:tc>
          <w:tcPr>
            <w:tcBorders/>
            <w:tcW w:w="2160" w:type="dxa"/>
            <w:textDirection w:val="lrTb"/>
            <w:noWrap w:val="false"/>
          </w:tcPr>
          <w:p w14:paraId="4059F805">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Counting under occlusion and partial views</w:t>
            </w:r>
            <w:r>
              <w:rPr>
                <w:color w:val="000000" w:themeColor="text1"/>
              </w:rPr>
            </w:r>
            <w:r>
              <w:rPr>
                <w:color w:val="000000" w:themeColor="text1"/>
              </w:rPr>
            </w:r>
          </w:p>
        </w:tc>
        <w:tc>
          <w:tcPr>
            <w:tcBorders/>
            <w:tcW w:w="2160" w:type="dxa"/>
            <w:textDirection w:val="lrTb"/>
            <w:noWrap w:val="false"/>
          </w:tcPr>
          <w:p w14:paraId="745BEDE6">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Completeness and burden estimation</w:t>
            </w:r>
            <w:r>
              <w:rPr>
                <w:color w:val="000000" w:themeColor="text1"/>
              </w:rPr>
            </w:r>
            <w:r>
              <w:rPr>
                <w:color w:val="000000" w:themeColor="text1"/>
              </w:rPr>
            </w:r>
          </w:p>
        </w:tc>
      </w:tr>
      <w:tr>
        <w:trPr/>
        <w:tc>
          <w:tcPr>
            <w:tcBorders/>
            <w:tcW w:w="2160" w:type="dxa"/>
            <w:textDirection w:val="lrTb"/>
            <w:noWrap w:val="false"/>
          </w:tcPr>
          <w:p w14:paraId="09869B8D">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Location</w:t>
            </w:r>
            <w:r>
              <w:rPr>
                <w:color w:val="000000" w:themeColor="text1"/>
              </w:rPr>
            </w:r>
            <w:r>
              <w:rPr>
                <w:color w:val="000000" w:themeColor="text1"/>
              </w:rPr>
            </w:r>
          </w:p>
        </w:tc>
        <w:tc>
          <w:tcPr>
            <w:tcBorders/>
            <w:tcW w:w="2160" w:type="dxa"/>
            <w:textDirection w:val="lrTb"/>
            <w:noWrap w:val="false"/>
          </w:tcPr>
          <w:p w14:paraId="442DA1AE">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"Where is the lesion?"</w:t>
            </w:r>
            <w:r>
              <w:rPr>
                <w:color w:val="000000" w:themeColor="text1"/>
              </w:rPr>
            </w:r>
            <w:r>
              <w:rPr>
                <w:color w:val="000000" w:themeColor="text1"/>
              </w:rPr>
            </w:r>
          </w:p>
        </w:tc>
        <w:tc>
          <w:tcPr>
            <w:tcBorders/>
            <w:tcW w:w="2160" w:type="dxa"/>
            <w:textDirection w:val="lrTb"/>
            <w:noWrap w:val="false"/>
          </w:tcPr>
          <w:p w14:paraId="26FFC47B">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Spatial grounding consistency</w:t>
            </w:r>
            <w:r>
              <w:rPr>
                <w:color w:val="000000" w:themeColor="text1"/>
              </w:rPr>
            </w:r>
            <w:r>
              <w:rPr>
                <w:color w:val="000000" w:themeColor="text1"/>
              </w:rPr>
            </w:r>
          </w:p>
        </w:tc>
        <w:tc>
          <w:tcPr>
            <w:tcBorders/>
            <w:tcW w:w="2160" w:type="dxa"/>
            <w:textDirection w:val="lrTb"/>
            <w:noWrap w:val="false"/>
          </w:tcPr>
          <w:p w14:paraId="5AD6A51B">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Procedural precision and reporting</w:t>
            </w:r>
            <w:r>
              <w:rPr>
                <w:color w:val="000000" w:themeColor="text1"/>
              </w:rPr>
            </w:r>
            <w:r>
              <w:rPr>
                <w:color w:val="000000" w:themeColor="text1"/>
              </w:rPr>
            </w:r>
          </w:p>
        </w:tc>
      </w:tr>
      <w:tr>
        <w:trPr/>
        <w:tc>
          <w:tcPr>
            <w:tcBorders/>
            <w:tcW w:w="2160" w:type="dxa"/>
            <w:textDirection w:val="lrTb"/>
            <w:noWrap w:val="false"/>
          </w:tcPr>
          <w:p w14:paraId="1382E74E">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Type/Attribute</w:t>
            </w:r>
            <w:r>
              <w:rPr>
                <w:color w:val="000000" w:themeColor="text1"/>
              </w:rPr>
            </w:r>
            <w:r>
              <w:rPr>
                <w:color w:val="000000" w:themeColor="text1"/>
              </w:rPr>
            </w:r>
          </w:p>
        </w:tc>
        <w:tc>
          <w:tcPr>
            <w:tcBorders/>
            <w:tcW w:w="2160" w:type="dxa"/>
            <w:textDirection w:val="lrTb"/>
            <w:noWrap w:val="false"/>
          </w:tcPr>
          <w:p w14:paraId="242835B2">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"What polyp morphology is present?"</w:t>
            </w:r>
            <w:r>
              <w:rPr>
                <w:color w:val="000000" w:themeColor="text1"/>
              </w:rPr>
            </w:r>
            <w:r>
              <w:rPr>
                <w:color w:val="000000" w:themeColor="text1"/>
              </w:rPr>
            </w:r>
          </w:p>
        </w:tc>
        <w:tc>
          <w:tcPr>
            <w:tcBorders/>
            <w:tcW w:w="2160" w:type="dxa"/>
            <w:textDirection w:val="lrTb"/>
            <w:noWrap w:val="false"/>
          </w:tcPr>
          <w:p w14:paraId="1D56669B">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Fine-grained differentiation</w:t>
            </w:r>
            <w:r>
              <w:rPr>
                <w:color w:val="000000" w:themeColor="text1"/>
              </w:rPr>
            </w:r>
            <w:r>
              <w:rPr>
                <w:color w:val="000000" w:themeColor="text1"/>
              </w:rPr>
            </w:r>
          </w:p>
        </w:tc>
        <w:tc>
          <w:tcPr>
            <w:tcBorders/>
            <w:tcW w:w="2160" w:type="dxa"/>
            <w:textDirection w:val="lrTb"/>
            <w:noWrap w:val="false"/>
          </w:tcPr>
          <w:p w14:paraId="5ABB4EBC">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Risk stratification and follow-up planning</w:t>
            </w:r>
            <w:r>
              <w:rPr>
                <w:color w:val="000000" w:themeColor="text1"/>
              </w:rPr>
            </w:r>
            <w:r>
              <w:rPr>
                <w:color w:val="000000" w:themeColor="text1"/>
              </w:rPr>
            </w:r>
          </w:p>
        </w:tc>
      </w:tr>
      <w:tr>
        <w:trPr/>
        <w:tc>
          <w:tcPr>
            <w:tcBorders/>
            <w:tcW w:w="2160" w:type="dxa"/>
            <w:textDirection w:val="lrTb"/>
            <w:noWrap w:val="false"/>
          </w:tcPr>
          <w:p w14:paraId="1587B7C9">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Severity</w:t>
            </w:r>
            <w:r>
              <w:rPr>
                <w:color w:val="000000" w:themeColor="text1"/>
              </w:rPr>
            </w:r>
            <w:r>
              <w:rPr>
                <w:color w:val="000000" w:themeColor="text1"/>
              </w:rPr>
            </w:r>
          </w:p>
        </w:tc>
        <w:tc>
          <w:tcPr>
            <w:tcBorders/>
            <w:tcW w:w="2160" w:type="dxa"/>
            <w:textDirection w:val="lrTb"/>
            <w:noWrap w:val="false"/>
          </w:tcPr>
          <w:p w14:paraId="74C101DC">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"What is the likely Mayo score?"</w:t>
            </w:r>
            <w:r>
              <w:rPr>
                <w:color w:val="000000" w:themeColor="text1"/>
              </w:rPr>
            </w:r>
            <w:r>
              <w:rPr>
                <w:color w:val="000000" w:themeColor="text1"/>
              </w:rPr>
            </w:r>
          </w:p>
        </w:tc>
        <w:tc>
          <w:tcPr>
            <w:tcBorders/>
            <w:tcW w:w="2160" w:type="dxa"/>
            <w:textDirection w:val="lrTb"/>
            <w:noWrap w:val="false"/>
          </w:tcPr>
          <w:p w14:paraId="3EED6DD8">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Ordinal robustness under imbalance</w:t>
            </w:r>
            <w:r>
              <w:rPr>
                <w:color w:val="000000" w:themeColor="text1"/>
              </w:rPr>
            </w:r>
            <w:r>
              <w:rPr>
                <w:color w:val="000000" w:themeColor="text1"/>
              </w:rPr>
            </w:r>
          </w:p>
        </w:tc>
        <w:tc>
          <w:tcPr>
            <w:tcBorders/>
            <w:tcW w:w="2160" w:type="dxa"/>
            <w:textDirection w:val="lrTb"/>
            <w:noWrap w:val="false"/>
          </w:tcPr>
          <w:p w14:paraId="0B936F8F">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Treatment planning and monitoring</w:t>
            </w:r>
            <w:r>
              <w:rPr>
                <w:color w:val="000000" w:themeColor="text1"/>
              </w:rPr>
            </w:r>
            <w:r>
              <w:rPr>
                <w:color w:val="000000" w:themeColor="text1"/>
              </w:rPr>
            </w:r>
          </w:p>
        </w:tc>
      </w:tr>
    </w:tbl>
    <w:p w14:paraId="5E097008">
      <w:pPr>
        <w:pStyle w:val="1128"/>
        <w:suppressLineNumbers w:val="false"/>
        <w:pBdr/>
        <w:spacing w:line="300" w:lineRule="auto"/>
        <w:ind w:firstLine="0"/>
        <w:rPr>
          <w:highlight w:val="none"/>
        </w:rPr>
      </w:pPr>
      <w:r>
        <w:rPr>
          <w:highlight w:val="none"/>
        </w:rPr>
      </w:r>
      <w:r>
        <w:rPr>
          <w:highlight w:val="none"/>
        </w:rPr>
        <w:tab/>
        <w:tab/>
        <w:tab/>
        <w:tab/>
        <w:tab/>
      </w:r>
      <w:r>
        <w:rPr>
          <w:highlight w:val="none"/>
          <w:lang w:val="en-US"/>
        </w:rPr>
        <w:t xml:space="preserve">Table 1.1</w:t>
      </w:r>
      <w:r>
        <w:rPr>
          <w:highlight w:val="none"/>
        </w:rPr>
      </w:r>
      <w:r>
        <w:rPr>
          <w:highlight w:val="none"/>
        </w:rPr>
      </w:r>
    </w:p>
    <w:p w14:paraId="7A5A1A66">
      <w:pPr>
        <w:pStyle w:val="1128"/>
        <w:suppressLineNumbers w:val="false"/>
        <w:pBdr/>
        <w:spacing w:line="300" w:lineRule="auto"/>
        <w:ind w:firstLine="0"/>
        <w:rPr>
          <w:b/>
          <w:bCs/>
        </w:rPr>
      </w:pPr>
      <w:r>
        <w:rPr>
          <w:b/>
          <w:bCs/>
          <w:highlight w:val="none"/>
          <w:lang w:val="en-US"/>
        </w:rPr>
        <w:t xml:space="preserve">1.2.2 Operational Constraints </w:t>
      </w:r>
      <w:r>
        <w:rPr>
          <w:b/>
          <w:bCs/>
          <w:highlight w:val="none"/>
          <w:lang w:val="en-US"/>
        </w:rPr>
        <w:t xml:space="preserve">in </w:t>
      </w:r>
      <w:r>
        <w:rPr>
          <w:b/>
          <w:bCs/>
          <w:highlight w:val="none"/>
          <w:lang w:val="en-US"/>
        </w:rPr>
        <w:t xml:space="preserve">Realistic Deployment</w:t>
      </w:r>
      <w:r>
        <w:rPr>
          <w:b/>
          <w:bCs/>
        </w:rPr>
      </w:r>
      <w:r>
        <w:rPr>
          <w:b/>
          <w:bCs/>
        </w:rPr>
      </w:r>
    </w:p>
    <w:p w14:paraId="65032ABB">
      <w:pPr>
        <w:pStyle w:val="1128"/>
        <w:suppressLineNumbers w:val="false"/>
        <w:pBdr/>
        <w:spacing w:line="300" w:lineRule="auto"/>
        <w:ind w:firstLine="720"/>
        <w:rPr/>
      </w:pPr>
      <w:r>
        <w:rPr>
          <w:highlight w:val="none"/>
          <w:lang w:val="en-US"/>
        </w:rPr>
        <w:t xml:space="preserve">E</w:t>
      </w:r>
      <w:r>
        <w:rPr>
          <w:highlight w:val="none"/>
          <w:lang w:val="en-US"/>
        </w:rPr>
        <w:t xml:space="preserve">ven in pre-deployment research, model design should anticipate operational constraints. These include variable image quality, limited severe-class labels, institutional differences in reporting language, and the need for predictable failure behavior. A cli</w:t>
      </w:r>
      <w:r>
        <w:rPr>
          <w:highlight w:val="none"/>
          <w:lang w:val="en-US"/>
        </w:rPr>
        <w:t xml:space="preserve">nically acceptable system is not one that never fails; it is one that fails in ways that are detectable, bounded, and actionable.</w:t>
      </w:r>
      <w:r>
        <w:rPr>
          <w:highlight w:val="none"/>
          <w:lang w:val="en-US"/>
        </w:rPr>
      </w:r>
      <w:r/>
    </w:p>
    <w:p w14:paraId="42DDEE77">
      <w:pPr>
        <w:pStyle w:val="1128"/>
        <w:suppressLineNumbers w:val="false"/>
        <w:pBdr/>
        <w:spacing w:line="300" w:lineRule="auto"/>
        <w:ind w:firstLine="720"/>
        <w:rPr/>
      </w:pPr>
      <w:r>
        <w:rPr>
          <w:highlight w:val="none"/>
          <w:lang w:val="en-US"/>
        </w:rPr>
        <w:t xml:space="preserve">T</w:t>
      </w:r>
      <w:r>
        <w:rPr>
          <w:highlight w:val="none"/>
          <w:lang w:val="en-US"/>
        </w:rPr>
        <w:t xml:space="preserve">hese constraints motivate a conditional architecture. Closed-set pathways are often preferable where deterministic label control is required. Generative pathways can be used for explanation-oriented outputs under explicit safeguards. Retrieval-backed reaso</w:t>
      </w:r>
      <w:r>
        <w:rPr>
          <w:highlight w:val="none"/>
          <w:lang w:val="en-US"/>
        </w:rPr>
        <w:t xml:space="preserve">ning should be introduced selectively for questions that require evidence beyond direct visual interpretation.</w:t>
      </w:r>
      <w:r>
        <w:rPr>
          <w:highlight w:val="none"/>
          <w:lang w:val="en-US"/>
        </w:rPr>
      </w:r>
      <w:r/>
    </w:p>
    <w:p w14:paraId="0F1D191C">
      <w:pPr>
        <w:pStyle w:val="1128"/>
        <w:suppressLineNumbers w:val="false"/>
        <w:pBdr/>
        <w:spacing w:line="300" w:lineRule="auto"/>
        <w:ind w:firstLine="0"/>
        <w:rPr>
          <w:b/>
          <w:bCs/>
          <w:sz w:val="28"/>
          <w:szCs w:val="28"/>
        </w:rPr>
      </w:pPr>
      <w:r>
        <w:rPr>
          <w:b/>
          <w:bCs/>
          <w:sz w:val="28"/>
          <w:szCs w:val="28"/>
        </w:rPr>
        <w:t xml:space="preserve">1.3 Clinical Motivation: Ulcerative Colitis Severity as a Flagship Use Case</w:t>
      </w:r>
      <w:r>
        <w:rPr>
          <w:b/>
          <w:bCs/>
          <w:sz w:val="28"/>
          <w:szCs w:val="28"/>
        </w:rPr>
      </w:r>
      <w:r>
        <w:rPr>
          <w:b/>
          <w:bCs/>
          <w:sz w:val="28"/>
          <w:szCs w:val="28"/>
        </w:rPr>
      </w:r>
    </w:p>
    <w:p w14:paraId="06169318">
      <w:pPr>
        <w:pStyle w:val="1128"/>
        <w:suppressLineNumbers w:val="false"/>
        <w:pBdr/>
        <w:spacing w:line="300" w:lineRule="auto"/>
        <w:ind w:firstLine="720"/>
        <w:rPr/>
      </w:pPr>
      <w:r>
        <w:t xml:space="preserve">U</w:t>
      </w:r>
      <w:r>
        <w:t xml:space="preserve">lcerative colitis (UC) severity assessment is a high-value use case for MedVQA in colonoscopy. Endoscopic severity strongly influences treatment decisions and disease monitoring strategies. In clinical practice, severity is commonly represented by standard</w:t>
      </w:r>
      <w:r>
        <w:t xml:space="preserve">ized scales such as the Mayo Endoscopic Subscore (0-3) and UCEIS (0-8, often mapped to ordinal severity categories). These scales are clinically meaningful, but grading can be difficult in borderline or low-quality frames.</w:t>
      </w:r>
      <w:r/>
    </w:p>
    <w:p w14:paraId="1DF99556">
      <w:pPr>
        <w:pStyle w:val="1128"/>
        <w:suppressLineNumbers w:val="false"/>
        <w:pBdr/>
        <w:spacing w:line="300" w:lineRule="auto"/>
        <w:ind w:firstLine="720"/>
        <w:rPr/>
      </w:pPr>
      <w:r>
        <w:t xml:space="preserve">U</w:t>
      </w:r>
      <w:r>
        <w:t xml:space="preserve">C severity automation is not a new problem. Prior deep learning systems have already shown clinically meaningful performance for endoscopic severity scoring under specialist comparison settings [25], [26], [27], [28]. Related GI quality-grading work with v</w:t>
      </w:r>
      <w:r>
        <w:t xml:space="preserve">i</w:t>
      </w:r>
      <w:r>
        <w:t xml:space="preserve">sion-language models further supports the feasibility of multimodal assistance in endoscopy workflows [17]. These studies establish strong prior art for AI-based severity grading in UC and clarify that the key challenge is no longer "can AI score disease a</w:t>
      </w:r>
      <w:r>
        <w:t xml:space="preserve">t all?" but "can an interactive system remain reliable, grounded, and clinically usable when moved beyond fixed-score outputs?" [14], [16].</w:t>
      </w:r>
      <w:r/>
    </w:p>
    <w:p w14:paraId="24D22E3B">
      <w:pPr>
        <w:pStyle w:val="1128"/>
        <w:suppressLineNumbers w:val="false"/>
        <w:pBdr/>
        <w:spacing w:line="300" w:lineRule="auto"/>
        <w:ind w:firstLine="720"/>
        <w:rPr/>
      </w:pPr>
      <w:r>
        <w:t xml:space="preserve">T</w:t>
      </w:r>
      <w:r>
        <w:t xml:space="preserve">his dissertation therefore does not claim to be the first AI system for UC severity scoring. Its novelty is the integration of (1) GI-oriented MedVQA interaction, (2) risk-aware reliability controls, and (3) evidence-aware extensions for management-style q</w:t>
      </w:r>
      <w:r>
        <w:t xml:space="preserve">uestions. From a MedVQA perspective, UC severity remains methodologically informative because it combines:</w:t>
      </w:r>
      <w:r/>
    </w:p>
    <w:p w14:paraId="68C45EFB">
      <w:pPr>
        <w:pStyle w:val="1128"/>
        <w:numPr>
          <w:ilvl w:val="0"/>
          <w:numId w:val="13"/>
        </w:numPr>
        <w:suppressLineNumbers w:val="false"/>
        <w:pBdr/>
        <w:spacing w:after="240" w:before="120" w:line="120" w:lineRule="auto"/>
        <w:ind/>
        <w:rPr/>
      </w:pPr>
      <w:r>
        <w:t xml:space="preserve">Fine-grained visual discrimination.</w:t>
      </w:r>
      <w:r/>
    </w:p>
    <w:p w14:paraId="202FB3F2">
      <w:pPr>
        <w:pStyle w:val="1128"/>
        <w:numPr>
          <w:ilvl w:val="0"/>
          <w:numId w:val="13"/>
        </w:numPr>
        <w:suppressLineNumbers w:val="false"/>
        <w:pBdr/>
        <w:spacing w:after="240" w:before="120" w:line="120" w:lineRule="auto"/>
        <w:ind/>
        <w:rPr/>
      </w:pPr>
      <w:r>
        <w:t xml:space="preserve">Ordinal class structure.</w:t>
      </w:r>
      <w:r/>
    </w:p>
    <w:p w14:paraId="3563D1FB">
      <w:pPr>
        <w:pStyle w:val="1128"/>
        <w:numPr>
          <w:ilvl w:val="0"/>
          <w:numId w:val="13"/>
        </w:numPr>
        <w:suppressLineNumbers w:val="false"/>
        <w:pBdr/>
        <w:spacing w:after="240" w:before="120" w:line="120" w:lineRule="auto"/>
        <w:ind/>
        <w:rPr/>
      </w:pPr>
      <w:r>
        <w:t xml:space="preserve">Asymmetric clinical cost of errors.</w:t>
      </w:r>
      <w:r/>
    </w:p>
    <w:p w14:paraId="3017EE4A">
      <w:pPr>
        <w:pStyle w:val="1128"/>
        <w:numPr>
          <w:ilvl w:val="0"/>
          <w:numId w:val="13"/>
        </w:numPr>
        <w:suppressLineNumbers w:val="false"/>
        <w:pBdr/>
        <w:spacing w:after="240" w:before="120" w:line="120" w:lineRule="auto"/>
        <w:ind/>
        <w:rPr/>
      </w:pPr>
      <w:r>
        <w:t xml:space="preserve">Potential demand for explanation and uncertainty communication.</w:t>
      </w:r>
      <w:r/>
    </w:p>
    <w:p w14:paraId="2237DF4E">
      <w:pPr>
        <w:pStyle w:val="1128"/>
        <w:suppressLineNumbers w:val="false"/>
        <w:pBdr/>
        <w:spacing w:line="300" w:lineRule="auto"/>
        <w:ind w:firstLine="0"/>
        <w:rPr>
          <w:highlight w:val="none"/>
        </w:rPr>
      </w:pPr>
      <w:r>
        <w:t xml:space="preserve">A</w:t>
      </w:r>
      <w:r>
        <w:t xml:space="preserve"> standard classifier can output a severity label, but a MedVQA interface can additionally provide rationale-oriented responses and controlled follow-up interaction. This thesis adopts that broader perspective while preserving strict emphasis on visual grou</w:t>
      </w:r>
      <w:r>
        <w:t xml:space="preserve">nding.</w:t>
      </w:r>
      <w:r>
        <w:rPr>
          <w:highlight w:val="none"/>
        </w:rPr>
      </w:r>
      <w:r>
        <w:rPr>
          <w:highlight w:val="none"/>
        </w:rPr>
      </w:r>
    </w:p>
    <w:p w14:paraId="753C8B71">
      <w:pPr>
        <w:pStyle w:val="1128"/>
        <w:suppressLineNumbers w:val="false"/>
        <w:pBdr/>
        <w:spacing w:line="300" w:lineRule="auto"/>
        <w:ind w:firstLine="0"/>
        <w:rPr/>
      </w:pPr>
      <w:r>
        <w:rPr>
          <w:highlight w:val="none"/>
        </w:rPr>
      </w:r>
      <w:r>
        <w:rPr>
          <w:highlight w:val="none"/>
        </w:rPr>
      </w:r>
      <w:r/>
    </w:p>
    <w:p w14:paraId="2B89AE6B">
      <w:pPr>
        <w:pStyle w:val="1128"/>
        <w:suppressLineNumbers w:val="false"/>
        <w:pBdr/>
        <w:spacing w:line="300" w:lineRule="auto"/>
        <w:ind w:firstLine="0"/>
        <w:rPr>
          <w:b/>
          <w:bCs/>
        </w:rPr>
      </w:pPr>
      <w:r>
        <w:rPr>
          <w:b/>
          <w:bCs/>
        </w:rPr>
        <w:t xml:space="preserve">1.3.1 Workflow-Oriented Motivation</w:t>
      </w:r>
      <w:r>
        <w:rPr>
          <w:b/>
          <w:bCs/>
        </w:rPr>
      </w:r>
      <w:r>
        <w:rPr>
          <w:b/>
          <w:bCs/>
        </w:rPr>
      </w:r>
    </w:p>
    <w:p w14:paraId="48E249BE">
      <w:pPr>
        <w:pStyle w:val="1128"/>
        <w:suppressLineNumbers w:val="false"/>
        <w:pBdr/>
        <w:spacing w:line="300" w:lineRule="auto"/>
        <w:ind w:firstLine="0"/>
        <w:rPr/>
      </w:pPr>
      <w:r>
        <w:t xml:space="preserve">In practical clinical terms, the decision path is closer to:</w:t>
      </w:r>
      <w:r/>
    </w:p>
    <w:p w14:paraId="4EEF4013">
      <w:pPr>
        <w:pStyle w:val="1128"/>
        <w:suppressLineNumbers w:val="false"/>
        <w:pBdr/>
        <w:spacing w:line="300" w:lineRule="auto"/>
        <w:ind w:firstLine="0"/>
        <w:rPr/>
      </w:pPr>
      <w:r>
        <w:t xml:space="preserve">Endoscopy frame(s)</w:t>
      </w:r>
      <w:r/>
    </w:p>
    <w:p w14:paraId="38C0B0F3">
      <w:pPr>
        <w:pStyle w:val="1128"/>
        <w:suppressLineNumbers w:val="false"/>
        <w:pBdr/>
        <w:spacing w:after="240" w:before="120" w:line="120" w:lineRule="auto"/>
        <w:ind w:firstLine="0"/>
        <w:rPr/>
      </w:pPr>
      <w:r>
        <w:rPr>
          <w:lang w:val="en-US"/>
        </w:rPr>
        <w:t xml:space="preserve">1.</w:t>
      </w:r>
      <w:r>
        <w:t xml:space="preserve"> clinician question</w:t>
      </w:r>
      <w:r/>
    </w:p>
    <w:p w14:paraId="1A02D1D8">
      <w:pPr>
        <w:pStyle w:val="1128"/>
        <w:suppressLineNumbers w:val="false"/>
        <w:pBdr/>
        <w:spacing w:after="240" w:before="120" w:line="120" w:lineRule="auto"/>
        <w:ind w:firstLine="0"/>
        <w:rPr/>
      </w:pPr>
      <w:r>
        <w:rPr>
          <w:lang w:val="en-US"/>
        </w:rPr>
        <w:t xml:space="preserve">2.</w:t>
      </w:r>
      <w:r>
        <w:t xml:space="preserve"> visual-grounded answer</w:t>
      </w:r>
      <w:r/>
    </w:p>
    <w:p w14:paraId="409262C4">
      <w:pPr>
        <w:pStyle w:val="1128"/>
        <w:suppressLineNumbers w:val="false"/>
        <w:pBdr/>
        <w:spacing w:after="240" w:before="120" w:line="120" w:lineRule="auto"/>
        <w:ind w:firstLine="0"/>
        <w:rPr/>
      </w:pPr>
      <w:r>
        <w:rPr>
          <w:lang w:val="en-US"/>
        </w:rPr>
        <w:t xml:space="preserve">3.</w:t>
      </w:r>
      <w:r>
        <w:t xml:space="preserve"> confidence and uncertainty signal</w:t>
      </w:r>
      <w:r/>
    </w:p>
    <w:p w14:paraId="162ECB99">
      <w:pPr>
        <w:pStyle w:val="1128"/>
        <w:suppressLineNumbers w:val="false"/>
        <w:pBdr/>
        <w:spacing w:after="240" w:before="120" w:line="120" w:lineRule="auto"/>
        <w:ind w:firstLine="0"/>
        <w:rPr/>
      </w:pPr>
      <w:r>
        <w:rPr>
          <w:lang w:val="en-US"/>
        </w:rPr>
        <w:t xml:space="preserve">4.</w:t>
      </w:r>
      <w:r>
        <w:t xml:space="preserve"> optional evidence-linked follow-up</w:t>
      </w:r>
      <w:r/>
    </w:p>
    <w:p w14:paraId="043EADB2">
      <w:pPr>
        <w:pStyle w:val="1128"/>
        <w:suppressLineNumbers w:val="false"/>
        <w:pBdr/>
        <w:spacing w:line="300" w:lineRule="auto"/>
        <w:ind w:firstLine="0"/>
        <w:rPr/>
      </w:pPr>
      <w:r>
        <w:t xml:space="preserve">This abstraction motivates the thesis design: MedVQA is treated simultaneously as a perception task, a language task, and a workflow integration task.</w:t>
      </w:r>
      <w:r/>
    </w:p>
    <w:p w14:paraId="152369DF">
      <w:pPr>
        <w:pStyle w:val="1128"/>
        <w:suppressLineNumbers w:val="false"/>
        <w:pBdr/>
        <w:spacing w:line="300" w:lineRule="auto"/>
        <w:ind w:firstLine="0"/>
        <w:rPr>
          <w:b/>
          <w:bCs/>
        </w:rPr>
      </w:pPr>
      <w:r>
        <w:rPr>
          <w:b/>
          <w:bCs/>
        </w:rPr>
        <w:t xml:space="preserve">1.3.2 Why UC Severity Is a High-Value Testbed for Chapter 1</w:t>
      </w:r>
      <w:r>
        <w:rPr>
          <w:b/>
          <w:bCs/>
        </w:rPr>
      </w:r>
      <w:r>
        <w:rPr>
          <w:b/>
          <w:bCs/>
        </w:rPr>
      </w:r>
    </w:p>
    <w:p w14:paraId="3190C939">
      <w:pPr>
        <w:pStyle w:val="1128"/>
        <w:suppressLineNumbers w:val="false"/>
        <w:pBdr/>
        <w:spacing w:line="300" w:lineRule="auto"/>
        <w:ind w:firstLine="720"/>
        <w:rPr/>
      </w:pPr>
      <w:r>
        <w:t xml:space="preserve">U</w:t>
      </w:r>
      <w:r>
        <w:t xml:space="preserve">C severity is used as a flagship testbed in Chapter 1 because it concentrates multiple difficult properties in one clinically relevant problem: subtle visual distinctions, class imbalance, ordinal grading, and high consequence of severe under-calling. If a</w:t>
      </w:r>
      <w:r>
        <w:t xml:space="preserve"> system is not reliable in this setting, its suitability for broader GI decision support is limited.</w:t>
      </w:r>
      <w:r/>
    </w:p>
    <w:p w14:paraId="5A3B7F78">
      <w:pPr>
        <w:pStyle w:val="1128"/>
        <w:suppressLineNumbers w:val="false"/>
        <w:pBdr/>
        <w:spacing w:line="300" w:lineRule="auto"/>
        <w:ind w:firstLine="720"/>
        <w:rPr/>
      </w:pPr>
      <w:r>
        <w:t xml:space="preserve">A</w:t>
      </w:r>
      <w:r>
        <w:t xml:space="preserve">t the same time, UC severity remains experimentally tractable using currently available datasets and persisted repository artifacts. This combination of clinical significance and methodological tractability makes it an appropriate anchor for the dissertati</w:t>
      </w:r>
      <w:r>
        <w:t xml:space="preserve">on.</w:t>
      </w:r>
      <w:r/>
    </w:p>
    <w:p w14:paraId="063C935E">
      <w:pPr>
        <w:pStyle w:val="1128"/>
        <w:suppressLineNumbers w:val="false"/>
        <w:pBdr/>
        <w:spacing w:line="300" w:lineRule="auto"/>
        <w:ind w:firstLine="0"/>
        <w:rPr>
          <w:b/>
          <w:bCs/>
          <w:sz w:val="28"/>
          <w:szCs w:val="28"/>
        </w:rPr>
      </w:pPr>
      <w:r>
        <w:rPr>
          <w:b/>
          <w:bCs/>
          <w:sz w:val="28"/>
          <w:szCs w:val="28"/>
        </w:rPr>
        <w:t xml:space="preserve">1.4 Problem Statement</w:t>
      </w:r>
      <w:r>
        <w:rPr>
          <w:b/>
          <w:bCs/>
          <w:sz w:val="28"/>
          <w:szCs w:val="28"/>
        </w:rPr>
      </w:r>
      <w:r>
        <w:rPr>
          <w:b/>
          <w:bCs/>
          <w:sz w:val="28"/>
          <w:szCs w:val="28"/>
        </w:rPr>
      </w:r>
    </w:p>
    <w:p w14:paraId="004D4DEA">
      <w:pPr>
        <w:pStyle w:val="1128"/>
        <w:suppressLineNumbers w:val="false"/>
        <w:pBdr/>
        <w:spacing w:line="300" w:lineRule="auto"/>
        <w:ind w:firstLine="0"/>
        <w:rPr/>
      </w:pPr>
      <w:r>
        <w:t xml:space="preserve">The central problem addressed in this dissertation is:</w:t>
      </w:r>
      <w:r/>
    </w:p>
    <w:p w14:paraId="7FCD196A">
      <w:pPr>
        <w:pStyle w:val="1128"/>
        <w:suppressLineNumbers w:val="false"/>
        <w:pBdr/>
        <w:spacing w:line="300" w:lineRule="auto"/>
        <w:ind w:firstLine="0"/>
        <w:rPr/>
      </w:pPr>
      <w:r>
        <w:t xml:space="preserve">How can a colonoscopy-focused MedVQA pipeline move from benchmark-level answering to clinically grounded, reliable, and evidence-aware decision support?</w:t>
      </w:r>
      <w:r/>
    </w:p>
    <w:p w14:paraId="737E09D0">
      <w:pPr>
        <w:pStyle w:val="1128"/>
        <w:suppressLineNumbers w:val="false"/>
        <w:pBdr/>
        <w:spacing w:line="300" w:lineRule="auto"/>
        <w:ind w:firstLine="0"/>
        <w:rPr/>
      </w:pPr>
      <w:r>
        <w:t xml:space="preserve">This problem is decomposed into four operational gaps:</w:t>
      </w:r>
      <w:r/>
    </w:p>
    <w:p w14:paraId="127E5F12">
      <w:pPr>
        <w:pStyle w:val="1128"/>
        <w:numPr>
          <w:ilvl w:val="0"/>
          <w:numId w:val="14"/>
        </w:numPr>
        <w:suppressLineNumbers w:val="false"/>
        <w:pBdr/>
        <w:spacing w:after="240" w:before="120" w:line="300" w:lineRule="auto"/>
        <w:ind/>
        <w:rPr/>
      </w:pPr>
      <w:r>
        <w:t xml:space="preserve">Data and coverage gap: Existing datasets provide broad task families but uneven clinical depth and long-tail imbalance.</w:t>
      </w:r>
      <w:r/>
    </w:p>
    <w:p w14:paraId="5364FC52">
      <w:pPr>
        <w:pStyle w:val="1128"/>
        <w:numPr>
          <w:ilvl w:val="0"/>
          <w:numId w:val="14"/>
        </w:numPr>
        <w:suppressLineNumbers w:val="false"/>
        <w:pBdr/>
        <w:spacing w:after="240" w:before="120" w:line="300" w:lineRule="auto"/>
        <w:ind/>
        <w:rPr/>
      </w:pPr>
      <w:r>
        <w:t xml:space="preserve">Model gap: Zero-shot general VLMs frequently underperform constrained or supervised approaches in GI settings.</w:t>
      </w:r>
      <w:r/>
    </w:p>
    <w:p w14:paraId="53612724">
      <w:pPr>
        <w:pStyle w:val="1128"/>
        <w:numPr>
          <w:ilvl w:val="0"/>
          <w:numId w:val="14"/>
        </w:numPr>
        <w:suppressLineNumbers w:val="false"/>
        <w:pBdr/>
        <w:spacing w:after="240" w:before="120" w:line="300" w:lineRule="auto"/>
        <w:ind/>
        <w:rPr/>
      </w:pPr>
      <w:r>
        <w:t xml:space="preserve">Evaluation gap: Aggregate metrics can conceal clinically unacceptable error patterns.</w:t>
      </w:r>
      <w:r/>
    </w:p>
    <w:p w14:paraId="705DBBE0">
      <w:pPr>
        <w:pStyle w:val="1128"/>
        <w:numPr>
          <w:ilvl w:val="0"/>
          <w:numId w:val="14"/>
        </w:numPr>
        <w:suppressLineNumbers w:val="false"/>
        <w:pBdr/>
        <w:spacing w:after="240" w:before="120" w:line="300" w:lineRule="auto"/>
        <w:ind/>
        <w:rPr/>
      </w:pPr>
      <w:r>
        <w:t xml:space="preserve">Workflow gap: Many systems do not yet connect image-grounded outputs to evidence-oriented clinical reasoning.</w:t>
      </w:r>
      <w:r/>
    </w:p>
    <w:p w14:paraId="5221E7E2">
      <w:pPr>
        <w:pStyle w:val="1128"/>
        <w:suppressLineNumbers w:val="false"/>
        <w:pBdr/>
        <w:spacing w:line="300" w:lineRule="auto"/>
        <w:ind w:firstLine="0"/>
        <w:rPr>
          <w:b/>
          <w:bCs/>
        </w:rPr>
      </w:pPr>
      <w:r>
        <w:rPr>
          <w:b/>
          <w:bCs/>
        </w:rPr>
        <w:t xml:space="preserve">1.4.1 Evidence from This Repository</w:t>
      </w:r>
      <w:r>
        <w:rPr>
          <w:b/>
          <w:bCs/>
        </w:rPr>
      </w:r>
      <w:r>
        <w:rPr>
          <w:b/>
          <w:bCs/>
        </w:rPr>
      </w:r>
    </w:p>
    <w:p w14:paraId="4EBC79D9">
      <w:pPr>
        <w:pStyle w:val="1128"/>
        <w:suppressLineNumbers w:val="false"/>
        <w:pBdr/>
        <w:spacing w:line="300" w:lineRule="auto"/>
        <w:ind w:firstLine="0"/>
        <w:rPr/>
      </w:pPr>
      <w:r>
        <w:t xml:space="preserve">Table 1.</w:t>
      </w:r>
      <w:r>
        <w:rPr>
          <w:lang w:val="en-US"/>
        </w:rPr>
        <w:t xml:space="preserve">2</w:t>
      </w:r>
      <w:r>
        <w:t xml:space="preserve"> summarizes key empirical signals from persisted repository artifacts.</w:t>
      </w:r>
      <w:r/>
    </w:p>
    <w:p w14:paraId="38CDDCAA">
      <w:pPr>
        <w:pStyle w:val="1128"/>
        <w:suppressLineNumbers w:val="false"/>
        <w:pBdr/>
        <w:spacing w:line="300" w:lineRule="auto"/>
        <w:ind w:firstLine="0"/>
        <w:rPr/>
      </w:pPr>
      <w:r>
        <w:t xml:space="preserve">References [20]-[24] point to supplementary analysis artifacts in the thesis repository and are included as reproducibility materials alongside the dissertation.</w:t>
      </w:r>
      <w:r/>
    </w:p>
    <w:tbl>
      <w:tblPr>
        <w:tblStyle w:val="1185"/>
        <w:tblW w:w="0" w:type="auto"/>
        <w:tblBorders/>
        <w:tblLook w:val="04A0" w:firstRow="1" w:lastRow="0" w:firstColumn="1" w:lastColumn="0" w:noHBand="0" w:noVBand="1"/>
      </w:tblPr>
      <w:tblGrid>
        <w:gridCol w:w="2160"/>
        <w:gridCol w:w="2160"/>
        <w:gridCol w:w="2160"/>
        <w:gridCol w:w="2160"/>
      </w:tblGrid>
      <w:tr>
        <w:trPr/>
        <w:tc>
          <w:tcPr>
            <w:tcBorders/>
            <w:tcW w:w="2160" w:type="dxa"/>
            <w:textDirection w:val="lrTb"/>
            <w:noWrap w:val="false"/>
          </w:tcPr>
          <w:p w14:paraId="3D7E00A2">
            <w:pPr>
              <w:suppressLineNumbers w:val="false"/>
              <w:pBdr/>
              <w:spacing w:after="0" w:before="0" w:line="300" w:lineRule="auto"/>
              <w:ind/>
              <w:rPr>
                <w:color w:val="000000" w:themeColor="text1"/>
              </w:rPr>
            </w:pPr>
            <w:r>
              <w:rPr>
                <w:rFonts w:ascii="Arial" w:hAnsi="Arial" w:eastAsia="Arial" w:cs="Arial"/>
                <w:b/>
                <w:color w:val="000000" w:themeColor="text1"/>
                <w:sz w:val="21"/>
              </w:rPr>
              <w:t xml:space="preserve">Dataset / Task</w:t>
            </w:r>
            <w:r>
              <w:rPr>
                <w:color w:val="000000" w:themeColor="text1"/>
              </w:rPr>
            </w:r>
            <w:r>
              <w:rPr>
                <w:color w:val="000000" w:themeColor="text1"/>
              </w:rPr>
            </w:r>
          </w:p>
        </w:tc>
        <w:tc>
          <w:tcPr>
            <w:tcBorders/>
            <w:tcW w:w="2160" w:type="dxa"/>
            <w:textDirection w:val="lrTb"/>
            <w:noWrap w:val="false"/>
          </w:tcPr>
          <w:p w14:paraId="3684995B">
            <w:pPr>
              <w:suppressLineNumbers w:val="false"/>
              <w:pBdr/>
              <w:spacing w:after="0" w:before="0" w:line="300" w:lineRule="auto"/>
              <w:ind/>
              <w:rPr>
                <w:color w:val="000000" w:themeColor="text1"/>
              </w:rPr>
            </w:pPr>
            <w:r>
              <w:rPr>
                <w:rFonts w:ascii="Arial" w:hAnsi="Arial" w:eastAsia="Arial" w:cs="Arial"/>
                <w:b/>
                <w:color w:val="000000" w:themeColor="text1"/>
                <w:sz w:val="21"/>
              </w:rPr>
              <w:t xml:space="preserve">Strongest saved model result</w:t>
            </w:r>
            <w:r>
              <w:rPr>
                <w:color w:val="000000" w:themeColor="text1"/>
              </w:rPr>
            </w:r>
            <w:r>
              <w:rPr>
                <w:color w:val="000000" w:themeColor="text1"/>
              </w:rPr>
            </w:r>
          </w:p>
        </w:tc>
        <w:tc>
          <w:tcPr>
            <w:tcBorders/>
            <w:tcW w:w="2160" w:type="dxa"/>
            <w:textDirection w:val="lrTb"/>
            <w:noWrap w:val="false"/>
          </w:tcPr>
          <w:p w14:paraId="514396B8">
            <w:pPr>
              <w:suppressLineNumbers w:val="false"/>
              <w:pBdr/>
              <w:spacing w:after="0" w:before="0" w:line="300" w:lineRule="auto"/>
              <w:ind/>
              <w:rPr>
                <w:color w:val="000000" w:themeColor="text1"/>
              </w:rPr>
            </w:pPr>
            <w:r>
              <w:rPr>
                <w:rFonts w:ascii="Arial" w:hAnsi="Arial" w:eastAsia="Arial" w:cs="Arial"/>
                <w:b/>
                <w:color w:val="000000" w:themeColor="text1"/>
                <w:sz w:val="21"/>
              </w:rPr>
              <w:t xml:space="preserve">Key failure signal</w:t>
            </w:r>
            <w:r>
              <w:rPr>
                <w:color w:val="000000" w:themeColor="text1"/>
              </w:rPr>
            </w:r>
            <w:r>
              <w:rPr>
                <w:color w:val="000000" w:themeColor="text1"/>
              </w:rPr>
            </w:r>
          </w:p>
        </w:tc>
        <w:tc>
          <w:tcPr>
            <w:tcBorders/>
            <w:tcW w:w="2160" w:type="dxa"/>
            <w:textDirection w:val="lrTb"/>
            <w:noWrap w:val="false"/>
          </w:tcPr>
          <w:p w14:paraId="267B8D44">
            <w:pPr>
              <w:suppressLineNumbers w:val="false"/>
              <w:pBdr/>
              <w:spacing w:after="0" w:before="0" w:line="300" w:lineRule="auto"/>
              <w:ind/>
              <w:rPr>
                <w:color w:val="000000" w:themeColor="text1"/>
              </w:rPr>
            </w:pPr>
            <w:r>
              <w:rPr>
                <w:rFonts w:ascii="Arial" w:hAnsi="Arial" w:eastAsia="Arial" w:cs="Arial"/>
                <w:b/>
                <w:color w:val="000000" w:themeColor="text1"/>
                <w:sz w:val="21"/>
              </w:rPr>
              <w:t xml:space="preserve">Source</w:t>
            </w:r>
            <w:r>
              <w:rPr>
                <w:color w:val="000000" w:themeColor="text1"/>
              </w:rPr>
            </w:r>
            <w:r>
              <w:rPr>
                <w:color w:val="000000" w:themeColor="text1"/>
              </w:rPr>
            </w:r>
          </w:p>
        </w:tc>
      </w:tr>
      <w:tr>
        <w:trPr/>
        <w:tc>
          <w:tcPr>
            <w:tcBorders/>
            <w:tcW w:w="2160" w:type="dxa"/>
            <w:textDirection w:val="lrTb"/>
            <w:noWrap w:val="false"/>
          </w:tcPr>
          <w:p w14:paraId="655EBA1B">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ImageCLEF MEDVQA-GI 2023 validation</w:t>
            </w:r>
            <w:r>
              <w:rPr>
                <w:color w:val="000000" w:themeColor="text1"/>
              </w:rPr>
            </w:r>
            <w:r>
              <w:rPr>
                <w:color w:val="000000" w:themeColor="text1"/>
              </w:rPr>
            </w:r>
          </w:p>
        </w:tc>
        <w:tc>
          <w:tcPr>
            <w:tcBorders/>
            <w:tcW w:w="2160" w:type="dxa"/>
            <w:textDirection w:val="lrTb"/>
            <w:noWrap w:val="false"/>
          </w:tcPr>
          <w:p w14:paraId="559CAE43">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ViLT accuracy 0.9089, macro-F1 0.5823</w:t>
            </w:r>
            <w:r>
              <w:rPr>
                <w:color w:val="000000" w:themeColor="text1"/>
              </w:rPr>
            </w:r>
            <w:r>
              <w:rPr>
                <w:color w:val="000000" w:themeColor="text1"/>
              </w:rPr>
            </w:r>
          </w:p>
        </w:tc>
        <w:tc>
          <w:tcPr>
            <w:tcBorders/>
            <w:tcW w:w="2160" w:type="dxa"/>
            <w:textDirection w:val="lrTb"/>
            <w:noWrap w:val="false"/>
          </w:tcPr>
          <w:p w14:paraId="241ACB32">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Qwen2.5-VL zero-shot raw accuracy 0.0007; projected 0.0670</w:t>
            </w:r>
            <w:r>
              <w:rPr>
                <w:color w:val="000000" w:themeColor="text1"/>
              </w:rPr>
            </w:r>
            <w:r>
              <w:rPr>
                <w:color w:val="000000" w:themeColor="text1"/>
              </w:rPr>
            </w:r>
          </w:p>
        </w:tc>
        <w:tc>
          <w:tcPr>
            <w:tcBorders/>
            <w:tcW w:w="2160" w:type="dxa"/>
            <w:textDirection w:val="lrTb"/>
            <w:noWrap w:val="false"/>
          </w:tcPr>
          <w:p w14:paraId="246F3802">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[21]</w:t>
            </w:r>
            <w:r>
              <w:rPr>
                <w:color w:val="000000" w:themeColor="text1"/>
              </w:rPr>
            </w:r>
            <w:r>
              <w:rPr>
                <w:color w:val="000000" w:themeColor="text1"/>
              </w:rPr>
            </w:r>
          </w:p>
        </w:tc>
      </w:tr>
      <w:tr>
        <w:trPr/>
        <w:tc>
          <w:tcPr>
            <w:tcBorders/>
            <w:tcW w:w="2160" w:type="dxa"/>
            <w:textDirection w:val="lrTb"/>
            <w:noWrap w:val="false"/>
          </w:tcPr>
          <w:p w14:paraId="7782FEB0">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HyperKvasir 23-class test</w:t>
            </w:r>
            <w:r>
              <w:rPr>
                <w:color w:val="000000" w:themeColor="text1"/>
              </w:rPr>
            </w:r>
            <w:r>
              <w:rPr>
                <w:color w:val="000000" w:themeColor="text1"/>
              </w:rPr>
            </w:r>
          </w:p>
        </w:tc>
        <w:tc>
          <w:tcPr>
            <w:tcBorders/>
            <w:tcW w:w="2160" w:type="dxa"/>
            <w:textDirection w:val="lrTb"/>
            <w:noWrap w:val="false"/>
          </w:tcPr>
          <w:p w14:paraId="18449EE4">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ResNet50 supervised accuracy 0.8789, macro-F1 0.5943</w:t>
            </w:r>
            <w:r>
              <w:rPr>
                <w:color w:val="000000" w:themeColor="text1"/>
              </w:rPr>
            </w:r>
            <w:r>
              <w:rPr>
                <w:color w:val="000000" w:themeColor="text1"/>
              </w:rPr>
            </w:r>
          </w:p>
        </w:tc>
        <w:tc>
          <w:tcPr>
            <w:tcBorders/>
            <w:tcW w:w="2160" w:type="dxa"/>
            <w:textDirection w:val="lrTb"/>
            <w:noWrap w:val="false"/>
          </w:tcPr>
          <w:p w14:paraId="3CB1559A">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Head-tail recall gap remains large; BLIP2 projected accuracy 0.0638</w:t>
            </w:r>
            <w:r>
              <w:rPr>
                <w:color w:val="000000" w:themeColor="text1"/>
              </w:rPr>
            </w:r>
            <w:r>
              <w:rPr>
                <w:color w:val="000000" w:themeColor="text1"/>
              </w:rPr>
            </w:r>
          </w:p>
        </w:tc>
        <w:tc>
          <w:tcPr>
            <w:tcBorders/>
            <w:tcW w:w="2160" w:type="dxa"/>
            <w:textDirection w:val="lrTb"/>
            <w:noWrap w:val="false"/>
          </w:tcPr>
          <w:p w14:paraId="4378A427">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[20]</w:t>
            </w:r>
            <w:r>
              <w:rPr>
                <w:color w:val="000000" w:themeColor="text1"/>
              </w:rPr>
            </w:r>
            <w:r>
              <w:rPr>
                <w:color w:val="000000" w:themeColor="text1"/>
              </w:rPr>
            </w:r>
          </w:p>
        </w:tc>
      </w:tr>
      <w:tr>
        <w:trPr/>
        <w:tc>
          <w:tcPr>
            <w:tcBorders/>
            <w:tcW w:w="2160" w:type="dxa"/>
            <w:textDirection w:val="lrTb"/>
            <w:noWrap w:val="false"/>
          </w:tcPr>
          <w:p w14:paraId="241DB6A5">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LIMUC Mayo severity test</w:t>
            </w:r>
            <w:r>
              <w:rPr>
                <w:color w:val="000000" w:themeColor="text1"/>
              </w:rPr>
            </w:r>
            <w:r>
              <w:rPr>
                <w:color w:val="000000" w:themeColor="text1"/>
              </w:rPr>
            </w:r>
          </w:p>
        </w:tc>
        <w:tc>
          <w:tcPr>
            <w:tcBorders/>
            <w:tcW w:w="2160" w:type="dxa"/>
            <w:textDirection w:val="lrTb"/>
            <w:noWrap w:val="false"/>
          </w:tcPr>
          <w:p w14:paraId="303592A6">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Fine-tuned ResNet50 accuracy 0.7539, macro-F1 0.6829, QWK 0.8351</w:t>
            </w:r>
            <w:r>
              <w:rPr>
                <w:color w:val="000000" w:themeColor="text1"/>
              </w:rPr>
            </w:r>
            <w:r>
              <w:rPr>
                <w:color w:val="000000" w:themeColor="text1"/>
              </w:rPr>
            </w:r>
          </w:p>
        </w:tc>
        <w:tc>
          <w:tcPr>
            <w:tcBorders/>
            <w:tcW w:w="2160" w:type="dxa"/>
            <w:textDirection w:val="lrTb"/>
            <w:noWrap w:val="false"/>
          </w:tcPr>
          <w:p w14:paraId="0C4FBB1A">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Zero-shot VLM macro-F1 0.1771, balanced accuracy 0.25</w:t>
            </w:r>
            <w:r>
              <w:rPr>
                <w:color w:val="000000" w:themeColor="text1"/>
              </w:rPr>
            </w:r>
            <w:r>
              <w:rPr>
                <w:color w:val="000000" w:themeColor="text1"/>
              </w:rPr>
            </w:r>
          </w:p>
        </w:tc>
        <w:tc>
          <w:tcPr>
            <w:tcBorders/>
            <w:tcW w:w="2160" w:type="dxa"/>
            <w:textDirection w:val="lrTb"/>
            <w:noWrap w:val="false"/>
          </w:tcPr>
          <w:p w14:paraId="27246501">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[24]</w:t>
            </w:r>
            <w:r>
              <w:rPr>
                <w:color w:val="000000" w:themeColor="text1"/>
              </w:rPr>
            </w:r>
            <w:r>
              <w:rPr>
                <w:color w:val="000000" w:themeColor="text1"/>
              </w:rPr>
            </w:r>
          </w:p>
        </w:tc>
      </w:tr>
      <w:tr>
        <w:trPr/>
        <w:tc>
          <w:tcPr>
            <w:tcBorders/>
            <w:tcW w:w="2160" w:type="dxa"/>
            <w:textDirection w:val="lrTb"/>
            <w:noWrap w:val="false"/>
          </w:tcPr>
          <w:p w14:paraId="1C62868D">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Kvasir-VQA yes/no subset</w:t>
            </w:r>
            <w:r>
              <w:rPr>
                <w:color w:val="000000" w:themeColor="text1"/>
              </w:rPr>
            </w:r>
            <w:r>
              <w:rPr>
                <w:color w:val="000000" w:themeColor="text1"/>
              </w:rPr>
            </w:r>
          </w:p>
        </w:tc>
        <w:tc>
          <w:tcPr>
            <w:tcBorders/>
            <w:tcW w:w="2160" w:type="dxa"/>
            <w:textDirection w:val="lrTb"/>
            <w:noWrap w:val="false"/>
          </w:tcPr>
          <w:p w14:paraId="7642F04B">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ResNet+GRU accuracy 0.9865, macro-F1 0.9650</w:t>
            </w:r>
            <w:r>
              <w:rPr>
                <w:color w:val="000000" w:themeColor="text1"/>
              </w:rPr>
            </w:r>
            <w:r>
              <w:rPr>
                <w:color w:val="000000" w:themeColor="text1"/>
              </w:rPr>
            </w:r>
          </w:p>
        </w:tc>
        <w:tc>
          <w:tcPr>
            <w:tcBorders/>
            <w:tcW w:w="2160" w:type="dxa"/>
            <w:textDirection w:val="lrTb"/>
            <w:noWrap w:val="false"/>
          </w:tcPr>
          <w:p w14:paraId="324AA35E">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Free-generation run shows unknown-rate collapse in persisted artifact</w:t>
            </w:r>
            <w:r>
              <w:rPr>
                <w:color w:val="000000" w:themeColor="text1"/>
              </w:rPr>
            </w:r>
            <w:r>
              <w:rPr>
                <w:color w:val="000000" w:themeColor="text1"/>
              </w:rPr>
            </w:r>
          </w:p>
        </w:tc>
        <w:tc>
          <w:tcPr>
            <w:tcBorders/>
            <w:tcW w:w="2160" w:type="dxa"/>
            <w:textDirection w:val="lrTb"/>
            <w:noWrap w:val="false"/>
          </w:tcPr>
          <w:p w14:paraId="5ED7B693">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[22]</w:t>
            </w:r>
            <w:r>
              <w:rPr>
                <w:color w:val="000000" w:themeColor="text1"/>
              </w:rPr>
            </w:r>
            <w:r>
              <w:rPr>
                <w:color w:val="000000" w:themeColor="text1"/>
              </w:rPr>
            </w:r>
          </w:p>
        </w:tc>
      </w:tr>
      <w:tr>
        <w:trPr/>
        <w:tc>
          <w:tcPr>
            <w:tcBorders/>
            <w:tcW w:w="2160" w:type="dxa"/>
            <w:textDirection w:val="lrTb"/>
            <w:noWrap w:val="false"/>
          </w:tcPr>
          <w:p w14:paraId="4D46B6D9">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Kvasir-VQA-x1 generative track</w:t>
            </w:r>
            <w:r>
              <w:rPr>
                <w:color w:val="000000" w:themeColor="text1"/>
              </w:rPr>
            </w:r>
            <w:r>
              <w:rPr>
                <w:color w:val="000000" w:themeColor="text1"/>
              </w:rPr>
            </w:r>
          </w:p>
        </w:tc>
        <w:tc>
          <w:tcPr>
            <w:tcBorders/>
            <w:tcW w:w="2160" w:type="dxa"/>
            <w:textDirection w:val="lrTb"/>
            <w:noWrap w:val="false"/>
          </w:tcPr>
          <w:p w14:paraId="76F8D6B6">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MedGemma LoRA token-F1 0.5085 (adaptation gain)</w:t>
            </w:r>
            <w:r>
              <w:rPr>
                <w:color w:val="000000" w:themeColor="text1"/>
              </w:rPr>
            </w:r>
            <w:r>
              <w:rPr>
                <w:color w:val="000000" w:themeColor="text1"/>
              </w:rPr>
            </w:r>
          </w:p>
        </w:tc>
        <w:tc>
          <w:tcPr>
            <w:tcBorders/>
            <w:tcW w:w="2160" w:type="dxa"/>
            <w:textDirection w:val="lrTb"/>
            <w:noWrap w:val="false"/>
          </w:tcPr>
          <w:p w14:paraId="1CDA604F">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Exact-match remains near zero across persisted modern VLM runs</w:t>
            </w:r>
            <w:r>
              <w:rPr>
                <w:color w:val="000000" w:themeColor="text1"/>
              </w:rPr>
            </w:r>
            <w:r>
              <w:rPr>
                <w:color w:val="000000" w:themeColor="text1"/>
              </w:rPr>
            </w:r>
          </w:p>
        </w:tc>
        <w:tc>
          <w:tcPr>
            <w:tcBorders/>
            <w:tcW w:w="2160" w:type="dxa"/>
            <w:textDirection w:val="lrTb"/>
            <w:noWrap w:val="false"/>
          </w:tcPr>
          <w:p w14:paraId="196E6857">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[23]</w:t>
            </w:r>
            <w:r>
              <w:rPr>
                <w:color w:val="000000" w:themeColor="text1"/>
              </w:rPr>
            </w:r>
            <w:r>
              <w:rPr>
                <w:color w:val="000000" w:themeColor="text1"/>
              </w:rPr>
            </w:r>
          </w:p>
        </w:tc>
      </w:tr>
    </w:tbl>
    <w:p w14:paraId="059B1C72">
      <w:pPr>
        <w:pStyle w:val="1128"/>
        <w:suppressLineNumbers w:val="false"/>
        <w:pBdr/>
        <w:spacing w:line="300" w:lineRule="auto"/>
        <w:ind w:firstLine="0"/>
        <w:rPr>
          <w:highlight w:val="none"/>
        </w:rPr>
      </w:pPr>
      <w:r>
        <w:tab/>
        <w:tab/>
        <w:tab/>
        <w:tab/>
        <w:tab/>
      </w:r>
      <w:r>
        <w:rPr>
          <w:lang w:val="en-US"/>
        </w:rPr>
        <w:t xml:space="preserve">Table 1.2</w:t>
      </w:r>
      <w:r>
        <w:rPr>
          <w:highlight w:val="none"/>
        </w:rPr>
      </w:r>
      <w:r>
        <w:rPr>
          <w:highlight w:val="none"/>
        </w:rPr>
      </w:r>
    </w:p>
    <w:p w14:paraId="743DB126">
      <w:pPr>
        <w:pStyle w:val="1128"/>
        <w:suppressLineNumbers w:val="false"/>
        <w:pBdr/>
        <w:spacing w:line="300" w:lineRule="auto"/>
        <w:ind w:firstLine="0"/>
        <w:rPr/>
      </w:pPr>
      <w:r>
        <w:rPr>
          <w:highlight w:val="none"/>
        </w:rPr>
        <w:tab/>
      </w:r>
      <w:r>
        <w:rPr>
          <w:highlight w:val="none"/>
        </w:rPr>
        <w:t xml:space="preserve">I</w:t>
      </w:r>
      <w:r>
        <w:rPr>
          <w:highlight w:val="none"/>
        </w:rPr>
        <w:t xml:space="preserve">n Table 1.1, raw accuracy denotes direct label-space scoring against canonical benchmark targets (no lexical post-processing). Projected accuracy denotes a secondary diagnostic in which generated free text is deterministically mapped to each question's kno</w:t>
      </w:r>
      <w:r>
        <w:rPr>
          <w:highlight w:val="none"/>
        </w:rPr>
        <w:t xml:space="preserve">wn answer space before scoring, following the local report methodology [20], [21], [23].</w:t>
      </w:r>
      <w:r>
        <w:rPr>
          <w:highlight w:val="none"/>
        </w:rPr>
      </w:r>
      <w:r/>
    </w:p>
    <w:p w14:paraId="17EBFADD">
      <w:pPr>
        <w:pStyle w:val="1128"/>
        <w:suppressLineNumbers w:val="false"/>
        <w:pBdr/>
        <w:spacing w:line="300" w:lineRule="auto"/>
        <w:ind w:firstLine="720"/>
        <w:rPr/>
      </w:pPr>
      <w:r>
        <w:rPr>
          <w:highlight w:val="none"/>
        </w:rPr>
        <w:t xml:space="preserve">T</w:t>
      </w:r>
      <w:r>
        <w:rPr>
          <w:highlight w:val="none"/>
        </w:rPr>
        <w:t xml:space="preserve">o reduce leakage risk and inflated claims, this thesis reports the split context and scoring semantics explicitly for each dataset report: official or persisted held-out splits are preserved, pairwise tests are run on aligned rows where applicable, and pro</w:t>
      </w:r>
      <w:r>
        <w:rPr>
          <w:highlight w:val="none"/>
        </w:rPr>
        <w:t xml:space="preserve">jected scores are interpreted alongside raw exact/unknown behavior rather than as replacement primary metrics [20]-[24].</w:t>
      </w:r>
      <w:r>
        <w:rPr>
          <w:highlight w:val="none"/>
        </w:rPr>
      </w:r>
      <w:r/>
    </w:p>
    <w:p w14:paraId="5D70EFFE">
      <w:pPr>
        <w:pStyle w:val="1128"/>
        <w:suppressLineNumbers w:val="false"/>
        <w:pBdr/>
        <w:spacing w:line="300" w:lineRule="auto"/>
        <w:ind w:firstLine="0"/>
        <w:rPr/>
      </w:pPr>
      <w:r>
        <w:rPr>
          <w:highlight w:val="none"/>
        </w:rPr>
        <w:t xml:space="preserve">These findings support a staged strategy:</w:t>
      </w:r>
      <w:r>
        <w:rPr>
          <w:highlight w:val="none"/>
        </w:rPr>
      </w:r>
      <w:r/>
    </w:p>
    <w:p w14:paraId="2025BD1E">
      <w:pPr>
        <w:pStyle w:val="1128"/>
        <w:numPr>
          <w:ilvl w:val="0"/>
          <w:numId w:val="15"/>
        </w:numPr>
        <w:suppressLineNumbers w:val="false"/>
        <w:pBdr/>
        <w:spacing w:after="240" w:before="120" w:line="300" w:lineRule="auto"/>
        <w:ind/>
        <w:rPr/>
      </w:pPr>
      <w:r>
        <w:rPr>
          <w:highlight w:val="none"/>
        </w:rPr>
        <w:t xml:space="preserve">Preserve robust supervised/closed-set visual grounding.</w:t>
      </w:r>
      <w:r/>
    </w:p>
    <w:p w14:paraId="3E6EE4D8">
      <w:pPr>
        <w:pStyle w:val="1128"/>
        <w:numPr>
          <w:ilvl w:val="0"/>
          <w:numId w:val="15"/>
        </w:numPr>
        <w:suppressLineNumbers w:val="false"/>
        <w:pBdr/>
        <w:spacing w:after="240" w:before="120" w:line="300" w:lineRule="auto"/>
        <w:ind/>
        <w:rPr/>
      </w:pPr>
      <w:r>
        <w:rPr>
          <w:highlight w:val="none"/>
        </w:rPr>
        <w:t xml:space="preserve">Add controlled generative capability where it improves clinical interaction value.</w:t>
      </w:r>
      <w:r/>
    </w:p>
    <w:p w14:paraId="4D0843DB">
      <w:pPr>
        <w:pStyle w:val="1128"/>
        <w:numPr>
          <w:ilvl w:val="0"/>
          <w:numId w:val="15"/>
        </w:numPr>
        <w:suppressLineNumbers w:val="false"/>
        <w:pBdr/>
        <w:spacing w:after="240" w:before="120" w:line="300" w:lineRule="auto"/>
        <w:ind/>
        <w:rPr/>
      </w:pPr>
      <w:r>
        <w:rPr>
          <w:highlight w:val="none"/>
        </w:rPr>
        <w:t xml:space="preserve">Introduce retrieval-backed reasoning as a safeguarded extension for higher-level questions.</w:t>
      </w:r>
      <w:r>
        <w:rPr>
          <w:highlight w:val="none"/>
        </w:rPr>
      </w:r>
      <w:r/>
    </w:p>
    <w:p w14:paraId="5F1ED9B1">
      <w:pPr>
        <w:pStyle w:val="1128"/>
        <w:suppressLineNumbers w:val="false"/>
        <w:pBdr/>
        <w:spacing w:after="240" w:before="120" w:line="300" w:lineRule="auto"/>
        <w:ind w:firstLine="0"/>
        <w:rPr>
          <w:b/>
          <w:bCs/>
        </w:rPr>
      </w:pPr>
      <w:r>
        <w:rPr>
          <w:b/>
          <w:bCs/>
          <w:highlight w:val="none"/>
        </w:rPr>
        <w:t xml:space="preserve">1.4.2 Why This Gap Persists</w:t>
      </w:r>
      <w:r>
        <w:rPr>
          <w:b/>
          <w:bCs/>
        </w:rPr>
      </w:r>
      <w:r>
        <w:rPr>
          <w:b/>
          <w:bCs/>
        </w:rPr>
      </w:r>
    </w:p>
    <w:p w14:paraId="048718EB">
      <w:pPr>
        <w:pStyle w:val="1128"/>
        <w:suppressLineNumbers w:val="false"/>
        <w:pBdr/>
        <w:spacing w:after="240" w:before="120" w:line="300" w:lineRule="auto"/>
        <w:ind w:firstLine="0"/>
        <w:rPr/>
      </w:pPr>
      <w:r>
        <w:rPr>
          <w:highlight w:val="none"/>
        </w:rPr>
        <w:t xml:space="preserve">T</w:t>
      </w:r>
      <w:r>
        <w:rPr>
          <w:highlight w:val="none"/>
        </w:rPr>
        <w:t xml:space="preserve">he gap persists because GI MedVQA is not a single modeling task. It requires robust visual perception under noisy conditions, clinically coherent question understanding, grounded answer generation, and safe behavior under asymmetric risk. Progress in one c</w:t>
      </w:r>
      <w:r>
        <w:rPr>
          <w:highlight w:val="none"/>
        </w:rPr>
        <w:t xml:space="preserve">omponent does not guarantee end-to-end clinical utility.</w:t>
      </w:r>
      <w:r>
        <w:rPr>
          <w:highlight w:val="none"/>
        </w:rPr>
      </w:r>
      <w:r/>
    </w:p>
    <w:p w14:paraId="6166229C">
      <w:pPr>
        <w:pStyle w:val="1128"/>
        <w:suppressLineNumbers w:val="false"/>
        <w:pBdr/>
        <w:spacing w:after="240" w:before="120" w:line="300" w:lineRule="auto"/>
        <w:ind w:firstLine="0"/>
        <w:rPr/>
      </w:pPr>
      <w:r>
        <w:rPr>
          <w:highlight w:val="none"/>
        </w:rPr>
        <w:t xml:space="preserve">A</w:t>
      </w:r>
      <w:r>
        <w:rPr>
          <w:highlight w:val="none"/>
        </w:rPr>
        <w:t xml:space="preserve"> system may be fluent yet weakly grounded, accurate on common classes yet brittle on severe minorities, or stable on fixed prompts yet unstable under linguistic variation. Therefore, this dissertation treats architecture design, evaluation design, and scen</w:t>
      </w:r>
      <w:r>
        <w:rPr>
          <w:highlight w:val="none"/>
        </w:rPr>
        <w:t xml:space="preserve">ario design as interdependent components.</w:t>
      </w:r>
      <w:r>
        <w:rPr>
          <w:highlight w:val="none"/>
        </w:rPr>
      </w:r>
      <w:r/>
    </w:p>
    <w:p w14:paraId="39023B62">
      <w:pPr>
        <w:pStyle w:val="1128"/>
        <w:suppressLineNumbers w:val="false"/>
        <w:pBdr/>
        <w:spacing w:after="240" w:before="120" w:line="300" w:lineRule="auto"/>
        <w:ind w:firstLine="0"/>
        <w:rPr>
          <w:b/>
          <w:bCs/>
        </w:rPr>
      </w:pPr>
      <w:r>
        <w:rPr>
          <w:b/>
          <w:bCs/>
          <w:highlight w:val="none"/>
        </w:rPr>
        <w:t xml:space="preserve">1.4.3 Consequences of Leaving the Gap Unresolved</w:t>
      </w:r>
      <w:r>
        <w:rPr>
          <w:b/>
          <w:bCs/>
        </w:rPr>
      </w:r>
      <w:r>
        <w:rPr>
          <w:b/>
          <w:bCs/>
        </w:rPr>
      </w:r>
    </w:p>
    <w:p w14:paraId="6ED4447D">
      <w:pPr>
        <w:pStyle w:val="1128"/>
        <w:suppressLineNumbers w:val="false"/>
        <w:pBdr/>
        <w:spacing w:after="240" w:before="120" w:line="300" w:lineRule="auto"/>
        <w:ind w:firstLine="0"/>
        <w:rPr/>
      </w:pPr>
      <w:r>
        <w:rPr>
          <w:highlight w:val="none"/>
        </w:rPr>
        <w:t xml:space="preserve">I</w:t>
      </w:r>
      <w:r>
        <w:rPr>
          <w:highlight w:val="none"/>
        </w:rPr>
        <w:t xml:space="preserve">f this gap remains unresolved, systems may appear strong on aggregate benchmarks while underperforming in the situations that matter most clinically. In severity settings, this can lead to under-detection of high-risk cases. In report-oriented settings, it</w:t>
      </w:r>
      <w:r>
        <w:rPr>
          <w:highlight w:val="none"/>
        </w:rPr>
        <w:t xml:space="preserve"> can produce plausible but weakly grounded outputs that increase cognitive burden. In decision-support settings, it can generate recommendations insufficiently tied to evidence.</w:t>
      </w:r>
      <w:r>
        <w:rPr>
          <w:highlight w:val="none"/>
        </w:rPr>
      </w:r>
      <w:r/>
    </w:p>
    <w:p w14:paraId="60BDDDEA">
      <w:pPr>
        <w:pStyle w:val="1128"/>
        <w:suppressLineNumbers w:val="false"/>
        <w:pBdr/>
        <w:spacing w:after="240" w:before="120" w:line="300" w:lineRule="auto"/>
        <w:ind w:firstLine="0"/>
        <w:rPr/>
      </w:pPr>
      <w:r>
        <w:rPr>
          <w:highlight w:val="none"/>
        </w:rPr>
        <w:t xml:space="preserve">These consequences justify a conservative methodological stance: prioritize reliability, grounding, and traceability before maximizing output fluency.</w:t>
      </w:r>
      <w:r>
        <w:rPr>
          <w:highlight w:val="none"/>
        </w:rPr>
      </w:r>
      <w:r/>
    </w:p>
    <w:p w14:paraId="0841A181">
      <w:pPr>
        <w:pStyle w:val="1128"/>
        <w:suppressLineNumbers w:val="false"/>
        <w:pBdr/>
        <w:spacing w:after="240" w:before="120" w:line="300" w:lineRule="auto"/>
        <w:ind w:firstLine="0"/>
        <w:rPr>
          <w:b/>
          <w:bCs/>
          <w:sz w:val="28"/>
          <w:szCs w:val="28"/>
        </w:rPr>
      </w:pPr>
      <w:r>
        <w:rPr>
          <w:b/>
          <w:bCs/>
          <w:sz w:val="28"/>
          <w:szCs w:val="28"/>
          <w:highlight w:val="none"/>
        </w:rPr>
        <w:t xml:space="preserve">1.5 Aim and Objectives</w:t>
      </w:r>
      <w:r>
        <w:rPr>
          <w:b/>
          <w:bCs/>
          <w:sz w:val="28"/>
          <w:szCs w:val="28"/>
        </w:rPr>
      </w:r>
      <w:r>
        <w:rPr>
          <w:b/>
          <w:bCs/>
          <w:sz w:val="28"/>
          <w:szCs w:val="28"/>
        </w:rPr>
      </w:r>
    </w:p>
    <w:p w14:paraId="377C8B2E">
      <w:pPr>
        <w:pStyle w:val="1128"/>
        <w:suppressLineNumbers w:val="false"/>
        <w:pBdr/>
        <w:spacing w:after="240" w:before="120" w:line="300" w:lineRule="auto"/>
        <w:ind w:firstLine="0"/>
        <w:rPr>
          <w:b/>
          <w:bCs/>
        </w:rPr>
      </w:pPr>
      <w:r>
        <w:rPr>
          <w:b/>
          <w:bCs/>
          <w:highlight w:val="none"/>
        </w:rPr>
        <w:t xml:space="preserve">1.5.1 Aim</w:t>
      </w:r>
      <w:r>
        <w:rPr>
          <w:b/>
          <w:bCs/>
        </w:rPr>
      </w:r>
      <w:r>
        <w:rPr>
          <w:b/>
          <w:bCs/>
        </w:rPr>
      </w:r>
    </w:p>
    <w:p w14:paraId="467EC9F2">
      <w:pPr>
        <w:pStyle w:val="1128"/>
        <w:suppressLineNumbers w:val="false"/>
        <w:pBdr/>
        <w:spacing w:after="240" w:before="120" w:line="300" w:lineRule="auto"/>
        <w:ind w:firstLine="0"/>
        <w:rPr/>
      </w:pPr>
      <w:r>
        <w:rPr>
          <w:highlight w:val="none"/>
        </w:rPr>
        <w:t xml:space="preserve">To design, evaluate, and document a clinically oriented MedVQA framework for colonoscopy that combines robust visual grounding, question-aware generation, and an evidence-aware extension pathway for higher-risk queries.</w:t>
      </w:r>
      <w:r>
        <w:rPr>
          <w:highlight w:val="none"/>
        </w:rPr>
      </w:r>
      <w:r/>
    </w:p>
    <w:p w14:paraId="74863842">
      <w:pPr>
        <w:pStyle w:val="1128"/>
        <w:suppressLineNumbers w:val="false"/>
        <w:pBdr/>
        <w:spacing w:after="240" w:before="120" w:line="300" w:lineRule="auto"/>
        <w:ind w:firstLine="0"/>
        <w:rPr>
          <w:b/>
          <w:bCs/>
        </w:rPr>
      </w:pPr>
      <w:r>
        <w:rPr>
          <w:b/>
          <w:bCs/>
          <w:highlight w:val="none"/>
        </w:rPr>
        <w:t xml:space="preserve">1.5.2 Objectives</w:t>
      </w:r>
      <w:r>
        <w:rPr>
          <w:b/>
          <w:bCs/>
        </w:rPr>
      </w:r>
      <w:r>
        <w:rPr>
          <w:b/>
          <w:bCs/>
        </w:rPr>
      </w:r>
    </w:p>
    <w:p w14:paraId="5F9776AB">
      <w:pPr>
        <w:pStyle w:val="1128"/>
        <w:numPr>
          <w:ilvl w:val="0"/>
          <w:numId w:val="16"/>
        </w:numPr>
        <w:suppressLineNumbers w:val="false"/>
        <w:pBdr/>
        <w:spacing w:after="240" w:before="120" w:line="300" w:lineRule="auto"/>
        <w:ind/>
        <w:rPr/>
      </w:pPr>
      <w:r>
        <w:rPr>
          <w:highlight w:val="none"/>
        </w:rPr>
        <w:t xml:space="preserve">Build a reproducible, multi-dataset GI MedVQA benchmark layer using persisted repository artifacts.</w:t>
      </w:r>
      <w:r/>
    </w:p>
    <w:p w14:paraId="069E775B">
      <w:pPr>
        <w:pStyle w:val="1128"/>
        <w:numPr>
          <w:ilvl w:val="0"/>
          <w:numId w:val="16"/>
        </w:numPr>
        <w:suppressLineNumbers w:val="false"/>
        <w:pBdr/>
        <w:spacing w:after="240" w:before="120" w:line="300" w:lineRule="auto"/>
        <w:ind/>
        <w:rPr/>
      </w:pPr>
      <w:r>
        <w:rPr>
          <w:highlight w:val="none"/>
        </w:rPr>
        <w:t xml:space="preserve">Quantify comparative reliability of closed-set versus generative approaches under GI-specific conditions.</w:t>
      </w:r>
      <w:r/>
    </w:p>
    <w:p w14:paraId="7DA50649">
      <w:pPr>
        <w:pStyle w:val="1128"/>
        <w:numPr>
          <w:ilvl w:val="0"/>
          <w:numId w:val="16"/>
        </w:numPr>
        <w:suppressLineNumbers w:val="false"/>
        <w:pBdr/>
        <w:spacing w:after="240" w:before="120" w:line="300" w:lineRule="auto"/>
        <w:ind/>
        <w:rPr/>
      </w:pPr>
      <w:r>
        <w:rPr>
          <w:highlight w:val="none"/>
        </w:rPr>
        <w:t xml:space="preserve">Evaluate UC severity-oriented question answering with clinically meaningful metrics, including imbalance-aware and ordinal-aligned indicators.</w:t>
      </w:r>
      <w:r/>
    </w:p>
    <w:p w14:paraId="4A5E0762">
      <w:pPr>
        <w:pStyle w:val="1128"/>
        <w:numPr>
          <w:ilvl w:val="0"/>
          <w:numId w:val="16"/>
        </w:numPr>
        <w:suppressLineNumbers w:val="false"/>
        <w:pBdr/>
        <w:spacing w:after="240" w:before="120" w:line="300" w:lineRule="auto"/>
        <w:ind/>
        <w:rPr/>
      </w:pPr>
      <w:r>
        <w:rPr>
          <w:highlight w:val="none"/>
        </w:rPr>
        <w:t xml:space="preserve">Define scenario-driven use cases aligned with endoscopist workflows.</w:t>
      </w:r>
      <w:r/>
    </w:p>
    <w:p w14:paraId="77AD30ED">
      <w:pPr>
        <w:pStyle w:val="1128"/>
        <w:numPr>
          <w:ilvl w:val="0"/>
          <w:numId w:val="16"/>
        </w:numPr>
        <w:suppressLineNumbers w:val="false"/>
        <w:pBdr/>
        <w:spacing w:after="240" w:before="120" w:line="300" w:lineRule="auto"/>
        <w:ind/>
        <w:rPr/>
      </w:pPr>
      <w:r>
        <w:rPr>
          <w:highlight w:val="none"/>
        </w:rPr>
        <w:t xml:space="preserve">Specify and test an implementation path for retrieval-augmented, evidence-aware answering without degrading visual-grounded performance.</w:t>
      </w:r>
      <w:r>
        <w:rPr>
          <w:highlight w:val="none"/>
        </w:rPr>
      </w:r>
      <w:r/>
    </w:p>
    <w:p w14:paraId="79C4A88B">
      <w:pPr>
        <w:pStyle w:val="1128"/>
        <w:suppressLineNumbers w:val="false"/>
        <w:pBdr/>
        <w:spacing w:line="300" w:lineRule="auto"/>
        <w:ind/>
        <w:rPr/>
      </w:pPr>
      <w:r/>
      <w:r/>
    </w:p>
    <w:tbl>
      <w:tblPr>
        <w:tblStyle w:val="1185"/>
        <w:tblW w:w="0" w:type="auto"/>
        <w:tblBorders/>
        <w:tblLayout w:type="fixed"/>
        <w:tblLook w:val="04A0" w:firstRow="1" w:lastRow="0" w:firstColumn="1" w:lastColumn="0" w:noHBand="0" w:noVBand="1"/>
      </w:tblPr>
      <w:tblGrid>
        <w:gridCol w:w="1460"/>
        <w:gridCol w:w="7937"/>
      </w:tblGrid>
      <w:tr>
        <w:trPr/>
        <w:tc>
          <w:tcPr>
            <w:tcBorders/>
            <w:tcW w:w="1460" w:type="dxa"/>
            <w:textDirection w:val="lrTb"/>
            <w:noWrap w:val="false"/>
          </w:tcPr>
          <w:p w14:paraId="13BF9307">
            <w:pPr>
              <w:suppressLineNumbers w:val="false"/>
              <w:pBdr/>
              <w:spacing w:after="0" w:before="0" w:line="300" w:lineRule="auto"/>
              <w:ind/>
              <w:rPr>
                <w:color w:val="000000" w:themeColor="text1"/>
              </w:rPr>
            </w:pPr>
            <w:r>
              <w:rPr>
                <w:rFonts w:ascii="Arial" w:hAnsi="Arial" w:eastAsia="Arial" w:cs="Arial"/>
                <w:b/>
                <w:color w:val="000000" w:themeColor="text1"/>
                <w:sz w:val="21"/>
              </w:rPr>
              <w:t xml:space="preserve">Objective</w:t>
            </w:r>
            <w:r>
              <w:rPr>
                <w:color w:val="000000" w:themeColor="text1"/>
              </w:rPr>
            </w:r>
            <w:r>
              <w:rPr>
                <w:color w:val="000000" w:themeColor="text1"/>
              </w:rPr>
            </w:r>
          </w:p>
        </w:tc>
        <w:tc>
          <w:tcPr>
            <w:tcBorders/>
            <w:tcW w:w="7937" w:type="dxa"/>
            <w:textDirection w:val="lrTb"/>
            <w:noWrap w:val="false"/>
          </w:tcPr>
          <w:p w14:paraId="61D8B995">
            <w:pPr>
              <w:suppressLineNumbers w:val="false"/>
              <w:pBdr/>
              <w:spacing w:after="0" w:before="0" w:line="300" w:lineRule="auto"/>
              <w:ind/>
              <w:rPr>
                <w:color w:val="000000" w:themeColor="text1"/>
              </w:rPr>
            </w:pPr>
            <w:r>
              <w:rPr>
                <w:rFonts w:ascii="Arial" w:hAnsi="Arial" w:eastAsia="Arial" w:cs="Arial"/>
                <w:b/>
                <w:color w:val="000000" w:themeColor="text1"/>
                <w:sz w:val="21"/>
              </w:rPr>
              <w:t xml:space="preserve">Dissertation deliverable</w:t>
            </w:r>
            <w:r>
              <w:rPr>
                <w:color w:val="000000" w:themeColor="text1"/>
              </w:rPr>
            </w:r>
            <w:r>
              <w:rPr>
                <w:color w:val="000000" w:themeColor="text1"/>
              </w:rPr>
            </w:r>
          </w:p>
        </w:tc>
      </w:tr>
      <w:tr>
        <w:trPr/>
        <w:tc>
          <w:tcPr>
            <w:tcBorders/>
            <w:tcW w:w="1460" w:type="dxa"/>
            <w:textDirection w:val="lrTb"/>
            <w:noWrap w:val="false"/>
          </w:tcPr>
          <w:p w14:paraId="483B4DCD">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O1</w:t>
            </w:r>
            <w:r>
              <w:rPr>
                <w:color w:val="000000" w:themeColor="text1"/>
              </w:rPr>
            </w:r>
            <w:r>
              <w:rPr>
                <w:color w:val="000000" w:themeColor="text1"/>
              </w:rPr>
            </w:r>
          </w:p>
        </w:tc>
        <w:tc>
          <w:tcPr>
            <w:tcBorders/>
            <w:tcW w:w="7937" w:type="dxa"/>
            <w:textDirection w:val="lrTb"/>
            <w:noWrap w:val="false"/>
          </w:tcPr>
          <w:p w14:paraId="310845F0">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Dataset/task profiling and consolidated benchmark tables</w:t>
            </w:r>
            <w:r>
              <w:rPr>
                <w:color w:val="000000" w:themeColor="text1"/>
              </w:rPr>
            </w:r>
            <w:r>
              <w:rPr>
                <w:color w:val="000000" w:themeColor="text1"/>
              </w:rPr>
            </w:r>
          </w:p>
        </w:tc>
      </w:tr>
      <w:tr>
        <w:trPr/>
        <w:tc>
          <w:tcPr>
            <w:tcBorders/>
            <w:tcW w:w="1460" w:type="dxa"/>
            <w:textDirection w:val="lrTb"/>
            <w:noWrap w:val="false"/>
          </w:tcPr>
          <w:p w14:paraId="4EA2A83F">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O2</w:t>
            </w:r>
            <w:r>
              <w:rPr>
                <w:color w:val="000000" w:themeColor="text1"/>
              </w:rPr>
            </w:r>
            <w:r>
              <w:rPr>
                <w:color w:val="000000" w:themeColor="text1"/>
              </w:rPr>
            </w:r>
          </w:p>
        </w:tc>
        <w:tc>
          <w:tcPr>
            <w:tcBorders/>
            <w:tcW w:w="7937" w:type="dxa"/>
            <w:textDirection w:val="lrTb"/>
            <w:noWrap w:val="false"/>
          </w:tcPr>
          <w:p w14:paraId="1CD5A160">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Comparative model analysis with failure-mode interpretation</w:t>
            </w:r>
            <w:r>
              <w:rPr>
                <w:color w:val="000000" w:themeColor="text1"/>
              </w:rPr>
            </w:r>
            <w:r>
              <w:rPr>
                <w:color w:val="000000" w:themeColor="text1"/>
              </w:rPr>
            </w:r>
          </w:p>
        </w:tc>
      </w:tr>
      <w:tr>
        <w:trPr/>
        <w:tc>
          <w:tcPr>
            <w:tcBorders/>
            <w:tcW w:w="1460" w:type="dxa"/>
            <w:textDirection w:val="lrTb"/>
            <w:noWrap w:val="false"/>
          </w:tcPr>
          <w:p w14:paraId="6968FC8B">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O3</w:t>
            </w:r>
            <w:r>
              <w:rPr>
                <w:color w:val="000000" w:themeColor="text1"/>
              </w:rPr>
            </w:r>
            <w:r>
              <w:rPr>
                <w:color w:val="000000" w:themeColor="text1"/>
              </w:rPr>
            </w:r>
          </w:p>
        </w:tc>
        <w:tc>
          <w:tcPr>
            <w:tcBorders/>
            <w:tcW w:w="7937" w:type="dxa"/>
            <w:textDirection w:val="lrTb"/>
            <w:noWrap w:val="false"/>
          </w:tcPr>
          <w:p w14:paraId="0D7C63DD">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Severity-focused evaluation section with class-wise and ordinal metrics</w:t>
            </w:r>
            <w:r>
              <w:rPr>
                <w:color w:val="000000" w:themeColor="text1"/>
              </w:rPr>
            </w:r>
            <w:r>
              <w:rPr>
                <w:color w:val="000000" w:themeColor="text1"/>
              </w:rPr>
            </w:r>
          </w:p>
        </w:tc>
      </w:tr>
      <w:tr>
        <w:trPr/>
        <w:tc>
          <w:tcPr>
            <w:tcBorders/>
            <w:tcW w:w="1460" w:type="dxa"/>
            <w:textDirection w:val="lrTb"/>
            <w:noWrap w:val="false"/>
          </w:tcPr>
          <w:p w14:paraId="05B027B4">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O4</w:t>
            </w:r>
            <w:r>
              <w:rPr>
                <w:color w:val="000000" w:themeColor="text1"/>
              </w:rPr>
            </w:r>
            <w:r>
              <w:rPr>
                <w:color w:val="000000" w:themeColor="text1"/>
              </w:rPr>
            </w:r>
          </w:p>
        </w:tc>
        <w:tc>
          <w:tcPr>
            <w:tcBorders/>
            <w:tcW w:w="7937" w:type="dxa"/>
            <w:textDirection w:val="lrTb"/>
            <w:noWrap w:val="false"/>
          </w:tcPr>
          <w:p w14:paraId="644F5E39">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Scenario catalogue with acceptance criteria and error taxonomy</w:t>
            </w:r>
            <w:r>
              <w:rPr>
                <w:color w:val="000000" w:themeColor="text1"/>
              </w:rPr>
            </w:r>
            <w:r>
              <w:rPr>
                <w:color w:val="000000" w:themeColor="text1"/>
              </w:rPr>
            </w:r>
          </w:p>
        </w:tc>
      </w:tr>
      <w:tr>
        <w:trPr/>
        <w:tc>
          <w:tcPr>
            <w:tcBorders/>
            <w:tcW w:w="1460" w:type="dxa"/>
            <w:textDirection w:val="lrTb"/>
            <w:noWrap w:val="false"/>
          </w:tcPr>
          <w:p w14:paraId="3C8FDE5F">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O5</w:t>
            </w:r>
            <w:r>
              <w:rPr>
                <w:color w:val="000000" w:themeColor="text1"/>
              </w:rPr>
            </w:r>
            <w:r>
              <w:rPr>
                <w:color w:val="000000" w:themeColor="text1"/>
              </w:rPr>
            </w:r>
          </w:p>
        </w:tc>
        <w:tc>
          <w:tcPr>
            <w:tcBorders/>
            <w:tcW w:w="7937" w:type="dxa"/>
            <w:textDirection w:val="lrTb"/>
            <w:noWrap w:val="false"/>
          </w:tcPr>
          <w:p w14:paraId="7EE5AB23">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Proposed architecture and phased validation plan for evidence-aware extension</w:t>
            </w:r>
            <w:r>
              <w:rPr>
                <w:color w:val="000000" w:themeColor="text1"/>
              </w:rPr>
            </w:r>
            <w:r>
              <w:rPr>
                <w:color w:val="000000" w:themeColor="text1"/>
              </w:rPr>
            </w:r>
          </w:p>
        </w:tc>
      </w:tr>
    </w:tbl>
    <w:p w14:paraId="12BD727F">
      <w:pPr>
        <w:pStyle w:val="1128"/>
        <w:suppressLineNumbers w:val="false"/>
        <w:pBdr/>
        <w:spacing w:line="300" w:lineRule="auto"/>
        <w:ind w:firstLine="0" w:left="3600"/>
        <w:rPr>
          <w:color w:val="000000" w:themeColor="text1"/>
        </w:rPr>
      </w:pPr>
      <w:r>
        <w:rPr>
          <w:color w:val="000000" w:themeColor="text1"/>
        </w:rPr>
      </w:r>
      <w:r>
        <w:rPr>
          <w:lang w:val="en-US"/>
        </w:rPr>
        <w:t xml:space="preserve">Table 1.3</w:t>
      </w:r>
      <w:r>
        <w:rPr>
          <w:color w:val="000000" w:themeColor="text1"/>
        </w:rPr>
      </w:r>
      <w:r>
        <w:rPr>
          <w:color w:val="000000" w:themeColor="text1"/>
        </w:rPr>
      </w:r>
    </w:p>
    <w:p w14:paraId="693D110A">
      <w:pPr>
        <w:pStyle w:val="1128"/>
        <w:suppressLineNumbers w:val="false"/>
        <w:pBdr/>
        <w:spacing w:line="300" w:lineRule="auto"/>
        <w:ind w:firstLine="0"/>
        <w:rPr>
          <w:b/>
          <w:bCs/>
          <w:sz w:val="28"/>
          <w:szCs w:val="28"/>
        </w:rPr>
      </w:pPr>
      <w:r>
        <w:rPr>
          <w:b/>
          <w:bCs/>
          <w:color w:val="000000" w:themeColor="text1"/>
          <w:sz w:val="28"/>
          <w:szCs w:val="28"/>
        </w:rPr>
        <w:t xml:space="preserve">1.6 Research Questions</w:t>
      </w:r>
      <w:r>
        <w:rPr>
          <w:b/>
          <w:bCs/>
          <w:sz w:val="28"/>
          <w:szCs w:val="28"/>
        </w:rPr>
      </w:r>
      <w:r>
        <w:rPr>
          <w:b/>
          <w:bCs/>
          <w:sz w:val="28"/>
          <w:szCs w:val="28"/>
        </w:rPr>
      </w:r>
    </w:p>
    <w:p w14:paraId="143A7FDF">
      <w:pPr>
        <w:pStyle w:val="1128"/>
        <w:suppressLineNumbers w:val="false"/>
        <w:pBdr/>
        <w:spacing w:line="300" w:lineRule="auto"/>
        <w:ind w:firstLine="0"/>
        <w:rPr/>
      </w:pPr>
      <w:r>
        <w:rPr>
          <w:color w:val="000000" w:themeColor="text1"/>
        </w:rPr>
        <w:t xml:space="preserve">The dissertation is guided by six research questions that link task design, modeling strategy, and clinical utility.</w:t>
      </w:r>
      <w:r>
        <w:rPr>
          <w:color w:val="000000" w:themeColor="text1"/>
        </w:rPr>
      </w:r>
      <w:r/>
    </w:p>
    <w:p w14:paraId="6ABE904F">
      <w:pPr>
        <w:pStyle w:val="1128"/>
        <w:suppressLineNumbers w:val="false"/>
        <w:pBdr/>
        <w:spacing w:line="300" w:lineRule="auto"/>
        <w:ind w:firstLine="0"/>
        <w:rPr>
          <w:b/>
          <w:bCs/>
        </w:rPr>
      </w:pPr>
      <w:r>
        <w:rPr>
          <w:b/>
          <w:bCs/>
          <w:color w:val="000000" w:themeColor="text1"/>
        </w:rPr>
        <w:t xml:space="preserve">RQ1 (Coverage):</w:t>
      </w:r>
      <w:r>
        <w:rPr>
          <w:b/>
          <w:bCs/>
        </w:rPr>
      </w:r>
      <w:r>
        <w:rPr>
          <w:b/>
          <w:bCs/>
        </w:rPr>
      </w:r>
    </w:p>
    <w:p w14:paraId="72F3E382">
      <w:pPr>
        <w:pStyle w:val="1128"/>
        <w:suppressLineNumbers w:val="false"/>
        <w:pBdr/>
        <w:spacing w:line="300" w:lineRule="auto"/>
        <w:ind w:firstLine="0"/>
        <w:rPr/>
      </w:pPr>
      <w:r>
        <w:rPr>
          <w:color w:val="000000" w:themeColor="text1"/>
        </w:rPr>
        <w:t xml:space="preserve">What clinically relevant colonoscopy question families and answer spaces are represented in current GI MedVQA datasets, and what important gaps remain?</w:t>
      </w:r>
      <w:r>
        <w:rPr>
          <w:color w:val="000000" w:themeColor="text1"/>
        </w:rPr>
      </w:r>
      <w:r/>
    </w:p>
    <w:p w14:paraId="294DCFD7">
      <w:pPr>
        <w:pStyle w:val="1128"/>
        <w:suppressLineNumbers w:val="false"/>
        <w:pBdr/>
        <w:spacing w:line="300" w:lineRule="auto"/>
        <w:ind w:firstLine="0"/>
        <w:rPr>
          <w:b/>
          <w:bCs/>
        </w:rPr>
      </w:pPr>
      <w:r>
        <w:rPr>
          <w:b/>
          <w:bCs/>
          <w:color w:val="000000" w:themeColor="text1"/>
        </w:rPr>
        <w:t xml:space="preserve">RQ2 (Comparative reliability):</w:t>
      </w:r>
      <w:r>
        <w:rPr>
          <w:b/>
          <w:bCs/>
        </w:rPr>
      </w:r>
      <w:r>
        <w:rPr>
          <w:b/>
          <w:bCs/>
        </w:rPr>
      </w:r>
    </w:p>
    <w:p w14:paraId="11E7D011">
      <w:pPr>
        <w:pStyle w:val="1128"/>
        <w:suppressLineNumbers w:val="false"/>
        <w:pBdr/>
        <w:spacing w:line="300" w:lineRule="auto"/>
        <w:ind w:firstLine="0"/>
        <w:rPr/>
      </w:pPr>
      <w:r>
        <w:rPr>
          <w:color w:val="000000" w:themeColor="text1"/>
        </w:rPr>
        <w:t xml:space="preserve">On GI MedVQA tasks, do constrained/discriminative pipelines remain more reliable than zero-shot open-ended VLM generation?</w:t>
      </w:r>
      <w:r>
        <w:rPr>
          <w:color w:val="000000" w:themeColor="text1"/>
        </w:rPr>
      </w:r>
      <w:r/>
    </w:p>
    <w:p w14:paraId="2AF0F904">
      <w:pPr>
        <w:pStyle w:val="1128"/>
        <w:suppressLineNumbers w:val="false"/>
        <w:pBdr/>
        <w:spacing w:line="300" w:lineRule="auto"/>
        <w:ind w:firstLine="0"/>
        <w:rPr>
          <w:b/>
          <w:bCs/>
        </w:rPr>
      </w:pPr>
      <w:r>
        <w:rPr>
          <w:b/>
          <w:bCs/>
          <w:color w:val="000000" w:themeColor="text1"/>
        </w:rPr>
        <w:t xml:space="preserve">RQ3 (Failure modes):</w:t>
      </w:r>
      <w:r>
        <w:rPr>
          <w:b/>
          <w:bCs/>
        </w:rPr>
      </w:r>
      <w:r>
        <w:rPr>
          <w:b/>
          <w:bCs/>
        </w:rPr>
      </w:r>
    </w:p>
    <w:p w14:paraId="1523E50D">
      <w:pPr>
        <w:pStyle w:val="1128"/>
        <w:suppressLineNumbers w:val="false"/>
        <w:pBdr/>
        <w:spacing w:line="300" w:lineRule="auto"/>
        <w:ind w:firstLine="0"/>
        <w:rPr/>
      </w:pPr>
      <w:r>
        <w:rPr>
          <w:color w:val="000000" w:themeColor="text1"/>
        </w:rPr>
        <w:t xml:space="preserve">Which failure modes dominate current GI MedVQA systems: class imbalance, lexical mismatch, localization ambiguity, or domain shift?</w:t>
      </w:r>
      <w:r>
        <w:rPr>
          <w:color w:val="000000" w:themeColor="text1"/>
        </w:rPr>
      </w:r>
      <w:r/>
    </w:p>
    <w:p w14:paraId="0E2F15EE">
      <w:pPr>
        <w:pStyle w:val="1128"/>
        <w:suppressLineNumbers w:val="false"/>
        <w:pBdr/>
        <w:spacing w:line="300" w:lineRule="auto"/>
        <w:ind w:firstLine="0"/>
        <w:rPr>
          <w:b/>
          <w:bCs/>
        </w:rPr>
      </w:pPr>
      <w:r>
        <w:rPr>
          <w:b/>
          <w:bCs/>
          <w:color w:val="000000" w:themeColor="text1"/>
        </w:rPr>
        <w:t xml:space="preserve">RQ4 (Severity robustness):</w:t>
      </w:r>
      <w:r>
        <w:rPr>
          <w:b/>
          <w:bCs/>
        </w:rPr>
      </w:r>
      <w:r>
        <w:rPr>
          <w:b/>
          <w:bCs/>
        </w:rPr>
      </w:r>
    </w:p>
    <w:p w14:paraId="3A7075B0">
      <w:pPr>
        <w:pStyle w:val="1128"/>
        <w:suppressLineNumbers w:val="false"/>
        <w:pBdr/>
        <w:spacing w:line="300" w:lineRule="auto"/>
        <w:ind w:firstLine="0"/>
        <w:rPr/>
      </w:pPr>
      <w:r>
        <w:rPr>
          <w:color w:val="000000" w:themeColor="text1"/>
        </w:rPr>
        <w:t xml:space="preserve">How reliably can models answer UC severity-oriented questions, especially for underrepresented severe classes?</w:t>
      </w:r>
      <w:r>
        <w:rPr>
          <w:color w:val="000000" w:themeColor="text1"/>
        </w:rPr>
      </w:r>
      <w:r/>
    </w:p>
    <w:p w14:paraId="5059044E">
      <w:pPr>
        <w:pStyle w:val="1128"/>
        <w:suppressLineNumbers w:val="false"/>
        <w:pBdr/>
        <w:spacing w:line="300" w:lineRule="auto"/>
        <w:ind w:firstLine="0"/>
        <w:rPr>
          <w:b/>
          <w:bCs/>
        </w:rPr>
      </w:pPr>
      <w:r>
        <w:rPr>
          <w:b/>
          <w:bCs/>
          <w:color w:val="000000" w:themeColor="text1"/>
        </w:rPr>
        <w:t xml:space="preserve">RQ5 (Clinical output format):</w:t>
      </w:r>
      <w:r>
        <w:rPr>
          <w:b/>
          <w:bCs/>
        </w:rPr>
      </w:r>
      <w:r>
        <w:rPr>
          <w:b/>
          <w:bCs/>
        </w:rPr>
      </w:r>
    </w:p>
    <w:p w14:paraId="2378520B">
      <w:pPr>
        <w:pStyle w:val="1128"/>
        <w:suppressLineNumbers w:val="false"/>
        <w:pBdr/>
        <w:spacing w:line="300" w:lineRule="auto"/>
        <w:ind w:firstLine="0"/>
        <w:rPr/>
      </w:pPr>
      <w:r>
        <w:rPr>
          <w:color w:val="000000" w:themeColor="text1"/>
        </w:rPr>
        <w:t xml:space="preserve">Which output format best supports clinician trust and usability: label only, label plus rationale, label plus confidence, or answer plus retrieved evidence?</w:t>
      </w:r>
      <w:r>
        <w:rPr>
          <w:color w:val="000000" w:themeColor="text1"/>
        </w:rPr>
      </w:r>
      <w:r/>
    </w:p>
    <w:p w14:paraId="1A7A0F26">
      <w:pPr>
        <w:pStyle w:val="1128"/>
        <w:suppressLineNumbers w:val="false"/>
        <w:pBdr/>
        <w:spacing w:line="300" w:lineRule="auto"/>
        <w:ind w:firstLine="0"/>
        <w:rPr>
          <w:b/>
          <w:bCs/>
        </w:rPr>
      </w:pPr>
      <w:r>
        <w:rPr>
          <w:b/>
          <w:bCs/>
          <w:color w:val="000000" w:themeColor="text1"/>
        </w:rPr>
        <w:t xml:space="preserve">RQ6 (Evidence-aware extension):</w:t>
      </w:r>
      <w:r>
        <w:rPr>
          <w:b/>
          <w:bCs/>
        </w:rPr>
      </w:r>
      <w:r>
        <w:rPr>
          <w:b/>
          <w:bCs/>
        </w:rPr>
      </w:r>
    </w:p>
    <w:p w14:paraId="76EEA597">
      <w:pPr>
        <w:pStyle w:val="1128"/>
        <w:suppressLineNumbers w:val="false"/>
        <w:pBdr/>
        <w:spacing w:line="300" w:lineRule="auto"/>
        <w:ind w:firstLine="0"/>
        <w:rPr>
          <w:color w:val="000000" w:themeColor="text1"/>
          <w:highlight w:val="none"/>
        </w:rPr>
      </w:pPr>
      <w:r>
        <w:rPr>
          <w:color w:val="000000" w:themeColor="text1"/>
        </w:rPr>
        <w:t xml:space="preserve">Can retrieval-augmented reasoning be integrated as a controlled extension without degrading core visual-grounded accuracy?</w:t>
      </w:r>
      <w:r>
        <w:rPr>
          <w:color w:val="000000" w:themeColor="text1"/>
          <w:highlight w:val="none"/>
        </w:rPr>
      </w:r>
      <w:r>
        <w:rPr>
          <w:color w:val="000000" w:themeColor="text1"/>
          <w:highlight w:val="none"/>
        </w:rPr>
      </w:r>
    </w:p>
    <w:p w14:paraId="52134F48">
      <w:pPr>
        <w:pStyle w:val="1128"/>
        <w:suppressLineNumbers w:val="false"/>
        <w:pBdr/>
        <w:spacing w:line="300" w:lineRule="auto"/>
        <w:ind w:firstLine="0"/>
        <w:rPr>
          <w:b/>
          <w:bCs/>
          <w:color w:val="000000" w:themeColor="text1"/>
          <w:highlight w:val="none"/>
        </w:rPr>
      </w:pPr>
      <w:r>
        <w:rPr>
          <w:b/>
          <w:bCs/>
          <w:color w:val="000000" w:themeColor="text1"/>
          <w:highlight w:val="none"/>
        </w:rPr>
      </w:r>
      <w:r>
        <w:rPr>
          <w:b/>
          <w:bCs/>
          <w:color w:val="000000" w:themeColor="text1"/>
          <w:highlight w:val="none"/>
        </w:rPr>
        <w:t xml:space="preserve">1.6.1 RQ-to-Evaluation Map</w:t>
      </w:r>
      <w:r>
        <w:rPr>
          <w:b/>
          <w:bCs/>
          <w:color w:val="000000" w:themeColor="text1"/>
          <w:highlight w:val="none"/>
        </w:rPr>
      </w:r>
      <w:r>
        <w:rPr>
          <w:b/>
          <w:bCs/>
          <w:color w:val="000000" w:themeColor="text1"/>
          <w:highlight w:val="none"/>
        </w:rPr>
      </w:r>
    </w:p>
    <w:tbl>
      <w:tblPr>
        <w:tblStyle w:val="1185"/>
        <w:tblW w:w="0" w:type="auto"/>
        <w:tblBorders/>
        <w:tblLayout w:type="fixed"/>
        <w:tblLook w:val="04A0" w:firstRow="1" w:lastRow="0" w:firstColumn="1" w:lastColumn="0" w:noHBand="0" w:noVBand="1"/>
      </w:tblPr>
      <w:tblGrid>
        <w:gridCol w:w="1460"/>
        <w:gridCol w:w="3827"/>
        <w:gridCol w:w="3543"/>
      </w:tblGrid>
      <w:tr>
        <w:trPr>
          <w:trHeight w:val="449"/>
        </w:trPr>
        <w:tc>
          <w:tcPr>
            <w:tcBorders/>
            <w:tcW w:w="1460" w:type="dxa"/>
            <w:textDirection w:val="lrTb"/>
            <w:noWrap w:val="false"/>
          </w:tcPr>
          <w:p w14:paraId="601C72B7">
            <w:pPr>
              <w:suppressLineNumbers w:val="false"/>
              <w:pBdr/>
              <w:spacing w:after="0" w:before="0" w:line="300" w:lineRule="auto"/>
              <w:ind/>
              <w:rPr>
                <w:color w:val="000000" w:themeColor="text1"/>
              </w:rPr>
            </w:pPr>
            <w:r>
              <w:rPr>
                <w:rFonts w:ascii="Arial" w:hAnsi="Arial" w:eastAsia="Arial" w:cs="Arial"/>
                <w:b/>
                <w:color w:val="000000" w:themeColor="text1"/>
                <w:sz w:val="21"/>
              </w:rPr>
              <w:t xml:space="preserve">RQ</w:t>
            </w:r>
            <w:r>
              <w:rPr>
                <w:color w:val="000000" w:themeColor="text1"/>
              </w:rPr>
            </w:r>
            <w:r>
              <w:rPr>
                <w:color w:val="000000" w:themeColor="text1"/>
              </w:rPr>
            </w:r>
          </w:p>
        </w:tc>
        <w:tc>
          <w:tcPr>
            <w:tcBorders/>
            <w:tcW w:w="3827" w:type="dxa"/>
            <w:textDirection w:val="lrTb"/>
            <w:noWrap w:val="false"/>
          </w:tcPr>
          <w:p w14:paraId="6D8AB188">
            <w:pPr>
              <w:suppressLineNumbers w:val="false"/>
              <w:pBdr/>
              <w:spacing w:after="0" w:before="0" w:line="300" w:lineRule="auto"/>
              <w:ind/>
              <w:rPr>
                <w:color w:val="000000" w:themeColor="text1"/>
              </w:rPr>
            </w:pPr>
            <w:r>
              <w:rPr>
                <w:rFonts w:ascii="Arial" w:hAnsi="Arial" w:eastAsia="Arial" w:cs="Arial"/>
                <w:b/>
                <w:color w:val="000000" w:themeColor="text1"/>
                <w:sz w:val="21"/>
              </w:rPr>
              <w:t xml:space="preserve">Primary evidence in this thesis</w:t>
            </w:r>
            <w:r>
              <w:rPr>
                <w:color w:val="000000" w:themeColor="text1"/>
              </w:rPr>
            </w:r>
            <w:r>
              <w:rPr>
                <w:color w:val="000000" w:themeColor="text1"/>
              </w:rPr>
            </w:r>
          </w:p>
        </w:tc>
        <w:tc>
          <w:tcPr>
            <w:tcBorders/>
            <w:tcW w:w="3543" w:type="dxa"/>
            <w:textDirection w:val="lrTb"/>
            <w:noWrap w:val="false"/>
          </w:tcPr>
          <w:p w14:paraId="5FC923ED">
            <w:pPr>
              <w:suppressLineNumbers w:val="false"/>
              <w:pBdr/>
              <w:spacing w:after="0" w:before="0" w:line="300" w:lineRule="auto"/>
              <w:ind/>
              <w:rPr>
                <w:color w:val="000000" w:themeColor="text1"/>
              </w:rPr>
            </w:pPr>
            <w:r>
              <w:rPr>
                <w:rFonts w:ascii="Arial" w:hAnsi="Arial" w:eastAsia="Arial" w:cs="Arial"/>
                <w:b/>
                <w:color w:val="000000" w:themeColor="text1"/>
                <w:sz w:val="21"/>
              </w:rPr>
              <w:t xml:space="preserve">Candidate metrics</w:t>
            </w:r>
            <w:r>
              <w:rPr>
                <w:color w:val="000000" w:themeColor="text1"/>
              </w:rPr>
            </w:r>
            <w:r>
              <w:rPr>
                <w:color w:val="000000" w:themeColor="text1"/>
              </w:rPr>
            </w:r>
          </w:p>
        </w:tc>
      </w:tr>
      <w:tr>
        <w:trPr/>
        <w:tc>
          <w:tcPr>
            <w:tcBorders/>
            <w:tcW w:w="1460" w:type="dxa"/>
            <w:textDirection w:val="lrTb"/>
            <w:noWrap w:val="false"/>
          </w:tcPr>
          <w:p w14:paraId="32B9132C">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RQ1</w:t>
            </w:r>
            <w:r>
              <w:rPr>
                <w:color w:val="000000" w:themeColor="text1"/>
              </w:rPr>
            </w:r>
            <w:r>
              <w:rPr>
                <w:color w:val="000000" w:themeColor="text1"/>
              </w:rPr>
            </w:r>
          </w:p>
        </w:tc>
        <w:tc>
          <w:tcPr>
            <w:tcBorders/>
            <w:tcW w:w="3827" w:type="dxa"/>
            <w:textDirection w:val="lrTb"/>
            <w:noWrap w:val="false"/>
          </w:tcPr>
          <w:p w14:paraId="56134E49">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Dataset profiling and taxonomy analysis</w:t>
            </w:r>
            <w:r>
              <w:rPr>
                <w:color w:val="000000" w:themeColor="text1"/>
              </w:rPr>
            </w:r>
            <w:r>
              <w:rPr>
                <w:color w:val="000000" w:themeColor="text1"/>
              </w:rPr>
            </w:r>
          </w:p>
        </w:tc>
        <w:tc>
          <w:tcPr>
            <w:tcBorders/>
            <w:tcW w:w="3543" w:type="dxa"/>
            <w:textDirection w:val="lrTb"/>
            <w:noWrap w:val="false"/>
          </w:tcPr>
          <w:p w14:paraId="2802D9EF">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Coverage %, answer cardinality, imbalance ratio</w:t>
            </w:r>
            <w:r>
              <w:rPr>
                <w:color w:val="000000" w:themeColor="text1"/>
              </w:rPr>
            </w:r>
            <w:r>
              <w:rPr>
                <w:color w:val="000000" w:themeColor="text1"/>
              </w:rPr>
            </w:r>
          </w:p>
        </w:tc>
      </w:tr>
      <w:tr>
        <w:trPr/>
        <w:tc>
          <w:tcPr>
            <w:tcBorders/>
            <w:tcW w:w="1460" w:type="dxa"/>
            <w:textDirection w:val="lrTb"/>
            <w:noWrap w:val="false"/>
          </w:tcPr>
          <w:p w14:paraId="62C2F095">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RQ2</w:t>
            </w:r>
            <w:r>
              <w:rPr>
                <w:color w:val="000000" w:themeColor="text1"/>
              </w:rPr>
            </w:r>
            <w:r>
              <w:rPr>
                <w:color w:val="000000" w:themeColor="text1"/>
              </w:rPr>
            </w:r>
          </w:p>
        </w:tc>
        <w:tc>
          <w:tcPr>
            <w:tcBorders/>
            <w:tcW w:w="3827" w:type="dxa"/>
            <w:textDirection w:val="lrTb"/>
            <w:noWrap w:val="false"/>
          </w:tcPr>
          <w:p w14:paraId="5EC52A93">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Closed-set vs generative comparisons</w:t>
            </w:r>
            <w:r>
              <w:rPr>
                <w:color w:val="000000" w:themeColor="text1"/>
              </w:rPr>
            </w:r>
            <w:r>
              <w:rPr>
                <w:color w:val="000000" w:themeColor="text1"/>
              </w:rPr>
            </w:r>
          </w:p>
        </w:tc>
        <w:tc>
          <w:tcPr>
            <w:tcBorders/>
            <w:tcW w:w="3543" w:type="dxa"/>
            <w:textDirection w:val="lrTb"/>
            <w:noWrap w:val="false"/>
          </w:tcPr>
          <w:p w14:paraId="335F6E83">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Accuracy, macro-F1, MCC, EM, token-F1</w:t>
            </w:r>
            <w:r>
              <w:rPr>
                <w:color w:val="000000" w:themeColor="text1"/>
              </w:rPr>
            </w:r>
            <w:r>
              <w:rPr>
                <w:color w:val="000000" w:themeColor="text1"/>
              </w:rPr>
            </w:r>
          </w:p>
        </w:tc>
      </w:tr>
      <w:tr>
        <w:trPr/>
        <w:tc>
          <w:tcPr>
            <w:tcBorders/>
            <w:tcW w:w="1460" w:type="dxa"/>
            <w:textDirection w:val="lrTb"/>
            <w:noWrap w:val="false"/>
          </w:tcPr>
          <w:p w14:paraId="236C1780">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RQ3</w:t>
            </w:r>
            <w:r>
              <w:rPr>
                <w:color w:val="000000" w:themeColor="text1"/>
              </w:rPr>
            </w:r>
            <w:r>
              <w:rPr>
                <w:color w:val="000000" w:themeColor="text1"/>
              </w:rPr>
            </w:r>
          </w:p>
        </w:tc>
        <w:tc>
          <w:tcPr>
            <w:tcBorders/>
            <w:tcW w:w="3827" w:type="dxa"/>
            <w:textDirection w:val="lrTb"/>
            <w:noWrap w:val="false"/>
          </w:tcPr>
          <w:p w14:paraId="606DCCB5">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Error and robustness analysis</w:t>
            </w:r>
            <w:r>
              <w:rPr>
                <w:color w:val="000000" w:themeColor="text1"/>
              </w:rPr>
            </w:r>
            <w:r>
              <w:rPr>
                <w:color w:val="000000" w:themeColor="text1"/>
              </w:rPr>
            </w:r>
          </w:p>
        </w:tc>
        <w:tc>
          <w:tcPr>
            <w:tcBorders/>
            <w:tcW w:w="3543" w:type="dxa"/>
            <w:textDirection w:val="lrTb"/>
            <w:noWrap w:val="false"/>
          </w:tcPr>
          <w:p w14:paraId="737861CB">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Per-class recall, head-tail gap, OOV/unknown rates</w:t>
            </w:r>
            <w:r>
              <w:rPr>
                <w:color w:val="000000" w:themeColor="text1"/>
              </w:rPr>
            </w:r>
            <w:r>
              <w:rPr>
                <w:color w:val="000000" w:themeColor="text1"/>
              </w:rPr>
            </w:r>
          </w:p>
        </w:tc>
      </w:tr>
      <w:tr>
        <w:trPr/>
        <w:tc>
          <w:tcPr>
            <w:tcBorders/>
            <w:tcW w:w="1460" w:type="dxa"/>
            <w:textDirection w:val="lrTb"/>
            <w:noWrap w:val="false"/>
          </w:tcPr>
          <w:p w14:paraId="408D49F7">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RQ4</w:t>
            </w:r>
            <w:r>
              <w:rPr>
                <w:color w:val="000000" w:themeColor="text1"/>
              </w:rPr>
            </w:r>
            <w:r>
              <w:rPr>
                <w:color w:val="000000" w:themeColor="text1"/>
              </w:rPr>
            </w:r>
          </w:p>
        </w:tc>
        <w:tc>
          <w:tcPr>
            <w:tcBorders/>
            <w:tcW w:w="3827" w:type="dxa"/>
            <w:textDirection w:val="lrTb"/>
            <w:noWrap w:val="false"/>
          </w:tcPr>
          <w:p w14:paraId="4C00206D">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UC severity-focused experiments</w:t>
            </w:r>
            <w:r>
              <w:rPr>
                <w:color w:val="000000" w:themeColor="text1"/>
              </w:rPr>
            </w:r>
            <w:r>
              <w:rPr>
                <w:color w:val="000000" w:themeColor="text1"/>
              </w:rPr>
            </w:r>
          </w:p>
        </w:tc>
        <w:tc>
          <w:tcPr>
            <w:tcBorders/>
            <w:tcW w:w="3543" w:type="dxa"/>
            <w:textDirection w:val="lrTb"/>
            <w:noWrap w:val="false"/>
          </w:tcPr>
          <w:p w14:paraId="2B234E03">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Macro-F1, balanced accuracy, QWK, remission sensitivity/specificity</w:t>
            </w:r>
            <w:r>
              <w:rPr>
                <w:color w:val="000000" w:themeColor="text1"/>
              </w:rPr>
            </w:r>
            <w:r>
              <w:rPr>
                <w:color w:val="000000" w:themeColor="text1"/>
              </w:rPr>
            </w:r>
          </w:p>
        </w:tc>
      </w:tr>
      <w:tr>
        <w:trPr/>
        <w:tc>
          <w:tcPr>
            <w:tcBorders/>
            <w:tcW w:w="1460" w:type="dxa"/>
            <w:textDirection w:val="lrTb"/>
            <w:noWrap w:val="false"/>
          </w:tcPr>
          <w:p w14:paraId="569DFE16">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RQ5</w:t>
            </w:r>
            <w:r>
              <w:rPr>
                <w:color w:val="000000" w:themeColor="text1"/>
              </w:rPr>
            </w:r>
            <w:r>
              <w:rPr>
                <w:color w:val="000000" w:themeColor="text1"/>
              </w:rPr>
            </w:r>
          </w:p>
        </w:tc>
        <w:tc>
          <w:tcPr>
            <w:tcBorders/>
            <w:tcW w:w="3827" w:type="dxa"/>
            <w:textDirection w:val="lrTb"/>
            <w:noWrap w:val="false"/>
          </w:tcPr>
          <w:p w14:paraId="266C0DA4">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Scenario-driven analysis</w:t>
            </w:r>
            <w:r>
              <w:rPr>
                <w:color w:val="000000" w:themeColor="text1"/>
              </w:rPr>
            </w:r>
            <w:r>
              <w:rPr>
                <w:color w:val="000000" w:themeColor="text1"/>
              </w:rPr>
            </w:r>
          </w:p>
        </w:tc>
        <w:tc>
          <w:tcPr>
            <w:tcBorders/>
            <w:tcW w:w="3543" w:type="dxa"/>
            <w:textDirection w:val="lrTb"/>
            <w:noWrap w:val="false"/>
          </w:tcPr>
          <w:p w14:paraId="6D2EE24D">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Scenario pass rate, high-risk error counts, clinician-facing clarity criteria</w:t>
            </w:r>
            <w:r>
              <w:rPr>
                <w:color w:val="000000" w:themeColor="text1"/>
              </w:rPr>
            </w:r>
            <w:r>
              <w:rPr>
                <w:color w:val="000000" w:themeColor="text1"/>
              </w:rPr>
            </w:r>
          </w:p>
        </w:tc>
      </w:tr>
      <w:tr>
        <w:trPr/>
        <w:tc>
          <w:tcPr>
            <w:tcBorders/>
            <w:tcW w:w="1460" w:type="dxa"/>
            <w:textDirection w:val="lrTb"/>
            <w:noWrap w:val="false"/>
          </w:tcPr>
          <w:p w14:paraId="7EE7BD8F">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RQ6</w:t>
            </w:r>
            <w:r>
              <w:rPr>
                <w:color w:val="000000" w:themeColor="text1"/>
              </w:rPr>
            </w:r>
            <w:r>
              <w:rPr>
                <w:color w:val="000000" w:themeColor="text1"/>
              </w:rPr>
            </w:r>
          </w:p>
        </w:tc>
        <w:tc>
          <w:tcPr>
            <w:tcBorders/>
            <w:tcW w:w="3827" w:type="dxa"/>
            <w:textDirection w:val="lrTb"/>
            <w:noWrap w:val="false"/>
          </w:tcPr>
          <w:p w14:paraId="7976CA85">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Retrieval-augmented prototype analysis</w:t>
            </w:r>
            <w:r>
              <w:rPr>
                <w:color w:val="000000" w:themeColor="text1"/>
              </w:rPr>
            </w:r>
            <w:r>
              <w:rPr>
                <w:color w:val="000000" w:themeColor="text1"/>
              </w:rPr>
            </w:r>
          </w:p>
        </w:tc>
        <w:tc>
          <w:tcPr>
            <w:tcBorders/>
            <w:tcW w:w="3543" w:type="dxa"/>
            <w:textDirection w:val="lrTb"/>
            <w:noWrap w:val="false"/>
          </w:tcPr>
          <w:p w14:paraId="1214C673">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Accuracy delta, evidence relevance, factual consistency checks</w:t>
            </w:r>
            <w:r>
              <w:rPr>
                <w:color w:val="000000" w:themeColor="text1"/>
              </w:rPr>
            </w:r>
            <w:r>
              <w:rPr>
                <w:color w:val="000000" w:themeColor="text1"/>
              </w:rPr>
            </w:r>
          </w:p>
        </w:tc>
      </w:tr>
    </w:tbl>
    <w:p w14:paraId="1F815513">
      <w:pPr>
        <w:pStyle w:val="1128"/>
        <w:suppressLineNumbers w:val="false"/>
        <w:pBdr/>
        <w:spacing w:line="300" w:lineRule="auto"/>
        <w:ind w:firstLine="0" w:left="3600"/>
        <w:rPr>
          <w:color w:val="000000" w:themeColor="text1"/>
        </w:rPr>
      </w:pPr>
      <w:r>
        <w:rPr>
          <w:color w:val="000000" w:themeColor="text1"/>
        </w:rPr>
      </w:r>
      <w:r>
        <w:rPr>
          <w:lang w:val="en-US"/>
        </w:rPr>
        <w:t xml:space="preserve">Table 1.4</w:t>
      </w:r>
      <w:r>
        <w:rPr>
          <w:color w:val="000000" w:themeColor="text1"/>
        </w:rPr>
      </w:r>
      <w:r>
        <w:rPr>
          <w:color w:val="000000" w:themeColor="text1"/>
        </w:rPr>
      </w:r>
    </w:p>
    <w:p w14:paraId="5E5E673D">
      <w:pPr>
        <w:pStyle w:val="1128"/>
        <w:suppressLineNumbers w:val="false"/>
        <w:pBdr/>
        <w:spacing w:line="300" w:lineRule="auto"/>
        <w:ind w:firstLine="0"/>
        <w:rPr/>
      </w:pPr>
      <w:r/>
      <w:r/>
    </w:p>
    <w:p w14:paraId="34F5A392">
      <w:pPr>
        <w:pStyle w:val="1128"/>
        <w:suppressLineNumbers w:val="false"/>
        <w:pBdr/>
        <w:spacing w:line="300" w:lineRule="auto"/>
        <w:ind w:firstLine="0"/>
        <w:rPr>
          <w:b/>
          <w:bCs/>
        </w:rPr>
      </w:pPr>
      <w:r>
        <w:rPr>
          <w:b/>
          <w:bCs/>
        </w:rPr>
        <w:t xml:space="preserve">1.6.2 Research Hypotheses (Working)</w:t>
      </w:r>
      <w:r>
        <w:rPr>
          <w:b/>
          <w:bCs/>
        </w:rPr>
      </w:r>
      <w:r>
        <w:rPr>
          <w:b/>
          <w:bCs/>
        </w:rPr>
      </w:r>
    </w:p>
    <w:p w14:paraId="69C4345A">
      <w:pPr>
        <w:pStyle w:val="1128"/>
        <w:numPr>
          <w:ilvl w:val="0"/>
          <w:numId w:val="17"/>
        </w:numPr>
        <w:suppressLineNumbers w:val="false"/>
        <w:pBdr/>
        <w:spacing w:after="240" w:before="120" w:line="300" w:lineRule="auto"/>
        <w:ind/>
        <w:rPr/>
      </w:pPr>
      <w:r>
        <w:t xml:space="preserve">H1: In current GI datasets, constrained or supervised decoders will outperform </w:t>
        <w:tab/>
        <w:t xml:space="preserve">raw zero-shot free generation on core reliability metrics.</w:t>
      </w:r>
      <w:r/>
    </w:p>
    <w:p w14:paraId="44068932">
      <w:pPr>
        <w:pStyle w:val="1128"/>
        <w:numPr>
          <w:ilvl w:val="0"/>
          <w:numId w:val="17"/>
        </w:numPr>
        <w:suppressLineNumbers w:val="false"/>
        <w:pBdr/>
        <w:spacing w:after="240" w:before="120" w:line="300" w:lineRule="auto"/>
        <w:ind/>
        <w:rPr/>
      </w:pPr>
      <w:r>
        <w:t xml:space="preserve">H2: Minority severe classes will remain the primary bottleneck even when </w:t>
        <w:tab/>
        <w:t xml:space="preserve">aggregate accuracy is high.</w:t>
      </w:r>
      <w:r/>
    </w:p>
    <w:p w14:paraId="2DDCA700">
      <w:pPr>
        <w:pStyle w:val="1128"/>
        <w:numPr>
          <w:ilvl w:val="0"/>
          <w:numId w:val="17"/>
        </w:numPr>
        <w:suppressLineNumbers w:val="false"/>
        <w:pBdr/>
        <w:spacing w:after="240" w:before="120" w:line="300" w:lineRule="auto"/>
        <w:ind/>
        <w:rPr/>
      </w:pPr>
      <w:r>
        <w:t xml:space="preserve">H3: A conditional evidence-augmented layer can improve interpretability for high-</w:t>
        <w:tab/>
        <w:t xml:space="preserve">risk questions without compromising visual grounding.</w:t>
      </w:r>
      <w:r/>
    </w:p>
    <w:p w14:paraId="169087FE">
      <w:pPr>
        <w:pStyle w:val="1128"/>
        <w:suppressLineNumbers w:val="false"/>
        <w:pBdr/>
        <w:spacing w:line="300" w:lineRule="auto"/>
        <w:ind w:firstLine="0"/>
        <w:rPr>
          <w:highlight w:val="none"/>
        </w:rPr>
      </w:pPr>
      <w:r>
        <w:t xml:space="preserve">These hypotheses are working assumptions to be tested in later chapters; they </w:t>
        <w:tab/>
        <w:t xml:space="preserve">are not final claims.</w:t>
      </w:r>
      <w:r>
        <w:rPr>
          <w:highlight w:val="none"/>
        </w:rPr>
      </w:r>
      <w:r>
        <w:rPr>
          <w:highlight w:val="none"/>
        </w:rPr>
      </w:r>
    </w:p>
    <w:p w14:paraId="0503E37C">
      <w:pPr>
        <w:pStyle w:val="1128"/>
        <w:suppressLineNumbers w:val="false"/>
        <w:pBdr/>
        <w:spacing w:line="300" w:lineRule="auto"/>
        <w:ind/>
        <w:rPr/>
      </w:pPr>
      <w:r/>
      <w:r/>
    </w:p>
    <w:p w14:paraId="4F3700B9">
      <w:pPr>
        <w:pStyle w:val="1128"/>
        <w:suppressLineNumbers w:val="false"/>
        <w:pBdr/>
        <w:spacing w:line="300" w:lineRule="auto"/>
        <w:ind w:firstLine="0"/>
        <w:rPr>
          <w:b/>
          <w:bCs/>
          <w:sz w:val="28"/>
          <w:szCs w:val="28"/>
        </w:rPr>
      </w:pPr>
      <w:r>
        <w:rPr>
          <w:b/>
          <w:bCs/>
          <w:sz w:val="28"/>
          <w:szCs w:val="28"/>
        </w:rPr>
        <w:t xml:space="preserve">1.7 Scope, Assumptions, and Delimitations</w:t>
      </w:r>
      <w:r>
        <w:rPr>
          <w:b/>
          <w:bCs/>
          <w:sz w:val="28"/>
          <w:szCs w:val="28"/>
        </w:rPr>
      </w:r>
      <w:r>
        <w:rPr>
          <w:b/>
          <w:bCs/>
          <w:sz w:val="28"/>
          <w:szCs w:val="28"/>
        </w:rPr>
      </w:r>
    </w:p>
    <w:p w14:paraId="45AAEE1F">
      <w:pPr>
        <w:pStyle w:val="1128"/>
        <w:suppressLineNumbers w:val="false"/>
        <w:pBdr/>
        <w:spacing w:line="300" w:lineRule="auto"/>
        <w:ind w:firstLine="0"/>
        <w:rPr>
          <w:b/>
          <w:bCs/>
        </w:rPr>
      </w:pPr>
      <w:r>
        <w:rPr>
          <w:b/>
          <w:bCs/>
        </w:rPr>
        <w:t xml:space="preserve">1.7.1 In Scope</w:t>
      </w:r>
      <w:r>
        <w:rPr>
          <w:b/>
          <w:bCs/>
        </w:rPr>
      </w:r>
      <w:r>
        <w:rPr>
          <w:b/>
          <w:bCs/>
        </w:rPr>
      </w:r>
    </w:p>
    <w:p w14:paraId="3A98C560">
      <w:pPr>
        <w:pStyle w:val="1128"/>
        <w:numPr>
          <w:ilvl w:val="0"/>
          <w:numId w:val="18"/>
        </w:numPr>
        <w:suppressLineNumbers w:val="false"/>
        <w:pBdr/>
        <w:spacing w:line="120" w:lineRule="auto"/>
        <w:ind/>
        <w:rPr/>
      </w:pPr>
      <w:r>
        <w:t xml:space="preserve">Colonoscopy and GI endoscopy image-question answering.</w:t>
      </w:r>
      <w:r/>
    </w:p>
    <w:p w14:paraId="7B66B808">
      <w:pPr>
        <w:pStyle w:val="1128"/>
        <w:numPr>
          <w:ilvl w:val="0"/>
          <w:numId w:val="18"/>
        </w:numPr>
        <w:suppressLineNumbers w:val="false"/>
        <w:pBdr/>
        <w:spacing w:line="120" w:lineRule="auto"/>
        <w:ind/>
        <w:rPr/>
      </w:pPr>
      <w:r>
        <w:t xml:space="preserve">UC severity-oriented analysis as a flagship clinical axis.</w:t>
      </w:r>
      <w:r/>
    </w:p>
    <w:p w14:paraId="17AA6AAC">
      <w:pPr>
        <w:pStyle w:val="1128"/>
        <w:numPr>
          <w:ilvl w:val="0"/>
          <w:numId w:val="18"/>
        </w:numPr>
        <w:suppressLineNumbers w:val="false"/>
        <w:pBdr/>
        <w:spacing w:line="120" w:lineRule="auto"/>
        <w:ind/>
        <w:rPr/>
      </w:pPr>
      <w:r>
        <w:t xml:space="preserve">Multi-dataset benchmarking from persisted local artifacts.</w:t>
      </w:r>
      <w:r/>
    </w:p>
    <w:p w14:paraId="3006CBB9">
      <w:pPr>
        <w:pStyle w:val="1128"/>
        <w:numPr>
          <w:ilvl w:val="0"/>
          <w:numId w:val="18"/>
        </w:numPr>
        <w:suppressLineNumbers w:val="false"/>
        <w:pBdr/>
        <w:spacing w:line="120" w:lineRule="auto"/>
        <w:ind/>
        <w:rPr/>
      </w:pPr>
      <w:r>
        <w:t xml:space="preserve">Closed-set and generative answer tracks.</w:t>
      </w:r>
      <w:r/>
    </w:p>
    <w:p w14:paraId="2EF3C012">
      <w:pPr>
        <w:pStyle w:val="1128"/>
        <w:numPr>
          <w:ilvl w:val="0"/>
          <w:numId w:val="18"/>
        </w:numPr>
        <w:suppressLineNumbers w:val="false"/>
        <w:pBdr/>
        <w:spacing w:line="120" w:lineRule="auto"/>
        <w:ind/>
        <w:rPr/>
      </w:pPr>
      <w:r>
        <w:t xml:space="preserve">Design of an evidence-aware extension pathway (RAG/PICO-oriented direction).</w:t>
      </w:r>
      <w:r/>
    </w:p>
    <w:p w14:paraId="65A9DFF6">
      <w:pPr>
        <w:pStyle w:val="1128"/>
        <w:suppressLineNumbers w:val="false"/>
        <w:pBdr/>
        <w:spacing w:line="300" w:lineRule="auto"/>
        <w:ind w:firstLine="0"/>
        <w:rPr>
          <w:b/>
          <w:bCs/>
        </w:rPr>
      </w:pPr>
      <w:r>
        <w:rPr>
          <w:b/>
          <w:bCs/>
        </w:rPr>
        <w:t xml:space="preserve">1.7.2 Out of Scope in This Dissertation Phase</w:t>
      </w:r>
      <w:r>
        <w:rPr>
          <w:b/>
          <w:bCs/>
        </w:rPr>
      </w:r>
      <w:r>
        <w:rPr>
          <w:b/>
          <w:bCs/>
        </w:rPr>
      </w:r>
    </w:p>
    <w:p w14:paraId="7EA3BC6B">
      <w:pPr>
        <w:pStyle w:val="1128"/>
        <w:numPr>
          <w:ilvl w:val="0"/>
          <w:numId w:val="19"/>
        </w:numPr>
        <w:suppressLineNumbers w:val="false"/>
        <w:pBdr/>
        <w:spacing w:line="120" w:lineRule="auto"/>
        <w:ind/>
        <w:rPr/>
      </w:pPr>
      <w:r>
        <w:t xml:space="preserve">Prospective real-time deployment in clinical endoscopy units.</w:t>
      </w:r>
      <w:r/>
    </w:p>
    <w:p w14:paraId="2B700D60">
      <w:pPr>
        <w:pStyle w:val="1128"/>
        <w:numPr>
          <w:ilvl w:val="0"/>
          <w:numId w:val="19"/>
        </w:numPr>
        <w:suppressLineNumbers w:val="false"/>
        <w:pBdr/>
        <w:spacing w:line="120" w:lineRule="auto"/>
        <w:ind/>
        <w:rPr/>
      </w:pPr>
      <w:r>
        <w:t xml:space="preserve">Full regulatory and compliance validation.</w:t>
      </w:r>
      <w:r/>
    </w:p>
    <w:p w14:paraId="4F514535">
      <w:pPr>
        <w:pStyle w:val="1128"/>
        <w:numPr>
          <w:ilvl w:val="0"/>
          <w:numId w:val="19"/>
        </w:numPr>
        <w:suppressLineNumbers w:val="false"/>
        <w:pBdr/>
        <w:spacing w:line="120" w:lineRule="auto"/>
        <w:ind/>
        <w:rPr/>
      </w:pPr>
      <w:r>
        <w:t xml:space="preserve">Multi-center randomized outcome trials.</w:t>
      </w:r>
      <w:r/>
    </w:p>
    <w:p w14:paraId="02243ACC">
      <w:pPr>
        <w:pStyle w:val="1128"/>
        <w:numPr>
          <w:ilvl w:val="0"/>
          <w:numId w:val="19"/>
        </w:numPr>
        <w:suppressLineNumbers w:val="false"/>
        <w:pBdr/>
        <w:spacing w:line="120" w:lineRule="auto"/>
        <w:ind/>
        <w:rPr/>
      </w:pPr>
      <w:r>
        <w:t xml:space="preserve">Production-grade latency optimization for full video streams.</w:t>
      </w:r>
      <w:r/>
    </w:p>
    <w:p w14:paraId="06B25097">
      <w:pPr>
        <w:pStyle w:val="1128"/>
        <w:suppressLineNumbers w:val="false"/>
        <w:pBdr/>
        <w:spacing w:line="300" w:lineRule="auto"/>
        <w:ind w:firstLine="0"/>
        <w:rPr>
          <w:b/>
          <w:bCs/>
        </w:rPr>
      </w:pPr>
      <w:r>
        <w:rPr>
          <w:b/>
          <w:bCs/>
        </w:rPr>
        <w:t xml:space="preserve">1.7.3 Working Assumptions</w:t>
      </w:r>
      <w:r>
        <w:rPr>
          <w:b/>
          <w:bCs/>
        </w:rPr>
      </w:r>
      <w:r>
        <w:rPr>
          <w:b/>
          <w:bCs/>
        </w:rPr>
      </w:r>
    </w:p>
    <w:p w14:paraId="01FA2F0A">
      <w:pPr>
        <w:pStyle w:val="1128"/>
        <w:numPr>
          <w:ilvl w:val="0"/>
          <w:numId w:val="20"/>
        </w:numPr>
        <w:suppressLineNumbers w:val="false"/>
        <w:pBdr/>
        <w:spacing w:line="300" w:lineRule="auto"/>
        <w:ind/>
        <w:rPr/>
      </w:pPr>
      <w:r>
        <w:t xml:space="preserve">Ground-truth annotations are treated as operational references despite known </w:t>
      </w:r>
      <w:r>
        <w:rPr>
          <w:lang w:val="en-US"/>
        </w:rPr>
        <w:t xml:space="preserve"> </w:t>
      </w:r>
      <w:r>
        <w:rPr>
          <w:lang w:val="en-US"/>
        </w:rPr>
        <w:t xml:space="preserve"> </w:t>
      </w:r>
      <w:r>
        <w:t xml:space="preserve">inter-observer variation.</w:t>
      </w:r>
      <w:r/>
    </w:p>
    <w:p w14:paraId="3A0DB17A">
      <w:pPr>
        <w:pStyle w:val="1128"/>
        <w:numPr>
          <w:ilvl w:val="0"/>
          <w:numId w:val="20"/>
        </w:numPr>
        <w:suppressLineNumbers w:val="false"/>
        <w:pBdr/>
        <w:spacing w:line="300" w:lineRule="auto"/>
        <w:ind/>
        <w:rPr/>
      </w:pPr>
      <w:r>
        <w:t xml:space="preserve">Persisted repository artifacts provide the reproducible evidence base for current claims.</w:t>
      </w:r>
      <w:r/>
    </w:p>
    <w:p w14:paraId="74DC5E9E">
      <w:pPr>
        <w:pStyle w:val="1128"/>
        <w:numPr>
          <w:ilvl w:val="0"/>
          <w:numId w:val="20"/>
        </w:numPr>
        <w:suppressLineNumbers w:val="false"/>
        <w:pBdr/>
        <w:spacing w:line="120" w:lineRule="auto"/>
        <w:ind/>
        <w:rPr/>
      </w:pPr>
      <w:r>
        <w:t xml:space="preserve">Evidence-aware generation is treated as an additive and safeguarded layer.</w:t>
      </w:r>
      <w:r/>
    </w:p>
    <w:p w14:paraId="66233F51">
      <w:pPr>
        <w:pStyle w:val="1128"/>
        <w:numPr>
          <w:ilvl w:val="0"/>
          <w:numId w:val="20"/>
        </w:numPr>
        <w:suppressLineNumbers w:val="false"/>
        <w:pBdr/>
        <w:spacing w:line="120" w:lineRule="auto"/>
        <w:ind/>
        <w:rPr/>
      </w:pPr>
      <w:r>
        <w:t xml:space="preserve">High-risk low-confidence outputs require abstention/escalation behavior.</w:t>
      </w:r>
      <w:r/>
    </w:p>
    <w:p w14:paraId="019702AE">
      <w:pPr>
        <w:pStyle w:val="1128"/>
        <w:suppressLineNumbers w:val="false"/>
        <w:pBdr/>
        <w:spacing w:line="300" w:lineRule="auto"/>
        <w:ind w:firstLine="0"/>
        <w:rPr/>
      </w:pPr>
      <w:r>
        <w:rPr>
          <w:highlight w:val="none"/>
        </w:rPr>
      </w:r>
      <w:r>
        <w:rPr>
          <w:highlight w:val="none"/>
        </w:rPr>
      </w:r>
      <w:r/>
    </w:p>
    <w:p w14:paraId="7B39CFD3">
      <w:pPr>
        <w:pStyle w:val="1128"/>
        <w:suppressLineNumbers w:val="false"/>
        <w:pBdr/>
        <w:spacing w:line="300" w:lineRule="auto"/>
        <w:ind w:firstLine="0"/>
        <w:rPr>
          <w:b/>
          <w:bCs/>
        </w:rPr>
      </w:pPr>
      <w:r>
        <w:rPr>
          <w:b/>
          <w:bCs/>
        </w:rPr>
        <w:t xml:space="preserve">1.7.4 PICO-Oriented Evidence Mapping (Operational Definition)</w:t>
      </w:r>
      <w:r>
        <w:rPr>
          <w:b/>
          <w:bCs/>
        </w:rPr>
      </w:r>
      <w:r>
        <w:rPr>
          <w:b/>
          <w:bCs/>
        </w:rPr>
      </w:r>
    </w:p>
    <w:p w14:paraId="1E811307">
      <w:pPr>
        <w:pStyle w:val="1128"/>
        <w:suppressLineNumbers w:val="false"/>
        <w:pBdr/>
        <w:spacing w:line="300" w:lineRule="auto"/>
        <w:ind w:firstLine="0"/>
        <w:rPr/>
      </w:pPr>
      <w:r>
        <w:t xml:space="preserve">In this dissertation, PICO is used as a structured retrieval and response scaffold </w:t>
        <w:tab/>
        <w:t xml:space="preserve">for management-style queries:</w:t>
      </w:r>
      <w:r/>
    </w:p>
    <w:p w14:paraId="20B52847">
      <w:pPr>
        <w:pStyle w:val="1128"/>
        <w:suppressLineNumbers w:val="false"/>
        <w:pBdr/>
        <w:spacing w:line="300" w:lineRule="auto"/>
        <w:ind w:firstLine="0"/>
        <w:rPr/>
      </w:pPr>
      <w:r>
        <w:rPr>
          <w:b/>
          <w:bCs/>
        </w:rPr>
        <w:t xml:space="preserve">P (Population/Patient):</w:t>
      </w:r>
      <w:r>
        <w:t xml:space="preserve"> UC patient context, including current endoscopic severity and relevant clinical descriptors.</w:t>
      </w:r>
      <w:r/>
    </w:p>
    <w:p w14:paraId="4EC48FE7">
      <w:pPr>
        <w:pStyle w:val="1128"/>
        <w:suppressLineNumbers w:val="false"/>
        <w:pBdr/>
        <w:spacing w:line="300" w:lineRule="auto"/>
        <w:ind w:firstLine="0"/>
        <w:rPr/>
      </w:pPr>
      <w:r>
        <w:rPr>
          <w:b/>
          <w:bCs/>
        </w:rPr>
        <w:t xml:space="preserve">I (Intervention): </w:t>
      </w:r>
      <w:r>
        <w:t xml:space="preserve">candidate treatment or management option being considered.</w:t>
      </w:r>
      <w:r/>
    </w:p>
    <w:p w14:paraId="454C6056">
      <w:pPr>
        <w:pStyle w:val="1128"/>
        <w:suppressLineNumbers w:val="false"/>
        <w:pBdr/>
        <w:spacing w:line="300" w:lineRule="auto"/>
        <w:ind w:firstLine="0"/>
        <w:rPr/>
      </w:pPr>
      <w:r>
        <w:rPr>
          <w:b/>
          <w:bCs/>
        </w:rPr>
        <w:t xml:space="preserve">C (Comparison): </w:t>
      </w:r>
      <w:r>
        <w:t xml:space="preserve">alternative treatment strategy, standard care, or no escalation.</w:t>
      </w:r>
      <w:r/>
    </w:p>
    <w:p w14:paraId="2097F356">
      <w:pPr>
        <w:pStyle w:val="1128"/>
        <w:suppressLineNumbers w:val="false"/>
        <w:pBdr/>
        <w:spacing w:line="300" w:lineRule="auto"/>
        <w:ind w:firstLine="0"/>
        <w:rPr/>
      </w:pPr>
      <w:r>
        <w:rPr>
          <w:b/>
          <w:bCs/>
        </w:rPr>
        <w:t xml:space="preserve">O (Outcome):</w:t>
      </w:r>
      <w:r>
        <w:t xml:space="preserve"> clinically meaningful endpoint (for example relapse, mucosal healing, hospitalization risk, or adverse events).</w:t>
      </w:r>
      <w:r/>
    </w:p>
    <w:p w14:paraId="77CC4F24">
      <w:pPr>
        <w:pStyle w:val="1128"/>
        <w:suppressLineNumbers w:val="false"/>
        <w:pBdr/>
        <w:spacing w:line="300" w:lineRule="auto"/>
        <w:ind w:firstLine="0"/>
        <w:rPr/>
      </w:pPr>
      <w:r>
        <w:t xml:space="preserve">Example query pattern for Chapter 5 use cases:</w:t>
      </w:r>
      <w:r/>
    </w:p>
    <w:p w14:paraId="6882997F">
      <w:pPr>
        <w:pStyle w:val="1128"/>
        <w:suppressLineNumbers w:val="false"/>
        <w:pBdr/>
        <w:spacing w:line="300" w:lineRule="auto"/>
        <w:ind w:firstLine="0"/>
        <w:rPr>
          <w:b/>
          <w:bCs/>
          <w:i/>
        </w:rPr>
      </w:pPr>
      <w:r>
        <w:rPr>
          <w:b/>
          <w:bCs/>
          <w:i/>
          <w:iCs/>
        </w:rPr>
        <w:t xml:space="preserve">In patients with UC and Mayo 2 activity, does infliximab versus vedolizumab reduce relapse at 6 months?</w:t>
      </w:r>
      <w:r>
        <w:rPr>
          <w:b/>
          <w:bCs/>
          <w:i/>
        </w:rPr>
      </w:r>
      <w:r>
        <w:rPr>
          <w:b/>
          <w:bCs/>
          <w:i/>
        </w:rPr>
      </w:r>
    </w:p>
    <w:p w14:paraId="5B677E70">
      <w:pPr>
        <w:pStyle w:val="1128"/>
        <w:suppressLineNumbers w:val="false"/>
        <w:pBdr/>
        <w:spacing w:line="300" w:lineRule="auto"/>
        <w:ind w:firstLine="0"/>
        <w:rPr>
          <w:highlight w:val="none"/>
        </w:rPr>
      </w:pPr>
      <w:r>
        <w:t xml:space="preserve">I</w:t>
      </w:r>
      <w:r>
        <w:t xml:space="preserve">n this flow, the MedVQA layer provides the image-grounded severity signal, while the evidence layer maps the textual question into PICO slots, retrieves supporting studies/guidelines, and returns a citation-linked answer with confidence and explicit limita</w:t>
      </w:r>
      <w:r>
        <w:t xml:space="preserve">tions.</w:t>
      </w:r>
      <w:r>
        <w:rPr>
          <w:highlight w:val="none"/>
        </w:rPr>
      </w:r>
      <w:r>
        <w:rPr>
          <w:highlight w:val="none"/>
        </w:rPr>
      </w:r>
    </w:p>
    <w:p w14:paraId="5F7408CB">
      <w:pPr>
        <w:pStyle w:val="1128"/>
        <w:suppressLineNumbers w:val="false"/>
        <w:pBdr/>
        <w:spacing w:line="300" w:lineRule="auto"/>
        <w:ind w:firstLine="0"/>
        <w:rPr>
          <w:b/>
          <w:bCs/>
        </w:rPr>
      </w:pPr>
      <w:r>
        <w:rPr>
          <w:b/>
          <w:bCs/>
        </w:rPr>
        <w:t xml:space="preserve">1.7.5 Safety and Clinical Governance Position</w:t>
      </w:r>
      <w:r>
        <w:rPr>
          <w:b/>
          <w:bCs/>
        </w:rPr>
      </w:r>
      <w:r>
        <w:rPr>
          <w:b/>
          <w:bCs/>
        </w:rPr>
      </w:r>
    </w:p>
    <w:p w14:paraId="7BC6658A">
      <w:pPr>
        <w:pStyle w:val="1128"/>
        <w:suppressLineNumbers w:val="false"/>
        <w:pBdr/>
        <w:spacing w:line="300" w:lineRule="auto"/>
        <w:ind w:firstLine="720"/>
        <w:rPr/>
      </w:pPr>
      <w:r>
        <w:t xml:space="preserve">T</w:t>
      </w:r>
      <w:r>
        <w:t xml:space="preserve">his thesis treats the proposed system as clinical decision support, not autonomous diagnosis. Outputs are draft recommendations for physician review, with explicit abstention/escalation behavior for uncertain or high-risk cases. The evaluation design there</w:t>
      </w:r>
      <w:r>
        <w:t xml:space="preserve">fore includes uncertainty handling, evidence citation, and failure-mode reporting as first-class requirements even though regulated deployment is out of scope in this phase.</w:t>
      </w:r>
      <w:r/>
    </w:p>
    <w:p w14:paraId="3F5FC500">
      <w:pPr>
        <w:pStyle w:val="1128"/>
        <w:suppressLineNumbers w:val="false"/>
        <w:pBdr/>
        <w:spacing w:line="300" w:lineRule="auto"/>
        <w:ind w:firstLine="0"/>
        <w:rPr>
          <w:b/>
          <w:bCs/>
          <w:sz w:val="28"/>
          <w:szCs w:val="28"/>
        </w:rPr>
      </w:pPr>
      <w:r>
        <w:rPr>
          <w:b/>
          <w:bCs/>
          <w:sz w:val="28"/>
          <w:szCs w:val="28"/>
        </w:rPr>
        <w:t xml:space="preserve">1.8 Scenario-Driven Framing</w:t>
      </w:r>
      <w:r>
        <w:rPr>
          <w:b/>
          <w:bCs/>
          <w:sz w:val="28"/>
          <w:szCs w:val="28"/>
        </w:rPr>
      </w:r>
      <w:r>
        <w:rPr>
          <w:b/>
          <w:bCs/>
          <w:sz w:val="28"/>
          <w:szCs w:val="28"/>
        </w:rPr>
      </w:r>
    </w:p>
    <w:p w14:paraId="29E32FA4">
      <w:pPr>
        <w:pStyle w:val="1128"/>
        <w:suppressLineNumbers w:val="false"/>
        <w:pBdr/>
        <w:spacing w:line="300" w:lineRule="auto"/>
        <w:ind/>
        <w:rPr/>
      </w:pPr>
      <w:r>
        <w:t xml:space="preserve">This dissertation adopts a scenario-driven evaluation philosophy. Aggregate benchmark metrics remain important, but they do not fully capture clinical utility. Scenarios are defined to represent realistic clinician questions and asymmetric risk conditions.</w:t>
      </w:r>
      <w:r/>
    </w:p>
    <w:p w14:paraId="3C00849E">
      <w:pPr>
        <w:pStyle w:val="1128"/>
        <w:suppressLineNumbers w:val="false"/>
        <w:pBdr/>
        <w:spacing w:line="300" w:lineRule="auto"/>
        <w:ind w:firstLine="0"/>
        <w:rPr>
          <w:b/>
          <w:bCs/>
          <w:highlight w:val="none"/>
        </w:rPr>
      </w:pPr>
      <w:r>
        <w:rPr>
          <w:b/>
          <w:bCs/>
        </w:rPr>
        <w:t xml:space="preserve">1.8.1 Core Scenarios</w:t>
      </w:r>
      <w:r>
        <w:rPr>
          <w:b/>
          <w:bCs/>
          <w:highlight w:val="none"/>
        </w:rPr>
      </w:r>
      <w:r>
        <w:rPr>
          <w:b/>
          <w:bCs/>
          <w:highlight w:val="none"/>
        </w:rPr>
      </w:r>
    </w:p>
    <w:tbl>
      <w:tblPr>
        <w:tblStyle w:val="1185"/>
        <w:tblW w:w="0" w:type="auto"/>
        <w:tblBorders/>
        <w:tblLook w:val="04A0" w:firstRow="1" w:lastRow="0" w:firstColumn="1" w:lastColumn="0" w:noHBand="0" w:noVBand="1"/>
      </w:tblPr>
      <w:tblGrid>
        <w:gridCol w:w="1728"/>
        <w:gridCol w:w="1728"/>
        <w:gridCol w:w="1728"/>
        <w:gridCol w:w="1728"/>
        <w:gridCol w:w="1728"/>
      </w:tblGrid>
      <w:tr>
        <w:trPr/>
        <w:tc>
          <w:tcPr>
            <w:tcBorders/>
            <w:tcW w:w="1728" w:type="dxa"/>
            <w:textDirection w:val="lrTb"/>
            <w:noWrap w:val="false"/>
          </w:tcPr>
          <w:p w14:paraId="2F8AA96E">
            <w:pPr>
              <w:suppressLineNumbers w:val="false"/>
              <w:pBdr/>
              <w:spacing w:after="0" w:before="0" w:line="300" w:lineRule="auto"/>
              <w:ind/>
              <w:rPr>
                <w:color w:val="000000" w:themeColor="text1"/>
              </w:rPr>
            </w:pPr>
            <w:r>
              <w:rPr>
                <w:rFonts w:ascii="Arial" w:hAnsi="Arial" w:eastAsia="Arial" w:cs="Arial"/>
                <w:b/>
                <w:color w:val="000000" w:themeColor="text1"/>
                <w:sz w:val="21"/>
              </w:rPr>
              <w:t xml:space="preserve">Scenario ID</w:t>
            </w:r>
            <w:r>
              <w:rPr>
                <w:color w:val="000000" w:themeColor="text1"/>
              </w:rPr>
            </w:r>
            <w:r>
              <w:rPr>
                <w:color w:val="000000" w:themeColor="text1"/>
              </w:rPr>
            </w:r>
          </w:p>
        </w:tc>
        <w:tc>
          <w:tcPr>
            <w:tcBorders/>
            <w:tcW w:w="1728" w:type="dxa"/>
            <w:textDirection w:val="lrTb"/>
            <w:noWrap w:val="false"/>
          </w:tcPr>
          <w:p w14:paraId="60CEA667">
            <w:pPr>
              <w:suppressLineNumbers w:val="false"/>
              <w:pBdr/>
              <w:spacing w:after="0" w:before="0" w:line="300" w:lineRule="auto"/>
              <w:ind/>
              <w:rPr>
                <w:color w:val="000000" w:themeColor="text1"/>
              </w:rPr>
            </w:pPr>
            <w:r>
              <w:rPr>
                <w:rFonts w:ascii="Arial" w:hAnsi="Arial" w:eastAsia="Arial" w:cs="Arial"/>
                <w:b/>
                <w:color w:val="000000" w:themeColor="text1"/>
                <w:sz w:val="21"/>
              </w:rPr>
              <w:t xml:space="preserve">Clinical question style</w:t>
            </w:r>
            <w:r>
              <w:rPr>
                <w:color w:val="000000" w:themeColor="text1"/>
              </w:rPr>
            </w:r>
            <w:r>
              <w:rPr>
                <w:color w:val="000000" w:themeColor="text1"/>
              </w:rPr>
            </w:r>
          </w:p>
        </w:tc>
        <w:tc>
          <w:tcPr>
            <w:tcBorders/>
            <w:tcW w:w="1728" w:type="dxa"/>
            <w:textDirection w:val="lrTb"/>
            <w:noWrap w:val="false"/>
          </w:tcPr>
          <w:p w14:paraId="7F877DA7">
            <w:pPr>
              <w:suppressLineNumbers w:val="false"/>
              <w:pBdr/>
              <w:spacing w:after="0" w:before="0" w:line="300" w:lineRule="auto"/>
              <w:ind/>
              <w:rPr>
                <w:color w:val="000000" w:themeColor="text1"/>
              </w:rPr>
            </w:pPr>
            <w:r>
              <w:rPr>
                <w:rFonts w:ascii="Arial" w:hAnsi="Arial" w:eastAsia="Arial" w:cs="Arial"/>
                <w:b/>
                <w:color w:val="000000" w:themeColor="text1"/>
                <w:sz w:val="21"/>
              </w:rPr>
              <w:t xml:space="preserve">Required output</w:t>
            </w:r>
            <w:r>
              <w:rPr>
                <w:color w:val="000000" w:themeColor="text1"/>
              </w:rPr>
            </w:r>
            <w:r>
              <w:rPr>
                <w:color w:val="000000" w:themeColor="text1"/>
              </w:rPr>
            </w:r>
          </w:p>
        </w:tc>
        <w:tc>
          <w:tcPr>
            <w:tcBorders/>
            <w:tcW w:w="1728" w:type="dxa"/>
            <w:textDirection w:val="lrTb"/>
            <w:noWrap w:val="false"/>
          </w:tcPr>
          <w:p w14:paraId="384D9622">
            <w:pPr>
              <w:suppressLineNumbers w:val="false"/>
              <w:pBdr/>
              <w:spacing w:after="0" w:before="0" w:line="300" w:lineRule="auto"/>
              <w:ind/>
              <w:rPr>
                <w:color w:val="000000" w:themeColor="text1"/>
              </w:rPr>
            </w:pPr>
            <w:r>
              <w:rPr>
                <w:rFonts w:ascii="Arial" w:hAnsi="Arial" w:eastAsia="Arial" w:cs="Arial"/>
                <w:b/>
                <w:color w:val="000000" w:themeColor="text1"/>
                <w:sz w:val="21"/>
              </w:rPr>
              <w:t xml:space="preserve">Primary risk</w:t>
            </w:r>
            <w:r>
              <w:rPr>
                <w:color w:val="000000" w:themeColor="text1"/>
              </w:rPr>
            </w:r>
            <w:r>
              <w:rPr>
                <w:color w:val="000000" w:themeColor="text1"/>
              </w:rPr>
            </w:r>
          </w:p>
        </w:tc>
        <w:tc>
          <w:tcPr>
            <w:tcBorders/>
            <w:tcW w:w="1728" w:type="dxa"/>
            <w:textDirection w:val="lrTb"/>
            <w:noWrap w:val="false"/>
          </w:tcPr>
          <w:p w14:paraId="6F0CA74C">
            <w:pPr>
              <w:suppressLineNumbers w:val="false"/>
              <w:pBdr/>
              <w:spacing w:after="0" w:before="0" w:line="300" w:lineRule="auto"/>
              <w:ind/>
              <w:rPr>
                <w:color w:val="000000" w:themeColor="text1"/>
              </w:rPr>
            </w:pPr>
            <w:r>
              <w:rPr>
                <w:rFonts w:ascii="Arial" w:hAnsi="Arial" w:eastAsia="Arial" w:cs="Arial"/>
                <w:b/>
                <w:color w:val="000000" w:themeColor="text1"/>
                <w:sz w:val="21"/>
              </w:rPr>
              <w:t xml:space="preserve">Why it matters</w:t>
            </w:r>
            <w:r>
              <w:rPr>
                <w:color w:val="000000" w:themeColor="text1"/>
              </w:rPr>
            </w:r>
            <w:r>
              <w:rPr>
                <w:color w:val="000000" w:themeColor="text1"/>
              </w:rPr>
            </w:r>
          </w:p>
        </w:tc>
      </w:tr>
      <w:tr>
        <w:trPr/>
        <w:tc>
          <w:tcPr>
            <w:tcBorders/>
            <w:tcW w:w="1728" w:type="dxa"/>
            <w:textDirection w:val="lrTb"/>
            <w:noWrap w:val="false"/>
          </w:tcPr>
          <w:p w14:paraId="336DC9F1">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S1</w:t>
            </w:r>
            <w:r>
              <w:rPr>
                <w:color w:val="000000" w:themeColor="text1"/>
              </w:rPr>
            </w:r>
            <w:r>
              <w:rPr>
                <w:color w:val="000000" w:themeColor="text1"/>
              </w:rPr>
            </w:r>
          </w:p>
        </w:tc>
        <w:tc>
          <w:tcPr>
            <w:tcBorders/>
            <w:tcW w:w="1728" w:type="dxa"/>
            <w:textDirection w:val="lrTb"/>
            <w:noWrap w:val="false"/>
          </w:tcPr>
          <w:p w14:paraId="0B4251D8">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"What is the likely Mayo severity?"</w:t>
            </w:r>
            <w:r>
              <w:rPr>
                <w:color w:val="000000" w:themeColor="text1"/>
              </w:rPr>
            </w:r>
            <w:r>
              <w:rPr>
                <w:color w:val="000000" w:themeColor="text1"/>
              </w:rPr>
            </w:r>
          </w:p>
        </w:tc>
        <w:tc>
          <w:tcPr>
            <w:tcBorders/>
            <w:tcW w:w="1728" w:type="dxa"/>
            <w:textDirection w:val="lrTb"/>
            <w:noWrap w:val="false"/>
          </w:tcPr>
          <w:p w14:paraId="452DF83D">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Ordinal class + short rationale</w:t>
            </w:r>
            <w:r>
              <w:rPr>
                <w:color w:val="000000" w:themeColor="text1"/>
              </w:rPr>
            </w:r>
            <w:r>
              <w:rPr>
                <w:color w:val="000000" w:themeColor="text1"/>
              </w:rPr>
            </w:r>
          </w:p>
        </w:tc>
        <w:tc>
          <w:tcPr>
            <w:tcBorders/>
            <w:tcW w:w="1728" w:type="dxa"/>
            <w:textDirection w:val="lrTb"/>
            <w:noWrap w:val="false"/>
          </w:tcPr>
          <w:p w14:paraId="32FA2121">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Under-calling severe disease</w:t>
            </w:r>
            <w:r>
              <w:rPr>
                <w:color w:val="000000" w:themeColor="text1"/>
              </w:rPr>
            </w:r>
            <w:r>
              <w:rPr>
                <w:color w:val="000000" w:themeColor="text1"/>
              </w:rPr>
            </w:r>
          </w:p>
        </w:tc>
        <w:tc>
          <w:tcPr>
            <w:tcBorders/>
            <w:tcW w:w="1728" w:type="dxa"/>
            <w:textDirection w:val="lrTb"/>
            <w:noWrap w:val="false"/>
          </w:tcPr>
          <w:p w14:paraId="2EEC9808">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Treatment escalation decisions</w:t>
            </w:r>
            <w:r>
              <w:rPr>
                <w:color w:val="000000" w:themeColor="text1"/>
              </w:rPr>
            </w:r>
            <w:r>
              <w:rPr>
                <w:color w:val="000000" w:themeColor="text1"/>
              </w:rPr>
            </w:r>
          </w:p>
        </w:tc>
      </w:tr>
      <w:tr>
        <w:trPr/>
        <w:tc>
          <w:tcPr>
            <w:tcBorders/>
            <w:tcW w:w="1728" w:type="dxa"/>
            <w:textDirection w:val="lrTb"/>
            <w:noWrap w:val="false"/>
          </w:tcPr>
          <w:p w14:paraId="77BA3046">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S2</w:t>
            </w:r>
            <w:r>
              <w:rPr>
                <w:color w:val="000000" w:themeColor="text1"/>
              </w:rPr>
            </w:r>
            <w:r>
              <w:rPr>
                <w:color w:val="000000" w:themeColor="text1"/>
              </w:rPr>
            </w:r>
          </w:p>
        </w:tc>
        <w:tc>
          <w:tcPr>
            <w:tcBorders/>
            <w:tcW w:w="1728" w:type="dxa"/>
            <w:textDirection w:val="lrTb"/>
            <w:noWrap w:val="false"/>
          </w:tcPr>
          <w:p w14:paraId="47E9281B">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"Is active bleeding visible?"</w:t>
            </w:r>
            <w:r>
              <w:rPr>
                <w:color w:val="000000" w:themeColor="text1"/>
              </w:rPr>
            </w:r>
            <w:r>
              <w:rPr>
                <w:color w:val="000000" w:themeColor="text1"/>
              </w:rPr>
            </w:r>
          </w:p>
        </w:tc>
        <w:tc>
          <w:tcPr>
            <w:tcBorders/>
            <w:tcW w:w="1728" w:type="dxa"/>
            <w:textDirection w:val="lrTb"/>
            <w:noWrap w:val="false"/>
          </w:tcPr>
          <w:p w14:paraId="6A7DD8C3">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Binary answer + confidence</w:t>
            </w:r>
            <w:r>
              <w:rPr>
                <w:color w:val="000000" w:themeColor="text1"/>
              </w:rPr>
            </w:r>
            <w:r>
              <w:rPr>
                <w:color w:val="000000" w:themeColor="text1"/>
              </w:rPr>
            </w:r>
          </w:p>
        </w:tc>
        <w:tc>
          <w:tcPr>
            <w:tcBorders/>
            <w:tcW w:w="1728" w:type="dxa"/>
            <w:textDirection w:val="lrTb"/>
            <w:noWrap w:val="false"/>
          </w:tcPr>
          <w:p w14:paraId="38663880">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False negatives in high-risk frames</w:t>
            </w:r>
            <w:r>
              <w:rPr>
                <w:color w:val="000000" w:themeColor="text1"/>
              </w:rPr>
            </w:r>
            <w:r>
              <w:rPr>
                <w:color w:val="000000" w:themeColor="text1"/>
              </w:rPr>
            </w:r>
          </w:p>
        </w:tc>
        <w:tc>
          <w:tcPr>
            <w:tcBorders/>
            <w:tcW w:w="1728" w:type="dxa"/>
            <w:textDirection w:val="lrTb"/>
            <w:noWrap w:val="false"/>
          </w:tcPr>
          <w:p w14:paraId="333531C8">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Urgent management context</w:t>
            </w:r>
            <w:r>
              <w:rPr>
                <w:color w:val="000000" w:themeColor="text1"/>
              </w:rPr>
            </w:r>
            <w:r>
              <w:rPr>
                <w:color w:val="000000" w:themeColor="text1"/>
              </w:rPr>
            </w:r>
          </w:p>
        </w:tc>
      </w:tr>
      <w:tr>
        <w:trPr/>
        <w:tc>
          <w:tcPr>
            <w:tcBorders/>
            <w:tcW w:w="1728" w:type="dxa"/>
            <w:textDirection w:val="lrTb"/>
            <w:noWrap w:val="false"/>
          </w:tcPr>
          <w:p w14:paraId="7A7019AF">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S3</w:t>
            </w:r>
            <w:r>
              <w:rPr>
                <w:color w:val="000000" w:themeColor="text1"/>
              </w:rPr>
            </w:r>
            <w:r>
              <w:rPr>
                <w:color w:val="000000" w:themeColor="text1"/>
              </w:rPr>
            </w:r>
          </w:p>
        </w:tc>
        <w:tc>
          <w:tcPr>
            <w:tcBorders/>
            <w:tcW w:w="1728" w:type="dxa"/>
            <w:textDirection w:val="lrTb"/>
            <w:noWrap w:val="false"/>
          </w:tcPr>
          <w:p w14:paraId="7C3F654F">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"How many polyps and where?"</w:t>
            </w:r>
            <w:r>
              <w:rPr>
                <w:color w:val="000000" w:themeColor="text1"/>
              </w:rPr>
            </w:r>
            <w:r>
              <w:rPr>
                <w:color w:val="000000" w:themeColor="text1"/>
              </w:rPr>
            </w:r>
          </w:p>
        </w:tc>
        <w:tc>
          <w:tcPr>
            <w:tcBorders/>
            <w:tcW w:w="1728" w:type="dxa"/>
            <w:textDirection w:val="lrTb"/>
            <w:noWrap w:val="false"/>
          </w:tcPr>
          <w:p w14:paraId="0F572D21">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Count + location-aware response</w:t>
            </w:r>
            <w:r>
              <w:rPr>
                <w:color w:val="000000" w:themeColor="text1"/>
              </w:rPr>
            </w:r>
            <w:r>
              <w:rPr>
                <w:color w:val="000000" w:themeColor="text1"/>
              </w:rPr>
            </w:r>
          </w:p>
        </w:tc>
        <w:tc>
          <w:tcPr>
            <w:tcBorders/>
            <w:tcW w:w="1728" w:type="dxa"/>
            <w:textDirection w:val="lrTb"/>
            <w:noWrap w:val="false"/>
          </w:tcPr>
          <w:p w14:paraId="7AB0D876">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Missed findings or localization error</w:t>
            </w:r>
            <w:r>
              <w:rPr>
                <w:color w:val="000000" w:themeColor="text1"/>
              </w:rPr>
            </w:r>
            <w:r>
              <w:rPr>
                <w:color w:val="000000" w:themeColor="text1"/>
              </w:rPr>
            </w:r>
          </w:p>
        </w:tc>
        <w:tc>
          <w:tcPr>
            <w:tcBorders/>
            <w:tcW w:w="1728" w:type="dxa"/>
            <w:textDirection w:val="lrTb"/>
            <w:noWrap w:val="false"/>
          </w:tcPr>
          <w:p w14:paraId="1D749B54">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Procedural completeness and reporting</w:t>
            </w:r>
            <w:r>
              <w:rPr>
                <w:color w:val="000000" w:themeColor="text1"/>
              </w:rPr>
            </w:r>
            <w:r>
              <w:rPr>
                <w:color w:val="000000" w:themeColor="text1"/>
              </w:rPr>
            </w:r>
          </w:p>
        </w:tc>
      </w:tr>
      <w:tr>
        <w:trPr/>
        <w:tc>
          <w:tcPr>
            <w:tcBorders/>
            <w:tcW w:w="1728" w:type="dxa"/>
            <w:textDirection w:val="lrTb"/>
            <w:noWrap w:val="false"/>
          </w:tcPr>
          <w:p w14:paraId="4414D6DB">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S4</w:t>
            </w:r>
            <w:r>
              <w:rPr>
                <w:color w:val="000000" w:themeColor="text1"/>
              </w:rPr>
            </w:r>
            <w:r>
              <w:rPr>
                <w:color w:val="000000" w:themeColor="text1"/>
              </w:rPr>
            </w:r>
          </w:p>
        </w:tc>
        <w:tc>
          <w:tcPr>
            <w:tcBorders/>
            <w:tcW w:w="1728" w:type="dxa"/>
            <w:textDirection w:val="lrTb"/>
            <w:noWrap w:val="false"/>
          </w:tcPr>
          <w:p w14:paraId="7948DBD4">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"Summarize visible findings."</w:t>
            </w:r>
            <w:r>
              <w:rPr>
                <w:color w:val="000000" w:themeColor="text1"/>
              </w:rPr>
            </w:r>
            <w:r>
              <w:rPr>
                <w:color w:val="000000" w:themeColor="text1"/>
              </w:rPr>
            </w:r>
          </w:p>
        </w:tc>
        <w:tc>
          <w:tcPr>
            <w:tcBorders/>
            <w:tcW w:w="1728" w:type="dxa"/>
            <w:textDirection w:val="lrTb"/>
            <w:noWrap w:val="false"/>
          </w:tcPr>
          <w:p w14:paraId="248BB2DD">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Multi-finding summary</w:t>
            </w:r>
            <w:r>
              <w:rPr>
                <w:color w:val="000000" w:themeColor="text1"/>
              </w:rPr>
            </w:r>
            <w:r>
              <w:rPr>
                <w:color w:val="000000" w:themeColor="text1"/>
              </w:rPr>
            </w:r>
          </w:p>
        </w:tc>
        <w:tc>
          <w:tcPr>
            <w:tcBorders/>
            <w:tcW w:w="1728" w:type="dxa"/>
            <w:textDirection w:val="lrTb"/>
            <w:noWrap w:val="false"/>
          </w:tcPr>
          <w:p w14:paraId="670E9458">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Hallucinated findings</w:t>
            </w:r>
            <w:r>
              <w:rPr>
                <w:color w:val="000000" w:themeColor="text1"/>
              </w:rPr>
            </w:r>
            <w:r>
              <w:rPr>
                <w:color w:val="000000" w:themeColor="text1"/>
              </w:rPr>
            </w:r>
          </w:p>
        </w:tc>
        <w:tc>
          <w:tcPr>
            <w:tcBorders/>
            <w:tcW w:w="1728" w:type="dxa"/>
            <w:textDirection w:val="lrTb"/>
            <w:noWrap w:val="false"/>
          </w:tcPr>
          <w:p w14:paraId="5B6F77D2">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Interpretability and communication quality</w:t>
            </w:r>
            <w:r>
              <w:rPr>
                <w:color w:val="000000" w:themeColor="text1"/>
              </w:rPr>
            </w:r>
            <w:r>
              <w:rPr>
                <w:color w:val="000000" w:themeColor="text1"/>
              </w:rPr>
            </w:r>
          </w:p>
        </w:tc>
      </w:tr>
      <w:tr>
        <w:trPr/>
        <w:tc>
          <w:tcPr>
            <w:tcBorders/>
            <w:tcW w:w="1728" w:type="dxa"/>
            <w:textDirection w:val="lrTb"/>
            <w:noWrap w:val="false"/>
          </w:tcPr>
          <w:p w14:paraId="5C55F519">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S5</w:t>
            </w:r>
            <w:r>
              <w:rPr>
                <w:color w:val="000000" w:themeColor="text1"/>
              </w:rPr>
            </w:r>
            <w:r>
              <w:rPr>
                <w:color w:val="000000" w:themeColor="text1"/>
              </w:rPr>
            </w:r>
          </w:p>
        </w:tc>
        <w:tc>
          <w:tcPr>
            <w:tcBorders/>
            <w:tcW w:w="1728" w:type="dxa"/>
            <w:textDirection w:val="lrTb"/>
            <w:noWrap w:val="false"/>
          </w:tcPr>
          <w:p w14:paraId="4F0031C9">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"Given severe findings, what evidence-backed options are relevant?"</w:t>
            </w:r>
            <w:r>
              <w:rPr>
                <w:color w:val="000000" w:themeColor="text1"/>
              </w:rPr>
            </w:r>
            <w:r>
              <w:rPr>
                <w:color w:val="000000" w:themeColor="text1"/>
              </w:rPr>
            </w:r>
          </w:p>
        </w:tc>
        <w:tc>
          <w:tcPr>
            <w:tcBorders/>
            <w:tcW w:w="1728" w:type="dxa"/>
            <w:textDirection w:val="lrTb"/>
            <w:noWrap w:val="false"/>
          </w:tcPr>
          <w:p w14:paraId="137950F1">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Answer + evidence pointer</w:t>
            </w:r>
            <w:r>
              <w:rPr>
                <w:color w:val="000000" w:themeColor="text1"/>
              </w:rPr>
            </w:r>
            <w:r>
              <w:rPr>
                <w:color w:val="000000" w:themeColor="text1"/>
              </w:rPr>
            </w:r>
          </w:p>
        </w:tc>
        <w:tc>
          <w:tcPr>
            <w:tcBorders/>
            <w:tcW w:w="1728" w:type="dxa"/>
            <w:textDirection w:val="lrTb"/>
            <w:noWrap w:val="false"/>
          </w:tcPr>
          <w:p w14:paraId="0C2AB49C">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Weakly grounded management guidance</w:t>
            </w:r>
            <w:r>
              <w:rPr>
                <w:color w:val="000000" w:themeColor="text1"/>
              </w:rPr>
            </w:r>
            <w:r>
              <w:rPr>
                <w:color w:val="000000" w:themeColor="text1"/>
              </w:rPr>
            </w:r>
          </w:p>
        </w:tc>
        <w:tc>
          <w:tcPr>
            <w:tcBorders/>
            <w:tcW w:w="1728" w:type="dxa"/>
            <w:textDirection w:val="lrTb"/>
            <w:noWrap w:val="false"/>
          </w:tcPr>
          <w:p w14:paraId="6A0FD48C">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Decision-support extension</w:t>
            </w:r>
            <w:r>
              <w:rPr>
                <w:color w:val="000000" w:themeColor="text1"/>
              </w:rPr>
            </w:r>
            <w:r>
              <w:rPr>
                <w:color w:val="000000" w:themeColor="text1"/>
              </w:rPr>
            </w:r>
          </w:p>
        </w:tc>
      </w:tr>
    </w:tbl>
    <w:p w14:paraId="1F815513">
      <w:pPr>
        <w:pStyle w:val="1128"/>
        <w:suppressLineNumbers w:val="false"/>
        <w:pBdr/>
        <w:spacing w:line="300" w:lineRule="auto"/>
        <w:ind w:firstLine="0" w:left="3600"/>
        <w:rPr>
          <w:color w:val="000000" w:themeColor="text1"/>
        </w:rPr>
      </w:pPr>
      <w:r>
        <w:rPr>
          <w:color w:val="000000" w:themeColor="text1"/>
        </w:rPr>
      </w:r>
      <w:r>
        <w:rPr>
          <w:lang w:val="en-US"/>
        </w:rPr>
        <w:t xml:space="preserve">Table 1.5</w:t>
      </w:r>
      <w:r>
        <w:rPr>
          <w:color w:val="000000" w:themeColor="text1"/>
        </w:rPr>
      </w:r>
      <w:r>
        <w:rPr>
          <w:color w:val="000000" w:themeColor="text1"/>
        </w:rPr>
      </w:r>
    </w:p>
    <w:p w14:paraId="76878E77">
      <w:pPr>
        <w:pStyle w:val="1128"/>
        <w:suppressLineNumbers w:val="false"/>
        <w:pBdr/>
        <w:spacing w:line="300" w:lineRule="auto"/>
        <w:ind w:firstLine="0"/>
        <w:rPr>
          <w:highlight w:val="none"/>
        </w:rPr>
      </w:pPr>
      <w:r>
        <w:rPr>
          <w:highlight w:val="none"/>
        </w:rPr>
      </w:r>
      <w:r>
        <w:rPr>
          <w:highlight w:val="none"/>
        </w:rPr>
        <w:t xml:space="preserve">E</w:t>
      </w:r>
      <w:r>
        <w:rPr>
          <w:highlight w:val="none"/>
        </w:rPr>
        <w:t xml:space="preserve">ach scenario is designed to expose a distinct failure mode. S1 and S2 prioritize risk-sensitive reliability. S3 emphasizes spatial grounding and structured output fidelity. S4 evaluates controlled generation quality. S5 evaluates the boundary between visua</w:t>
      </w:r>
      <w:r>
        <w:rPr>
          <w:highlight w:val="none"/>
        </w:rPr>
        <w:t xml:space="preserve">l interpretation and evidence-oriented reasoning.</w:t>
      </w:r>
      <w:r>
        <w:rPr>
          <w:highlight w:val="none"/>
        </w:rPr>
      </w:r>
      <w:r>
        <w:rPr>
          <w:highlight w:val="none"/>
        </w:rPr>
      </w:r>
    </w:p>
    <w:p w14:paraId="1B1EA689">
      <w:pPr>
        <w:pStyle w:val="1128"/>
        <w:suppressLineNumbers w:val="false"/>
        <w:pBdr/>
        <w:spacing w:line="300" w:lineRule="auto"/>
        <w:ind w:firstLine="0"/>
        <w:rPr>
          <w:b/>
          <w:bCs/>
        </w:rPr>
      </w:pPr>
      <w:r>
        <w:rPr>
          <w:b/>
          <w:bCs/>
          <w:highlight w:val="none"/>
        </w:rPr>
        <w:t xml:space="preserve">1.8.2 Scenario Acceptance Logic</w:t>
      </w:r>
      <w:r>
        <w:rPr>
          <w:b/>
          <w:bCs/>
        </w:rPr>
      </w:r>
      <w:r>
        <w:rPr>
          <w:b/>
          <w:bCs/>
        </w:rPr>
      </w:r>
    </w:p>
    <w:p w14:paraId="783E5662">
      <w:pPr>
        <w:pStyle w:val="1128"/>
        <w:suppressLineNumbers w:val="false"/>
        <w:pBdr/>
        <w:spacing w:line="300" w:lineRule="auto"/>
        <w:ind w:firstLine="0"/>
        <w:rPr/>
      </w:pPr>
      <w:r>
        <w:rPr>
          <w:highlight w:val="none"/>
        </w:rPr>
        <w:t xml:space="preserve">Question received</w:t>
      </w:r>
      <w:r/>
    </w:p>
    <w:p w14:paraId="344966AE">
      <w:pPr>
        <w:pStyle w:val="1128"/>
        <w:suppressLineNumbers w:val="false"/>
        <w:pBdr/>
        <w:spacing w:line="120" w:lineRule="auto"/>
        <w:ind w:firstLine="0"/>
        <w:rPr>
          <w:b w:val="0"/>
          <w:bCs w:val="0"/>
          <w:i/>
        </w:rPr>
      </w:pPr>
      <w:r>
        <w:rPr>
          <w:b w:val="0"/>
          <w:bCs w:val="0"/>
          <w:i/>
          <w:iCs/>
          <w:highlight w:val="none"/>
          <w:lang w:val="en-US"/>
        </w:rPr>
        <w:t xml:space="preserve">1.</w:t>
      </w:r>
      <w:r>
        <w:rPr>
          <w:b w:val="0"/>
          <w:bCs w:val="0"/>
          <w:i/>
          <w:iCs/>
          <w:highlight w:val="none"/>
        </w:rPr>
        <w:t xml:space="preserve"> visual-grounded answer candidate</w:t>
      </w:r>
      <w:r>
        <w:rPr>
          <w:b w:val="0"/>
          <w:bCs w:val="0"/>
          <w:i/>
        </w:rPr>
      </w:r>
      <w:r>
        <w:rPr>
          <w:b w:val="0"/>
          <w:bCs w:val="0"/>
          <w:i/>
        </w:rPr>
      </w:r>
    </w:p>
    <w:p w14:paraId="179FB7B7">
      <w:pPr>
        <w:pStyle w:val="1128"/>
        <w:suppressLineNumbers w:val="false"/>
        <w:pBdr/>
        <w:spacing w:line="120" w:lineRule="auto"/>
        <w:ind w:firstLine="0"/>
        <w:rPr>
          <w:b w:val="0"/>
          <w:bCs w:val="0"/>
          <w:i/>
        </w:rPr>
      </w:pPr>
      <w:r>
        <w:rPr>
          <w:b w:val="0"/>
          <w:bCs w:val="0"/>
          <w:i/>
          <w:iCs/>
          <w:highlight w:val="none"/>
          <w:lang w:val="en-US"/>
        </w:rPr>
        <w:t xml:space="preserve">2.</w:t>
      </w:r>
      <w:r>
        <w:rPr>
          <w:b w:val="0"/>
          <w:bCs w:val="0"/>
          <w:i/>
          <w:iCs/>
          <w:highlight w:val="none"/>
        </w:rPr>
        <w:t xml:space="preserve"> confidence and consistency checks</w:t>
      </w:r>
      <w:r>
        <w:rPr>
          <w:b w:val="0"/>
          <w:bCs w:val="0"/>
          <w:i/>
        </w:rPr>
      </w:r>
      <w:r>
        <w:rPr>
          <w:b w:val="0"/>
          <w:bCs w:val="0"/>
          <w:i/>
        </w:rPr>
      </w:r>
    </w:p>
    <w:p w14:paraId="00EE0546">
      <w:pPr>
        <w:pStyle w:val="1128"/>
        <w:suppressLineNumbers w:val="false"/>
        <w:pBdr/>
        <w:spacing w:line="120" w:lineRule="auto"/>
        <w:ind w:firstLine="0"/>
        <w:rPr>
          <w:b w:val="0"/>
          <w:bCs w:val="0"/>
          <w:i/>
        </w:rPr>
      </w:pPr>
      <w:r>
        <w:rPr>
          <w:b w:val="0"/>
          <w:bCs w:val="0"/>
          <w:i/>
          <w:iCs/>
          <w:highlight w:val="none"/>
          <w:lang w:val="en-US"/>
        </w:rPr>
        <w:t xml:space="preserve">3.</w:t>
      </w:r>
      <w:r>
        <w:rPr>
          <w:b w:val="0"/>
          <w:bCs w:val="0"/>
          <w:i/>
          <w:iCs/>
          <w:highlight w:val="none"/>
        </w:rPr>
        <w:t xml:space="preserve"> if high-risk and low confidence: abstain/escalate</w:t>
      </w:r>
      <w:r>
        <w:rPr>
          <w:b w:val="0"/>
          <w:bCs w:val="0"/>
          <w:i/>
        </w:rPr>
      </w:r>
      <w:r>
        <w:rPr>
          <w:b w:val="0"/>
          <w:bCs w:val="0"/>
          <w:i/>
        </w:rPr>
      </w:r>
    </w:p>
    <w:p w14:paraId="216AC76C">
      <w:pPr>
        <w:pStyle w:val="1128"/>
        <w:suppressLineNumbers w:val="false"/>
        <w:pBdr/>
        <w:spacing w:line="120" w:lineRule="auto"/>
        <w:ind w:firstLine="0"/>
        <w:rPr>
          <w:b w:val="0"/>
          <w:bCs w:val="0"/>
          <w:i/>
        </w:rPr>
      </w:pPr>
      <w:r>
        <w:rPr>
          <w:b w:val="0"/>
          <w:bCs w:val="0"/>
          <w:i/>
          <w:iCs/>
          <w:highlight w:val="none"/>
          <w:lang w:val="en-US"/>
        </w:rPr>
        <w:t xml:space="preserve">4.</w:t>
      </w:r>
      <w:r>
        <w:rPr>
          <w:b w:val="0"/>
          <w:bCs w:val="0"/>
          <w:i/>
          <w:iCs/>
          <w:highlight w:val="none"/>
        </w:rPr>
        <w:t xml:space="preserve"> if management-style query: activate retrieval evidence layer</w:t>
      </w:r>
      <w:r>
        <w:rPr>
          <w:b w:val="0"/>
          <w:bCs w:val="0"/>
          <w:i/>
        </w:rPr>
      </w:r>
      <w:r>
        <w:rPr>
          <w:b w:val="0"/>
          <w:bCs w:val="0"/>
          <w:i/>
        </w:rPr>
      </w:r>
    </w:p>
    <w:p w14:paraId="0D8C2174">
      <w:pPr>
        <w:pStyle w:val="1128"/>
        <w:suppressLineNumbers w:val="false"/>
        <w:pBdr/>
        <w:spacing w:line="120" w:lineRule="auto"/>
        <w:ind w:firstLine="0"/>
        <w:rPr>
          <w:b w:val="0"/>
          <w:bCs w:val="0"/>
          <w:i/>
          <w:highlight w:val="none"/>
        </w:rPr>
      </w:pPr>
      <w:r>
        <w:rPr>
          <w:b w:val="0"/>
          <w:bCs w:val="0"/>
          <w:i/>
          <w:iCs/>
          <w:highlight w:val="none"/>
          <w:lang w:val="en-US"/>
        </w:rPr>
        <w:t xml:space="preserve">5.</w:t>
      </w:r>
      <w:r>
        <w:rPr>
          <w:b w:val="0"/>
          <w:bCs w:val="0"/>
          <w:i/>
          <w:iCs/>
          <w:highlight w:val="none"/>
        </w:rPr>
        <w:t xml:space="preserve"> return clinician-facing response</w:t>
      </w:r>
      <w:r>
        <w:rPr>
          <w:b w:val="0"/>
          <w:bCs w:val="0"/>
          <w:i/>
          <w:highlight w:val="none"/>
        </w:rPr>
      </w:r>
      <w:r>
        <w:rPr>
          <w:b w:val="0"/>
          <w:bCs w:val="0"/>
          <w:i/>
          <w:highlight w:val="none"/>
        </w:rPr>
      </w:r>
    </w:p>
    <w:p w14:paraId="2F6FEA06">
      <w:pPr>
        <w:pStyle w:val="1128"/>
        <w:suppressLineNumbers w:val="false"/>
        <w:pBdr/>
        <w:spacing w:line="300" w:lineRule="auto"/>
        <w:ind w:firstLine="0"/>
        <w:rPr>
          <w:b/>
          <w:bCs/>
          <w:highlight w:val="none"/>
        </w:rPr>
      </w:pPr>
      <w:r>
        <w:rPr>
          <w:b/>
          <w:bCs/>
        </w:rPr>
        <w:t xml:space="preserve">1.8.3 Scenario-to-Metric Mapping</w:t>
      </w:r>
      <w:r>
        <w:rPr>
          <w:b/>
          <w:bCs/>
          <w:highlight w:val="none"/>
        </w:rPr>
      </w:r>
      <w:r>
        <w:rPr>
          <w:b/>
          <w:bCs/>
          <w:highlight w:val="none"/>
        </w:rPr>
      </w:r>
    </w:p>
    <w:tbl>
      <w:tblPr>
        <w:tblStyle w:val="1185"/>
        <w:tblW w:w="0" w:type="auto"/>
        <w:tblBorders/>
        <w:tblLayout w:type="fixed"/>
        <w:tblLook w:val="04A0" w:firstRow="1" w:lastRow="0" w:firstColumn="1" w:lastColumn="0" w:noHBand="0" w:noVBand="1"/>
      </w:tblPr>
      <w:tblGrid>
        <w:gridCol w:w="2169"/>
        <w:gridCol w:w="7370"/>
      </w:tblGrid>
      <w:tr>
        <w:trPr/>
        <w:tc>
          <w:tcPr>
            <w:tcBorders/>
            <w:tcW w:w="2169" w:type="dxa"/>
            <w:textDirection w:val="lrTb"/>
            <w:noWrap w:val="false"/>
          </w:tcPr>
          <w:p w14:paraId="05AB5214">
            <w:pPr>
              <w:suppressLineNumbers w:val="false"/>
              <w:pBdr/>
              <w:spacing w:after="0" w:before="0" w:line="300" w:lineRule="auto"/>
              <w:ind/>
              <w:rPr>
                <w:color w:val="000000" w:themeColor="text1"/>
              </w:rPr>
            </w:pPr>
            <w:r>
              <w:rPr>
                <w:rFonts w:ascii="Arial" w:hAnsi="Arial" w:eastAsia="Arial" w:cs="Arial"/>
                <w:b/>
                <w:color w:val="000000" w:themeColor="text1"/>
                <w:sz w:val="21"/>
              </w:rPr>
              <w:t xml:space="preserve">Scenario</w:t>
            </w:r>
            <w:r>
              <w:rPr>
                <w:color w:val="000000" w:themeColor="text1"/>
              </w:rPr>
            </w:r>
            <w:r>
              <w:rPr>
                <w:color w:val="000000" w:themeColor="text1"/>
              </w:rPr>
            </w:r>
          </w:p>
        </w:tc>
        <w:tc>
          <w:tcPr>
            <w:tcBorders/>
            <w:tcW w:w="7370" w:type="dxa"/>
            <w:textDirection w:val="lrTb"/>
            <w:noWrap w:val="false"/>
          </w:tcPr>
          <w:p w14:paraId="4B83C331">
            <w:pPr>
              <w:suppressLineNumbers w:val="false"/>
              <w:pBdr/>
              <w:spacing w:after="0" w:before="0" w:line="300" w:lineRule="auto"/>
              <w:ind/>
              <w:rPr>
                <w:color w:val="000000" w:themeColor="text1"/>
              </w:rPr>
            </w:pPr>
            <w:r>
              <w:rPr>
                <w:rFonts w:ascii="Arial" w:hAnsi="Arial" w:eastAsia="Arial" w:cs="Arial"/>
                <w:b/>
                <w:color w:val="000000" w:themeColor="text1"/>
                <w:sz w:val="21"/>
              </w:rPr>
              <w:t xml:space="preserve">Priority metrics</w:t>
            </w:r>
            <w:r>
              <w:rPr>
                <w:color w:val="000000" w:themeColor="text1"/>
              </w:rPr>
            </w:r>
            <w:r>
              <w:rPr>
                <w:color w:val="000000" w:themeColor="text1"/>
              </w:rPr>
            </w:r>
          </w:p>
        </w:tc>
      </w:tr>
      <w:tr>
        <w:trPr/>
        <w:tc>
          <w:tcPr>
            <w:tcBorders/>
            <w:tcW w:w="2169" w:type="dxa"/>
            <w:textDirection w:val="lrTb"/>
            <w:noWrap w:val="false"/>
          </w:tcPr>
          <w:p w14:paraId="765FA385">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S1</w:t>
            </w:r>
            <w:r>
              <w:rPr>
                <w:color w:val="000000" w:themeColor="text1"/>
              </w:rPr>
            </w:r>
            <w:r>
              <w:rPr>
                <w:color w:val="000000" w:themeColor="text1"/>
              </w:rPr>
            </w:r>
          </w:p>
        </w:tc>
        <w:tc>
          <w:tcPr>
            <w:tcBorders/>
            <w:tcW w:w="7370" w:type="dxa"/>
            <w:textDirection w:val="lrTb"/>
            <w:noWrap w:val="false"/>
          </w:tcPr>
          <w:p w14:paraId="3CD48E90">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Macro-F1, QWK, severe-class recall</w:t>
            </w:r>
            <w:r>
              <w:rPr>
                <w:color w:val="000000" w:themeColor="text1"/>
              </w:rPr>
            </w:r>
            <w:r>
              <w:rPr>
                <w:color w:val="000000" w:themeColor="text1"/>
              </w:rPr>
            </w:r>
          </w:p>
        </w:tc>
      </w:tr>
      <w:tr>
        <w:trPr/>
        <w:tc>
          <w:tcPr>
            <w:tcBorders/>
            <w:tcW w:w="2169" w:type="dxa"/>
            <w:textDirection w:val="lrTb"/>
            <w:noWrap w:val="false"/>
          </w:tcPr>
          <w:p w14:paraId="6A514CAC">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S2</w:t>
            </w:r>
            <w:r>
              <w:rPr>
                <w:color w:val="000000" w:themeColor="text1"/>
              </w:rPr>
            </w:r>
            <w:r>
              <w:rPr>
                <w:color w:val="000000" w:themeColor="text1"/>
              </w:rPr>
            </w:r>
          </w:p>
        </w:tc>
        <w:tc>
          <w:tcPr>
            <w:tcBorders/>
            <w:tcW w:w="7370" w:type="dxa"/>
            <w:textDirection w:val="lrTb"/>
            <w:noWrap w:val="false"/>
          </w:tcPr>
          <w:p w14:paraId="3398EF25">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Sensitivity/recall, NPV, abstention behavior</w:t>
            </w:r>
            <w:r>
              <w:rPr>
                <w:color w:val="000000" w:themeColor="text1"/>
              </w:rPr>
            </w:r>
            <w:r>
              <w:rPr>
                <w:color w:val="000000" w:themeColor="text1"/>
              </w:rPr>
            </w:r>
          </w:p>
        </w:tc>
      </w:tr>
      <w:tr>
        <w:trPr>
          <w:trHeight w:val="384"/>
        </w:trPr>
        <w:tc>
          <w:tcPr>
            <w:tcBorders/>
            <w:tcW w:w="2169" w:type="dxa"/>
            <w:textDirection w:val="lrTb"/>
            <w:noWrap w:val="false"/>
          </w:tcPr>
          <w:p w14:paraId="5DEE2435">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S3</w:t>
            </w:r>
            <w:r>
              <w:rPr>
                <w:color w:val="000000" w:themeColor="text1"/>
              </w:rPr>
            </w:r>
            <w:r>
              <w:rPr>
                <w:color w:val="000000" w:themeColor="text1"/>
              </w:rPr>
            </w:r>
          </w:p>
        </w:tc>
        <w:tc>
          <w:tcPr>
            <w:tcBorders/>
            <w:tcW w:w="7370" w:type="dxa"/>
            <w:textDirection w:val="lrTb"/>
            <w:noWrap w:val="false"/>
          </w:tcPr>
          <w:p w14:paraId="46CA7940">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Count error (MAE/RMSE), location correctness slices</w:t>
            </w:r>
            <w:r>
              <w:rPr>
                <w:color w:val="000000" w:themeColor="text1"/>
              </w:rPr>
            </w:r>
            <w:r>
              <w:rPr>
                <w:color w:val="000000" w:themeColor="text1"/>
              </w:rPr>
            </w:r>
          </w:p>
        </w:tc>
      </w:tr>
      <w:tr>
        <w:trPr/>
        <w:tc>
          <w:tcPr>
            <w:tcBorders/>
            <w:tcW w:w="2169" w:type="dxa"/>
            <w:textDirection w:val="lrTb"/>
            <w:noWrap w:val="false"/>
          </w:tcPr>
          <w:p w14:paraId="78E42FF0">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S4</w:t>
            </w:r>
            <w:r>
              <w:rPr>
                <w:color w:val="000000" w:themeColor="text1"/>
              </w:rPr>
            </w:r>
            <w:r>
              <w:rPr>
                <w:color w:val="000000" w:themeColor="text1"/>
              </w:rPr>
            </w:r>
          </w:p>
        </w:tc>
        <w:tc>
          <w:tcPr>
            <w:tcBorders/>
            <w:tcW w:w="7370" w:type="dxa"/>
            <w:textDirection w:val="lrTb"/>
            <w:noWrap w:val="false"/>
          </w:tcPr>
          <w:p w14:paraId="53BCA656">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Token-F1/ANLS + hallucination audit</w:t>
            </w:r>
            <w:r>
              <w:rPr>
                <w:color w:val="000000" w:themeColor="text1"/>
              </w:rPr>
            </w:r>
            <w:r>
              <w:rPr>
                <w:color w:val="000000" w:themeColor="text1"/>
              </w:rPr>
            </w:r>
          </w:p>
        </w:tc>
      </w:tr>
      <w:tr>
        <w:trPr/>
        <w:tc>
          <w:tcPr>
            <w:tcBorders/>
            <w:tcW w:w="2169" w:type="dxa"/>
            <w:textDirection w:val="lrTb"/>
            <w:noWrap w:val="false"/>
          </w:tcPr>
          <w:p w14:paraId="1E0251F7">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S5</w:t>
            </w:r>
            <w:r>
              <w:rPr>
                <w:color w:val="000000" w:themeColor="text1"/>
              </w:rPr>
            </w:r>
            <w:r>
              <w:rPr>
                <w:color w:val="000000" w:themeColor="text1"/>
              </w:rPr>
            </w:r>
          </w:p>
        </w:tc>
        <w:tc>
          <w:tcPr>
            <w:tcBorders/>
            <w:tcW w:w="7370" w:type="dxa"/>
            <w:textDirection w:val="lrTb"/>
            <w:noWrap w:val="false"/>
          </w:tcPr>
          <w:p w14:paraId="0C23164B">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Answer correctness + evidence relevance/consistency checks</w:t>
            </w:r>
            <w:r>
              <w:rPr>
                <w:color w:val="000000" w:themeColor="text1"/>
              </w:rPr>
            </w:r>
            <w:r>
              <w:rPr>
                <w:color w:val="000000" w:themeColor="text1"/>
              </w:rPr>
            </w:r>
          </w:p>
        </w:tc>
      </w:tr>
    </w:tbl>
    <w:p w14:paraId="1F815513">
      <w:pPr>
        <w:pStyle w:val="1128"/>
        <w:suppressLineNumbers w:val="false"/>
        <w:pBdr/>
        <w:spacing w:line="300" w:lineRule="auto"/>
        <w:ind w:firstLine="0" w:left="3600"/>
        <w:rPr>
          <w:color w:val="000000" w:themeColor="text1"/>
        </w:rPr>
      </w:pPr>
      <w:r>
        <w:rPr>
          <w:color w:val="000000" w:themeColor="text1"/>
        </w:rPr>
      </w:r>
      <w:r>
        <w:rPr>
          <w:lang w:val="en-US"/>
        </w:rPr>
        <w:t xml:space="preserve">Table 1.6</w:t>
      </w:r>
      <w:r>
        <w:rPr>
          <w:color w:val="000000" w:themeColor="text1"/>
        </w:rPr>
      </w:r>
      <w:r>
        <w:rPr>
          <w:color w:val="000000" w:themeColor="text1"/>
        </w:rPr>
      </w:r>
    </w:p>
    <w:p w14:paraId="4430CC2A">
      <w:pPr>
        <w:pStyle w:val="1128"/>
        <w:suppressLineNumbers w:val="false"/>
        <w:pBdr/>
        <w:spacing w:line="300" w:lineRule="auto"/>
        <w:ind w:firstLine="0"/>
        <w:rPr/>
      </w:pPr>
      <w:r>
        <w:rPr>
          <w:highlight w:val="none"/>
        </w:rPr>
        <w:t xml:space="preserve">In later chapters, this mapping supports a tiered acceptance model:</w:t>
      </w:r>
      <w:r>
        <w:rPr>
          <w:highlight w:val="none"/>
        </w:rPr>
      </w:r>
      <w:r/>
    </w:p>
    <w:p w14:paraId="50A69CD2">
      <w:pPr>
        <w:pStyle w:val="1128"/>
        <w:numPr>
          <w:ilvl w:val="0"/>
          <w:numId w:val="21"/>
        </w:numPr>
        <w:suppressLineNumbers w:val="false"/>
        <w:pBdr/>
        <w:spacing w:after="240" w:before="120" w:line="120" w:lineRule="auto"/>
        <w:ind/>
        <w:rPr/>
      </w:pPr>
      <w:r>
        <w:rPr>
          <w:highlight w:val="none"/>
        </w:rPr>
        <w:t xml:space="preserve">Technical pass: baseline quantitative criteria are met.</w:t>
      </w:r>
      <w:r/>
    </w:p>
    <w:p w14:paraId="1C9DDC63">
      <w:pPr>
        <w:pStyle w:val="1128"/>
        <w:numPr>
          <w:ilvl w:val="0"/>
          <w:numId w:val="21"/>
        </w:numPr>
        <w:suppressLineNumbers w:val="false"/>
        <w:pBdr/>
        <w:spacing w:after="240" w:before="120" w:line="120" w:lineRule="auto"/>
        <w:ind/>
        <w:rPr/>
      </w:pPr>
      <w:r>
        <w:rPr>
          <w:highlight w:val="none"/>
        </w:rPr>
        <w:t xml:space="preserve">Scenario pass: performance is acceptable for the scenario-specific risk profile.</w:t>
      </w:r>
      <w:r/>
    </w:p>
    <w:p w14:paraId="073F77F5">
      <w:pPr>
        <w:pStyle w:val="1128"/>
        <w:numPr>
          <w:ilvl w:val="0"/>
          <w:numId w:val="21"/>
        </w:numPr>
        <w:suppressLineNumbers w:val="false"/>
        <w:pBdr/>
        <w:spacing w:after="240" w:before="120" w:line="120" w:lineRule="auto"/>
        <w:ind/>
        <w:rPr/>
      </w:pPr>
      <w:r>
        <w:rPr>
          <w:highlight w:val="none"/>
        </w:rPr>
        <w:t xml:space="preserve">Workflow pass: output format supports clinician interpretation and action.</w:t>
      </w:r>
      <w:r>
        <w:rPr>
          <w:highlight w:val="none"/>
        </w:rPr>
      </w:r>
      <w:r/>
    </w:p>
    <w:p w14:paraId="3323102C">
      <w:pPr>
        <w:pStyle w:val="1128"/>
        <w:suppressLineNumbers w:val="false"/>
        <w:pBdr/>
        <w:spacing w:line="300" w:lineRule="auto"/>
        <w:ind w:firstLine="0"/>
        <w:rPr>
          <w:b/>
          <w:bCs/>
        </w:rPr>
      </w:pPr>
      <w:r>
        <w:rPr>
          <w:b/>
          <w:bCs/>
        </w:rPr>
        <w:t xml:space="preserve">1.9 Conceptual Framework and System Flow</w:t>
      </w:r>
      <w:r>
        <w:rPr>
          <w:b/>
          <w:bCs/>
        </w:rPr>
      </w:r>
      <w:r>
        <w:rPr>
          <w:b/>
          <w:bCs/>
        </w:rPr>
      </w:r>
    </w:p>
    <w:p w14:paraId="1B6B7B66">
      <w:pPr>
        <w:pStyle w:val="1128"/>
        <w:suppressLineNumbers w:val="false"/>
        <w:pBdr/>
        <w:spacing w:line="300" w:lineRule="auto"/>
        <w:ind w:firstLine="0" w:left="0"/>
        <w:rPr/>
      </w:pPr>
      <w:r>
        <w:t xml:space="preserve">This section defines the end-to-end architecture, design logic, and chapter dependencies used throughout the dissertation.</w:t>
      </w:r>
      <w:r/>
    </w:p>
    <w:p w14:paraId="2BDBF2E4">
      <w:pPr>
        <w:pStyle w:val="1128"/>
        <w:suppressLineNumbers w:val="false"/>
        <w:pBdr/>
        <w:spacing w:after="240" w:before="120" w:line="300" w:lineRule="auto"/>
        <w:ind w:firstLine="0" w:left="0"/>
        <w:rPr>
          <w:b/>
          <w:bCs/>
        </w:rPr>
      </w:pPr>
      <w:r>
        <w:rPr>
          <w:b/>
          <w:bCs/>
        </w:rPr>
        <w:t xml:space="preserve">1.9.1 End-to-End Conceptual Flow (Text Form)</w:t>
      </w:r>
      <w:r>
        <w:rPr>
          <w:b/>
          <w:bCs/>
        </w:rPr>
      </w:r>
      <w:r>
        <w:rPr>
          <w:b/>
          <w:bCs/>
        </w:rPr>
      </w:r>
    </w:p>
    <w:p w14:paraId="34F2BEBB">
      <w:pPr>
        <w:pStyle w:val="1128"/>
        <w:suppressLineNumbers w:val="false"/>
        <w:pBdr/>
        <w:spacing w:line="300" w:lineRule="auto"/>
        <w:ind w:firstLine="0" w:left="0"/>
        <w:rPr/>
      </w:pPr>
      <w:r>
        <w:t xml:space="preserve">Clinical Image(s) + Clinician Question</w:t>
      </w:r>
      <w:r/>
    </w:p>
    <w:p w14:paraId="0DDAF825">
      <w:pPr>
        <w:pStyle w:val="1128"/>
        <w:suppressLineNumbers w:val="false"/>
        <w:pBdr/>
        <w:spacing w:after="240" w:before="120" w:line="120" w:lineRule="auto"/>
        <w:ind w:firstLine="0" w:left="0"/>
        <w:rPr/>
      </w:pPr>
      <w:r>
        <w:rPr>
          <w:lang w:val="en-US"/>
        </w:rPr>
        <w:t xml:space="preserve">1.</w:t>
      </w:r>
      <w:r>
        <w:t xml:space="preserve"> question intent parsing (task type, entities, risk level)</w:t>
      </w:r>
      <w:r/>
    </w:p>
    <w:p w14:paraId="65397DB8">
      <w:pPr>
        <w:pStyle w:val="1128"/>
        <w:suppressLineNumbers w:val="false"/>
        <w:pBdr/>
        <w:spacing w:after="240" w:before="120" w:line="120" w:lineRule="auto"/>
        <w:ind w:firstLine="0" w:left="0"/>
        <w:rPr/>
      </w:pPr>
      <w:r>
        <w:rPr>
          <w:lang w:val="en-US"/>
        </w:rPr>
        <w:t xml:space="preserve">2.</w:t>
      </w:r>
      <w:r>
        <w:t xml:space="preserve"> visual feature extraction (global + localized cues)</w:t>
      </w:r>
      <w:r/>
    </w:p>
    <w:p w14:paraId="5EED776C">
      <w:pPr>
        <w:pStyle w:val="1128"/>
        <w:suppressLineNumbers w:val="false"/>
        <w:pBdr/>
        <w:spacing w:after="240" w:before="120" w:line="120" w:lineRule="auto"/>
        <w:ind w:firstLine="0" w:left="0"/>
        <w:rPr/>
      </w:pPr>
      <w:r>
        <w:rPr>
          <w:lang w:val="en-US"/>
        </w:rPr>
        <w:t xml:space="preserve">3.</w:t>
      </w:r>
      <w:r>
        <w:t xml:space="preserve"> cross-modal reasoning (closed-set or generative path)</w:t>
      </w:r>
      <w:r/>
    </w:p>
    <w:p w14:paraId="686452A7">
      <w:pPr>
        <w:pStyle w:val="1128"/>
        <w:suppressLineNumbers w:val="false"/>
        <w:pBdr/>
        <w:spacing w:after="240" w:before="120" w:line="120" w:lineRule="auto"/>
        <w:ind w:firstLine="0" w:left="0"/>
        <w:rPr/>
      </w:pPr>
      <w:r>
        <w:rPr>
          <w:lang w:val="en-US"/>
        </w:rPr>
        <w:t xml:space="preserve">4.</w:t>
      </w:r>
      <w:r>
        <w:t xml:space="preserve"> answer candidate + confidence estimation</w:t>
      </w:r>
      <w:r/>
    </w:p>
    <w:p w14:paraId="66AB5AA0">
      <w:pPr>
        <w:pStyle w:val="1128"/>
        <w:suppressLineNumbers w:val="false"/>
        <w:pBdr/>
        <w:spacing w:after="240" w:before="120" w:line="120" w:lineRule="auto"/>
        <w:ind w:firstLine="0" w:left="0"/>
        <w:rPr/>
      </w:pPr>
      <w:r>
        <w:rPr>
          <w:lang w:val="en-US"/>
        </w:rPr>
        <w:t xml:space="preserve">5.</w:t>
      </w:r>
      <w:r>
        <w:t xml:space="preserve"> conditional retrieval layer for evidence-oriented queries</w:t>
      </w:r>
      <w:r/>
    </w:p>
    <w:p w14:paraId="64C093D4">
      <w:pPr>
        <w:pStyle w:val="1128"/>
        <w:suppressLineNumbers w:val="false"/>
        <w:pBdr/>
        <w:spacing w:after="240" w:before="120" w:line="120" w:lineRule="auto"/>
        <w:ind w:firstLine="0" w:left="0"/>
        <w:rPr/>
      </w:pPr>
      <w:r>
        <w:rPr>
          <w:lang w:val="en-US"/>
        </w:rPr>
        <w:t xml:space="preserve">6.</w:t>
      </w:r>
      <w:r>
        <w:t xml:space="preserve"> final response (answer, rationale, confidence, evidence pointer)</w:t>
      </w:r>
      <w:r/>
    </w:p>
    <w:p w14:paraId="7AAA4381">
      <w:pPr>
        <w:pStyle w:val="1128"/>
        <w:suppressLineNumbers w:val="false"/>
        <w:pBdr/>
        <w:spacing w:line="300" w:lineRule="auto"/>
        <w:ind w:right="0" w:firstLine="0" w:left="0"/>
        <w:rPr>
          <w:b/>
          <w:bCs/>
        </w:rPr>
      </w:pPr>
      <w:r>
        <w:rPr>
          <w:b/>
          <w:bCs/>
        </w:rPr>
        <w:t xml:space="preserve">1.9.2 Figure 1.1: Clinician-Centric MedVQA Pipeline</w:t>
      </w:r>
      <w:r>
        <w:rPr>
          <w:b/>
          <w:bCs/>
        </w:rPr>
      </w:r>
      <w:r>
        <w:rPr>
          <w:b/>
          <w:bCs/>
        </w:rPr>
      </w:r>
    </w:p>
    <w:p w14:paraId="3B64243E">
      <w:pPr>
        <w:pStyle w:val="1128"/>
        <w:suppressLineNumbers w:val="false"/>
        <w:pBdr/>
        <w:spacing w:line="300" w:lineRule="auto"/>
        <w:ind w:firstLine="0"/>
        <w:rPr/>
      </w:pPr>
      <w:r>
        <w:t xml:space="preserve">Figure 1.1: Clinician-Centric MedVQA Pipeline for Colonoscopy.</w:t>
      </w:r>
      <w:r/>
    </w:p>
    <w:p w14:paraId="5CBD96E7">
      <w:pPr>
        <w:pStyle w:val="1128"/>
        <w:suppressLineNumbers w:val="false"/>
        <w:pBdr/>
        <w:spacing w:line="300" w:lineRule="auto"/>
        <w:ind w:firstLine="0"/>
        <w:rPr/>
      </w:pPr>
      <w:r>
        <w:t xml:space="preserve">I</w:t>
      </w:r>
      <w:r>
        <w:t xml:space="preserve">nput frame(s)+question -&gt; intent parsing + clinical entity extraction -&gt; visual encoder + localization cues -&gt; cross-modal reasoning -&gt; confidence/abstain gate -&gt; constrained or generative answer -&gt; optional retrieval grounding -&gt; clinician-facing response</w:t>
      </w:r>
      <w:r>
        <w:t xml:space="preserve"> package</w:t>
      </w:r>
      <w:r/>
    </w:p>
    <w:p w14:paraId="18453714">
      <w:pPr>
        <w:pStyle w:val="1128"/>
        <w:suppressLineNumbers w:val="false"/>
        <w:pBdr/>
        <w:spacing w:line="300" w:lineRule="auto"/>
        <w:ind w:right="0" w:firstLine="0" w:left="0"/>
        <w:rPr/>
      </w:pPr>
      <w:r>
        <mc:AlternateContent>
          <mc:Choice Requires="wpg">
            <w:drawing>
              <wp:inline xmlns:wp="http://schemas.openxmlformats.org/drawingml/2006/wordprocessingDrawing" distT="0" distB="0" distL="0" distR="0">
                <wp:extent cx="5486400" cy="1991448"/>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805698" name=""/>
                        <pic:cNvPicPr>
                          <a:picLocks noChangeAspect="1"/>
                        </pic:cNvPicPr>
                        <pic:nvPr/>
                      </pic:nvPicPr>
                      <pic:blipFill rotWithShape="1">
                        <a:blip r:embed="rId13"/>
                        <a:stretch/>
                      </pic:blipFill>
                      <pic:spPr bwMode="auto">
                        <a:xfrm>
                          <a:off x="0" y="0"/>
                          <a:ext cx="5486399" cy="199144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32.00pt;height:156.81pt;mso-wrap-distance-left:0.00pt;mso-wrap-distance-top:0.00pt;mso-wrap-distance-right:0.00pt;mso-wrap-distance-bottom:0.00pt;z-index:1;" stroked="false">
                <v:imagedata r:id="rId13" o:title=""/>
                <o:lock v:ext="edit" rotation="t"/>
              </v:shape>
            </w:pict>
          </mc:Fallback>
        </mc:AlternateContent>
      </w:r>
      <w:r/>
    </w:p>
    <w:p w14:paraId="701E53C1">
      <w:pPr>
        <w:pStyle w:val="1128"/>
        <w:suppressLineNumbers w:val="false"/>
        <w:pBdr/>
        <w:spacing w:line="300" w:lineRule="auto"/>
        <w:ind/>
        <w:rPr>
          <w:bCs/>
          <w:i/>
        </w:rPr>
      </w:pPr>
      <w:r>
        <w:rPr>
          <w:i/>
          <w:iCs/>
        </w:rPr>
      </w:r>
      <w:r>
        <w:rPr>
          <w:i/>
          <w:iCs/>
        </w:rPr>
        <w:tab/>
      </w:r>
      <w:r>
        <w:rPr>
          <w:i/>
          <w:iCs/>
          <w:lang w:val="en-US"/>
        </w:rPr>
        <w:t xml:space="preserve">Figure 1.1 Conceptual Framework &amp; System Flow</w:t>
      </w:r>
      <w:r>
        <w:rPr>
          <w:bCs/>
          <w:i/>
        </w:rPr>
      </w:r>
      <w:r>
        <w:rPr>
          <w:bCs/>
          <w:i/>
        </w:rPr>
      </w:r>
    </w:p>
    <w:p w14:paraId="60C8701B">
      <w:pPr>
        <w:pStyle w:val="1128"/>
        <w:suppressLineNumbers w:val="false"/>
        <w:pBdr/>
        <w:spacing w:line="300" w:lineRule="auto"/>
        <w:ind w:firstLine="0"/>
        <w:rPr>
          <w:b/>
          <w:bCs/>
          <w:highlight w:val="none"/>
        </w:rPr>
      </w:pPr>
      <w:r>
        <w:rPr>
          <w:b/>
          <w:bCs/>
        </w:rPr>
        <w:t xml:space="preserve">1.9.3 Figure 1.2: Data-to-Decision Funnel</w:t>
      </w:r>
      <w:r>
        <w:rPr>
          <w:b/>
          <w:bCs/>
          <w:highlight w:val="none"/>
        </w:rPr>
      </w:r>
      <w:r>
        <w:rPr>
          <w:b/>
          <w:bCs/>
          <w:highlight w:val="none"/>
        </w:rPr>
      </w:r>
    </w:p>
    <w:p w14:paraId="6EC6837F">
      <w:pPr>
        <w:pStyle w:val="1128"/>
        <w:suppressLineNumbers w:val="false"/>
        <w:pBdr/>
        <w:spacing w:line="300" w:lineRule="auto"/>
        <w:ind w:firstLine="0"/>
        <w:rPr/>
      </w:pPr>
      <w:r>
        <w:t xml:space="preserve">Figure 1.2: Data-to-Decision Funnel.</w:t>
      </w:r>
      <w:r/>
    </w:p>
    <w:p w14:paraId="4B0DA8D9">
      <w:pPr>
        <w:pStyle w:val="1128"/>
        <w:suppressLineNumbers w:val="false"/>
        <w:pBdr/>
        <w:spacing w:line="300" w:lineRule="auto"/>
        <w:ind w:firstLine="0"/>
        <w:rPr/>
      </w:pPr>
      <w:r>
        <w:t xml:space="preserve">Raw datasets -&gt; curation and harmonization -&gt; task families -&gt; model families -&gt; evaluation and failure analysis -&gt; scenario validation -&gt; decision-support </w:t>
        <w:tab/>
        <w:t xml:space="preserve">readiness.</w:t>
      </w:r>
      <w:r/>
    </w:p>
    <w:p w14:paraId="6B2C77CB">
      <w:pPr>
        <w:pStyle w:val="1128"/>
        <w:suppressLineNumbers w:val="false"/>
        <w:pBdr/>
        <w:spacing w:line="300" w:lineRule="auto"/>
        <w:ind w:firstLine="0"/>
        <w:rPr>
          <w:b/>
          <w:bCs/>
        </w:rPr>
      </w:pPr>
      <w:r>
        <w:rPr>
          <w:b/>
          <w:bCs/>
        </w:rPr>
        <w:t xml:space="preserve">1.9.4 Figure 1.3: Research Design Map</w:t>
      </w:r>
      <w:r>
        <w:rPr>
          <w:b/>
          <w:bCs/>
        </w:rPr>
      </w:r>
      <w:r>
        <w:rPr>
          <w:b/>
          <w:bCs/>
        </w:rPr>
      </w:r>
    </w:p>
    <w:p w14:paraId="32FA5038">
      <w:pPr>
        <w:pStyle w:val="1128"/>
        <w:suppressLineNumbers w:val="false"/>
        <w:pBdr/>
        <w:spacing w:line="300" w:lineRule="auto"/>
        <w:ind w:right="0" w:firstLine="0" w:left="0"/>
        <w:rPr/>
      </w:pPr>
      <w:r>
        <w:t xml:space="preserve">Figure 1.3: Research Questions to Methods to Metrics to Outputs.</w:t>
      </w:r>
      <w:r/>
    </w:p>
    <w:p w14:paraId="44C13B48">
      <w:pPr>
        <w:pStyle w:val="1128"/>
        <w:suppressLineNumbers w:val="false"/>
        <w:pBdr/>
        <w:spacing w:line="300" w:lineRule="auto"/>
        <w:ind w:right="0" w:firstLine="0" w:left="0"/>
        <w:rPr/>
      </w:pPr>
      <w:r>
        <w:t xml:space="preserve">RQ layer</w:t>
      </w:r>
      <w:r/>
    </w:p>
    <w:p w14:paraId="1EEAAFAA">
      <w:pPr>
        <w:pStyle w:val="1128"/>
        <w:suppressLineNumbers w:val="false"/>
        <w:pBdr/>
        <w:spacing w:line="120" w:lineRule="auto"/>
        <w:ind w:right="0" w:firstLine="0" w:left="0"/>
        <w:rPr/>
      </w:pPr>
      <w:r>
        <w:rPr>
          <w:lang w:val="en-US"/>
        </w:rPr>
        <w:t xml:space="preserve">1.</w:t>
      </w:r>
      <w:r>
        <w:t xml:space="preserve"> dataset/method layer</w:t>
      </w:r>
      <w:r/>
    </w:p>
    <w:p w14:paraId="1E221488">
      <w:pPr>
        <w:pStyle w:val="1128"/>
        <w:suppressLineNumbers w:val="false"/>
        <w:pBdr/>
        <w:spacing w:line="120" w:lineRule="auto"/>
        <w:ind w:right="0" w:firstLine="0" w:left="0"/>
        <w:rPr/>
      </w:pPr>
      <w:r>
        <w:rPr>
          <w:lang w:val="en-US"/>
        </w:rPr>
        <w:t xml:space="preserve">2.</w:t>
      </w:r>
      <w:r>
        <w:t xml:space="preserve"> metric layer</w:t>
      </w:r>
      <w:r/>
    </w:p>
    <w:p w14:paraId="413A4C83">
      <w:pPr>
        <w:pStyle w:val="1128"/>
        <w:suppressLineNumbers w:val="false"/>
        <w:pBdr/>
        <w:spacing w:line="120" w:lineRule="auto"/>
        <w:ind w:right="0" w:firstLine="0" w:left="0"/>
        <w:rPr/>
      </w:pPr>
      <w:r>
        <w:rPr>
          <w:lang w:val="en-US"/>
        </w:rPr>
        <w:t xml:space="preserve">3.</w:t>
      </w:r>
      <w:r>
        <w:t xml:space="preserve"> scenario acceptance layer</w:t>
      </w:r>
      <w:r/>
    </w:p>
    <w:p w14:paraId="7C280CA6">
      <w:pPr>
        <w:pStyle w:val="1128"/>
        <w:suppressLineNumbers w:val="false"/>
        <w:pBdr/>
        <w:spacing w:line="300" w:lineRule="auto"/>
        <w:ind w:right="0" w:firstLine="0" w:left="0"/>
        <w:rPr>
          <w:b/>
          <w:bCs/>
        </w:rPr>
      </w:pPr>
      <w:r>
        <w:rPr>
          <w:b/>
          <w:bCs/>
        </w:rPr>
        <w:t xml:space="preserve">1.9.6 Risk-Control Matrix</w:t>
      </w:r>
      <w:r>
        <w:rPr>
          <w:b/>
          <w:bCs/>
        </w:rPr>
      </w:r>
      <w:r>
        <w:rPr>
          <w:b/>
          <w:bCs/>
        </w:rPr>
      </w:r>
    </w:p>
    <w:tbl>
      <w:tblPr>
        <w:tblStyle w:val="1185"/>
        <w:tblW w:w="0" w:type="auto"/>
        <w:tblBorders/>
        <w:tblLayout w:type="fixed"/>
        <w:tblLook w:val="04A0" w:firstRow="1" w:lastRow="0" w:firstColumn="1" w:lastColumn="0" w:noHBand="0" w:noVBand="1"/>
      </w:tblPr>
      <w:tblGrid>
        <w:gridCol w:w="2169"/>
        <w:gridCol w:w="3591"/>
        <w:gridCol w:w="3637"/>
      </w:tblGrid>
      <w:tr>
        <w:trPr/>
        <w:tc>
          <w:tcPr>
            <w:tcBorders/>
            <w:tcW w:w="2169" w:type="dxa"/>
            <w:textDirection w:val="lrTb"/>
            <w:noWrap w:val="false"/>
          </w:tcPr>
          <w:p w14:paraId="4C0DA4AD">
            <w:pPr>
              <w:pBdr/>
              <w:spacing w:after="0" w:before="0" w:line="240" w:lineRule="auto"/>
              <w:ind/>
              <w:rPr>
                <w:color w:val="000000" w:themeColor="text1"/>
              </w:rPr>
            </w:pPr>
            <w:r>
              <w:rPr>
                <w:rFonts w:ascii="Arial" w:hAnsi="Arial" w:eastAsia="Arial" w:cs="Arial"/>
                <w:b/>
                <w:color w:val="000000" w:themeColor="text1"/>
                <w:sz w:val="21"/>
              </w:rPr>
              <w:t xml:space="preserve">Risk</w:t>
            </w:r>
            <w:r>
              <w:rPr>
                <w:color w:val="000000" w:themeColor="text1"/>
              </w:rPr>
            </w:r>
            <w:r>
              <w:rPr>
                <w:color w:val="000000" w:themeColor="text1"/>
              </w:rPr>
            </w:r>
          </w:p>
        </w:tc>
        <w:tc>
          <w:tcPr>
            <w:tcBorders/>
            <w:tcW w:w="3591" w:type="dxa"/>
            <w:textDirection w:val="lrTb"/>
            <w:noWrap w:val="false"/>
          </w:tcPr>
          <w:p w14:paraId="33FCD2AA">
            <w:pPr>
              <w:pBdr/>
              <w:spacing w:after="0" w:before="0" w:line="240" w:lineRule="auto"/>
              <w:ind/>
              <w:rPr>
                <w:color w:val="000000" w:themeColor="text1"/>
              </w:rPr>
            </w:pPr>
            <w:r>
              <w:rPr>
                <w:rFonts w:ascii="Arial" w:hAnsi="Arial" w:eastAsia="Arial" w:cs="Arial"/>
                <w:b/>
                <w:color w:val="000000" w:themeColor="text1"/>
                <w:sz w:val="21"/>
              </w:rPr>
              <w:t xml:space="preserve">Failure example</w:t>
            </w:r>
            <w:r>
              <w:rPr>
                <w:color w:val="000000" w:themeColor="text1"/>
              </w:rPr>
            </w:r>
            <w:r>
              <w:rPr>
                <w:color w:val="000000" w:themeColor="text1"/>
              </w:rPr>
            </w:r>
          </w:p>
        </w:tc>
        <w:tc>
          <w:tcPr>
            <w:tcBorders/>
            <w:tcW w:w="3637" w:type="dxa"/>
            <w:textDirection w:val="lrTb"/>
            <w:noWrap w:val="false"/>
          </w:tcPr>
          <w:p w14:paraId="40984587">
            <w:pPr>
              <w:pBdr/>
              <w:spacing w:after="0" w:before="0" w:line="240" w:lineRule="auto"/>
              <w:ind/>
              <w:rPr>
                <w:color w:val="000000" w:themeColor="text1"/>
              </w:rPr>
            </w:pPr>
            <w:r>
              <w:rPr>
                <w:rFonts w:ascii="Arial" w:hAnsi="Arial" w:eastAsia="Arial" w:cs="Arial"/>
                <w:b/>
                <w:color w:val="000000" w:themeColor="text1"/>
                <w:sz w:val="21"/>
              </w:rPr>
              <w:t xml:space="preserve">Control strategy</w:t>
            </w:r>
            <w:r>
              <w:rPr>
                <w:color w:val="000000" w:themeColor="text1"/>
              </w:rPr>
            </w:r>
            <w:r>
              <w:rPr>
                <w:color w:val="000000" w:themeColor="text1"/>
              </w:rPr>
            </w:r>
          </w:p>
        </w:tc>
      </w:tr>
      <w:tr>
        <w:trPr/>
        <w:tc>
          <w:tcPr>
            <w:tcBorders/>
            <w:tcW w:w="2169" w:type="dxa"/>
            <w:textDirection w:val="lrTb"/>
            <w:noWrap w:val="false"/>
          </w:tcPr>
          <w:p w14:paraId="0E851E62">
            <w:pPr>
              <w:pBdr/>
              <w:spacing w:after="0" w:before="0" w:line="240" w:lineRule="auto"/>
              <w:ind/>
              <w:rPr>
                <w:color w:val="000000" w:themeColor="text1"/>
              </w:rPr>
            </w:pPr>
            <w:r>
              <w:rPr>
                <w:rFonts w:ascii="Arial" w:hAnsi="Arial" w:eastAsia="Arial" w:cs="Arial"/>
                <w:color w:val="000000" w:themeColor="text1"/>
                <w:sz w:val="21"/>
              </w:rPr>
              <w:t xml:space="preserve">Class imbalance</w:t>
            </w:r>
            <w:r>
              <w:rPr>
                <w:color w:val="000000" w:themeColor="text1"/>
              </w:rPr>
            </w:r>
            <w:r>
              <w:rPr>
                <w:color w:val="000000" w:themeColor="text1"/>
              </w:rPr>
            </w:r>
          </w:p>
        </w:tc>
        <w:tc>
          <w:tcPr>
            <w:tcBorders/>
            <w:tcW w:w="3591" w:type="dxa"/>
            <w:textDirection w:val="lrTb"/>
            <w:noWrap w:val="false"/>
          </w:tcPr>
          <w:p w14:paraId="4CF90352">
            <w:pPr>
              <w:pBdr/>
              <w:spacing w:after="0" w:before="0" w:line="240" w:lineRule="auto"/>
              <w:ind/>
              <w:rPr>
                <w:color w:val="000000" w:themeColor="text1"/>
              </w:rPr>
            </w:pPr>
            <w:r>
              <w:rPr>
                <w:rFonts w:ascii="Arial" w:hAnsi="Arial" w:eastAsia="Arial" w:cs="Arial"/>
                <w:color w:val="000000" w:themeColor="text1"/>
                <w:sz w:val="21"/>
              </w:rPr>
              <w:t xml:space="preserve">Severe UC under-detected</w:t>
            </w:r>
            <w:r>
              <w:rPr>
                <w:color w:val="000000" w:themeColor="text1"/>
              </w:rPr>
            </w:r>
            <w:r>
              <w:rPr>
                <w:color w:val="000000" w:themeColor="text1"/>
              </w:rPr>
            </w:r>
          </w:p>
        </w:tc>
        <w:tc>
          <w:tcPr>
            <w:tcBorders/>
            <w:tcW w:w="3637" w:type="dxa"/>
            <w:textDirection w:val="lrTb"/>
            <w:noWrap w:val="false"/>
          </w:tcPr>
          <w:p w14:paraId="63962AFE">
            <w:pPr>
              <w:pBdr/>
              <w:spacing w:after="0" w:before="0" w:line="240" w:lineRule="auto"/>
              <w:ind/>
              <w:rPr>
                <w:color w:val="000000" w:themeColor="text1"/>
              </w:rPr>
            </w:pPr>
            <w:r>
              <w:rPr>
                <w:rFonts w:ascii="Arial" w:hAnsi="Arial" w:eastAsia="Arial" w:cs="Arial"/>
                <w:color w:val="000000" w:themeColor="text1"/>
                <w:sz w:val="21"/>
              </w:rPr>
              <w:t xml:space="preserve">Cost-sensitive training, minority sampling, classwise monitoring</w:t>
            </w:r>
            <w:r>
              <w:rPr>
                <w:color w:val="000000" w:themeColor="text1"/>
              </w:rPr>
            </w:r>
            <w:r>
              <w:rPr>
                <w:color w:val="000000" w:themeColor="text1"/>
              </w:rPr>
            </w:r>
          </w:p>
        </w:tc>
      </w:tr>
      <w:tr>
        <w:trPr/>
        <w:tc>
          <w:tcPr>
            <w:tcBorders/>
            <w:tcW w:w="2169" w:type="dxa"/>
            <w:textDirection w:val="lrTb"/>
            <w:noWrap w:val="false"/>
          </w:tcPr>
          <w:p w14:paraId="3274D04F">
            <w:pPr>
              <w:pBdr/>
              <w:spacing w:after="0" w:before="0" w:line="240" w:lineRule="auto"/>
              <w:ind/>
              <w:rPr>
                <w:color w:val="000000" w:themeColor="text1"/>
              </w:rPr>
            </w:pPr>
            <w:r>
              <w:rPr>
                <w:rFonts w:ascii="Arial" w:hAnsi="Arial" w:eastAsia="Arial" w:cs="Arial"/>
                <w:color w:val="000000" w:themeColor="text1"/>
                <w:sz w:val="21"/>
              </w:rPr>
              <w:t xml:space="preserve">Lexical mismatch</w:t>
            </w:r>
            <w:r>
              <w:rPr>
                <w:color w:val="000000" w:themeColor="text1"/>
              </w:rPr>
            </w:r>
            <w:r>
              <w:rPr>
                <w:color w:val="000000" w:themeColor="text1"/>
              </w:rPr>
            </w:r>
          </w:p>
        </w:tc>
        <w:tc>
          <w:tcPr>
            <w:tcBorders/>
            <w:tcW w:w="3591" w:type="dxa"/>
            <w:textDirection w:val="lrTb"/>
            <w:noWrap w:val="false"/>
          </w:tcPr>
          <w:p w14:paraId="7766EB16">
            <w:pPr>
              <w:pBdr/>
              <w:spacing w:after="0" w:before="0" w:line="240" w:lineRule="auto"/>
              <w:ind/>
              <w:rPr>
                <w:color w:val="000000" w:themeColor="text1"/>
              </w:rPr>
            </w:pPr>
            <w:r>
              <w:rPr>
                <w:rFonts w:ascii="Arial" w:hAnsi="Arial" w:eastAsia="Arial" w:cs="Arial"/>
                <w:color w:val="000000" w:themeColor="text1"/>
                <w:sz w:val="21"/>
              </w:rPr>
              <w:t xml:space="preserve">Free text not mappable to clinical label space</w:t>
            </w:r>
            <w:r>
              <w:rPr>
                <w:color w:val="000000" w:themeColor="text1"/>
              </w:rPr>
            </w:r>
            <w:r>
              <w:rPr>
                <w:color w:val="000000" w:themeColor="text1"/>
              </w:rPr>
            </w:r>
          </w:p>
        </w:tc>
        <w:tc>
          <w:tcPr>
            <w:tcBorders/>
            <w:tcW w:w="3637" w:type="dxa"/>
            <w:textDirection w:val="lrTb"/>
            <w:noWrap w:val="false"/>
          </w:tcPr>
          <w:p w14:paraId="7AF8D903">
            <w:pPr>
              <w:pBdr/>
              <w:spacing w:after="0" w:before="0" w:line="240" w:lineRule="auto"/>
              <w:ind/>
              <w:rPr>
                <w:color w:val="000000" w:themeColor="text1"/>
              </w:rPr>
            </w:pPr>
            <w:r>
              <w:rPr>
                <w:rFonts w:ascii="Arial" w:hAnsi="Arial" w:eastAsia="Arial" w:cs="Arial"/>
                <w:color w:val="000000" w:themeColor="text1"/>
                <w:sz w:val="21"/>
              </w:rPr>
              <w:t xml:space="preserve">Constrained decoding and lexical projection safeguards</w:t>
            </w:r>
            <w:r>
              <w:rPr>
                <w:color w:val="000000" w:themeColor="text1"/>
              </w:rPr>
            </w:r>
            <w:r>
              <w:rPr>
                <w:color w:val="000000" w:themeColor="text1"/>
              </w:rPr>
            </w:r>
          </w:p>
        </w:tc>
      </w:tr>
      <w:tr>
        <w:trPr/>
        <w:tc>
          <w:tcPr>
            <w:tcBorders/>
            <w:tcW w:w="2169" w:type="dxa"/>
            <w:textDirection w:val="lrTb"/>
            <w:noWrap w:val="false"/>
          </w:tcPr>
          <w:p w14:paraId="324CA2BB">
            <w:pPr>
              <w:pBdr/>
              <w:spacing w:after="0" w:before="0" w:line="240" w:lineRule="auto"/>
              <w:ind/>
              <w:rPr>
                <w:color w:val="000000" w:themeColor="text1"/>
              </w:rPr>
            </w:pPr>
            <w:r>
              <w:rPr>
                <w:rFonts w:ascii="Arial" w:hAnsi="Arial" w:eastAsia="Arial" w:cs="Arial"/>
                <w:color w:val="000000" w:themeColor="text1"/>
                <w:sz w:val="21"/>
              </w:rPr>
              <w:t xml:space="preserve">Hallucination</w:t>
            </w:r>
            <w:r>
              <w:rPr>
                <w:color w:val="000000" w:themeColor="text1"/>
              </w:rPr>
            </w:r>
            <w:r>
              <w:rPr>
                <w:color w:val="000000" w:themeColor="text1"/>
              </w:rPr>
            </w:r>
          </w:p>
        </w:tc>
        <w:tc>
          <w:tcPr>
            <w:tcBorders/>
            <w:tcW w:w="3591" w:type="dxa"/>
            <w:textDirection w:val="lrTb"/>
            <w:noWrap w:val="false"/>
          </w:tcPr>
          <w:p w14:paraId="0A1003C6">
            <w:pPr>
              <w:pBdr/>
              <w:spacing w:after="0" w:before="0" w:line="240" w:lineRule="auto"/>
              <w:ind/>
              <w:rPr>
                <w:color w:val="000000" w:themeColor="text1"/>
              </w:rPr>
            </w:pPr>
            <w:r>
              <w:rPr>
                <w:rFonts w:ascii="Arial" w:hAnsi="Arial" w:eastAsia="Arial" w:cs="Arial"/>
                <w:color w:val="000000" w:themeColor="text1"/>
                <w:sz w:val="21"/>
              </w:rPr>
              <w:t xml:space="preserve">Non-visible finding asserted</w:t>
            </w:r>
            <w:r>
              <w:rPr>
                <w:color w:val="000000" w:themeColor="text1"/>
              </w:rPr>
            </w:r>
            <w:r>
              <w:rPr>
                <w:color w:val="000000" w:themeColor="text1"/>
              </w:rPr>
            </w:r>
          </w:p>
        </w:tc>
        <w:tc>
          <w:tcPr>
            <w:tcBorders/>
            <w:tcW w:w="3637" w:type="dxa"/>
            <w:textDirection w:val="lrTb"/>
            <w:noWrap w:val="false"/>
          </w:tcPr>
          <w:p w14:paraId="24571FBE">
            <w:pPr>
              <w:pBdr/>
              <w:spacing w:after="0" w:before="0" w:line="240" w:lineRule="auto"/>
              <w:ind/>
              <w:rPr>
                <w:color w:val="000000" w:themeColor="text1"/>
              </w:rPr>
            </w:pPr>
            <w:r>
              <w:rPr>
                <w:rFonts w:ascii="Arial" w:hAnsi="Arial" w:eastAsia="Arial" w:cs="Arial"/>
                <w:color w:val="000000" w:themeColor="text1"/>
                <w:sz w:val="21"/>
              </w:rPr>
              <w:t xml:space="preserve">Visual-grounding checks, contradiction tests, abstain option</w:t>
            </w:r>
            <w:r>
              <w:rPr>
                <w:color w:val="000000" w:themeColor="text1"/>
              </w:rPr>
            </w:r>
            <w:r>
              <w:rPr>
                <w:color w:val="000000" w:themeColor="text1"/>
              </w:rPr>
            </w:r>
          </w:p>
        </w:tc>
      </w:tr>
      <w:tr>
        <w:trPr/>
        <w:tc>
          <w:tcPr>
            <w:tcBorders/>
            <w:tcW w:w="2169" w:type="dxa"/>
            <w:textDirection w:val="lrTb"/>
            <w:noWrap w:val="false"/>
          </w:tcPr>
          <w:p w14:paraId="17E7A343">
            <w:pPr>
              <w:pBdr/>
              <w:spacing w:after="0" w:before="0" w:line="240" w:lineRule="auto"/>
              <w:ind/>
              <w:rPr>
                <w:color w:val="000000" w:themeColor="text1"/>
              </w:rPr>
            </w:pPr>
            <w:r>
              <w:rPr>
                <w:rFonts w:ascii="Arial" w:hAnsi="Arial" w:eastAsia="Arial" w:cs="Arial"/>
                <w:color w:val="000000" w:themeColor="text1"/>
                <w:sz w:val="21"/>
              </w:rPr>
              <w:t xml:space="preserve">Overconfidence</w:t>
            </w:r>
            <w:r>
              <w:rPr>
                <w:color w:val="000000" w:themeColor="text1"/>
              </w:rPr>
            </w:r>
            <w:r>
              <w:rPr>
                <w:color w:val="000000" w:themeColor="text1"/>
              </w:rPr>
            </w:r>
          </w:p>
        </w:tc>
        <w:tc>
          <w:tcPr>
            <w:tcBorders/>
            <w:tcW w:w="3591" w:type="dxa"/>
            <w:textDirection w:val="lrTb"/>
            <w:noWrap w:val="false"/>
          </w:tcPr>
          <w:p w14:paraId="1E41D987">
            <w:pPr>
              <w:pBdr/>
              <w:spacing w:after="0" w:before="0" w:line="240" w:lineRule="auto"/>
              <w:ind/>
              <w:rPr>
                <w:color w:val="000000" w:themeColor="text1"/>
              </w:rPr>
            </w:pPr>
            <w:r>
              <w:rPr>
                <w:rFonts w:ascii="Arial" w:hAnsi="Arial" w:eastAsia="Arial" w:cs="Arial"/>
                <w:color w:val="000000" w:themeColor="text1"/>
                <w:sz w:val="21"/>
              </w:rPr>
              <w:t xml:space="preserve">High confidence on incorrect severe class</w:t>
            </w:r>
            <w:r>
              <w:rPr>
                <w:color w:val="000000" w:themeColor="text1"/>
              </w:rPr>
            </w:r>
            <w:r>
              <w:rPr>
                <w:color w:val="000000" w:themeColor="text1"/>
              </w:rPr>
            </w:r>
          </w:p>
        </w:tc>
        <w:tc>
          <w:tcPr>
            <w:tcBorders/>
            <w:tcW w:w="3637" w:type="dxa"/>
            <w:textDirection w:val="lrTb"/>
            <w:noWrap w:val="false"/>
          </w:tcPr>
          <w:p w14:paraId="04FBF640">
            <w:pPr>
              <w:pBdr/>
              <w:spacing w:after="0" w:before="0" w:line="240" w:lineRule="auto"/>
              <w:ind/>
              <w:rPr>
                <w:color w:val="000000" w:themeColor="text1"/>
              </w:rPr>
            </w:pPr>
            <w:r>
              <w:rPr>
                <w:rFonts w:ascii="Arial" w:hAnsi="Arial" w:eastAsia="Arial" w:cs="Arial"/>
                <w:color w:val="000000" w:themeColor="text1"/>
                <w:sz w:val="21"/>
              </w:rPr>
              <w:t xml:space="preserve">Calibration, thresholding, uncertainty-triggered escalation</w:t>
            </w:r>
            <w:r>
              <w:rPr>
                <w:color w:val="000000" w:themeColor="text1"/>
              </w:rPr>
            </w:r>
            <w:r>
              <w:rPr>
                <w:color w:val="000000" w:themeColor="text1"/>
              </w:rPr>
            </w:r>
          </w:p>
        </w:tc>
      </w:tr>
      <w:tr>
        <w:trPr/>
        <w:tc>
          <w:tcPr>
            <w:tcBorders/>
            <w:tcW w:w="2169" w:type="dxa"/>
            <w:textDirection w:val="lrTb"/>
            <w:noWrap w:val="false"/>
          </w:tcPr>
          <w:p w14:paraId="15BE24A2">
            <w:pPr>
              <w:pBdr/>
              <w:spacing w:after="0" w:before="0" w:line="240" w:lineRule="auto"/>
              <w:ind/>
              <w:rPr>
                <w:color w:val="000000" w:themeColor="text1"/>
              </w:rPr>
            </w:pPr>
            <w:r>
              <w:rPr>
                <w:rFonts w:ascii="Arial" w:hAnsi="Arial" w:eastAsia="Arial" w:cs="Arial"/>
                <w:color w:val="000000" w:themeColor="text1"/>
                <w:sz w:val="21"/>
              </w:rPr>
              <w:t xml:space="preserve">Context gap</w:t>
            </w:r>
            <w:r>
              <w:rPr>
                <w:color w:val="000000" w:themeColor="text1"/>
              </w:rPr>
            </w:r>
            <w:r>
              <w:rPr>
                <w:color w:val="000000" w:themeColor="text1"/>
              </w:rPr>
            </w:r>
          </w:p>
        </w:tc>
        <w:tc>
          <w:tcPr>
            <w:tcBorders/>
            <w:tcW w:w="3591" w:type="dxa"/>
            <w:textDirection w:val="lrTb"/>
            <w:noWrap w:val="false"/>
          </w:tcPr>
          <w:p w14:paraId="5A23E012">
            <w:pPr>
              <w:pBdr/>
              <w:spacing w:after="0" w:before="0" w:line="240" w:lineRule="auto"/>
              <w:ind/>
              <w:rPr>
                <w:color w:val="000000" w:themeColor="text1"/>
              </w:rPr>
            </w:pPr>
            <w:r>
              <w:rPr>
                <w:rFonts w:ascii="Arial" w:hAnsi="Arial" w:eastAsia="Arial" w:cs="Arial"/>
                <w:color w:val="000000" w:themeColor="text1"/>
                <w:sz w:val="21"/>
              </w:rPr>
              <w:t xml:space="preserve">Image answer lacks decision context</w:t>
            </w:r>
            <w:r>
              <w:rPr>
                <w:color w:val="000000" w:themeColor="text1"/>
              </w:rPr>
            </w:r>
            <w:r>
              <w:rPr>
                <w:color w:val="000000" w:themeColor="text1"/>
              </w:rPr>
            </w:r>
          </w:p>
        </w:tc>
        <w:tc>
          <w:tcPr>
            <w:tcBorders/>
            <w:tcW w:w="3637" w:type="dxa"/>
            <w:textDirection w:val="lrTb"/>
            <w:noWrap w:val="false"/>
          </w:tcPr>
          <w:p w14:paraId="0E4C704D">
            <w:pPr>
              <w:pBdr/>
              <w:spacing w:after="0" w:before="0" w:line="240" w:lineRule="auto"/>
              <w:ind/>
              <w:rPr>
                <w:color w:val="000000" w:themeColor="text1"/>
              </w:rPr>
            </w:pPr>
            <w:r>
              <w:rPr>
                <w:rFonts w:ascii="Arial" w:hAnsi="Arial" w:eastAsia="Arial" w:cs="Arial"/>
                <w:color w:val="000000" w:themeColor="text1"/>
                <w:sz w:val="21"/>
              </w:rPr>
              <w:t xml:space="preserve">Conditional retrieval-backed evidence layer</w:t>
            </w:r>
            <w:r>
              <w:rPr>
                <w:color w:val="000000" w:themeColor="text1"/>
              </w:rPr>
            </w:r>
            <w:r>
              <w:rPr>
                <w:color w:val="000000" w:themeColor="text1"/>
              </w:rPr>
            </w:r>
          </w:p>
        </w:tc>
      </w:tr>
    </w:tbl>
    <w:p w14:paraId="4012425A">
      <w:pPr>
        <w:pStyle w:val="1128"/>
        <w:suppressLineNumbers w:val="false"/>
        <w:pBdr/>
        <w:spacing w:line="300" w:lineRule="auto"/>
        <w:ind w:firstLine="720" w:left="720"/>
        <w:rPr>
          <w:highlight w:val="none"/>
          <w:lang w:val="en-US"/>
        </w:rPr>
      </w:pPr>
      <w:r>
        <w:rPr>
          <w:lang w:val="en-US"/>
        </w:rPr>
        <w:t xml:space="preserve">Table 1.7</w:t>
      </w:r>
      <w:r>
        <w:t xml:space="preserve">: Risk controls for GI MedVQA system design</w:t>
      </w:r>
      <w:r>
        <w:rPr>
          <w:highlight w:val="none"/>
          <w:lang w:val="en-US"/>
        </w:rPr>
      </w:r>
      <w:r>
        <w:rPr>
          <w:highlight w:val="none"/>
          <w:lang w:val="en-US"/>
        </w:rPr>
      </w:r>
    </w:p>
    <w:p w14:paraId="0B917CC8">
      <w:pPr>
        <w:pStyle w:val="1128"/>
        <w:suppressLineNumbers w:val="false"/>
        <w:pBdr/>
        <w:spacing w:line="300" w:lineRule="auto"/>
        <w:ind w:left="2835"/>
        <w:rPr/>
      </w:pPr>
      <w:r>
        <w:rPr>
          <w:highlight w:val="none"/>
          <w:lang w:val="en-US"/>
        </w:rPr>
      </w:r>
      <w:r>
        <w:rPr>
          <w:highlight w:val="none"/>
          <w:lang w:val="en-US"/>
        </w:rPr>
      </w:r>
      <w:r/>
    </w:p>
    <w:p w14:paraId="4E0174DA">
      <w:pPr>
        <w:pStyle w:val="1128"/>
        <w:suppressLineNumbers w:val="false"/>
        <w:pBdr/>
        <w:spacing w:line="300" w:lineRule="auto"/>
        <w:ind w:firstLine="0"/>
        <w:rPr>
          <w:b/>
          <w:bCs/>
          <w:sz w:val="28"/>
          <w:szCs w:val="28"/>
        </w:rPr>
      </w:pPr>
      <w:r>
        <w:rPr>
          <w:b/>
          <w:bCs/>
          <w:sz w:val="28"/>
          <w:szCs w:val="28"/>
        </w:rPr>
        <w:t xml:space="preserve">1.10 </w:t>
      </w:r>
      <w:r>
        <w:rPr>
          <w:b/>
          <w:bCs/>
          <w:sz w:val="28"/>
          <w:szCs w:val="28"/>
        </w:rPr>
        <w:t xml:space="preserve">Contributions of This Dissertation</w:t>
      </w:r>
      <w:r>
        <w:rPr>
          <w:b/>
          <w:bCs/>
          <w:sz w:val="28"/>
          <w:szCs w:val="28"/>
        </w:rPr>
      </w:r>
      <w:r>
        <w:rPr>
          <w:b/>
          <w:bCs/>
          <w:sz w:val="28"/>
          <w:szCs w:val="28"/>
        </w:rPr>
      </w:r>
      <w:r>
        <w:rPr>
          <w:b/>
          <w:bCs/>
          <w:sz w:val="28"/>
          <w:szCs w:val="28"/>
        </w:rPr>
      </w:r>
    </w:p>
    <w:p w14:paraId="02E79219">
      <w:pPr>
        <w:pStyle w:val="1128"/>
        <w:suppressLineNumbers w:val="false"/>
        <w:pBdr/>
        <w:spacing w:line="300" w:lineRule="auto"/>
        <w:ind w:firstLine="0"/>
        <w:rPr/>
      </w:pPr>
      <w:r>
        <w:t xml:space="preserve">This dissertation makes five primary contributions.</w:t>
      </w:r>
      <w:r/>
    </w:p>
    <w:p w14:paraId="43A6B025">
      <w:pPr>
        <w:pStyle w:val="1128"/>
        <w:numPr>
          <w:ilvl w:val="0"/>
          <w:numId w:val="51"/>
        </w:numPr>
        <w:suppressLineNumbers w:val="false"/>
        <w:pBdr/>
        <w:spacing w:after="240" w:before="120" w:line="240" w:lineRule="auto"/>
        <w:ind/>
        <w:rPr/>
      </w:pPr>
      <w:r>
        <w:t xml:space="preserve">It establishes a consolidated GI MedVQA evidence base across multiple datasets and task formulations using reproducible local artifacts, enabling comparison across closed-label, generative, and ordinal clinical settings.</w:t>
      </w:r>
      <w:r/>
    </w:p>
    <w:p w14:paraId="5D994488">
      <w:pPr>
        <w:pStyle w:val="1128"/>
        <w:numPr>
          <w:ilvl w:val="0"/>
          <w:numId w:val="51"/>
        </w:numPr>
        <w:suppressLineNumbers w:val="false"/>
        <w:pBdr/>
        <w:spacing w:after="240" w:before="120" w:line="240" w:lineRule="auto"/>
        <w:ind/>
        <w:rPr/>
      </w:pPr>
      <w:r>
        <w:t xml:space="preserve">I</w:t>
      </w:r>
      <w:r>
        <w:t xml:space="preserve">t demonstrates, through cross-dataset empirical analysis, that constrained and supervised pipelines remain more reliable than naive zero-shot vision-language generation for current GI-endoscopy tasks, especially under class imbalance, answer-space mismatch</w:t>
      </w:r>
      <w:r>
        <w:t xml:space="preserve">, and format-sensitive evaluation.</w:t>
      </w:r>
      <w:r/>
    </w:p>
    <w:p w14:paraId="6B650477">
      <w:pPr>
        <w:pStyle w:val="1128"/>
        <w:numPr>
          <w:ilvl w:val="0"/>
          <w:numId w:val="51"/>
        </w:numPr>
        <w:suppressLineNumbers w:val="false"/>
        <w:pBdr/>
        <w:spacing w:after="240" w:before="120" w:line="240" w:lineRule="auto"/>
        <w:ind/>
        <w:rPr/>
      </w:pPr>
      <w:r>
        <w:t xml:space="preserve">I</w:t>
      </w:r>
      <w:r>
        <w:t xml:space="preserve">t develops a controlled generative ulcerative colitis severity-scoring pipeline for Mayo 0–3 prediction on LIMUC and shows that, under frozen multi-seed internal evaluation, the retained generative mode1 lane surpasses the supervised baseline on accuracy, </w:t>
      </w:r>
      <w:r>
        <w:t xml:space="preserve">macro-F1, balanced accuracy, and quadratic weighted kappa while preserving perfect parse compliance.</w:t>
      </w:r>
      <w:r/>
    </w:p>
    <w:p w14:paraId="46071A0E">
      <w:pPr>
        <w:pStyle w:val="1128"/>
        <w:numPr>
          <w:ilvl w:val="0"/>
          <w:numId w:val="51"/>
        </w:numPr>
        <w:suppressLineNumbers w:val="false"/>
        <w:pBdr/>
        <w:spacing w:after="240" w:before="120" w:line="240" w:lineRule="auto"/>
        <w:ind/>
        <w:rPr/>
      </w:pPr>
      <w:r>
        <w:t xml:space="preserve">I</w:t>
      </w:r>
      <w:r>
        <w:t xml:space="preserve">t introduces a modular PICO-grounded GenAI wrapper for physician-query support that integrates retrieval, citation linkage, refusal behavior, and completion-audit traceability, and demonstrates reproducible baseline performance under explicit claim boundar</w:t>
      </w:r>
      <w:r>
        <w:t xml:space="preserve">ies.</w:t>
      </w:r>
      <w:r/>
    </w:p>
    <w:p w14:paraId="1BA74232">
      <w:pPr>
        <w:pStyle w:val="1128"/>
        <w:numPr>
          <w:ilvl w:val="0"/>
          <w:numId w:val="51"/>
        </w:numPr>
        <w:suppressLineNumbers w:val="false"/>
        <w:pBdr/>
        <w:spacing w:after="240" w:before="120" w:line="240" w:lineRule="auto"/>
        <w:ind/>
        <w:rPr>
          <w:highlight w:val="none"/>
        </w:rPr>
      </w:pPr>
      <w:r>
        <w:t xml:space="preserve">I</w:t>
      </w:r>
      <w:r>
        <w:t xml:space="preserve">t contributes a reproducibility-first, claim-bounded framework for clinician-facing multimodal AI in colonoscopy, showing how model-level reliability, evidence-grounded interaction, and safety-oriented output controls can be organized into a defensible res</w:t>
      </w:r>
      <w:r>
        <w:t xml:space="preserve">earch-grade decision-support pipeline.</w:t>
      </w:r>
      <w:r>
        <w:rPr>
          <w:highlight w:val="none"/>
        </w:rPr>
      </w:r>
      <w:r>
        <w:rPr>
          <w:highlight w:val="none"/>
        </w:rPr>
      </w:r>
    </w:p>
    <w:p w14:paraId="0B52FBB4">
      <w:pPr>
        <w:pStyle w:val="1128"/>
        <w:suppressLineNumbers w:val="false"/>
        <w:pBdr/>
        <w:spacing w:line="300" w:lineRule="auto"/>
        <w:ind w:firstLine="0"/>
        <w:rPr/>
      </w:pPr>
      <w:r/>
      <w:r/>
    </w:p>
    <w:p w14:paraId="4D026E48">
      <w:pPr>
        <w:pStyle w:val="1128"/>
        <w:suppressLineNumbers w:val="false"/>
        <w:pBdr/>
        <w:spacing w:line="300" w:lineRule="auto"/>
        <w:ind w:firstLine="0"/>
        <w:rPr>
          <w:b/>
          <w:bCs/>
          <w:sz w:val="28"/>
          <w:szCs w:val="28"/>
        </w:rPr>
      </w:pPr>
      <w:r>
        <w:rPr>
          <w:b/>
          <w:bCs/>
          <w:sz w:val="28"/>
          <w:szCs w:val="28"/>
        </w:rPr>
        <w:t xml:space="preserve">1.11 Chapter-by-Chapter Summary</w:t>
      </w:r>
      <w:r>
        <w:rPr>
          <w:b/>
          <w:bCs/>
          <w:sz w:val="28"/>
          <w:szCs w:val="28"/>
        </w:rPr>
      </w:r>
      <w:r>
        <w:rPr>
          <w:b/>
          <w:bCs/>
          <w:sz w:val="28"/>
          <w:szCs w:val="28"/>
        </w:rPr>
      </w:r>
    </w:p>
    <w:p w14:paraId="3DF022CF">
      <w:pPr>
        <w:pStyle w:val="1128"/>
        <w:suppressLineNumbers w:val="false"/>
        <w:pBdr/>
        <w:spacing w:line="300" w:lineRule="auto"/>
        <w:ind w:firstLine="0"/>
        <w:rPr/>
      </w:pPr>
      <w:r>
        <w:t xml:space="preserve">Chapter 1 establishes the clinical motivation, research problem, aims, objectives, research questions, scope boundaries, conceptual framework, and contribution structure for the dissertation.</w:t>
      </w:r>
      <w:r/>
    </w:p>
    <w:p w14:paraId="60AC5BBB">
      <w:pPr>
        <w:pStyle w:val="1128"/>
        <w:suppressLineNumbers w:val="false"/>
        <w:pBdr/>
        <w:spacing w:line="300" w:lineRule="auto"/>
        <w:ind w:firstLine="0"/>
        <w:rPr/>
      </w:pPr>
      <w:r>
        <w:t xml:space="preserve">C</w:t>
      </w:r>
      <w:r>
        <w:t xml:space="preserve">hapter 2 surveys visual question answering in medicine with specific emphasis on gastrointestinal endoscopy and colonoscopy. It reviews dataset families, technique families, evaluation practices, and recent trends, and identifies the translational gaps tha</w:t>
      </w:r>
      <w:r>
        <w:t xml:space="preserve">t motivate the dissertation.</w:t>
      </w:r>
      <w:r/>
    </w:p>
    <w:p w14:paraId="5E773910">
      <w:pPr>
        <w:pStyle w:val="1128"/>
        <w:suppressLineNumbers w:val="false"/>
        <w:pBdr/>
        <w:spacing w:line="300" w:lineRule="auto"/>
        <w:ind w:firstLine="0"/>
        <w:rPr/>
      </w:pPr>
      <w:r>
        <w:t xml:space="preserve">C</w:t>
      </w:r>
      <w:r>
        <w:t xml:space="preserve">hapter 3 provides the empirical investigation of existing VQA techniques across GI-endoscopy datasets using persisted repository artifacts. It compares constrained and supervised pipelines with naive zero-shot generative approaches and identifies the domin</w:t>
      </w:r>
      <w:r>
        <w:t xml:space="preserve">ant reliability bottlenecks that must be addressed before clinician-facing deployment can be considered.</w:t>
      </w:r>
      <w:r/>
    </w:p>
    <w:p w14:paraId="3C0EAA39">
      <w:pPr>
        <w:pStyle w:val="1128"/>
        <w:suppressLineNumbers w:val="false"/>
        <w:pBdr/>
        <w:spacing w:line="300" w:lineRule="auto"/>
        <w:ind w:firstLine="0"/>
        <w:rPr/>
      </w:pPr>
      <w:r>
        <w:t xml:space="preserve">C</w:t>
      </w:r>
      <w:r>
        <w:t xml:space="preserve">hapter 4 develops the proposed generative vision-language approach for ulcerative colitis severity grading. Using LIMUC as the primary evidence base, it defines a controlled Mayo 0–3 scoring task, establishes a strong supervised anchor, implements LoRA-bas</w:t>
      </w:r>
      <w:r>
        <w:t xml:space="preserve">ed generative adaptation, and evaluates the resulting system under a frozen multi-seed protocol with explicit claim boundaries.</w:t>
      </w:r>
      <w:r/>
    </w:p>
    <w:p w14:paraId="3B2BE846">
      <w:pPr>
        <w:pStyle w:val="1128"/>
        <w:suppressLineNumbers w:val="false"/>
        <w:pBdr/>
        <w:spacing w:line="300" w:lineRule="auto"/>
        <w:ind w:firstLine="0"/>
        <w:rPr/>
      </w:pPr>
      <w:r>
        <w:t xml:space="preserve">C</w:t>
      </w:r>
      <w:r>
        <w:t xml:space="preserve">hapter 5 extends the work from model-level severity scoring to physician-facing interaction by introducing a PICO-grounded GenAI wrapper. This chapter evaluates retrieval, citation-linked synthesis, refusal behavior, and auditability as bounded downstream </w:t>
      </w:r>
      <w:r>
        <w:t xml:space="preserve">components built on top of the fixed Chapter 4 severity evidence.</w:t>
      </w:r>
      <w:r/>
    </w:p>
    <w:p w14:paraId="3C5296C7">
      <w:pPr>
        <w:pStyle w:val="1128"/>
        <w:suppressLineNumbers w:val="false"/>
        <w:pBdr/>
        <w:spacing w:line="300" w:lineRule="auto"/>
        <w:ind w:firstLine="0"/>
        <w:rPr/>
      </w:pPr>
      <w:r>
        <w:t xml:space="preserve">C</w:t>
      </w:r>
      <w:r>
        <w:t xml:space="preserve">hapter 6 concludes the dissertation by synthesizing the findings from Chapters 1 through 5, answering the research questions, consolidating the final contributions, stating the practical implications and limitations, and outlining future research direction</w:t>
      </w:r>
      <w:r>
        <w:t xml:space="preserve">s.</w:t>
      </w:r>
      <w:r/>
    </w:p>
    <w:p w14:paraId="26F79DA0">
      <w:pPr>
        <w:pStyle w:val="1128"/>
        <w:suppressLineNumbers w:val="false"/>
        <w:pBdr/>
        <w:spacing w:line="300" w:lineRule="auto"/>
        <w:ind/>
        <w:rPr/>
      </w:pPr>
      <w:r/>
      <w:r/>
    </w:p>
    <w:p w14:paraId="70E53ED4">
      <w:pPr>
        <w:pStyle w:val="1128"/>
        <w:suppressLineNumbers w:val="false"/>
        <w:pBdr/>
        <w:spacing w:line="300" w:lineRule="auto"/>
        <w:ind/>
        <w:rPr/>
      </w:pPr>
      <w:r/>
      <w:r/>
    </w:p>
    <w:p w14:paraId="381B1532">
      <w:pPr>
        <w:pStyle w:val="1128"/>
        <w:suppressLineNumbers w:val="false"/>
        <w:pBdr/>
        <w:spacing w:line="300" w:lineRule="auto"/>
        <w:ind/>
        <w:rPr/>
      </w:pPr>
      <w:r/>
      <w:r/>
    </w:p>
    <w:p w14:paraId="5154A291">
      <w:pPr>
        <w:pStyle w:val="1128"/>
        <w:suppressLineNumbers w:val="false"/>
        <w:pBdr/>
        <w:spacing w:line="300" w:lineRule="auto"/>
        <w:ind/>
        <w:rPr/>
      </w:pPr>
      <w:r/>
      <w:r/>
    </w:p>
    <w:p w14:paraId="12B54F1F" w14:textId="65827942">
      <w:pPr>
        <w:pStyle w:val="1128"/>
        <w:suppressLineNumbers w:val="false"/>
        <w:pBdr/>
        <w:spacing w:line="300" w:lineRule="auto"/>
        <w:ind w:firstLine="0"/>
        <w:rPr/>
      </w:pPr>
      <w:r/>
      <w:r/>
    </w:p>
    <w:p w14:paraId="25FF9EE4" w14:textId="4F9F96C5">
      <w:pPr>
        <w:pStyle w:val="1115"/>
        <w:suppressLineNumbers w:val="false"/>
        <w:pBdr/>
        <w:spacing w:line="300" w:lineRule="auto"/>
        <w:ind/>
        <w:rPr>
          <w:b/>
          <w:bCs/>
          <w:i w:val="0"/>
          <w:iCs w:val="0"/>
          <w:strike w:val="0"/>
          <w:color w:val="1b1c1d"/>
          <w:sz w:val="48"/>
          <w:szCs w:val="48"/>
          <w:u w:val="none"/>
        </w:rPr>
      </w:pPr>
      <w:r>
        <w:br/>
      </w:r>
      <w:r>
        <w:br/>
      </w:r>
      <w:r>
        <w:rPr>
          <w:b/>
          <w:bCs/>
          <w:i w:val="0"/>
          <w:iCs w:val="0"/>
          <w:strike w:val="0"/>
          <w:color w:val="1b1c1d"/>
          <w:sz w:val="48"/>
          <w:szCs w:val="48"/>
          <w:u w:val="none"/>
          <w:lang w:val="en-CA"/>
        </w:rPr>
        <w:t xml:space="preserve">Surveying VQA Techniques in Medicine with application to Colonoscopy</w:t>
      </w:r>
      <w:r>
        <w:rPr>
          <w:b/>
          <w:bCs/>
          <w:i w:val="0"/>
          <w:iCs w:val="0"/>
          <w:strike w:val="0"/>
          <w:color w:val="1b1c1d"/>
          <w:sz w:val="48"/>
          <w:szCs w:val="48"/>
          <w:u w:val="none"/>
        </w:rPr>
      </w:r>
      <w:r>
        <w:rPr>
          <w:b/>
          <w:bCs/>
          <w:i w:val="0"/>
          <w:iCs w:val="0"/>
          <w:strike w:val="0"/>
          <w:color w:val="1b1c1d"/>
          <w:sz w:val="48"/>
          <w:szCs w:val="48"/>
          <w:u w:val="none"/>
        </w:rPr>
      </w:r>
    </w:p>
    <w:p w14:paraId="53C36DDB">
      <w:pPr>
        <w:pStyle w:val="1128"/>
        <w:pBdr/>
        <w:spacing/>
        <w:ind w:firstLine="0"/>
        <w:rPr>
          <w:b/>
          <w:bCs/>
          <w:sz w:val="28"/>
          <w:szCs w:val="28"/>
        </w:rPr>
      </w:pPr>
      <w:r>
        <w:rPr>
          <w:b/>
          <w:bCs/>
          <w:sz w:val="28"/>
          <w:szCs w:val="28"/>
        </w:rPr>
        <w:t xml:space="preserve">2.0 Chapter 2 Overview</w:t>
      </w:r>
      <w:r>
        <w:rPr>
          <w:b/>
          <w:bCs/>
          <w:sz w:val="28"/>
          <w:szCs w:val="28"/>
        </w:rPr>
      </w:r>
      <w:r>
        <w:rPr>
          <w:b/>
          <w:bCs/>
          <w:sz w:val="28"/>
          <w:szCs w:val="28"/>
        </w:rPr>
      </w:r>
    </w:p>
    <w:p w14:paraId="1B0F00D2">
      <w:pPr>
        <w:pStyle w:val="1128"/>
        <w:pBdr/>
        <w:spacing/>
        <w:ind w:firstLine="0"/>
        <w:rPr/>
      </w:pPr>
      <w:r>
        <w:t xml:space="preserve">C</w:t>
      </w:r>
      <w:r>
        <w:t xml:space="preserve">hapter 2 provides the scoping-review backbone of the dissertation and establishes the evidence landscape that motivates the empirical work in Chapter 3. It documents the review design (objective, search window, source types, and inclusion/exclusion logic),</w:t>
      </w:r>
      <w:r>
        <w:t xml:space="preserve"> </w:t>
      </w:r>
      <w:r>
        <w:t xml:space="preserve">then synthesizes how MedVQA has evolved from constrained discriminative pipelines to transformer and generative multimodal systems. The chapter narrows this broader trajectory to GI endoscopy by mapping key datasets, challenge tracks, and colonoscopy-relev</w:t>
      </w:r>
      <w:r>
        <w:t xml:space="preserve">a</w:t>
      </w:r>
      <w:r>
        <w:t xml:space="preserve">nt task regimes, with specific emphasis on reliability constraints such as class imbalance, lexical answer variability, and clinical-threshold sensitivity. It also compares technique families (discriminative, transformer-based, generative, explainable, and</w:t>
      </w:r>
      <w:r>
        <w:t xml:space="preserve"> </w:t>
      </w:r>
      <w:r>
        <w:t xml:space="preserve">retrieval-aware) against scenario-level needs in colonoscopy decision support. To improve thesis traceability, the chapter triangulates external literature with internal repository evidence and ends with a structured gap map. These gaps are framed not as a</w:t>
      </w:r>
      <w:r>
        <w:t xml:space="preserve">bstract research opportunities, but as concrete methodological requirements that directly determine how Chapter 3 is designed, what metrics are prioritized, and which claims are considered defensible.</w:t>
      </w:r>
      <w:r/>
    </w:p>
    <w:p w14:paraId="74B40804">
      <w:pPr>
        <w:pStyle w:val="1128"/>
        <w:suppressLineNumbers w:val="false"/>
        <w:pBdr/>
        <w:spacing w:after="240" w:before="120" w:line="240" w:lineRule="auto"/>
        <w:ind w:firstLine="0"/>
        <w:rPr/>
      </w:pPr>
      <w:r>
        <w:t xml:space="preserve">At a glance, this chapter:</w:t>
      </w:r>
      <w:r/>
    </w:p>
    <w:p w14:paraId="6F7D20EC">
      <w:pPr>
        <w:pStyle w:val="1128"/>
        <w:suppressLineNumbers w:val="false"/>
        <w:pBdr/>
        <w:spacing w:after="240" w:before="120" w:line="240" w:lineRule="auto"/>
        <w:ind w:firstLine="0"/>
        <w:rPr/>
      </w:pPr>
      <w:r>
        <w:t xml:space="preserve">1. Defines a transparent scoping protocol and source-selection framework.</w:t>
      </w:r>
      <w:r/>
    </w:p>
    <w:p w14:paraId="1D29130D">
      <w:pPr>
        <w:pStyle w:val="1128"/>
        <w:suppressLineNumbers w:val="false"/>
        <w:pBdr/>
        <w:spacing w:after="240" w:before="120" w:line="240" w:lineRule="auto"/>
        <w:ind w:firstLine="0"/>
        <w:rPr/>
      </w:pPr>
      <w:r>
        <w:t xml:space="preserve">2. Summarizes the method and benchmark evolution of MedVQA.</w:t>
      </w:r>
      <w:r/>
    </w:p>
    <w:p w14:paraId="5AC7DB51">
      <w:pPr>
        <w:pStyle w:val="1128"/>
        <w:suppressLineNumbers w:val="false"/>
        <w:pBdr/>
        <w:spacing w:after="240" w:before="120" w:line="240" w:lineRule="auto"/>
        <w:ind w:firstLine="0"/>
        <w:rPr/>
      </w:pPr>
      <w:r>
        <w:t xml:space="preserve">3. Maps GI-colonoscopy datasets and challenge ecosystems to task needs.</w:t>
      </w:r>
      <w:r/>
    </w:p>
    <w:p w14:paraId="5FA99030">
      <w:pPr>
        <w:pStyle w:val="1128"/>
        <w:suppressLineNumbers w:val="false"/>
        <w:pBdr/>
        <w:spacing w:after="240" w:before="120" w:line="240" w:lineRule="auto"/>
        <w:ind w:firstLine="0"/>
        <w:rPr/>
      </w:pPr>
      <w:r>
        <w:t xml:space="preserve">4. Evaluates technique families against scenario-oriented clinical requirements.</w:t>
      </w:r>
      <w:r/>
    </w:p>
    <w:p w14:paraId="4265698E">
      <w:pPr>
        <w:pStyle w:val="1128"/>
        <w:suppressLineNumbers w:val="false"/>
        <w:pBdr/>
        <w:spacing w:after="240" w:before="120" w:line="240" w:lineRule="auto"/>
        <w:ind w:firstLine="0"/>
        <w:rPr/>
      </w:pPr>
      <w:r>
        <w:t xml:space="preserve">5. Produces a gap-and-risk synthesis that directly drives Chapter 3 experiments.</w:t>
      </w:r>
      <w:r/>
    </w:p>
    <w:p w14:paraId="5F35DB85">
      <w:pPr>
        <w:pStyle w:val="1128"/>
        <w:pBdr/>
        <w:spacing/>
        <w:ind w:firstLine="0"/>
        <w:rPr/>
      </w:pPr>
      <w:r/>
      <w:r/>
    </w:p>
    <w:p w14:paraId="0BC6FFF5">
      <w:pPr>
        <w:pStyle w:val="1128"/>
        <w:pBdr/>
        <w:spacing/>
        <w:ind w:firstLine="0"/>
        <w:rPr/>
      </w:pPr>
      <w:r>
        <w:t xml:space="preserve">The next chapter moves from literature synthesis to artifact-grounded empirical evaluation across GI-endoscopy datasets.</w:t>
      </w:r>
      <w:r/>
    </w:p>
    <w:p w14:paraId="4489C505">
      <w:pPr>
        <w:pStyle w:val="1128"/>
        <w:pBdr/>
        <w:spacing/>
        <w:ind w:firstLine="0"/>
        <w:rPr/>
      </w:pPr>
      <w:r>
        <w:rPr>
          <w:b/>
          <w:bCs/>
          <w:i w:val="0"/>
          <w:iCs w:val="0"/>
          <w:strike w:val="0"/>
          <w:color w:val="1b1c1d"/>
          <w:sz w:val="48"/>
          <w:szCs w:val="48"/>
          <w:u w:val="none"/>
          <w:lang w:val="en-CA"/>
        </w:rPr>
      </w:r>
      <w:r>
        <w:rPr>
          <w:b/>
          <w:bCs/>
          <w:i w:val="0"/>
          <w:iCs w:val="0"/>
          <w:strike w:val="0"/>
          <w:color w:val="1b1c1d"/>
          <w:sz w:val="48"/>
          <w:szCs w:val="48"/>
          <w:u w:val="none"/>
        </w:rPr>
      </w:r>
      <w:r/>
    </w:p>
    <w:p w14:paraId="3FD4EF18" w14:textId="5A0D563D">
      <w:pPr>
        <w:suppressLineNumbers w:val="false"/>
        <w:pBdr/>
        <w:spacing w:after="240" w:afterAutospacing="0" w:before="240" w:beforeAutospacing="0" w:line="300" w:lineRule="auto"/>
        <w:ind/>
        <w:rPr>
          <w:b/>
          <w:bCs/>
          <w:sz w:val="28"/>
          <w:szCs w:val="28"/>
        </w:rPr>
      </w:pPr>
      <w:r>
        <w:rPr>
          <w:b/>
          <w:bCs/>
          <w:sz w:val="28"/>
          <w:szCs w:val="28"/>
          <w:lang w:val="en-CA"/>
        </w:rPr>
        <w:t xml:space="preserve">2.1 Introduction</w:t>
      </w:r>
      <w:r>
        <w:rPr>
          <w:b/>
          <w:bCs/>
          <w:sz w:val="28"/>
          <w:szCs w:val="28"/>
        </w:rPr>
      </w:r>
      <w:r>
        <w:rPr>
          <w:b/>
          <w:bCs/>
          <w:sz w:val="28"/>
          <w:szCs w:val="28"/>
        </w:rPr>
      </w:r>
    </w:p>
    <w:p w14:paraId="0F90BBC5">
      <w:pPr>
        <w:pStyle w:val="1114"/>
        <w:suppressLineNumbers w:val="false"/>
        <w:pBdr/>
        <w:spacing w:after="240" w:afterAutospacing="0" w:before="240" w:beforeAutospacing="0" w:line="300" w:lineRule="auto"/>
        <w:ind w:firstLine="0"/>
        <w:rPr/>
      </w:pPr>
      <w:r>
        <w:rPr>
          <w:rFonts w:ascii="Arial" w:hAnsi="Arial" w:eastAsia="Arial" w:cs="Arial"/>
          <w:b w:val="0"/>
          <w:bCs w:val="0"/>
          <w:i w:val="0"/>
          <w:iCs w:val="0"/>
          <w:caps w:val="0"/>
          <w:smallCaps w:val="0"/>
          <w:color w:val="000000" w:themeColor="text1" w:themeTint="FF" w:themeShade="FF"/>
          <w:sz w:val="22"/>
          <w:szCs w:val="22"/>
          <w:lang w:val="en-CA"/>
        </w:rPr>
        <w:t xml:space="preserve">V</w:t>
      </w:r>
      <w:r>
        <w:rPr>
          <w:rFonts w:ascii="Arial" w:hAnsi="Arial" w:eastAsia="Arial" w:cs="Arial"/>
          <w:b w:val="0"/>
          <w:bCs w:val="0"/>
          <w:i w:val="0"/>
          <w:iCs w:val="0"/>
          <w:caps w:val="0"/>
          <w:smallCaps w:val="0"/>
          <w:color w:val="000000" w:themeColor="text1" w:themeTint="FF" w:themeShade="FF"/>
          <w:sz w:val="22"/>
          <w:szCs w:val="22"/>
          <w:lang w:val="en-CA"/>
        </w:rPr>
        <w:t xml:space="preserve">isual Question Answering (VQA) has evolved from a general computer-vision benchmark task into a clinically relevant multimodal research area. In medical VQA (MedVQA), a model must interpret medical imagery, parse a natural-language question, and generate a</w:t>
      </w:r>
      <w:r>
        <w:rPr>
          <w:rFonts w:ascii="Arial" w:hAnsi="Arial" w:eastAsia="Arial" w:cs="Arial"/>
          <w:b w:val="0"/>
          <w:bCs w:val="0"/>
          <w:i w:val="0"/>
          <w:iCs w:val="0"/>
          <w:caps w:val="0"/>
          <w:smallCaps w:val="0"/>
          <w:color w:val="000000" w:themeColor="text1" w:themeTint="FF" w:themeShade="FF"/>
          <w:sz w:val="22"/>
          <w:szCs w:val="22"/>
          <w:lang w:val="en-CA"/>
        </w:rPr>
        <w:t xml:space="preserve">n</w:t>
      </w:r>
      <w:r>
        <w:rPr>
          <w:rFonts w:ascii="Arial" w:hAnsi="Arial" w:eastAsia="Arial" w:cs="Arial"/>
          <w:b w:val="0"/>
          <w:bCs w:val="0"/>
          <w:i w:val="0"/>
          <w:iCs w:val="0"/>
          <w:caps w:val="0"/>
          <w:smallCaps w:val="0"/>
          <w:color w:val="000000" w:themeColor="text1" w:themeTint="FF" w:themeShade="FF"/>
          <w:sz w:val="22"/>
          <w:szCs w:val="22"/>
          <w:lang w:val="en-CA"/>
        </w:rPr>
        <w:t xml:space="preserve"> answer that is not only technically correct but also clinically meaningful. This imposes stricter requirements than general-domain VQA: stronger visual grounding, domain-aware language understanding, robustness under class imbalance, and error behavior th</w:t>
      </w:r>
      <w:r>
        <w:rPr>
          <w:rFonts w:ascii="Arial" w:hAnsi="Arial" w:eastAsia="Arial" w:cs="Arial"/>
          <w:b w:val="0"/>
          <w:bCs w:val="0"/>
          <w:i w:val="0"/>
          <w:iCs w:val="0"/>
          <w:caps w:val="0"/>
          <w:smallCaps w:val="0"/>
          <w:color w:val="000000" w:themeColor="text1" w:themeTint="FF" w:themeShade="FF"/>
          <w:sz w:val="22"/>
          <w:szCs w:val="22"/>
          <w:lang w:val="en-CA"/>
        </w:rPr>
        <w:t xml:space="preserve">at is safe under clinical risk [4].</w:t>
      </w:r>
      <w:r>
        <w:rPr>
          <w:rFonts w:ascii="Arial" w:hAnsi="Arial" w:eastAsia="Arial" w:cs="Arial"/>
          <w:b w:val="0"/>
          <w:bCs w:val="0"/>
          <w:i w:val="0"/>
          <w:iCs w:val="0"/>
          <w:caps w:val="0"/>
          <w:smallCaps w:val="0"/>
          <w:color w:val="000000" w:themeColor="text1" w:themeTint="FF" w:themeShade="FF"/>
          <w:sz w:val="22"/>
          <w:szCs w:val="22"/>
          <w:lang w:val="en-CA"/>
        </w:rPr>
      </w:r>
      <w:r/>
    </w:p>
    <w:p w14:paraId="5E80A0C2">
      <w:pPr>
        <w:pStyle w:val="1114"/>
        <w:suppressLineNumbers w:val="false"/>
        <w:pBdr/>
        <w:spacing w:after="240" w:afterAutospacing="0" w:before="240" w:beforeAutospacing="0" w:line="300" w:lineRule="auto"/>
        <w:ind w:firstLine="0"/>
        <w:rPr/>
      </w:pPr>
      <w:r>
        <w:rPr>
          <w:rFonts w:ascii="Arial" w:hAnsi="Arial" w:eastAsia="Arial" w:cs="Arial"/>
          <w:b w:val="0"/>
          <w:bCs w:val="0"/>
          <w:i w:val="0"/>
          <w:iCs w:val="0"/>
          <w:caps w:val="0"/>
          <w:smallCaps w:val="0"/>
          <w:color w:val="000000" w:themeColor="text1" w:themeTint="FF" w:themeShade="FF"/>
          <w:sz w:val="22"/>
          <w:szCs w:val="22"/>
          <w:lang w:val="en-CA"/>
        </w:rPr>
        <w:t xml:space="preserve">F</w:t>
      </w:r>
      <w:r>
        <w:rPr>
          <w:rFonts w:ascii="Arial" w:hAnsi="Arial" w:eastAsia="Arial" w:cs="Arial"/>
          <w:b w:val="0"/>
          <w:bCs w:val="0"/>
          <w:i w:val="0"/>
          <w:iCs w:val="0"/>
          <w:caps w:val="0"/>
          <w:smallCaps w:val="0"/>
          <w:color w:val="000000" w:themeColor="text1" w:themeTint="FF" w:themeShade="FF"/>
          <w:sz w:val="22"/>
          <w:szCs w:val="22"/>
          <w:lang w:val="en-CA"/>
        </w:rPr>
        <w:t xml:space="preserve">or this dissertation, the focus is gastrointestinal (GI) endoscopy with an emphasis on colonoscopy use cases. This domain is clinically important and methodologically difficult. Colonoscopy frames contain artifacts, illumination variation, blur, occlusions</w:t>
      </w:r>
      <w:r>
        <w:rPr>
          <w:rFonts w:ascii="Arial" w:hAnsi="Arial" w:eastAsia="Arial" w:cs="Arial"/>
          <w:b w:val="0"/>
          <w:bCs w:val="0"/>
          <w:i w:val="0"/>
          <w:iCs w:val="0"/>
          <w:caps w:val="0"/>
          <w:smallCaps w:val="0"/>
          <w:color w:val="000000" w:themeColor="text1" w:themeTint="FF" w:themeShade="FF"/>
          <w:sz w:val="22"/>
          <w:szCs w:val="22"/>
          <w:lang w:val="en-CA"/>
        </w:rPr>
        <w:t xml:space="preserve"> by instruments, and subtle lesion morphology. Questions that appear simple in natural language (e.g., "Is there active inflammation?" or "What is the likely severity?") can require fine-grained perception and domain-specific interpretation.</w:t>
      </w:r>
      <w:r>
        <w:rPr>
          <w:rFonts w:ascii="Arial" w:hAnsi="Arial" w:eastAsia="Arial" w:cs="Arial"/>
          <w:b w:val="0"/>
          <w:bCs w:val="0"/>
          <w:i w:val="0"/>
          <w:iCs w:val="0"/>
          <w:caps w:val="0"/>
          <w:smallCaps w:val="0"/>
          <w:color w:val="000000" w:themeColor="text1" w:themeTint="FF" w:themeShade="FF"/>
          <w:sz w:val="22"/>
          <w:szCs w:val="22"/>
          <w:lang w:val="en-CA"/>
        </w:rPr>
      </w:r>
      <w:r/>
    </w:p>
    <w:p w14:paraId="573A3B96">
      <w:pPr>
        <w:pStyle w:val="1114"/>
        <w:suppressLineNumbers w:val="false"/>
        <w:pBdr/>
        <w:spacing w:after="240" w:afterAutospacing="0" w:before="240" w:beforeAutospacing="0" w:line="300" w:lineRule="auto"/>
        <w:ind w:firstLine="0"/>
        <w:rPr/>
      </w:pPr>
      <w:r>
        <w:rPr>
          <w:rFonts w:ascii="Arial" w:hAnsi="Arial" w:eastAsia="Arial" w:cs="Arial"/>
          <w:b w:val="0"/>
          <w:bCs w:val="0"/>
          <w:i w:val="0"/>
          <w:iCs w:val="0"/>
          <w:caps w:val="0"/>
          <w:smallCaps w:val="0"/>
          <w:color w:val="000000" w:themeColor="text1" w:themeTint="FF" w:themeShade="FF"/>
          <w:sz w:val="22"/>
          <w:szCs w:val="22"/>
          <w:lang w:val="en-CA"/>
        </w:rPr>
        <w:t xml:space="preserve">The purpose of this chapter is to provide a rigorous survey that supports design choices in subsequent chapters. Specifically, this chapter:</w:t>
      </w:r>
      <w:r>
        <w:rPr>
          <w:rFonts w:ascii="Arial" w:hAnsi="Arial" w:eastAsia="Arial" w:cs="Arial"/>
          <w:b w:val="0"/>
          <w:bCs w:val="0"/>
          <w:i w:val="0"/>
          <w:iCs w:val="0"/>
          <w:caps w:val="0"/>
          <w:smallCaps w:val="0"/>
          <w:color w:val="000000" w:themeColor="text1" w:themeTint="FF" w:themeShade="FF"/>
          <w:sz w:val="22"/>
          <w:szCs w:val="22"/>
          <w:lang w:val="en-CA"/>
        </w:rPr>
      </w:r>
      <w:r/>
    </w:p>
    <w:p w14:paraId="05BBAFE9">
      <w:pPr>
        <w:pStyle w:val="1114"/>
        <w:numPr>
          <w:ilvl w:val="0"/>
          <w:numId w:val="22"/>
        </w:numPr>
        <w:suppressLineNumbers w:val="false"/>
        <w:pBdr/>
        <w:spacing w:after="240" w:afterAutospacing="0" w:before="240" w:beforeAutospacing="0" w:line="144" w:lineRule="auto"/>
        <w:ind/>
        <w:rPr/>
      </w:pPr>
      <w:r>
        <w:rPr>
          <w:rFonts w:ascii="Arial" w:hAnsi="Arial" w:eastAsia="Arial" w:cs="Arial"/>
          <w:b w:val="0"/>
          <w:bCs w:val="0"/>
          <w:i w:val="0"/>
          <w:iCs w:val="0"/>
          <w:caps w:val="0"/>
          <w:smallCaps w:val="0"/>
          <w:color w:val="000000" w:themeColor="text1" w:themeTint="FF" w:themeShade="FF"/>
          <w:sz w:val="22"/>
          <w:szCs w:val="22"/>
          <w:lang w:val="en-CA"/>
        </w:rPr>
        <w:t xml:space="preserve">maps the historical evolution of MedVQA model families;</w:t>
      </w:r>
      <w:r/>
    </w:p>
    <w:p w14:paraId="22B19002">
      <w:pPr>
        <w:pStyle w:val="1114"/>
        <w:numPr>
          <w:ilvl w:val="0"/>
          <w:numId w:val="22"/>
        </w:numPr>
        <w:suppressLineNumbers w:val="false"/>
        <w:pBdr/>
        <w:spacing w:after="240" w:afterAutospacing="0" w:before="240" w:beforeAutospacing="0" w:line="144" w:lineRule="auto"/>
        <w:ind/>
        <w:rPr/>
      </w:pPr>
      <w:r>
        <w:rPr>
          <w:rFonts w:ascii="Arial" w:hAnsi="Arial" w:eastAsia="Arial" w:cs="Arial"/>
          <w:b w:val="0"/>
          <w:bCs w:val="0"/>
          <w:i w:val="0"/>
          <w:iCs w:val="0"/>
          <w:caps w:val="0"/>
          <w:smallCaps w:val="0"/>
          <w:color w:val="000000" w:themeColor="text1" w:themeTint="FF" w:themeShade="FF"/>
          <w:sz w:val="22"/>
          <w:szCs w:val="22"/>
          <w:lang w:val="en-CA"/>
        </w:rPr>
        <w:t xml:space="preserve">reviews dataset and benchmark development, with GI-specific focus;</w:t>
      </w:r>
      <w:r/>
    </w:p>
    <w:p w14:paraId="2FC68D11">
      <w:pPr>
        <w:pStyle w:val="1114"/>
        <w:numPr>
          <w:ilvl w:val="0"/>
          <w:numId w:val="22"/>
        </w:numPr>
        <w:suppressLineNumbers w:val="false"/>
        <w:pBdr/>
        <w:spacing w:after="240" w:afterAutospacing="0" w:before="240" w:beforeAutospacing="0" w:line="144" w:lineRule="auto"/>
        <w:ind/>
        <w:rPr/>
      </w:pPr>
      <w:r>
        <w:rPr>
          <w:rFonts w:ascii="Arial" w:hAnsi="Arial" w:eastAsia="Arial" w:cs="Arial"/>
          <w:b w:val="0"/>
          <w:bCs w:val="0"/>
          <w:i w:val="0"/>
          <w:iCs w:val="0"/>
          <w:caps w:val="0"/>
          <w:smallCaps w:val="0"/>
          <w:color w:val="000000" w:themeColor="text1" w:themeTint="FF" w:themeShade="FF"/>
          <w:sz w:val="22"/>
          <w:szCs w:val="22"/>
          <w:lang w:val="en-CA"/>
        </w:rPr>
        <w:t xml:space="preserve">compares technique families against colonoscopy scenario requirements;</w:t>
      </w:r>
      <w:r/>
    </w:p>
    <w:p w14:paraId="7037EEFA">
      <w:pPr>
        <w:pStyle w:val="1114"/>
        <w:numPr>
          <w:ilvl w:val="0"/>
          <w:numId w:val="22"/>
        </w:numPr>
        <w:suppressLineNumbers w:val="false"/>
        <w:pBdr/>
        <w:spacing w:after="240" w:afterAutospacing="0" w:before="240" w:beforeAutospacing="0" w:line="144" w:lineRule="auto"/>
        <w:ind/>
        <w:rPr/>
      </w:pPr>
      <w:r>
        <w:rPr>
          <w:rFonts w:ascii="Arial" w:hAnsi="Arial" w:eastAsia="Arial" w:cs="Arial"/>
          <w:b w:val="0"/>
          <w:bCs w:val="0"/>
          <w:i w:val="0"/>
          <w:iCs w:val="0"/>
          <w:caps w:val="0"/>
          <w:smallCaps w:val="0"/>
          <w:color w:val="000000" w:themeColor="text1" w:themeTint="FF" w:themeShade="FF"/>
          <w:sz w:val="22"/>
          <w:szCs w:val="22"/>
          <w:lang w:val="en-CA"/>
        </w:rPr>
        <w:t xml:space="preserve">reviews evaluation practices and their limitations;</w:t>
      </w:r>
      <w:r/>
    </w:p>
    <w:p w14:paraId="529EA61A">
      <w:pPr>
        <w:pStyle w:val="1114"/>
        <w:numPr>
          <w:ilvl w:val="0"/>
          <w:numId w:val="22"/>
        </w:numPr>
        <w:suppressLineNumbers w:val="false"/>
        <w:pBdr/>
        <w:spacing w:after="240" w:afterAutospacing="0" w:before="240" w:beforeAutospacing="0" w:line="240" w:lineRule="auto"/>
        <w:ind/>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iCs w:val="0"/>
          <w:caps w:val="0"/>
          <w:smallCaps w:val="0"/>
          <w:color w:val="000000" w:themeColor="text1" w:themeTint="FF" w:themeShade="FF"/>
          <w:sz w:val="22"/>
          <w:szCs w:val="22"/>
          <w:lang w:val="en-CA"/>
        </w:rPr>
        <w:t xml:space="preserve">identifies open gaps that directly motivate the methodology in Chapter 3, Chapter 4, and </w:t>
      </w:r>
      <w:r>
        <w:rPr>
          <w:rFonts w:ascii="Arial" w:hAnsi="Arial" w:eastAsia="Arial" w:cs="Arial"/>
          <w:b w:val="0"/>
          <w:bCs w:val="0"/>
          <w:i w:val="0"/>
          <w:iCs w:val="0"/>
          <w:caps w:val="0"/>
          <w:smallCaps w:val="0"/>
          <w:color w:val="000000" w:themeColor="text1" w:themeTint="FF" w:themeShade="FF"/>
          <w:sz w:val="22"/>
          <w:szCs w:val="22"/>
          <w:lang w:val="en-CA"/>
        </w:rPr>
        <w:t xml:space="preserve">Chapter 5.</w:t>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3BDC3232">
      <w:pPr>
        <w:pStyle w:val="1114"/>
        <w:suppressLineNumbers w:val="false"/>
        <w:pBdr/>
        <w:spacing w:after="240" w:afterAutospacing="0" w:before="240" w:beforeAutospacing="0" w:line="300" w:lineRule="auto"/>
        <w:ind w:firstLine="0"/>
        <w:rPr/>
      </w:pPr>
      <w:r>
        <w:rPr>
          <w:rFonts w:ascii="Arial" w:hAnsi="Arial" w:eastAsia="Arial" w:cs="Arial"/>
          <w:b w:val="0"/>
          <w:bCs w:val="0"/>
          <w:i w:val="0"/>
          <w:iCs w:val="0"/>
          <w:caps w:val="0"/>
          <w:smallCaps w:val="0"/>
          <w:color w:val="000000" w:themeColor="text1" w:themeTint="FF" w:themeShade="FF"/>
          <w:sz w:val="22"/>
          <w:szCs w:val="22"/>
          <w:lang w:val="en-CA"/>
        </w:rPr>
        <w:t xml:space="preserve">The chapter is written in the same formal style as the dissertation introduction and uses standard terminology from computer vision (CV), natural language processing (NLP), and multimodal learning.</w:t>
      </w:r>
      <w:r/>
    </w:p>
    <w:p w14:paraId="55828FA6">
      <w:pPr>
        <w:pStyle w:val="1114"/>
        <w:suppressLineNumbers w:val="false"/>
        <w:pBdr/>
        <w:spacing w:after="240" w:afterAutospacing="0" w:before="240" w:beforeAutospacing="0" w:line="300" w:lineRule="auto"/>
        <w:ind w:firstLine="0"/>
        <w:rPr>
          <w:b/>
          <w:bCs/>
          <w:highlight w:val="none"/>
        </w:rPr>
      </w:pPr>
      <w:r>
        <w:rPr>
          <w:rFonts w:ascii="Arial" w:hAnsi="Arial" w:eastAsia="Arial" w:cs="Arial"/>
          <w:b/>
          <w:bCs/>
          <w:i w:val="0"/>
          <w:iCs w:val="0"/>
          <w:caps w:val="0"/>
          <w:smallCaps w:val="0"/>
          <w:color w:val="000000" w:themeColor="text1" w:themeTint="FF" w:themeShade="FF"/>
          <w:sz w:val="22"/>
          <w:szCs w:val="22"/>
          <w:lang w:val="en-CA"/>
        </w:rPr>
        <w:t xml:space="preserve">2.1.1 Definitions and Notation Used in This Chapter</w:t>
      </w:r>
      <w:r>
        <w:rPr>
          <w:b/>
          <w:bCs/>
          <w:highlight w:val="none"/>
        </w:rPr>
      </w:r>
      <w:r>
        <w:rPr>
          <w:b/>
          <w:bCs/>
          <w:highlight w:val="none"/>
        </w:rPr>
      </w:r>
    </w:p>
    <w:p w14:paraId="4B1B566E">
      <w:pPr>
        <w:pStyle w:val="1114"/>
        <w:suppressLineNumbers w:val="false"/>
        <w:pBdr/>
        <w:spacing w:after="240" w:afterAutospacing="0" w:before="240" w:beforeAutospacing="0" w:line="300" w:lineRule="auto"/>
        <w:ind w:firstLine="0"/>
        <w:rPr>
          <w:b/>
          <w:bCs/>
        </w:rPr>
      </w:pPr>
      <w:r>
        <w:rPr>
          <w:b/>
          <w:bCs/>
          <w:highlight w:val="none"/>
        </w:rPr>
      </w:r>
      <w:r>
        <w:rPr>
          <w:b/>
          <w:bCs/>
        </w:rPr>
      </w:r>
      <w:r>
        <w:rPr>
          <w:b/>
          <w:bCs/>
        </w:rPr>
      </w:r>
    </w:p>
    <w:tbl>
      <w:tblPr>
        <w:tblStyle w:val="1185"/>
        <w:tblW w:w="0" w:type="auto"/>
        <w:tblBorders/>
        <w:tblLayout w:type="fixed"/>
        <w:tblLook w:val="04A0" w:firstRow="1" w:lastRow="0" w:firstColumn="1" w:lastColumn="0" w:noHBand="0" w:noVBand="1"/>
      </w:tblPr>
      <w:tblGrid>
        <w:gridCol w:w="3019"/>
        <w:gridCol w:w="5621"/>
      </w:tblGrid>
      <w:tr>
        <w:trPr/>
        <w:tc>
          <w:tcPr>
            <w:tcBorders/>
            <w:tcW w:w="3019" w:type="dxa"/>
            <w:textDirection w:val="lrTb"/>
            <w:noWrap w:val="false"/>
          </w:tcPr>
          <w:p w14:paraId="239A1987">
            <w:pPr>
              <w:pBdr/>
              <w:spacing w:after="0" w:before="0" w:line="240" w:lineRule="auto"/>
              <w:ind/>
              <w:rPr>
                <w:color w:val="000000" w:themeColor="text1"/>
              </w:rPr>
            </w:pPr>
            <w:r>
              <w:rPr>
                <w:rFonts w:ascii="Arial" w:hAnsi="Arial" w:eastAsia="Arial" w:cs="Arial"/>
                <w:b/>
                <w:color w:val="000000" w:themeColor="text1"/>
                <w:sz w:val="21"/>
              </w:rPr>
              <w:t xml:space="preserve">Term / Metric</w:t>
            </w:r>
            <w:r>
              <w:rPr>
                <w:color w:val="000000" w:themeColor="text1"/>
              </w:rPr>
            </w:r>
            <w:r>
              <w:rPr>
                <w:color w:val="000000" w:themeColor="text1"/>
              </w:rPr>
            </w:r>
          </w:p>
        </w:tc>
        <w:tc>
          <w:tcPr>
            <w:tcBorders/>
            <w:tcW w:w="5621" w:type="dxa"/>
            <w:textDirection w:val="lrTb"/>
            <w:noWrap w:val="false"/>
          </w:tcPr>
          <w:p w14:paraId="5AEA13C1">
            <w:pPr>
              <w:pBdr/>
              <w:spacing w:after="0" w:before="0" w:line="240" w:lineRule="auto"/>
              <w:ind/>
              <w:rPr>
                <w:color w:val="000000" w:themeColor="text1"/>
              </w:rPr>
            </w:pPr>
            <w:r>
              <w:rPr>
                <w:rFonts w:ascii="Arial" w:hAnsi="Arial" w:eastAsia="Arial" w:cs="Arial"/>
                <w:b/>
                <w:color w:val="000000" w:themeColor="text1"/>
                <w:sz w:val="21"/>
              </w:rPr>
              <w:t xml:space="preserve">Working meaning in this dissertation</w:t>
            </w:r>
            <w:r>
              <w:rPr>
                <w:color w:val="000000" w:themeColor="text1"/>
              </w:rPr>
            </w:r>
            <w:r>
              <w:rPr>
                <w:color w:val="000000" w:themeColor="text1"/>
              </w:rPr>
            </w:r>
          </w:p>
        </w:tc>
      </w:tr>
      <w:tr>
        <w:trPr/>
        <w:tc>
          <w:tcPr>
            <w:tcBorders/>
            <w:tcW w:w="3019" w:type="dxa"/>
            <w:textDirection w:val="lrTb"/>
            <w:noWrap w:val="false"/>
          </w:tcPr>
          <w:p w14:paraId="33B75DC2">
            <w:pPr>
              <w:pBdr/>
              <w:spacing w:after="0" w:before="0" w:line="240" w:lineRule="auto"/>
              <w:ind/>
              <w:rPr>
                <w:color w:val="000000" w:themeColor="text1"/>
              </w:rPr>
            </w:pPr>
            <w:r>
              <w:rPr>
                <w:rFonts w:ascii="Arial" w:hAnsi="Arial" w:eastAsia="Arial" w:cs="Arial"/>
                <w:color w:val="000000" w:themeColor="text1"/>
                <w:sz w:val="21"/>
              </w:rPr>
              <w:t xml:space="preserve">MedVQA</w:t>
            </w:r>
            <w:r>
              <w:rPr>
                <w:color w:val="000000" w:themeColor="text1"/>
              </w:rPr>
            </w:r>
            <w:r>
              <w:rPr>
                <w:color w:val="000000" w:themeColor="text1"/>
              </w:rPr>
            </w:r>
          </w:p>
        </w:tc>
        <w:tc>
          <w:tcPr>
            <w:tcBorders/>
            <w:tcW w:w="5621" w:type="dxa"/>
            <w:textDirection w:val="lrTb"/>
            <w:noWrap w:val="false"/>
          </w:tcPr>
          <w:p w14:paraId="71E27EAB">
            <w:pPr>
              <w:pBdr/>
              <w:spacing w:after="0" w:before="0" w:line="240" w:lineRule="auto"/>
              <w:ind/>
              <w:rPr>
                <w:color w:val="000000" w:themeColor="text1"/>
              </w:rPr>
            </w:pPr>
            <w:r>
              <w:rPr>
                <w:rFonts w:ascii="Arial" w:hAnsi="Arial" w:eastAsia="Arial" w:cs="Arial"/>
                <w:color w:val="000000" w:themeColor="text1"/>
                <w:sz w:val="21"/>
              </w:rPr>
              <w:t xml:space="preserve">Image-question-answer modeling in medical domains</w:t>
            </w:r>
            <w:r>
              <w:rPr>
                <w:color w:val="000000" w:themeColor="text1"/>
              </w:rPr>
            </w:r>
            <w:r>
              <w:rPr>
                <w:color w:val="000000" w:themeColor="text1"/>
              </w:rPr>
            </w:r>
          </w:p>
        </w:tc>
      </w:tr>
      <w:tr>
        <w:trPr/>
        <w:tc>
          <w:tcPr>
            <w:tcBorders/>
            <w:tcW w:w="3019" w:type="dxa"/>
            <w:textDirection w:val="lrTb"/>
            <w:noWrap w:val="false"/>
          </w:tcPr>
          <w:p w14:paraId="6C00B012">
            <w:pPr>
              <w:pBdr/>
              <w:spacing w:after="0" w:before="0" w:line="240" w:lineRule="auto"/>
              <w:ind/>
              <w:rPr>
                <w:color w:val="000000" w:themeColor="text1"/>
              </w:rPr>
            </w:pPr>
            <w:r>
              <w:rPr>
                <w:rFonts w:ascii="Arial" w:hAnsi="Arial" w:eastAsia="Arial" w:cs="Arial"/>
                <w:color w:val="000000" w:themeColor="text1"/>
                <w:sz w:val="21"/>
              </w:rPr>
              <w:t xml:space="preserve">Clinical MedVQA</w:t>
            </w:r>
            <w:r>
              <w:rPr>
                <w:color w:val="000000" w:themeColor="text1"/>
              </w:rPr>
            </w:r>
            <w:r>
              <w:rPr>
                <w:color w:val="000000" w:themeColor="text1"/>
              </w:rPr>
            </w:r>
          </w:p>
        </w:tc>
        <w:tc>
          <w:tcPr>
            <w:tcBorders/>
            <w:tcW w:w="5621" w:type="dxa"/>
            <w:textDirection w:val="lrTb"/>
            <w:noWrap w:val="false"/>
          </w:tcPr>
          <w:p w14:paraId="7CD6874D">
            <w:pPr>
              <w:pBdr/>
              <w:spacing w:after="0" w:before="0" w:line="240" w:lineRule="auto"/>
              <w:ind/>
              <w:rPr>
                <w:color w:val="000000" w:themeColor="text1"/>
              </w:rPr>
            </w:pPr>
            <w:r>
              <w:rPr>
                <w:rFonts w:ascii="Arial" w:hAnsi="Arial" w:eastAsia="Arial" w:cs="Arial"/>
                <w:color w:val="000000" w:themeColor="text1"/>
                <w:sz w:val="21"/>
              </w:rPr>
              <w:t xml:space="preserve">MedVQA configured for decision support with safety constraints</w:t>
            </w:r>
            <w:r>
              <w:rPr>
                <w:color w:val="000000" w:themeColor="text1"/>
              </w:rPr>
            </w:r>
            <w:r>
              <w:rPr>
                <w:color w:val="000000" w:themeColor="text1"/>
              </w:rPr>
            </w:r>
          </w:p>
        </w:tc>
      </w:tr>
      <w:tr>
        <w:trPr/>
        <w:tc>
          <w:tcPr>
            <w:tcBorders/>
            <w:tcW w:w="3019" w:type="dxa"/>
            <w:textDirection w:val="lrTb"/>
            <w:noWrap w:val="false"/>
          </w:tcPr>
          <w:p w14:paraId="13CDC2AE">
            <w:pPr>
              <w:pBdr/>
              <w:spacing w:after="0" w:before="0" w:line="240" w:lineRule="auto"/>
              <w:ind/>
              <w:rPr>
                <w:color w:val="000000" w:themeColor="text1"/>
              </w:rPr>
            </w:pPr>
            <w:r>
              <w:rPr>
                <w:rFonts w:ascii="Arial" w:hAnsi="Arial" w:eastAsia="Arial" w:cs="Arial"/>
                <w:color w:val="000000" w:themeColor="text1"/>
                <w:sz w:val="21"/>
              </w:rPr>
              <w:t xml:space="preserve">VLM / MLLM</w:t>
            </w:r>
            <w:r>
              <w:rPr>
                <w:color w:val="000000" w:themeColor="text1"/>
              </w:rPr>
            </w:r>
            <w:r>
              <w:rPr>
                <w:color w:val="000000" w:themeColor="text1"/>
              </w:rPr>
            </w:r>
          </w:p>
        </w:tc>
        <w:tc>
          <w:tcPr>
            <w:tcBorders/>
            <w:tcW w:w="5621" w:type="dxa"/>
            <w:textDirection w:val="lrTb"/>
            <w:noWrap w:val="false"/>
          </w:tcPr>
          <w:p w14:paraId="34F4C90A">
            <w:pPr>
              <w:pBdr/>
              <w:spacing w:after="0" w:before="0" w:line="240" w:lineRule="auto"/>
              <w:ind/>
              <w:rPr>
                <w:color w:val="000000" w:themeColor="text1"/>
              </w:rPr>
            </w:pPr>
            <w:r>
              <w:rPr>
                <w:rFonts w:ascii="Arial" w:hAnsi="Arial" w:eastAsia="Arial" w:cs="Arial"/>
                <w:color w:val="000000" w:themeColor="text1"/>
                <w:sz w:val="21"/>
              </w:rPr>
              <w:t xml:space="preserve">Vision-language model / multimodal large language model</w:t>
            </w:r>
            <w:r>
              <w:rPr>
                <w:color w:val="000000" w:themeColor="text1"/>
              </w:rPr>
            </w:r>
            <w:r>
              <w:rPr>
                <w:color w:val="000000" w:themeColor="text1"/>
              </w:rPr>
            </w:r>
          </w:p>
        </w:tc>
      </w:tr>
      <w:tr>
        <w:trPr/>
        <w:tc>
          <w:tcPr>
            <w:tcBorders/>
            <w:tcW w:w="3019" w:type="dxa"/>
            <w:textDirection w:val="lrTb"/>
            <w:noWrap w:val="false"/>
          </w:tcPr>
          <w:p w14:paraId="2094C29D">
            <w:pPr>
              <w:pBdr/>
              <w:spacing w:after="0" w:before="0" w:line="240" w:lineRule="auto"/>
              <w:ind/>
              <w:rPr>
                <w:color w:val="000000" w:themeColor="text1"/>
              </w:rPr>
            </w:pPr>
            <w:r>
              <w:rPr>
                <w:rFonts w:ascii="Arial" w:hAnsi="Arial" w:eastAsia="Arial" w:cs="Arial"/>
                <w:color w:val="000000" w:themeColor="text1"/>
                <w:sz w:val="21"/>
              </w:rPr>
              <w:t xml:space="preserve">MES / UCEIS / BBPS</w:t>
            </w:r>
            <w:r>
              <w:rPr>
                <w:color w:val="000000" w:themeColor="text1"/>
              </w:rPr>
            </w:r>
            <w:r>
              <w:rPr>
                <w:color w:val="000000" w:themeColor="text1"/>
              </w:rPr>
            </w:r>
          </w:p>
        </w:tc>
        <w:tc>
          <w:tcPr>
            <w:tcBorders/>
            <w:tcW w:w="5621" w:type="dxa"/>
            <w:textDirection w:val="lrTb"/>
            <w:noWrap w:val="false"/>
          </w:tcPr>
          <w:p w14:paraId="426ADAE9">
            <w:pPr>
              <w:pBdr/>
              <w:spacing w:after="0" w:before="0" w:line="240" w:lineRule="auto"/>
              <w:ind/>
              <w:rPr>
                <w:color w:val="000000" w:themeColor="text1"/>
              </w:rPr>
            </w:pPr>
            <w:r>
              <w:rPr>
                <w:rFonts w:ascii="Arial" w:hAnsi="Arial" w:eastAsia="Arial" w:cs="Arial"/>
                <w:color w:val="000000" w:themeColor="text1"/>
                <w:sz w:val="21"/>
              </w:rPr>
              <w:t xml:space="preserve">Mayo Endoscopic Subscore / Ulcerative Colitis Endoscopic Index of Severity / Boston Bowel Preparation Scale</w:t>
            </w:r>
            <w:r>
              <w:rPr>
                <w:color w:val="000000" w:themeColor="text1"/>
              </w:rPr>
            </w:r>
            <w:r>
              <w:rPr>
                <w:color w:val="000000" w:themeColor="text1"/>
              </w:rPr>
            </w:r>
          </w:p>
        </w:tc>
      </w:tr>
      <w:tr>
        <w:trPr/>
        <w:tc>
          <w:tcPr>
            <w:tcBorders/>
            <w:tcW w:w="3019" w:type="dxa"/>
            <w:textDirection w:val="lrTb"/>
            <w:noWrap w:val="false"/>
          </w:tcPr>
          <w:p w14:paraId="36F84E36">
            <w:pPr>
              <w:pBdr/>
              <w:spacing w:after="0" w:before="0" w:line="240" w:lineRule="auto"/>
              <w:ind/>
              <w:rPr>
                <w:color w:val="000000" w:themeColor="text1"/>
              </w:rPr>
            </w:pPr>
            <w:r>
              <w:rPr>
                <w:rFonts w:ascii="Arial" w:hAnsi="Arial" w:eastAsia="Arial" w:cs="Arial"/>
                <w:color w:val="000000" w:themeColor="text1"/>
                <w:sz w:val="21"/>
              </w:rPr>
              <w:t xml:space="preserve">EM / macro-F1</w:t>
            </w:r>
            <w:r>
              <w:rPr>
                <w:color w:val="000000" w:themeColor="text1"/>
              </w:rPr>
            </w:r>
            <w:r>
              <w:rPr>
                <w:color w:val="000000" w:themeColor="text1"/>
              </w:rPr>
            </w:r>
          </w:p>
        </w:tc>
        <w:tc>
          <w:tcPr>
            <w:tcBorders/>
            <w:tcW w:w="5621" w:type="dxa"/>
            <w:textDirection w:val="lrTb"/>
            <w:noWrap w:val="false"/>
          </w:tcPr>
          <w:p w14:paraId="397DDA88">
            <w:pPr>
              <w:pBdr/>
              <w:spacing w:after="0" w:before="0" w:line="240" w:lineRule="auto"/>
              <w:ind/>
              <w:rPr>
                <w:color w:val="000000" w:themeColor="text1"/>
              </w:rPr>
            </w:pPr>
            <w:r>
              <w:rPr>
                <w:rFonts w:ascii="Arial" w:hAnsi="Arial" w:eastAsia="Arial" w:cs="Arial"/>
                <w:color w:val="000000" w:themeColor="text1"/>
                <w:sz w:val="21"/>
              </w:rPr>
              <w:t xml:space="preserve">Exact match (string-level) / class-balanced F1 across labels</w:t>
            </w:r>
            <w:r>
              <w:rPr>
                <w:color w:val="000000" w:themeColor="text1"/>
              </w:rPr>
            </w:r>
            <w:r>
              <w:rPr>
                <w:color w:val="000000" w:themeColor="text1"/>
              </w:rPr>
            </w:r>
          </w:p>
        </w:tc>
      </w:tr>
      <w:tr>
        <w:trPr/>
        <w:tc>
          <w:tcPr>
            <w:tcBorders/>
            <w:tcW w:w="3019" w:type="dxa"/>
            <w:textDirection w:val="lrTb"/>
            <w:noWrap w:val="false"/>
          </w:tcPr>
          <w:p w14:paraId="0661A908">
            <w:pPr>
              <w:pBdr/>
              <w:spacing w:after="0" w:before="0" w:line="240" w:lineRule="auto"/>
              <w:ind/>
              <w:rPr>
                <w:color w:val="000000" w:themeColor="text1"/>
              </w:rPr>
            </w:pPr>
            <w:r>
              <w:rPr>
                <w:rFonts w:ascii="Arial" w:hAnsi="Arial" w:eastAsia="Arial" w:cs="Arial"/>
                <w:color w:val="000000" w:themeColor="text1"/>
                <w:sz w:val="21"/>
              </w:rPr>
              <w:t xml:space="preserve">QWK</w:t>
            </w:r>
            <w:r>
              <w:rPr>
                <w:color w:val="000000" w:themeColor="text1"/>
              </w:rPr>
            </w:r>
            <w:r>
              <w:rPr>
                <w:color w:val="000000" w:themeColor="text1"/>
              </w:rPr>
            </w:r>
          </w:p>
        </w:tc>
        <w:tc>
          <w:tcPr>
            <w:tcBorders/>
            <w:tcW w:w="5621" w:type="dxa"/>
            <w:textDirection w:val="lrTb"/>
            <w:noWrap w:val="false"/>
          </w:tcPr>
          <w:p w14:paraId="6B590178">
            <w:pPr>
              <w:pBdr/>
              <w:spacing w:after="0" w:before="0" w:line="240" w:lineRule="auto"/>
              <w:ind/>
              <w:rPr>
                <w:color w:val="000000" w:themeColor="text1"/>
              </w:rPr>
            </w:pPr>
            <w:r>
              <w:rPr>
                <w:rFonts w:ascii="Arial" w:hAnsi="Arial" w:eastAsia="Arial" w:cs="Arial"/>
                <w:color w:val="000000" w:themeColor="text1"/>
                <w:sz w:val="21"/>
              </w:rPr>
              <w:t xml:space="preserve">Quadratic weighted kappa for ordinal agreement (used in severity tasks)</w:t>
            </w:r>
            <w:r>
              <w:rPr>
                <w:color w:val="000000" w:themeColor="text1"/>
              </w:rPr>
            </w:r>
            <w:r>
              <w:rPr>
                <w:color w:val="000000" w:themeColor="text1"/>
              </w:rPr>
            </w:r>
          </w:p>
        </w:tc>
      </w:tr>
      <w:tr>
        <w:trPr/>
        <w:tc>
          <w:tcPr>
            <w:tcBorders/>
            <w:tcW w:w="3019" w:type="dxa"/>
            <w:textDirection w:val="lrTb"/>
            <w:noWrap w:val="false"/>
          </w:tcPr>
          <w:p w14:paraId="17F6508E">
            <w:pPr>
              <w:pBdr/>
              <w:spacing w:after="0" w:before="0" w:line="240" w:lineRule="auto"/>
              <w:ind/>
              <w:rPr>
                <w:color w:val="000000" w:themeColor="text1"/>
              </w:rPr>
            </w:pPr>
            <w:r>
              <w:rPr>
                <w:rFonts w:ascii="Arial" w:hAnsi="Arial" w:eastAsia="Arial" w:cs="Arial"/>
                <w:color w:val="000000" w:themeColor="text1"/>
                <w:sz w:val="21"/>
              </w:rPr>
              <w:t xml:space="preserve">ECE</w:t>
            </w:r>
            <w:r>
              <w:rPr>
                <w:color w:val="000000" w:themeColor="text1"/>
              </w:rPr>
            </w:r>
            <w:r>
              <w:rPr>
                <w:color w:val="000000" w:themeColor="text1"/>
              </w:rPr>
            </w:r>
          </w:p>
        </w:tc>
        <w:tc>
          <w:tcPr>
            <w:tcBorders/>
            <w:tcW w:w="5621" w:type="dxa"/>
            <w:textDirection w:val="lrTb"/>
            <w:noWrap w:val="false"/>
          </w:tcPr>
          <w:p w14:paraId="40FCB57F">
            <w:pPr>
              <w:pBdr/>
              <w:spacing w:after="0" w:before="0" w:line="240" w:lineRule="auto"/>
              <w:ind/>
              <w:rPr>
                <w:color w:val="000000" w:themeColor="text1"/>
              </w:rPr>
            </w:pPr>
            <w:r>
              <w:rPr>
                <w:rFonts w:ascii="Arial" w:hAnsi="Arial" w:eastAsia="Arial" w:cs="Arial"/>
                <w:color w:val="000000" w:themeColor="text1"/>
                <w:sz w:val="21"/>
              </w:rPr>
              <w:t xml:space="preserve">Expected calibration error for probability-confidence alignment</w:t>
            </w:r>
            <w:r>
              <w:rPr>
                <w:color w:val="000000" w:themeColor="text1"/>
              </w:rPr>
            </w:r>
            <w:r>
              <w:rPr>
                <w:color w:val="000000" w:themeColor="text1"/>
              </w:rPr>
            </w:r>
          </w:p>
        </w:tc>
      </w:tr>
    </w:tbl>
    <w:p w14:paraId="1C62A8FD">
      <w:pPr>
        <w:pStyle w:val="1114"/>
        <w:suppressLineNumbers w:val="false"/>
        <w:pBdr/>
        <w:spacing w:after="240" w:afterAutospacing="0" w:before="240" w:beforeAutospacing="0" w:line="300" w:lineRule="auto"/>
        <w:ind w:firstLine="720" w:left="720"/>
        <w:rPr>
          <w:rFonts w:ascii="Arial" w:hAnsi="Arial" w:eastAsia="Arial" w:cs="Arial"/>
          <w:b w:val="0"/>
          <w:bCs w:val="0"/>
          <w:i w:val="0"/>
          <w:iCs w:val="0"/>
          <w:caps w:val="0"/>
          <w:smallCaps w:val="0"/>
          <w:color w:val="000000" w:themeColor="text1" w:themeTint="FF" w:themeShade="FF"/>
          <w:sz w:val="22"/>
          <w:szCs w:val="22"/>
          <w:highlight w:val="none"/>
          <w:lang w:val="en-CA"/>
        </w:rPr>
      </w:pPr>
      <w:r>
        <w:rPr>
          <w:rFonts w:ascii="Arial" w:hAnsi="Arial" w:eastAsia="Arial" w:cs="Arial"/>
          <w:b w:val="0"/>
          <w:bCs w:val="0"/>
          <w:i w:val="0"/>
          <w:iCs w:val="0"/>
          <w:caps w:val="0"/>
          <w:smallCaps w:val="0"/>
          <w:color w:val="000000" w:themeColor="text1" w:themeTint="FF" w:themeShade="FF"/>
          <w:sz w:val="22"/>
          <w:szCs w:val="22"/>
          <w:lang w:val="en-CA"/>
        </w:rPr>
        <w:t xml:space="preserve">Table 2.1. Working Definitions and Metric Notation</w:t>
      </w:r>
      <w:r>
        <w:rPr>
          <w:rFonts w:ascii="Arial" w:hAnsi="Arial" w:eastAsia="Arial" w:cs="Arial"/>
          <w:b w:val="0"/>
          <w:bCs w:val="0"/>
          <w:i w:val="0"/>
          <w:iCs w:val="0"/>
          <w:caps w:val="0"/>
          <w:smallCaps w:val="0"/>
          <w:color w:val="000000" w:themeColor="text1" w:themeTint="FF" w:themeShade="FF"/>
          <w:sz w:val="22"/>
          <w:szCs w:val="22"/>
          <w:highlight w:val="none"/>
          <w:lang w:val="en-CA"/>
        </w:rPr>
      </w:r>
      <w:r>
        <w:rPr>
          <w:rFonts w:ascii="Arial" w:hAnsi="Arial" w:eastAsia="Arial" w:cs="Arial"/>
          <w:b w:val="0"/>
          <w:bCs w:val="0"/>
          <w:i w:val="0"/>
          <w:iCs w:val="0"/>
          <w:caps w:val="0"/>
          <w:smallCaps w:val="0"/>
          <w:color w:val="000000" w:themeColor="text1" w:themeTint="FF" w:themeShade="FF"/>
          <w:sz w:val="22"/>
          <w:szCs w:val="22"/>
          <w:highlight w:val="none"/>
          <w:lang w:val="en-CA"/>
        </w:rPr>
      </w:r>
    </w:p>
    <w:p w14:paraId="24B4204A">
      <w:pPr>
        <w:pStyle w:val="1114"/>
        <w:suppressLineNumbers w:val="false"/>
        <w:pBdr/>
        <w:spacing w:after="240" w:afterAutospacing="0" w:before="240" w:beforeAutospacing="0" w:line="300" w:lineRule="auto"/>
        <w:ind w:firstLine="0"/>
        <w:rPr>
          <w:b/>
          <w:bCs/>
          <w:sz w:val="28"/>
          <w:szCs w:val="28"/>
        </w:rPr>
      </w:pPr>
      <w:r>
        <w:rPr>
          <w:rFonts w:ascii="Arial" w:hAnsi="Arial" w:eastAsia="Arial" w:cs="Arial"/>
          <w:b/>
          <w:bCs/>
          <w:i w:val="0"/>
          <w:iCs w:val="0"/>
          <w:caps w:val="0"/>
          <w:smallCaps w:val="0"/>
          <w:color w:val="000000" w:themeColor="text1" w:themeTint="FF" w:themeShade="FF"/>
          <w:sz w:val="28"/>
          <w:szCs w:val="28"/>
          <w:highlight w:val="none"/>
          <w:lang w:val="en-CA"/>
        </w:rPr>
        <w:t xml:space="preserve">2.2 Scoping Review Design</w:t>
      </w:r>
      <w:r>
        <w:rPr>
          <w:b/>
          <w:bCs/>
          <w:sz w:val="28"/>
          <w:szCs w:val="28"/>
        </w:rPr>
      </w:r>
      <w:r>
        <w:rPr>
          <w:b/>
          <w:bCs/>
          <w:sz w:val="28"/>
          <w:szCs w:val="28"/>
        </w:rPr>
      </w:r>
    </w:p>
    <w:p w14:paraId="16EA44E6">
      <w:pPr>
        <w:pStyle w:val="1114"/>
        <w:suppressLineNumbers w:val="false"/>
        <w:pBdr/>
        <w:spacing w:after="240" w:afterAutospacing="0" w:before="240" w:beforeAutospacing="0" w:line="300" w:lineRule="auto"/>
        <w:ind w:firstLine="0"/>
        <w:rPr>
          <w:b/>
          <w:bCs/>
        </w:rPr>
      </w:pPr>
      <w:r>
        <w:rPr>
          <w:rFonts w:ascii="Arial" w:hAnsi="Arial" w:eastAsia="Arial" w:cs="Arial"/>
          <w:b/>
          <w:bCs/>
          <w:i w:val="0"/>
          <w:iCs w:val="0"/>
          <w:caps w:val="0"/>
          <w:smallCaps w:val="0"/>
          <w:color w:val="000000" w:themeColor="text1" w:themeTint="FF" w:themeShade="FF"/>
          <w:sz w:val="22"/>
          <w:szCs w:val="22"/>
          <w:highlight w:val="none"/>
          <w:lang w:val="en-CA"/>
        </w:rPr>
        <w:t xml:space="preserve">2.2.1 Review Objective</w:t>
      </w:r>
      <w:r>
        <w:rPr>
          <w:b/>
          <w:bCs/>
        </w:rPr>
      </w:r>
      <w:r>
        <w:rPr>
          <w:b/>
          <w:bCs/>
        </w:rPr>
      </w:r>
    </w:p>
    <w:p w14:paraId="3C69D71C">
      <w:pPr>
        <w:pStyle w:val="1114"/>
        <w:suppressLineNumbers w:val="false"/>
        <w:pBdr/>
        <w:spacing w:after="240" w:afterAutospacing="0" w:before="240" w:beforeAutospacing="0" w:line="300" w:lineRule="auto"/>
        <w:ind w:firstLine="0"/>
        <w:rPr/>
      </w:pP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T</w:t>
      </w: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his chapter follows a structured scoping-review approach rather than a strict systematic-review protocol. The objective is methodological coverage and decision support for thesis design, not exhaustive bibliometric counting. Sources were selected to cover:</w:t>
      </w:r>
      <w:r>
        <w:rPr>
          <w:rFonts w:ascii="Arial" w:hAnsi="Arial" w:eastAsia="Arial" w:cs="Arial"/>
          <w:b w:val="0"/>
          <w:bCs w:val="0"/>
          <w:i w:val="0"/>
          <w:iCs w:val="0"/>
          <w:caps w:val="0"/>
          <w:smallCaps w:val="0"/>
          <w:color w:val="000000" w:themeColor="text1" w:themeTint="FF" w:themeShade="FF"/>
          <w:sz w:val="22"/>
          <w:szCs w:val="22"/>
          <w:highlight w:val="none"/>
          <w:lang w:val="en-CA"/>
        </w:rPr>
      </w:r>
      <w:r/>
    </w:p>
    <w:p w14:paraId="030F7C69">
      <w:pPr>
        <w:pStyle w:val="1114"/>
        <w:numPr>
          <w:ilvl w:val="0"/>
          <w:numId w:val="23"/>
        </w:numPr>
        <w:suppressLineNumbers w:val="false"/>
        <w:pBdr/>
        <w:spacing w:after="240" w:afterAutospacing="0" w:before="240" w:beforeAutospacing="0" w:line="120" w:lineRule="auto"/>
        <w:ind/>
        <w:rPr/>
      </w:pP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foundational MedVQA datasets and methods,</w:t>
      </w:r>
      <w:r/>
    </w:p>
    <w:p w14:paraId="49DEFB82">
      <w:pPr>
        <w:pStyle w:val="1114"/>
        <w:numPr>
          <w:ilvl w:val="0"/>
          <w:numId w:val="23"/>
        </w:numPr>
        <w:suppressLineNumbers w:val="false"/>
        <w:pBdr/>
        <w:spacing w:after="240" w:afterAutospacing="0" w:before="240" w:beforeAutospacing="0" w:line="120" w:lineRule="auto"/>
        <w:ind/>
        <w:rPr/>
      </w:pP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modern multimodal large model directions,</w:t>
      </w:r>
      <w:r/>
    </w:p>
    <w:p w14:paraId="00BEE294">
      <w:pPr>
        <w:pStyle w:val="1114"/>
        <w:numPr>
          <w:ilvl w:val="0"/>
          <w:numId w:val="23"/>
        </w:numPr>
        <w:suppressLineNumbers w:val="false"/>
        <w:pBdr/>
        <w:spacing w:after="240" w:afterAutospacing="0" w:before="240" w:beforeAutospacing="0" w:line="120" w:lineRule="auto"/>
        <w:ind/>
        <w:rPr/>
      </w:pP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GI-specific benchmark and challenge resources,</w:t>
      </w:r>
      <w:r/>
    </w:p>
    <w:p w14:paraId="0F144D8C">
      <w:pPr>
        <w:pStyle w:val="1114"/>
        <w:numPr>
          <w:ilvl w:val="0"/>
          <w:numId w:val="23"/>
        </w:numPr>
        <w:suppressLineNumbers w:val="false"/>
        <w:pBdr/>
        <w:spacing w:after="240" w:afterAutospacing="0" w:before="240" w:beforeAutospacing="0" w:line="120" w:lineRule="auto"/>
        <w:ind/>
        <w:rPr/>
      </w:pP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explainability and retrieval-grounding directions,</w:t>
      </w:r>
      <w:r/>
    </w:p>
    <w:p w14:paraId="6375AAD9">
      <w:pPr>
        <w:pStyle w:val="1114"/>
        <w:numPr>
          <w:ilvl w:val="0"/>
          <w:numId w:val="23"/>
        </w:numPr>
        <w:suppressLineNumbers w:val="false"/>
        <w:pBdr/>
        <w:spacing w:after="240" w:afterAutospacing="0" w:before="240" w:beforeAutospacing="0" w:line="120" w:lineRule="auto"/>
        <w:ind/>
        <w:rPr/>
      </w:pP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and evaluation methodology relevant to clinical deployment.</w:t>
      </w:r>
      <w:r>
        <w:rPr>
          <w:rFonts w:ascii="Arial" w:hAnsi="Arial" w:eastAsia="Arial" w:cs="Arial"/>
          <w:b w:val="0"/>
          <w:bCs w:val="0"/>
          <w:i w:val="0"/>
          <w:caps w:val="0"/>
          <w:smallCaps w:val="0"/>
          <w:color w:val="000000" w:themeColor="text1" w:themeTint="FF" w:themeShade="FF"/>
          <w:sz w:val="22"/>
          <w:szCs w:val="22"/>
          <w:highlight w:val="none"/>
        </w:rPr>
      </w:r>
      <w:r/>
    </w:p>
    <w:p w14:paraId="4998894B">
      <w:pPr>
        <w:pStyle w:val="1114"/>
        <w:suppressLineNumbers w:val="false"/>
        <w:pBdr/>
        <w:spacing w:after="240" w:afterAutospacing="0" w:before="240" w:beforeAutospacing="0" w:line="300" w:lineRule="auto"/>
        <w:ind w:firstLine="0"/>
        <w:rPr>
          <w:b/>
          <w:bCs/>
        </w:rPr>
      </w:pPr>
      <w:r>
        <w:rPr>
          <w:rFonts w:ascii="Arial" w:hAnsi="Arial" w:eastAsia="Arial" w:cs="Arial"/>
          <w:b/>
          <w:bCs/>
          <w:i w:val="0"/>
          <w:iCs w:val="0"/>
          <w:caps w:val="0"/>
          <w:smallCaps w:val="0"/>
          <w:color w:val="000000" w:themeColor="text1" w:themeTint="FF" w:themeShade="FF"/>
          <w:sz w:val="22"/>
          <w:szCs w:val="22"/>
          <w:highlight w:val="none"/>
          <w:lang w:val="en-CA"/>
        </w:rPr>
        <w:t xml:space="preserve">2.2.2 </w:t>
      </w:r>
      <w:r>
        <w:rPr>
          <w:rFonts w:ascii="Arial" w:hAnsi="Arial" w:eastAsia="Arial" w:cs="Arial"/>
          <w:b/>
          <w:bCs/>
          <w:i w:val="0"/>
          <w:iCs w:val="0"/>
          <w:caps w:val="0"/>
          <w:smallCaps w:val="0"/>
          <w:color w:val="000000" w:themeColor="text1" w:themeTint="FF" w:themeShade="FF"/>
          <w:sz w:val="22"/>
          <w:szCs w:val="22"/>
          <w:highlight w:val="none"/>
          <w:lang w:val="en-CA"/>
        </w:rPr>
        <w:t xml:space="preserve">Search </w:t>
      </w:r>
      <w:r>
        <w:rPr>
          <w:rFonts w:ascii="Arial" w:hAnsi="Arial" w:eastAsia="Arial" w:cs="Arial"/>
          <w:b/>
          <w:bCs/>
          <w:i w:val="0"/>
          <w:iCs w:val="0"/>
          <w:caps w:val="0"/>
          <w:smallCaps w:val="0"/>
          <w:color w:val="000000" w:themeColor="text1" w:themeTint="FF" w:themeShade="FF"/>
          <w:sz w:val="22"/>
          <w:szCs w:val="22"/>
          <w:highlight w:val="none"/>
          <w:lang w:val="en-CA"/>
        </w:rPr>
        <w:t xml:space="preserve">Window and Source Types</w:t>
      </w:r>
      <w:r>
        <w:rPr>
          <w:b/>
          <w:bCs/>
        </w:rPr>
      </w:r>
      <w:r>
        <w:rPr>
          <w:b/>
          <w:bCs/>
        </w:rPr>
      </w:r>
    </w:p>
    <w:p w14:paraId="13F34072">
      <w:pPr>
        <w:pStyle w:val="1114"/>
        <w:suppressLineNumbers w:val="false"/>
        <w:pBdr/>
        <w:spacing w:after="240" w:afterAutospacing="0" w:before="240" w:beforeAutospacing="0" w:line="300" w:lineRule="auto"/>
        <w:ind w:firstLine="0"/>
        <w:rPr/>
      </w:pP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The search window for this chapter is 2018 to </w:t>
      </w:r>
      <w:r>
        <w:rPr>
          <w:rFonts w:ascii="Arial" w:hAnsi="Arial" w:eastAsia="Arial" w:cs="Arial"/>
          <w:b w:val="0"/>
          <w:bCs w:val="0"/>
          <w:i w:val="0"/>
          <w:iCs w:val="0"/>
          <w:caps w:val="0"/>
          <w:smallCaps w:val="0"/>
          <w:color w:val="000000" w:themeColor="text1" w:themeTint="FF" w:themeShade="FF"/>
          <w:sz w:val="22"/>
          <w:szCs w:val="22"/>
          <w:highlight w:val="none"/>
          <w:lang w:val="en-US"/>
        </w:rPr>
        <w:t xml:space="preserve">early</w:t>
      </w: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 2026.</w:t>
      </w:r>
      <w:r>
        <w:rPr>
          <w:rFonts w:ascii="Arial" w:hAnsi="Arial" w:eastAsia="Arial" w:cs="Arial"/>
          <w:b w:val="0"/>
          <w:bCs w:val="0"/>
          <w:i w:val="0"/>
          <w:iCs w:val="0"/>
          <w:caps w:val="0"/>
          <w:smallCaps w:val="0"/>
          <w:color w:val="000000" w:themeColor="text1" w:themeTint="FF" w:themeShade="FF"/>
          <w:sz w:val="22"/>
          <w:szCs w:val="22"/>
          <w:highlight w:val="none"/>
          <w:lang w:val="en-CA"/>
        </w:rPr>
      </w:r>
      <w:r/>
    </w:p>
    <w:p w14:paraId="5DEE3FAC">
      <w:pPr>
        <w:pStyle w:val="1114"/>
        <w:suppressLineNumbers w:val="false"/>
        <w:pBdr/>
        <w:spacing w:after="240" w:afterAutospacing="0" w:before="240" w:beforeAutospacing="0" w:line="300" w:lineRule="auto"/>
        <w:ind w:firstLine="0"/>
        <w:rPr/>
      </w:pP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Primary source types:</w:t>
      </w:r>
      <w:r>
        <w:rPr>
          <w:rFonts w:ascii="Arial" w:hAnsi="Arial" w:eastAsia="Arial" w:cs="Arial"/>
          <w:b w:val="0"/>
          <w:bCs w:val="0"/>
          <w:i w:val="0"/>
          <w:iCs w:val="0"/>
          <w:caps w:val="0"/>
          <w:smallCaps w:val="0"/>
          <w:color w:val="000000" w:themeColor="text1" w:themeTint="FF" w:themeShade="FF"/>
          <w:sz w:val="22"/>
          <w:szCs w:val="22"/>
          <w:highlight w:val="none"/>
          <w:lang w:val="en-CA"/>
        </w:rPr>
      </w:r>
      <w:r/>
    </w:p>
    <w:p w14:paraId="37244BA8">
      <w:pPr>
        <w:pStyle w:val="1114"/>
        <w:numPr>
          <w:ilvl w:val="0"/>
          <w:numId w:val="24"/>
        </w:numPr>
        <w:suppressLineNumbers w:val="false"/>
        <w:pBdr/>
        <w:spacing w:after="240" w:afterAutospacing="0" w:before="240" w:beforeAutospacing="0" w:line="120" w:lineRule="auto"/>
        <w:ind/>
        <w:rPr/>
      </w:pP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peer-reviewed papers and data descriptors,</w:t>
      </w:r>
      <w:r/>
    </w:p>
    <w:p w14:paraId="40FAC792">
      <w:pPr>
        <w:pStyle w:val="1114"/>
        <w:numPr>
          <w:ilvl w:val="0"/>
          <w:numId w:val="24"/>
        </w:numPr>
        <w:suppressLineNumbers w:val="false"/>
        <w:pBdr/>
        <w:spacing w:after="240" w:afterAutospacing="0" w:before="240" w:beforeAutospacing="0" w:line="120" w:lineRule="auto"/>
        <w:ind/>
        <w:rPr/>
      </w:pP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official benchmark/challenge pages,</w:t>
      </w:r>
      <w:r/>
    </w:p>
    <w:p w14:paraId="79529B1D">
      <w:pPr>
        <w:pStyle w:val="1114"/>
        <w:numPr>
          <w:ilvl w:val="0"/>
          <w:numId w:val="24"/>
        </w:numPr>
        <w:suppressLineNumbers w:val="false"/>
        <w:pBdr/>
        <w:spacing w:after="240" w:afterAutospacing="0" w:before="240" w:beforeAutospacing="0" w:line="120" w:lineRule="auto"/>
        <w:ind/>
        <w:rPr/>
      </w:pP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official challenge overview papers and proceedings,</w:t>
      </w:r>
      <w:r/>
    </w:p>
    <w:p w14:paraId="653A76B9">
      <w:pPr>
        <w:pStyle w:val="1114"/>
        <w:numPr>
          <w:ilvl w:val="0"/>
          <w:numId w:val="24"/>
        </w:numPr>
        <w:suppressLineNumbers w:val="false"/>
        <w:pBdr/>
        <w:spacing w:after="240" w:afterAutospacing="0" w:before="240" w:beforeAutospacing="0" w:line="120" w:lineRule="auto"/>
        <w:ind/>
        <w:rPr/>
      </w:pP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and influential preprints where they define active benchmark directions.</w:t>
      </w:r>
      <w:r/>
    </w:p>
    <w:p w14:paraId="616E9D37">
      <w:pPr>
        <w:pStyle w:val="1114"/>
        <w:suppressLineNumbers w:val="false"/>
        <w:pBdr/>
        <w:spacing w:after="240" w:afterAutospacing="0" w:before="240" w:beforeAutospacing="0" w:line="240" w:lineRule="auto"/>
        <w:ind w:firstLine="0" w:left="0"/>
        <w:rPr>
          <w:rFonts w:ascii="Arial" w:hAnsi="Arial" w:eastAsia="Arial" w:cs="Arial"/>
          <w:b w:val="0"/>
          <w:bCs w:val="0"/>
          <w:i w:val="0"/>
          <w:caps w:val="0"/>
          <w:smallCaps w:val="0"/>
          <w:color w:val="000000" w:themeColor="text1" w:themeTint="FF" w:themeShade="FF"/>
          <w:sz w:val="22"/>
          <w:szCs w:val="22"/>
          <w:highlight w:val="none"/>
        </w:rPr>
      </w:pPr>
      <w:r>
        <w:rPr>
          <w:rFonts w:ascii="Arial" w:hAnsi="Arial" w:eastAsia="Arial" w:cs="Arial"/>
          <w:b w:val="0"/>
          <w:bCs w:val="0"/>
          <w:i w:val="0"/>
          <w:iCs w:val="0"/>
          <w:caps w:val="0"/>
          <w:smallCaps w:val="0"/>
          <w:color w:val="000000" w:themeColor="text1" w:themeTint="FF" w:themeShade="FF"/>
          <w:sz w:val="22"/>
          <w:szCs w:val="22"/>
          <w:highlight w:val="none"/>
          <w:lang w:val="en-CA"/>
        </w:rPr>
      </w:r>
      <w:r>
        <w:rPr>
          <w:rFonts w:ascii="Arial" w:hAnsi="Arial" w:eastAsia="Arial" w:cs="Arial"/>
          <w:b w:val="0"/>
          <w:bCs w:val="0"/>
          <w:i w:val="0"/>
          <w:caps w:val="0"/>
          <w:smallCaps w:val="0"/>
          <w:color w:val="000000" w:themeColor="text1" w:themeTint="FF" w:themeShade="FF"/>
          <w:sz w:val="22"/>
          <w:szCs w:val="22"/>
          <w:highlight w:val="none"/>
        </w:rPr>
      </w:r>
      <w:r>
        <w:rPr>
          <w:rFonts w:ascii="Arial" w:hAnsi="Arial" w:eastAsia="Arial" w:cs="Arial"/>
          <w:b w:val="0"/>
          <w:bCs w:val="0"/>
          <w:i w:val="0"/>
          <w:caps w:val="0"/>
          <w:smallCaps w:val="0"/>
          <w:color w:val="000000" w:themeColor="text1" w:themeTint="FF" w:themeShade="FF"/>
          <w:sz w:val="22"/>
          <w:szCs w:val="22"/>
          <w:highlight w:val="none"/>
        </w:rPr>
      </w:r>
    </w:p>
    <w:p w14:paraId="051C9532">
      <w:pPr>
        <w:pStyle w:val="1114"/>
        <w:suppressLineNumbers w:val="false"/>
        <w:pBdr/>
        <w:spacing w:after="240" w:afterAutospacing="0" w:before="240" w:beforeAutospacing="0" w:line="240" w:lineRule="auto"/>
        <w:ind w:firstLine="0" w:left="0"/>
        <w:rPr>
          <w:rFonts w:ascii="Arial" w:hAnsi="Arial" w:eastAsia="Arial" w:cs="Arial"/>
          <w:b w:val="0"/>
          <w:bCs w:val="0"/>
          <w:i w:val="0"/>
          <w:caps w:val="0"/>
          <w:smallCaps w:val="0"/>
          <w:color w:val="000000" w:themeColor="text1" w:themeTint="FF" w:themeShade="FF"/>
          <w:sz w:val="22"/>
          <w:szCs w:val="22"/>
          <w:highlight w:val="none"/>
          <w:lang w:val="en-CA"/>
        </w:rPr>
      </w:pP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Databases and discovery channels used in this scoping pass:</w:t>
      </w:r>
      <w:r>
        <w:rPr>
          <w:rFonts w:ascii="Arial" w:hAnsi="Arial" w:eastAsia="Arial" w:cs="Arial"/>
          <w:b w:val="0"/>
          <w:bCs w:val="0"/>
          <w:i w:val="0"/>
          <w:caps w:val="0"/>
          <w:smallCaps w:val="0"/>
          <w:color w:val="000000" w:themeColor="text1" w:themeTint="FF" w:themeShade="FF"/>
          <w:sz w:val="22"/>
          <w:szCs w:val="22"/>
          <w:highlight w:val="none"/>
          <w:lang w:val="en-CA"/>
        </w:rPr>
      </w:r>
      <w:r>
        <w:rPr>
          <w:rFonts w:ascii="Arial" w:hAnsi="Arial" w:eastAsia="Arial" w:cs="Arial"/>
          <w:b w:val="0"/>
          <w:bCs w:val="0"/>
          <w:i w:val="0"/>
          <w:caps w:val="0"/>
          <w:smallCaps w:val="0"/>
          <w:color w:val="000000" w:themeColor="text1" w:themeTint="FF" w:themeShade="FF"/>
          <w:sz w:val="22"/>
          <w:szCs w:val="22"/>
          <w:highlight w:val="none"/>
          <w:lang w:val="en-CA"/>
        </w:rPr>
      </w:r>
    </w:p>
    <w:p w14:paraId="558F5841">
      <w:pPr>
        <w:pStyle w:val="1114"/>
        <w:numPr>
          <w:ilvl w:val="0"/>
          <w:numId w:val="25"/>
        </w:numPr>
        <w:suppressLineNumbers w:val="false"/>
        <w:pBdr/>
        <w:spacing w:after="240" w:afterAutospacing="0" w:before="240" w:beforeAutospacing="0" w:line="120" w:lineRule="auto"/>
        <w:ind/>
        <w:rPr/>
      </w:pP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PubMed / MEDLINE</w:t>
      </w:r>
      <w:r/>
    </w:p>
    <w:p w14:paraId="2B9F481C">
      <w:pPr>
        <w:pStyle w:val="1114"/>
        <w:numPr>
          <w:ilvl w:val="0"/>
          <w:numId w:val="25"/>
        </w:numPr>
        <w:suppressLineNumbers w:val="false"/>
        <w:pBdr/>
        <w:spacing w:after="240" w:afterAutospacing="0" w:before="240" w:beforeAutospacing="0" w:line="120" w:lineRule="auto"/>
        <w:ind/>
        <w:rPr/>
      </w:pP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IEEE Xplore</w:t>
      </w:r>
      <w:r/>
    </w:p>
    <w:p w14:paraId="1D9624C7">
      <w:pPr>
        <w:pStyle w:val="1114"/>
        <w:numPr>
          <w:ilvl w:val="0"/>
          <w:numId w:val="25"/>
        </w:numPr>
        <w:suppressLineNumbers w:val="false"/>
        <w:pBdr/>
        <w:spacing w:after="240" w:afterAutospacing="0" w:before="240" w:beforeAutospacing="0" w:line="120" w:lineRule="auto"/>
        <w:ind/>
        <w:rPr/>
      </w:pP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ACL Anthology</w:t>
      </w:r>
      <w:r/>
    </w:p>
    <w:p w14:paraId="6E39AF3D">
      <w:pPr>
        <w:pStyle w:val="1114"/>
        <w:numPr>
          <w:ilvl w:val="0"/>
          <w:numId w:val="25"/>
        </w:numPr>
        <w:suppressLineNumbers w:val="false"/>
        <w:pBdr/>
        <w:spacing w:after="240" w:afterAutospacing="0" w:before="240" w:beforeAutospacing="0" w:line="120" w:lineRule="auto"/>
        <w:ind/>
        <w:rPr/>
      </w:pP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arXiv</w:t>
      </w:r>
      <w:r/>
    </w:p>
    <w:p w14:paraId="26498E32">
      <w:pPr>
        <w:pStyle w:val="1114"/>
        <w:numPr>
          <w:ilvl w:val="0"/>
          <w:numId w:val="25"/>
        </w:numPr>
        <w:suppressLineNumbers w:val="false"/>
        <w:pBdr/>
        <w:spacing w:after="240" w:afterAutospacing="0" w:before="240" w:beforeAutospacing="0" w:line="120" w:lineRule="auto"/>
        <w:ind/>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challenge portals (ImageCLEF, MediaEval) and official dataset repositories</w:t>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3314FCA1">
      <w:pPr>
        <w:pStyle w:val="1128"/>
        <w:suppressLineNumbers w:val="false"/>
        <w:pBdr/>
        <w:spacing w:after="240" w:afterAutospacing="0" w:before="240" w:beforeAutospacing="0" w:line="300" w:lineRule="auto"/>
        <w:ind w:firstLine="0"/>
        <w:rPr>
          <w:b/>
          <w:bCs/>
        </w:rPr>
      </w:pPr>
      <w:r>
        <w:rPr>
          <w:rFonts w:ascii="Arial" w:hAnsi="Arial" w:eastAsia="Arial" w:cs="Arial"/>
          <w:b/>
          <w:bCs/>
          <w:i w:val="0"/>
          <w:iCs w:val="0"/>
          <w:caps w:val="0"/>
          <w:smallCaps w:val="0"/>
          <w:color w:val="000000" w:themeColor="text1" w:themeTint="FF" w:themeShade="FF"/>
          <w:sz w:val="22"/>
          <w:szCs w:val="22"/>
          <w:lang w:val="en-CA"/>
        </w:rPr>
        <w:t xml:space="preserve">2.2.3 Query Themes</w:t>
      </w:r>
      <w:r>
        <w:rPr>
          <w:b/>
          <w:bCs/>
        </w:rPr>
      </w:r>
      <w:r>
        <w:rPr>
          <w:b/>
          <w:bCs/>
        </w:rPr>
      </w:r>
    </w:p>
    <w:tbl>
      <w:tblPr>
        <w:tblStyle w:val="1185"/>
        <w:tblW w:w="0" w:type="auto"/>
        <w:tblBorders/>
        <w:tblLook w:val="04A0" w:firstRow="1" w:lastRow="0" w:firstColumn="1" w:lastColumn="0" w:noHBand="0" w:noVBand="1"/>
      </w:tblPr>
      <w:tblGrid>
        <w:gridCol w:w="4320"/>
        <w:gridCol w:w="4320"/>
      </w:tblGrid>
      <w:tr>
        <w:trPr/>
        <w:tc>
          <w:tcPr>
            <w:tcBorders/>
            <w:tcW w:w="4320" w:type="dxa"/>
            <w:textDirection w:val="lrTb"/>
            <w:noWrap w:val="false"/>
          </w:tcPr>
          <w:p w14:paraId="77A5FCF4">
            <w:pPr>
              <w:pBdr/>
              <w:spacing w:after="0" w:before="0" w:line="240" w:lineRule="auto"/>
              <w:ind/>
              <w:rPr>
                <w:color w:val="000000" w:themeColor="text1"/>
              </w:rPr>
            </w:pPr>
            <w:r>
              <w:rPr>
                <w:rFonts w:ascii="Arial" w:hAnsi="Arial" w:eastAsia="Arial" w:cs="Arial"/>
                <w:b/>
                <w:color w:val="000000" w:themeColor="text1"/>
                <w:sz w:val="21"/>
              </w:rPr>
              <w:t xml:space="preserve">Theme</w:t>
            </w:r>
            <w:r>
              <w:rPr>
                <w:color w:val="000000" w:themeColor="text1"/>
              </w:rPr>
            </w:r>
            <w:r>
              <w:rPr>
                <w:color w:val="000000" w:themeColor="text1"/>
              </w:rPr>
            </w:r>
          </w:p>
        </w:tc>
        <w:tc>
          <w:tcPr>
            <w:tcBorders/>
            <w:tcW w:w="4320" w:type="dxa"/>
            <w:textDirection w:val="lrTb"/>
            <w:noWrap w:val="false"/>
          </w:tcPr>
          <w:p w14:paraId="2F4010FB">
            <w:pPr>
              <w:pBdr/>
              <w:spacing w:after="0" w:before="0" w:line="240" w:lineRule="auto"/>
              <w:ind/>
              <w:rPr>
                <w:color w:val="000000" w:themeColor="text1"/>
              </w:rPr>
            </w:pPr>
            <w:r>
              <w:rPr>
                <w:rFonts w:ascii="Arial" w:hAnsi="Arial" w:eastAsia="Arial" w:cs="Arial"/>
                <w:b/>
                <w:color w:val="000000" w:themeColor="text1"/>
                <w:sz w:val="21"/>
              </w:rPr>
              <w:t xml:space="preserve">Example queries</w:t>
            </w:r>
            <w:r>
              <w:rPr>
                <w:color w:val="000000" w:themeColor="text1"/>
              </w:rPr>
            </w:r>
            <w:r>
              <w:rPr>
                <w:color w:val="000000" w:themeColor="text1"/>
              </w:rPr>
            </w:r>
          </w:p>
        </w:tc>
      </w:tr>
      <w:tr>
        <w:trPr/>
        <w:tc>
          <w:tcPr>
            <w:tcBorders/>
            <w:tcW w:w="4320" w:type="dxa"/>
            <w:textDirection w:val="lrTb"/>
            <w:noWrap w:val="false"/>
          </w:tcPr>
          <w:p w14:paraId="5FD63E52">
            <w:pPr>
              <w:pBdr/>
              <w:spacing w:after="0" w:before="0" w:line="240" w:lineRule="auto"/>
              <w:ind/>
              <w:rPr>
                <w:color w:val="000000" w:themeColor="text1"/>
              </w:rPr>
            </w:pPr>
            <w:r>
              <w:rPr>
                <w:rFonts w:ascii="Arial" w:hAnsi="Arial" w:eastAsia="Arial" w:cs="Arial"/>
                <w:color w:val="000000" w:themeColor="text1"/>
                <w:sz w:val="21"/>
              </w:rPr>
              <w:t xml:space="preserve">General MedVQA foundations</w:t>
            </w:r>
            <w:r>
              <w:rPr>
                <w:color w:val="000000" w:themeColor="text1"/>
              </w:rPr>
            </w:r>
            <w:r>
              <w:rPr>
                <w:color w:val="000000" w:themeColor="text1"/>
              </w:rPr>
            </w:r>
          </w:p>
        </w:tc>
        <w:tc>
          <w:tcPr>
            <w:tcBorders/>
            <w:tcW w:w="4320" w:type="dxa"/>
            <w:textDirection w:val="lrTb"/>
            <w:noWrap w:val="false"/>
          </w:tcPr>
          <w:p w14:paraId="3B13C04C">
            <w:pPr>
              <w:pBdr/>
              <w:spacing w:after="0" w:before="0" w:line="240" w:lineRule="auto"/>
              <w:ind/>
              <w:rPr>
                <w:color w:val="000000" w:themeColor="text1"/>
              </w:rPr>
            </w:pPr>
            <w:r>
              <w:rPr>
                <w:rFonts w:ascii="Droid Sans Mono" w:hAnsi="Droid Sans Mono" w:eastAsia="Droid Sans Mono" w:cs="Droid Sans Mono"/>
                <w:color w:val="000000" w:themeColor="text1"/>
                <w:sz w:val="24"/>
                <w:highlight w:val="white"/>
              </w:rPr>
              <w:t xml:space="preserve">medical visual question answering dataset</w:t>
            </w:r>
            <w:r>
              <w:rPr>
                <w:rFonts w:ascii="Arial" w:hAnsi="Arial" w:eastAsia="Arial" w:cs="Arial"/>
                <w:color w:val="000000" w:themeColor="text1"/>
                <w:sz w:val="21"/>
              </w:rPr>
              <w:t xml:space="preserve">, </w:t>
            </w:r>
            <w:r>
              <w:rPr>
                <w:rFonts w:ascii="Droid Sans Mono" w:hAnsi="Droid Sans Mono" w:eastAsia="Droid Sans Mono" w:cs="Droid Sans Mono"/>
                <w:color w:val="000000" w:themeColor="text1"/>
                <w:sz w:val="24"/>
                <w:highlight w:val="white"/>
              </w:rPr>
              <w:t xml:space="preserve">VQA-RAD</w:t>
            </w:r>
            <w:r>
              <w:rPr>
                <w:rFonts w:ascii="Arial" w:hAnsi="Arial" w:eastAsia="Arial" w:cs="Arial"/>
                <w:color w:val="000000" w:themeColor="text1"/>
                <w:sz w:val="21"/>
              </w:rPr>
              <w:t xml:space="preserve">, </w:t>
            </w:r>
            <w:r>
              <w:rPr>
                <w:rFonts w:ascii="Droid Sans Mono" w:hAnsi="Droid Sans Mono" w:eastAsia="Droid Sans Mono" w:cs="Droid Sans Mono"/>
                <w:color w:val="000000" w:themeColor="text1"/>
                <w:sz w:val="24"/>
                <w:highlight w:val="white"/>
              </w:rPr>
              <w:t xml:space="preserve">PathVQA</w:t>
            </w:r>
            <w:r>
              <w:rPr>
                <w:rFonts w:ascii="Arial" w:hAnsi="Arial" w:eastAsia="Arial" w:cs="Arial"/>
                <w:color w:val="000000" w:themeColor="text1"/>
                <w:sz w:val="21"/>
              </w:rPr>
              <w:t xml:space="preserve">, </w:t>
            </w:r>
            <w:r>
              <w:rPr>
                <w:rFonts w:ascii="Droid Sans Mono" w:hAnsi="Droid Sans Mono" w:eastAsia="Droid Sans Mono" w:cs="Droid Sans Mono"/>
                <w:color w:val="000000" w:themeColor="text1"/>
                <w:sz w:val="24"/>
                <w:highlight w:val="white"/>
              </w:rPr>
              <w:t xml:space="preserve">SLAKE</w:t>
            </w:r>
            <w:r>
              <w:rPr>
                <w:color w:val="000000" w:themeColor="text1"/>
              </w:rPr>
            </w:r>
            <w:r>
              <w:rPr>
                <w:color w:val="000000" w:themeColor="text1"/>
              </w:rPr>
            </w:r>
          </w:p>
        </w:tc>
      </w:tr>
      <w:tr>
        <w:trPr/>
        <w:tc>
          <w:tcPr>
            <w:tcBorders/>
            <w:tcW w:w="4320" w:type="dxa"/>
            <w:textDirection w:val="lrTb"/>
            <w:noWrap w:val="false"/>
          </w:tcPr>
          <w:p w14:paraId="193BBC95">
            <w:pPr>
              <w:pBdr/>
              <w:spacing w:after="0" w:before="0" w:line="240" w:lineRule="auto"/>
              <w:ind/>
              <w:rPr>
                <w:color w:val="000000" w:themeColor="text1"/>
              </w:rPr>
            </w:pPr>
            <w:r>
              <w:rPr>
                <w:rFonts w:ascii="Arial" w:hAnsi="Arial" w:eastAsia="Arial" w:cs="Arial"/>
                <w:color w:val="000000" w:themeColor="text1"/>
                <w:sz w:val="21"/>
              </w:rPr>
              <w:t xml:space="preserve">Modern model families</w:t>
            </w:r>
            <w:r>
              <w:rPr>
                <w:color w:val="000000" w:themeColor="text1"/>
              </w:rPr>
            </w:r>
            <w:r>
              <w:rPr>
                <w:color w:val="000000" w:themeColor="text1"/>
              </w:rPr>
            </w:r>
          </w:p>
        </w:tc>
        <w:tc>
          <w:tcPr>
            <w:tcBorders/>
            <w:tcW w:w="4320" w:type="dxa"/>
            <w:textDirection w:val="lrTb"/>
            <w:noWrap w:val="false"/>
          </w:tcPr>
          <w:p w14:paraId="45192D6A">
            <w:pPr>
              <w:pBdr/>
              <w:spacing w:after="0" w:before="0" w:line="240" w:lineRule="auto"/>
              <w:ind/>
              <w:rPr>
                <w:color w:val="000000" w:themeColor="text1"/>
              </w:rPr>
            </w:pPr>
            <w:r>
              <w:rPr>
                <w:rFonts w:ascii="Droid Sans Mono" w:hAnsi="Droid Sans Mono" w:eastAsia="Droid Sans Mono" w:cs="Droid Sans Mono"/>
                <w:color w:val="000000" w:themeColor="text1"/>
                <w:sz w:val="24"/>
                <w:highlight w:val="white"/>
              </w:rPr>
              <w:t xml:space="preserve">LLaVA-Med</w:t>
            </w:r>
            <w:r>
              <w:rPr>
                <w:rFonts w:ascii="Arial" w:hAnsi="Arial" w:eastAsia="Arial" w:cs="Arial"/>
                <w:color w:val="000000" w:themeColor="text1"/>
                <w:sz w:val="21"/>
              </w:rPr>
              <w:t xml:space="preserve">, </w:t>
            </w:r>
            <w:r>
              <w:rPr>
                <w:rFonts w:ascii="Droid Sans Mono" w:hAnsi="Droid Sans Mono" w:eastAsia="Droid Sans Mono" w:cs="Droid Sans Mono"/>
                <w:color w:val="000000" w:themeColor="text1"/>
                <w:sz w:val="24"/>
                <w:highlight w:val="white"/>
              </w:rPr>
              <w:t xml:space="preserve">Med-Flamingo</w:t>
            </w:r>
            <w:r>
              <w:rPr>
                <w:rFonts w:ascii="Arial" w:hAnsi="Arial" w:eastAsia="Arial" w:cs="Arial"/>
                <w:color w:val="000000" w:themeColor="text1"/>
                <w:sz w:val="21"/>
              </w:rPr>
              <w:t xml:space="preserve">, </w:t>
            </w:r>
            <w:r>
              <w:rPr>
                <w:rFonts w:ascii="Droid Sans Mono" w:hAnsi="Droid Sans Mono" w:eastAsia="Droid Sans Mono" w:cs="Droid Sans Mono"/>
                <w:color w:val="000000" w:themeColor="text1"/>
                <w:sz w:val="24"/>
                <w:highlight w:val="white"/>
              </w:rPr>
              <w:t xml:space="preserve">BLIP-2 medical VQA</w:t>
            </w:r>
            <w:r>
              <w:rPr>
                <w:rFonts w:ascii="Arial" w:hAnsi="Arial" w:eastAsia="Arial" w:cs="Arial"/>
                <w:color w:val="000000" w:themeColor="text1"/>
                <w:sz w:val="21"/>
              </w:rPr>
              <w:t xml:space="preserve">, </w:t>
            </w:r>
            <w:r>
              <w:rPr>
                <w:rFonts w:ascii="Droid Sans Mono" w:hAnsi="Droid Sans Mono" w:eastAsia="Droid Sans Mono" w:cs="Droid Sans Mono"/>
                <w:color w:val="000000" w:themeColor="text1"/>
                <w:sz w:val="24"/>
                <w:highlight w:val="white"/>
              </w:rPr>
              <w:t xml:space="preserve">medical LVLM benchmark</w:t>
            </w:r>
            <w:r>
              <w:rPr>
                <w:color w:val="000000" w:themeColor="text1"/>
              </w:rPr>
            </w:r>
            <w:r>
              <w:rPr>
                <w:color w:val="000000" w:themeColor="text1"/>
              </w:rPr>
            </w:r>
          </w:p>
        </w:tc>
      </w:tr>
      <w:tr>
        <w:trPr/>
        <w:tc>
          <w:tcPr>
            <w:tcBorders/>
            <w:tcW w:w="4320" w:type="dxa"/>
            <w:textDirection w:val="lrTb"/>
            <w:noWrap w:val="false"/>
          </w:tcPr>
          <w:p w14:paraId="57416D4B">
            <w:pPr>
              <w:pBdr/>
              <w:spacing w:after="0" w:before="0" w:line="240" w:lineRule="auto"/>
              <w:ind/>
              <w:rPr>
                <w:color w:val="000000" w:themeColor="text1"/>
              </w:rPr>
            </w:pPr>
            <w:r>
              <w:rPr>
                <w:rFonts w:ascii="Arial" w:hAnsi="Arial" w:eastAsia="Arial" w:cs="Arial"/>
                <w:color w:val="000000" w:themeColor="text1"/>
                <w:sz w:val="21"/>
              </w:rPr>
              <w:t xml:space="preserve">GI-specific resources</w:t>
            </w:r>
            <w:r>
              <w:rPr>
                <w:color w:val="000000" w:themeColor="text1"/>
              </w:rPr>
            </w:r>
            <w:r>
              <w:rPr>
                <w:color w:val="000000" w:themeColor="text1"/>
              </w:rPr>
            </w:r>
          </w:p>
        </w:tc>
        <w:tc>
          <w:tcPr>
            <w:tcBorders/>
            <w:tcW w:w="4320" w:type="dxa"/>
            <w:textDirection w:val="lrTb"/>
            <w:noWrap w:val="false"/>
          </w:tcPr>
          <w:p w14:paraId="20F4BF18">
            <w:pPr>
              <w:pBdr/>
              <w:spacing w:after="0" w:before="0" w:line="240" w:lineRule="auto"/>
              <w:ind/>
              <w:rPr>
                <w:color w:val="000000" w:themeColor="text1"/>
              </w:rPr>
            </w:pPr>
            <w:r>
              <w:rPr>
                <w:rFonts w:ascii="Droid Sans Mono" w:hAnsi="Droid Sans Mono" w:eastAsia="Droid Sans Mono" w:cs="Droid Sans Mono"/>
                <w:color w:val="000000" w:themeColor="text1"/>
                <w:sz w:val="24"/>
                <w:highlight w:val="white"/>
              </w:rPr>
              <w:t xml:space="preserve">Kvasir-VQA</w:t>
            </w:r>
            <w:r>
              <w:rPr>
                <w:rFonts w:ascii="Arial" w:hAnsi="Arial" w:eastAsia="Arial" w:cs="Arial"/>
                <w:color w:val="000000" w:themeColor="text1"/>
                <w:sz w:val="21"/>
              </w:rPr>
              <w:t xml:space="preserve">, </w:t>
            </w:r>
            <w:r>
              <w:rPr>
                <w:rFonts w:ascii="Droid Sans Mono" w:hAnsi="Droid Sans Mono" w:eastAsia="Droid Sans Mono" w:cs="Droid Sans Mono"/>
                <w:color w:val="000000" w:themeColor="text1"/>
                <w:sz w:val="24"/>
                <w:highlight w:val="white"/>
              </w:rPr>
              <w:t xml:space="preserve">Kvasir-VQA-x1</w:t>
            </w:r>
            <w:r>
              <w:rPr>
                <w:rFonts w:ascii="Arial" w:hAnsi="Arial" w:eastAsia="Arial" w:cs="Arial"/>
                <w:color w:val="000000" w:themeColor="text1"/>
                <w:sz w:val="21"/>
              </w:rPr>
              <w:t xml:space="preserve">, </w:t>
            </w:r>
            <w:r>
              <w:rPr>
                <w:rFonts w:ascii="Droid Sans Mono" w:hAnsi="Droid Sans Mono" w:eastAsia="Droid Sans Mono" w:cs="Droid Sans Mono"/>
                <w:color w:val="000000" w:themeColor="text1"/>
                <w:sz w:val="24"/>
                <w:highlight w:val="white"/>
              </w:rPr>
              <w:t xml:space="preserve">ImageCLEF MEDVQA-GI</w:t>
            </w:r>
            <w:r>
              <w:rPr>
                <w:rFonts w:ascii="Arial" w:hAnsi="Arial" w:eastAsia="Arial" w:cs="Arial"/>
                <w:color w:val="000000" w:themeColor="text1"/>
                <w:sz w:val="21"/>
              </w:rPr>
              <w:t xml:space="preserve">, </w:t>
            </w:r>
            <w:r>
              <w:rPr>
                <w:rFonts w:ascii="Droid Sans Mono" w:hAnsi="Droid Sans Mono" w:eastAsia="Droid Sans Mono" w:cs="Droid Sans Mono"/>
                <w:color w:val="000000" w:themeColor="text1"/>
                <w:sz w:val="24"/>
                <w:highlight w:val="white"/>
              </w:rPr>
              <w:t xml:space="preserve">MediaEval Medico 2025</w:t>
            </w:r>
            <w:r>
              <w:rPr>
                <w:color w:val="000000" w:themeColor="text1"/>
              </w:rPr>
            </w:r>
            <w:r>
              <w:rPr>
                <w:color w:val="000000" w:themeColor="text1"/>
              </w:rPr>
            </w:r>
          </w:p>
        </w:tc>
      </w:tr>
      <w:tr>
        <w:trPr/>
        <w:tc>
          <w:tcPr>
            <w:tcBorders/>
            <w:tcW w:w="4320" w:type="dxa"/>
            <w:textDirection w:val="lrTb"/>
            <w:noWrap w:val="false"/>
          </w:tcPr>
          <w:p w14:paraId="1E6023FC">
            <w:pPr>
              <w:pBdr/>
              <w:spacing w:after="0" w:before="0" w:line="240" w:lineRule="auto"/>
              <w:ind/>
              <w:rPr>
                <w:color w:val="000000" w:themeColor="text1"/>
              </w:rPr>
            </w:pPr>
            <w:r>
              <w:rPr>
                <w:rFonts w:ascii="Arial" w:hAnsi="Arial" w:eastAsia="Arial" w:cs="Arial"/>
                <w:color w:val="000000" w:themeColor="text1"/>
                <w:sz w:val="21"/>
              </w:rPr>
              <w:t xml:space="preserve">Evaluation and reliability</w:t>
            </w:r>
            <w:r>
              <w:rPr>
                <w:color w:val="000000" w:themeColor="text1"/>
              </w:rPr>
            </w:r>
            <w:r>
              <w:rPr>
                <w:color w:val="000000" w:themeColor="text1"/>
              </w:rPr>
            </w:r>
          </w:p>
        </w:tc>
        <w:tc>
          <w:tcPr>
            <w:tcBorders/>
            <w:tcW w:w="4320" w:type="dxa"/>
            <w:textDirection w:val="lrTb"/>
            <w:noWrap w:val="false"/>
          </w:tcPr>
          <w:p w14:paraId="27923B9A">
            <w:pPr>
              <w:pBdr/>
              <w:spacing w:after="0" w:before="0" w:line="240" w:lineRule="auto"/>
              <w:ind/>
              <w:rPr>
                <w:color w:val="000000" w:themeColor="text1"/>
              </w:rPr>
            </w:pPr>
            <w:r>
              <w:rPr>
                <w:rFonts w:ascii="Droid Sans Mono" w:hAnsi="Droid Sans Mono" w:eastAsia="Droid Sans Mono" w:cs="Droid Sans Mono"/>
                <w:color w:val="000000" w:themeColor="text1"/>
                <w:sz w:val="24"/>
                <w:highlight w:val="white"/>
              </w:rPr>
              <w:t xml:space="preserve">medical AI evaluation metrics</w:t>
            </w:r>
            <w:r>
              <w:rPr>
                <w:rFonts w:ascii="Arial" w:hAnsi="Arial" w:eastAsia="Arial" w:cs="Arial"/>
                <w:color w:val="000000" w:themeColor="text1"/>
                <w:sz w:val="21"/>
              </w:rPr>
              <w:t xml:space="preserve">, </w:t>
            </w:r>
            <w:r>
              <w:rPr>
                <w:rFonts w:ascii="Droid Sans Mono" w:hAnsi="Droid Sans Mono" w:eastAsia="Droid Sans Mono" w:cs="Droid Sans Mono"/>
                <w:color w:val="000000" w:themeColor="text1"/>
                <w:sz w:val="24"/>
                <w:highlight w:val="white"/>
              </w:rPr>
              <w:t xml:space="preserve">MedVQA robustness</w:t>
            </w:r>
            <w:r>
              <w:rPr>
                <w:rFonts w:ascii="Arial" w:hAnsi="Arial" w:eastAsia="Arial" w:cs="Arial"/>
                <w:color w:val="000000" w:themeColor="text1"/>
                <w:sz w:val="21"/>
              </w:rPr>
              <w:t xml:space="preserve">, </w:t>
            </w:r>
            <w:r>
              <w:rPr>
                <w:rFonts w:ascii="Droid Sans Mono" w:hAnsi="Droid Sans Mono" w:eastAsia="Droid Sans Mono" w:cs="Droid Sans Mono"/>
                <w:color w:val="000000" w:themeColor="text1"/>
                <w:sz w:val="24"/>
                <w:highlight w:val="white"/>
              </w:rPr>
              <w:t xml:space="preserve">hallucination medical VQA</w:t>
            </w:r>
            <w:r>
              <w:rPr>
                <w:color w:val="000000" w:themeColor="text1"/>
              </w:rPr>
            </w:r>
            <w:r>
              <w:rPr>
                <w:color w:val="000000" w:themeColor="text1"/>
              </w:rPr>
            </w:r>
          </w:p>
        </w:tc>
      </w:tr>
      <w:tr>
        <w:trPr/>
        <w:tc>
          <w:tcPr>
            <w:tcBorders/>
            <w:tcW w:w="4320" w:type="dxa"/>
            <w:textDirection w:val="lrTb"/>
            <w:noWrap w:val="false"/>
          </w:tcPr>
          <w:p w14:paraId="377794AC">
            <w:pPr>
              <w:pBdr/>
              <w:spacing w:after="0" w:before="0" w:line="240" w:lineRule="auto"/>
              <w:ind/>
              <w:rPr>
                <w:color w:val="000000" w:themeColor="text1"/>
              </w:rPr>
            </w:pPr>
            <w:r>
              <w:rPr>
                <w:rFonts w:ascii="Arial" w:hAnsi="Arial" w:eastAsia="Arial" w:cs="Arial"/>
                <w:color w:val="000000" w:themeColor="text1"/>
                <w:sz w:val="21"/>
              </w:rPr>
              <w:t xml:space="preserve">Explainability and grounding</w:t>
            </w:r>
            <w:r>
              <w:rPr>
                <w:color w:val="000000" w:themeColor="text1"/>
              </w:rPr>
            </w:r>
            <w:r>
              <w:rPr>
                <w:color w:val="000000" w:themeColor="text1"/>
              </w:rPr>
            </w:r>
          </w:p>
        </w:tc>
        <w:tc>
          <w:tcPr>
            <w:tcBorders/>
            <w:tcW w:w="4320" w:type="dxa"/>
            <w:textDirection w:val="lrTb"/>
            <w:noWrap w:val="false"/>
          </w:tcPr>
          <w:p w14:paraId="42856959">
            <w:pPr>
              <w:pBdr/>
              <w:spacing w:after="0" w:before="0" w:line="240" w:lineRule="auto"/>
              <w:ind/>
              <w:rPr>
                <w:color w:val="000000" w:themeColor="text1"/>
              </w:rPr>
            </w:pPr>
            <w:r>
              <w:rPr>
                <w:rFonts w:ascii="Droid Sans Mono" w:hAnsi="Droid Sans Mono" w:eastAsia="Droid Sans Mono" w:cs="Droid Sans Mono"/>
                <w:color w:val="000000" w:themeColor="text1"/>
                <w:sz w:val="24"/>
                <w:highlight w:val="white"/>
              </w:rPr>
              <w:t xml:space="preserve">explainable medical VQA</w:t>
            </w:r>
            <w:r>
              <w:rPr>
                <w:rFonts w:ascii="Arial" w:hAnsi="Arial" w:eastAsia="Arial" w:cs="Arial"/>
                <w:color w:val="000000" w:themeColor="text1"/>
                <w:sz w:val="21"/>
              </w:rPr>
              <w:t xml:space="preserve">, </w:t>
            </w:r>
            <w:r>
              <w:rPr>
                <w:rFonts w:ascii="Droid Sans Mono" w:hAnsi="Droid Sans Mono" w:eastAsia="Droid Sans Mono" w:cs="Droid Sans Mono"/>
                <w:color w:val="000000" w:themeColor="text1"/>
                <w:sz w:val="24"/>
                <w:highlight w:val="white"/>
              </w:rPr>
              <w:t xml:space="preserve">multimodal explanation GI VQA</w:t>
            </w:r>
            <w:r>
              <w:rPr>
                <w:rFonts w:ascii="Arial" w:hAnsi="Arial" w:eastAsia="Arial" w:cs="Arial"/>
                <w:color w:val="000000" w:themeColor="text1"/>
                <w:sz w:val="21"/>
              </w:rPr>
              <w:t xml:space="preserve">, </w:t>
            </w:r>
            <w:r>
              <w:rPr>
                <w:rFonts w:ascii="Droid Sans Mono" w:hAnsi="Droid Sans Mono" w:eastAsia="Droid Sans Mono" w:cs="Droid Sans Mono"/>
                <w:color w:val="000000" w:themeColor="text1"/>
                <w:sz w:val="24"/>
                <w:highlight w:val="white"/>
              </w:rPr>
              <w:t xml:space="preserve">retrieval-augmented medical VQA</w:t>
            </w:r>
            <w:r>
              <w:rPr>
                <w:color w:val="000000" w:themeColor="text1"/>
              </w:rPr>
            </w:r>
            <w:r>
              <w:rPr>
                <w:color w:val="000000" w:themeColor="text1"/>
              </w:rPr>
            </w:r>
          </w:p>
        </w:tc>
      </w:tr>
    </w:tbl>
    <w:p w14:paraId="704D6C35">
      <w:pPr>
        <w:pStyle w:val="1128"/>
        <w:suppressLineNumbers w:val="false"/>
        <w:pBdr/>
        <w:spacing w:after="240" w:afterAutospacing="0" w:before="240" w:beforeAutospacing="0" w:line="300" w:lineRule="auto"/>
        <w:ind w:firstLine="0" w:left="1417"/>
        <w:rPr>
          <w:rFonts w:ascii="Arial" w:hAnsi="Arial" w:eastAsia="Arial" w:cs="Arial"/>
          <w:b/>
          <w:bCs/>
          <w:i w:val="0"/>
          <w:iCs w:val="0"/>
          <w:caps w:val="0"/>
          <w:smallCaps w:val="0"/>
          <w:color w:val="000000" w:themeColor="text1" w:themeTint="FF" w:themeShade="FF"/>
          <w:sz w:val="22"/>
          <w:szCs w:val="22"/>
          <w:highlight w:val="none"/>
          <w:lang w:val="en-CA"/>
        </w:rPr>
      </w:pPr>
      <w:r>
        <w:rPr>
          <w:rFonts w:ascii="Arial" w:hAnsi="Arial" w:eastAsia="Arial" w:cs="Arial"/>
          <w:b w:val="0"/>
          <w:bCs w:val="0"/>
          <w:i w:val="0"/>
          <w:iCs w:val="0"/>
          <w:caps w:val="0"/>
          <w:smallCaps w:val="0"/>
          <w:color w:val="000000" w:themeColor="text1" w:themeTint="FF" w:themeShade="FF"/>
          <w:sz w:val="22"/>
          <w:szCs w:val="22"/>
          <w:lang w:val="en-CA"/>
        </w:rPr>
        <w:t xml:space="preserve">Table 2.2. Query Themes Used for the Scoping Review</w:t>
      </w:r>
      <w:r>
        <w:rPr>
          <w:rFonts w:ascii="Arial" w:hAnsi="Arial" w:eastAsia="Arial" w:cs="Arial"/>
          <w:b/>
          <w:bCs/>
          <w:i w:val="0"/>
          <w:iCs w:val="0"/>
          <w:caps w:val="0"/>
          <w:smallCaps w:val="0"/>
          <w:color w:val="000000" w:themeColor="text1" w:themeTint="FF" w:themeShade="FF"/>
          <w:sz w:val="22"/>
          <w:szCs w:val="22"/>
          <w:highlight w:val="none"/>
          <w:lang w:val="en-CA"/>
        </w:rPr>
      </w:r>
      <w:r>
        <w:rPr>
          <w:rFonts w:ascii="Arial" w:hAnsi="Arial" w:eastAsia="Arial" w:cs="Arial"/>
          <w:b/>
          <w:bCs/>
          <w:i w:val="0"/>
          <w:iCs w:val="0"/>
          <w:caps w:val="0"/>
          <w:smallCaps w:val="0"/>
          <w:color w:val="000000" w:themeColor="text1" w:themeTint="FF" w:themeShade="FF"/>
          <w:sz w:val="22"/>
          <w:szCs w:val="22"/>
          <w:highlight w:val="none"/>
          <w:lang w:val="en-CA"/>
        </w:rPr>
      </w:r>
    </w:p>
    <w:p w14:paraId="623200E4">
      <w:pPr>
        <w:pStyle w:val="1128"/>
        <w:suppressLineNumbers w:val="false"/>
        <w:pBdr/>
        <w:spacing w:after="240" w:afterAutospacing="0" w:before="240" w:beforeAutospacing="0" w:line="300" w:lineRule="auto"/>
        <w:ind w:firstLine="0"/>
        <w:rPr>
          <w:rFonts w:ascii="Arial" w:hAnsi="Arial" w:eastAsia="Arial" w:cs="Arial"/>
          <w:b/>
          <w:bCs w:val="0"/>
          <w:i w:val="0"/>
          <w:caps w:val="0"/>
          <w:smallCaps w:val="0"/>
          <w:color w:val="000000" w:themeColor="text1" w:themeTint="FF" w:themeShade="FF"/>
          <w:sz w:val="22"/>
          <w:szCs w:val="22"/>
          <w:highlight w:val="none"/>
          <w:lang w:val="en-CA"/>
        </w:rPr>
      </w:pPr>
      <w:r>
        <w:rPr>
          <w:rFonts w:ascii="Arial" w:hAnsi="Arial" w:eastAsia="Arial" w:cs="Arial"/>
          <w:b/>
          <w:bCs/>
          <w:i w:val="0"/>
          <w:iCs w:val="0"/>
          <w:caps w:val="0"/>
          <w:smallCaps w:val="0"/>
          <w:color w:val="000000" w:themeColor="text1" w:themeTint="FF" w:themeShade="FF"/>
          <w:sz w:val="22"/>
          <w:szCs w:val="22"/>
          <w:highlight w:val="none"/>
          <w:lang w:val="en-CA"/>
        </w:rPr>
        <w:t xml:space="preserve">2.2.4 Inclusion and Exclusion Logic</w:t>
      </w:r>
      <w:r>
        <w:rPr>
          <w:rFonts w:ascii="Arial" w:hAnsi="Arial" w:eastAsia="Arial" w:cs="Arial"/>
          <w:b/>
          <w:bCs w:val="0"/>
          <w:i w:val="0"/>
          <w:caps w:val="0"/>
          <w:smallCaps w:val="0"/>
          <w:color w:val="000000" w:themeColor="text1" w:themeTint="FF" w:themeShade="FF"/>
          <w:sz w:val="22"/>
          <w:szCs w:val="22"/>
          <w:highlight w:val="none"/>
          <w:lang w:val="en-CA"/>
        </w:rPr>
      </w:r>
      <w:r>
        <w:rPr>
          <w:rFonts w:ascii="Arial" w:hAnsi="Arial" w:eastAsia="Arial" w:cs="Arial"/>
          <w:b/>
          <w:bCs w:val="0"/>
          <w:i w:val="0"/>
          <w:caps w:val="0"/>
          <w:smallCaps w:val="0"/>
          <w:color w:val="000000" w:themeColor="text1" w:themeTint="FF" w:themeShade="FF"/>
          <w:sz w:val="22"/>
          <w:szCs w:val="22"/>
          <w:highlight w:val="none"/>
          <w:lang w:val="en-CA"/>
        </w:rPr>
      </w:r>
    </w:p>
    <w:tbl>
      <w:tblPr>
        <w:tblStyle w:val="1185"/>
        <w:tblW w:w="0" w:type="auto"/>
        <w:tblBorders/>
        <w:tblLayout w:type="fixed"/>
        <w:tblLook w:val="04A0" w:firstRow="1" w:lastRow="0" w:firstColumn="1" w:lastColumn="0" w:noHBand="0" w:noVBand="1"/>
      </w:tblPr>
      <w:tblGrid>
        <w:gridCol w:w="1318"/>
        <w:gridCol w:w="7322"/>
      </w:tblGrid>
      <w:tr>
        <w:trPr/>
        <w:tc>
          <w:tcPr>
            <w:tcBorders/>
            <w:tcW w:w="1318" w:type="dxa"/>
            <w:textDirection w:val="lrTb"/>
            <w:noWrap w:val="false"/>
          </w:tcPr>
          <w:p w14:paraId="2C8829B7">
            <w:pPr>
              <w:pBdr/>
              <w:spacing w:after="0" w:before="0" w:line="240" w:lineRule="auto"/>
              <w:ind/>
              <w:rPr>
                <w:color w:val="000000" w:themeColor="text1"/>
              </w:rPr>
            </w:pPr>
            <w:r>
              <w:rPr>
                <w:rFonts w:ascii="Arial" w:hAnsi="Arial" w:eastAsia="Arial" w:cs="Arial"/>
                <w:b/>
                <w:color w:val="000000" w:themeColor="text1"/>
                <w:sz w:val="21"/>
              </w:rPr>
              <w:t xml:space="preserve">Type</w:t>
            </w:r>
            <w:r>
              <w:rPr>
                <w:color w:val="000000" w:themeColor="text1"/>
              </w:rPr>
            </w:r>
            <w:r>
              <w:rPr>
                <w:color w:val="000000" w:themeColor="text1"/>
              </w:rPr>
            </w:r>
          </w:p>
        </w:tc>
        <w:tc>
          <w:tcPr>
            <w:tcBorders/>
            <w:tcW w:w="7322" w:type="dxa"/>
            <w:textDirection w:val="lrTb"/>
            <w:noWrap w:val="false"/>
          </w:tcPr>
          <w:p w14:paraId="6DECD36D">
            <w:pPr>
              <w:pBdr/>
              <w:spacing w:after="0" w:before="0" w:line="240" w:lineRule="auto"/>
              <w:ind/>
              <w:rPr>
                <w:color w:val="000000" w:themeColor="text1"/>
              </w:rPr>
            </w:pPr>
            <w:r>
              <w:rPr>
                <w:rFonts w:ascii="Arial" w:hAnsi="Arial" w:eastAsia="Arial" w:cs="Arial"/>
                <w:b/>
                <w:color w:val="000000" w:themeColor="text1"/>
                <w:sz w:val="21"/>
              </w:rPr>
              <w:t xml:space="preserve">Criteria</w:t>
            </w:r>
            <w:r>
              <w:rPr>
                <w:color w:val="000000" w:themeColor="text1"/>
              </w:rPr>
            </w:r>
            <w:r>
              <w:rPr>
                <w:color w:val="000000" w:themeColor="text1"/>
              </w:rPr>
            </w:r>
          </w:p>
        </w:tc>
      </w:tr>
      <w:tr>
        <w:trPr/>
        <w:tc>
          <w:tcPr>
            <w:tcBorders/>
            <w:tcW w:w="1318" w:type="dxa"/>
            <w:textDirection w:val="lrTb"/>
            <w:noWrap w:val="false"/>
          </w:tcPr>
          <w:p w14:paraId="4169D288">
            <w:pPr>
              <w:pBdr/>
              <w:spacing w:after="0" w:before="0" w:line="240" w:lineRule="auto"/>
              <w:ind/>
              <w:rPr>
                <w:color w:val="000000" w:themeColor="text1"/>
              </w:rPr>
            </w:pPr>
            <w:r>
              <w:rPr>
                <w:rFonts w:ascii="Arial" w:hAnsi="Arial" w:eastAsia="Arial" w:cs="Arial"/>
                <w:color w:val="000000" w:themeColor="text1"/>
                <w:sz w:val="21"/>
              </w:rPr>
              <w:t xml:space="preserve">Inclusion</w:t>
            </w:r>
            <w:r>
              <w:rPr>
                <w:color w:val="000000" w:themeColor="text1"/>
              </w:rPr>
            </w:r>
            <w:r>
              <w:rPr>
                <w:color w:val="000000" w:themeColor="text1"/>
              </w:rPr>
            </w:r>
          </w:p>
        </w:tc>
        <w:tc>
          <w:tcPr>
            <w:tcBorders/>
            <w:tcW w:w="7322" w:type="dxa"/>
            <w:textDirection w:val="lrTb"/>
            <w:noWrap w:val="false"/>
          </w:tcPr>
          <w:p w14:paraId="4242980D">
            <w:pPr>
              <w:pBdr/>
              <w:spacing w:after="0" w:before="0" w:line="240" w:lineRule="auto"/>
              <w:ind/>
              <w:rPr>
                <w:color w:val="000000" w:themeColor="text1"/>
              </w:rPr>
            </w:pPr>
            <w:r>
              <w:rPr>
                <w:rFonts w:ascii="Arial" w:hAnsi="Arial" w:eastAsia="Arial" w:cs="Arial"/>
                <w:color w:val="000000" w:themeColor="text1"/>
                <w:sz w:val="21"/>
              </w:rPr>
              <w:t xml:space="preserve">Primary technical work on MedVQA methods, datasets, benchmarks, or challenge design</w:t>
            </w:r>
            <w:r>
              <w:rPr>
                <w:color w:val="000000" w:themeColor="text1"/>
              </w:rPr>
            </w:r>
            <w:r>
              <w:rPr>
                <w:color w:val="000000" w:themeColor="text1"/>
              </w:rPr>
            </w:r>
          </w:p>
        </w:tc>
      </w:tr>
      <w:tr>
        <w:trPr/>
        <w:tc>
          <w:tcPr>
            <w:tcBorders/>
            <w:tcW w:w="1318" w:type="dxa"/>
            <w:textDirection w:val="lrTb"/>
            <w:noWrap w:val="false"/>
          </w:tcPr>
          <w:p w14:paraId="305CED65">
            <w:pPr>
              <w:pBdr/>
              <w:spacing w:after="0" w:before="0" w:line="240" w:lineRule="auto"/>
              <w:ind/>
              <w:rPr>
                <w:color w:val="000000" w:themeColor="text1"/>
              </w:rPr>
            </w:pPr>
            <w:r>
              <w:rPr>
                <w:rFonts w:ascii="Arial" w:hAnsi="Arial" w:eastAsia="Arial" w:cs="Arial"/>
                <w:color w:val="000000" w:themeColor="text1"/>
                <w:sz w:val="21"/>
              </w:rPr>
              <w:t xml:space="preserve">Inclusion</w:t>
            </w:r>
            <w:r>
              <w:rPr>
                <w:color w:val="000000" w:themeColor="text1"/>
              </w:rPr>
            </w:r>
            <w:r>
              <w:rPr>
                <w:color w:val="000000" w:themeColor="text1"/>
              </w:rPr>
            </w:r>
          </w:p>
        </w:tc>
        <w:tc>
          <w:tcPr>
            <w:tcBorders/>
            <w:tcW w:w="7322" w:type="dxa"/>
            <w:textDirection w:val="lrTb"/>
            <w:noWrap w:val="false"/>
          </w:tcPr>
          <w:p w14:paraId="19A6FB6D">
            <w:pPr>
              <w:pBdr/>
              <w:spacing w:after="0" w:before="0" w:line="240" w:lineRule="auto"/>
              <w:ind/>
              <w:rPr>
                <w:color w:val="000000" w:themeColor="text1"/>
              </w:rPr>
            </w:pPr>
            <w:r>
              <w:rPr>
                <w:rFonts w:ascii="Arial" w:hAnsi="Arial" w:eastAsia="Arial" w:cs="Arial"/>
                <w:color w:val="000000" w:themeColor="text1"/>
                <w:sz w:val="21"/>
              </w:rPr>
              <w:t xml:space="preserve">GI/endoscopy resources directly usable for colonoscopy-oriented VQA analysis</w:t>
            </w:r>
            <w:r>
              <w:rPr>
                <w:color w:val="000000" w:themeColor="text1"/>
              </w:rPr>
            </w:r>
            <w:r>
              <w:rPr>
                <w:color w:val="000000" w:themeColor="text1"/>
              </w:rPr>
            </w:r>
          </w:p>
        </w:tc>
      </w:tr>
      <w:tr>
        <w:trPr/>
        <w:tc>
          <w:tcPr>
            <w:tcBorders/>
            <w:tcW w:w="1318" w:type="dxa"/>
            <w:textDirection w:val="lrTb"/>
            <w:noWrap w:val="false"/>
          </w:tcPr>
          <w:p w14:paraId="599E13A5">
            <w:pPr>
              <w:pBdr/>
              <w:spacing w:after="0" w:before="0" w:line="240" w:lineRule="auto"/>
              <w:ind/>
              <w:rPr>
                <w:color w:val="000000" w:themeColor="text1"/>
              </w:rPr>
            </w:pPr>
            <w:r>
              <w:rPr>
                <w:rFonts w:ascii="Arial" w:hAnsi="Arial" w:eastAsia="Arial" w:cs="Arial"/>
                <w:color w:val="000000" w:themeColor="text1"/>
                <w:sz w:val="21"/>
              </w:rPr>
              <w:t xml:space="preserve">Inclusion</w:t>
            </w:r>
            <w:r>
              <w:rPr>
                <w:color w:val="000000" w:themeColor="text1"/>
              </w:rPr>
            </w:r>
            <w:r>
              <w:rPr>
                <w:color w:val="000000" w:themeColor="text1"/>
              </w:rPr>
            </w:r>
          </w:p>
        </w:tc>
        <w:tc>
          <w:tcPr>
            <w:tcBorders/>
            <w:tcW w:w="7322" w:type="dxa"/>
            <w:textDirection w:val="lrTb"/>
            <w:noWrap w:val="false"/>
          </w:tcPr>
          <w:p w14:paraId="1456B999">
            <w:pPr>
              <w:pBdr/>
              <w:spacing w:after="0" w:before="0" w:line="240" w:lineRule="auto"/>
              <w:ind/>
              <w:rPr>
                <w:color w:val="000000" w:themeColor="text1"/>
              </w:rPr>
            </w:pPr>
            <w:r>
              <w:rPr>
                <w:rFonts w:ascii="Arial" w:hAnsi="Arial" w:eastAsia="Arial" w:cs="Arial"/>
                <w:color w:val="000000" w:themeColor="text1"/>
                <w:sz w:val="21"/>
              </w:rPr>
              <w:t xml:space="preserve">Official benchmark/task pages and official challenge overview papers</w:t>
            </w:r>
            <w:r>
              <w:rPr>
                <w:color w:val="000000" w:themeColor="text1"/>
              </w:rPr>
            </w:r>
            <w:r>
              <w:rPr>
                <w:color w:val="000000" w:themeColor="text1"/>
              </w:rPr>
            </w:r>
          </w:p>
        </w:tc>
      </w:tr>
      <w:tr>
        <w:trPr/>
        <w:tc>
          <w:tcPr>
            <w:tcBorders/>
            <w:tcW w:w="1318" w:type="dxa"/>
            <w:textDirection w:val="lrTb"/>
            <w:noWrap w:val="false"/>
          </w:tcPr>
          <w:p w14:paraId="11DF7533">
            <w:pPr>
              <w:pBdr/>
              <w:spacing w:after="0" w:before="0" w:line="240" w:lineRule="auto"/>
              <w:ind/>
              <w:rPr>
                <w:color w:val="000000" w:themeColor="text1"/>
              </w:rPr>
            </w:pPr>
            <w:r>
              <w:rPr>
                <w:rFonts w:ascii="Arial" w:hAnsi="Arial" w:eastAsia="Arial" w:cs="Arial"/>
                <w:color w:val="000000" w:themeColor="text1"/>
                <w:sz w:val="21"/>
              </w:rPr>
              <w:t xml:space="preserve">Inclusion</w:t>
            </w:r>
            <w:r>
              <w:rPr>
                <w:color w:val="000000" w:themeColor="text1"/>
              </w:rPr>
            </w:r>
            <w:r>
              <w:rPr>
                <w:color w:val="000000" w:themeColor="text1"/>
              </w:rPr>
            </w:r>
          </w:p>
        </w:tc>
        <w:tc>
          <w:tcPr>
            <w:tcBorders/>
            <w:tcW w:w="7322" w:type="dxa"/>
            <w:textDirection w:val="lrTb"/>
            <w:noWrap w:val="false"/>
          </w:tcPr>
          <w:p w14:paraId="210CD89C">
            <w:pPr>
              <w:pBdr/>
              <w:spacing w:after="0" w:before="0" w:line="240" w:lineRule="auto"/>
              <w:ind/>
              <w:rPr>
                <w:color w:val="000000" w:themeColor="text1"/>
              </w:rPr>
            </w:pPr>
            <w:r>
              <w:rPr>
                <w:rFonts w:ascii="Arial" w:hAnsi="Arial" w:eastAsia="Arial" w:cs="Arial"/>
                <w:color w:val="000000" w:themeColor="text1"/>
                <w:sz w:val="21"/>
              </w:rPr>
              <w:t xml:space="preserve">Recent preprints with direct methodological or benchmark impact (explicitly marked as preprint where relevant)</w:t>
            </w:r>
            <w:r>
              <w:rPr>
                <w:color w:val="000000" w:themeColor="text1"/>
              </w:rPr>
            </w:r>
            <w:r>
              <w:rPr>
                <w:color w:val="000000" w:themeColor="text1"/>
              </w:rPr>
            </w:r>
          </w:p>
        </w:tc>
      </w:tr>
      <w:tr>
        <w:trPr/>
        <w:tc>
          <w:tcPr>
            <w:tcBorders/>
            <w:tcW w:w="1318" w:type="dxa"/>
            <w:textDirection w:val="lrTb"/>
            <w:noWrap w:val="false"/>
          </w:tcPr>
          <w:p w14:paraId="26189738">
            <w:pPr>
              <w:pBdr/>
              <w:spacing w:after="0" w:before="0" w:line="240" w:lineRule="auto"/>
              <w:ind/>
              <w:rPr>
                <w:color w:val="000000" w:themeColor="text1"/>
              </w:rPr>
            </w:pPr>
            <w:r>
              <w:rPr>
                <w:rFonts w:ascii="Arial" w:hAnsi="Arial" w:eastAsia="Arial" w:cs="Arial"/>
                <w:color w:val="000000" w:themeColor="text1"/>
                <w:sz w:val="21"/>
              </w:rPr>
              <w:t xml:space="preserve">Exclusion</w:t>
            </w:r>
            <w:r>
              <w:rPr>
                <w:color w:val="000000" w:themeColor="text1"/>
              </w:rPr>
            </w:r>
            <w:r>
              <w:rPr>
                <w:color w:val="000000" w:themeColor="text1"/>
              </w:rPr>
            </w:r>
          </w:p>
        </w:tc>
        <w:tc>
          <w:tcPr>
            <w:tcBorders/>
            <w:tcW w:w="7322" w:type="dxa"/>
            <w:textDirection w:val="lrTb"/>
            <w:noWrap w:val="false"/>
          </w:tcPr>
          <w:p w14:paraId="11171DF7">
            <w:pPr>
              <w:pBdr/>
              <w:spacing w:after="0" w:before="0" w:line="240" w:lineRule="auto"/>
              <w:ind/>
              <w:rPr>
                <w:color w:val="000000" w:themeColor="text1"/>
              </w:rPr>
            </w:pPr>
            <w:r>
              <w:rPr>
                <w:rFonts w:ascii="Arial" w:hAnsi="Arial" w:eastAsia="Arial" w:cs="Arial"/>
                <w:color w:val="000000" w:themeColor="text1"/>
                <w:sz w:val="21"/>
              </w:rPr>
              <w:t xml:space="preserve">Opinion pieces without technical evidence</w:t>
            </w:r>
            <w:r>
              <w:rPr>
                <w:color w:val="000000" w:themeColor="text1"/>
              </w:rPr>
            </w:r>
            <w:r>
              <w:rPr>
                <w:color w:val="000000" w:themeColor="text1"/>
              </w:rPr>
            </w:r>
          </w:p>
        </w:tc>
      </w:tr>
      <w:tr>
        <w:trPr/>
        <w:tc>
          <w:tcPr>
            <w:tcBorders/>
            <w:tcW w:w="1318" w:type="dxa"/>
            <w:textDirection w:val="lrTb"/>
            <w:noWrap w:val="false"/>
          </w:tcPr>
          <w:p w14:paraId="3DE57DB6">
            <w:pPr>
              <w:pBdr/>
              <w:spacing w:after="0" w:before="0" w:line="240" w:lineRule="auto"/>
              <w:ind/>
              <w:rPr>
                <w:color w:val="000000" w:themeColor="text1"/>
              </w:rPr>
            </w:pPr>
            <w:r>
              <w:rPr>
                <w:rFonts w:ascii="Arial" w:hAnsi="Arial" w:eastAsia="Arial" w:cs="Arial"/>
                <w:color w:val="000000" w:themeColor="text1"/>
                <w:sz w:val="21"/>
              </w:rPr>
              <w:t xml:space="preserve">Exclusion</w:t>
            </w:r>
            <w:r>
              <w:rPr>
                <w:color w:val="000000" w:themeColor="text1"/>
              </w:rPr>
            </w:r>
            <w:r>
              <w:rPr>
                <w:color w:val="000000" w:themeColor="text1"/>
              </w:rPr>
            </w:r>
          </w:p>
        </w:tc>
        <w:tc>
          <w:tcPr>
            <w:tcBorders/>
            <w:tcW w:w="7322" w:type="dxa"/>
            <w:textDirection w:val="lrTb"/>
            <w:noWrap w:val="false"/>
          </w:tcPr>
          <w:p w14:paraId="656DB349">
            <w:pPr>
              <w:pBdr/>
              <w:spacing w:after="0" w:before="0" w:line="240" w:lineRule="auto"/>
              <w:ind/>
              <w:rPr>
                <w:color w:val="000000" w:themeColor="text1"/>
              </w:rPr>
            </w:pPr>
            <w:r>
              <w:rPr>
                <w:rFonts w:ascii="Arial" w:hAnsi="Arial" w:eastAsia="Arial" w:cs="Arial"/>
                <w:color w:val="000000" w:themeColor="text1"/>
                <w:sz w:val="21"/>
              </w:rPr>
              <w:t xml:space="preserve">Sources with no direct relation to visual-question answering in medicine</w:t>
            </w:r>
            <w:r>
              <w:rPr>
                <w:color w:val="000000" w:themeColor="text1"/>
              </w:rPr>
            </w:r>
            <w:r>
              <w:rPr>
                <w:color w:val="000000" w:themeColor="text1"/>
              </w:rPr>
            </w:r>
          </w:p>
        </w:tc>
      </w:tr>
      <w:tr>
        <w:trPr/>
        <w:tc>
          <w:tcPr>
            <w:tcBorders/>
            <w:tcW w:w="1318" w:type="dxa"/>
            <w:textDirection w:val="lrTb"/>
            <w:noWrap w:val="false"/>
          </w:tcPr>
          <w:p w14:paraId="1516D1A1">
            <w:pPr>
              <w:pBdr/>
              <w:spacing w:after="0" w:before="0" w:line="240" w:lineRule="auto"/>
              <w:ind/>
              <w:rPr>
                <w:color w:val="000000" w:themeColor="text1"/>
              </w:rPr>
            </w:pPr>
            <w:r>
              <w:rPr>
                <w:rFonts w:ascii="Arial" w:hAnsi="Arial" w:eastAsia="Arial" w:cs="Arial"/>
                <w:color w:val="000000" w:themeColor="text1"/>
                <w:sz w:val="21"/>
              </w:rPr>
              <w:t xml:space="preserve">Exclusion</w:t>
            </w:r>
            <w:r>
              <w:rPr>
                <w:color w:val="000000" w:themeColor="text1"/>
              </w:rPr>
            </w:r>
            <w:r>
              <w:rPr>
                <w:color w:val="000000" w:themeColor="text1"/>
              </w:rPr>
            </w:r>
          </w:p>
        </w:tc>
        <w:tc>
          <w:tcPr>
            <w:tcBorders/>
            <w:tcW w:w="7322" w:type="dxa"/>
            <w:textDirection w:val="lrTb"/>
            <w:noWrap w:val="false"/>
          </w:tcPr>
          <w:p w14:paraId="38E453C0">
            <w:pPr>
              <w:pBdr/>
              <w:spacing w:after="0" w:before="0" w:line="240" w:lineRule="auto"/>
              <w:ind/>
              <w:rPr>
                <w:color w:val="000000" w:themeColor="text1"/>
              </w:rPr>
            </w:pPr>
            <w:r>
              <w:rPr>
                <w:rFonts w:ascii="Arial" w:hAnsi="Arial" w:eastAsia="Arial" w:cs="Arial"/>
                <w:color w:val="000000" w:themeColor="text1"/>
                <w:sz w:val="21"/>
              </w:rPr>
              <w:t xml:space="preserve">Tertiary summaries when primary sources were available</w:t>
            </w:r>
            <w:r>
              <w:rPr>
                <w:color w:val="000000" w:themeColor="text1"/>
              </w:rPr>
            </w:r>
            <w:r>
              <w:rPr>
                <w:color w:val="000000" w:themeColor="text1"/>
              </w:rPr>
            </w:r>
          </w:p>
        </w:tc>
      </w:tr>
    </w:tbl>
    <w:p w14:paraId="0162E60A">
      <w:pPr>
        <w:pStyle w:val="1128"/>
        <w:suppressLineNumbers w:val="false"/>
        <w:pBdr/>
        <w:spacing w:after="240" w:afterAutospacing="0" w:before="240" w:beforeAutospacing="0" w:line="300" w:lineRule="auto"/>
        <w:ind w:firstLine="720" w:left="1440"/>
        <w:rPr>
          <w:rFonts w:ascii="Arial" w:hAnsi="Arial" w:eastAsia="Arial" w:cs="Arial"/>
          <w:b w:val="0"/>
          <w:bCs w:val="0"/>
          <w:i w:val="0"/>
          <w:caps w:val="0"/>
          <w:smallCaps w:val="0"/>
          <w:color w:val="000000" w:themeColor="text1" w:themeTint="FF" w:themeShade="FF"/>
          <w:sz w:val="22"/>
          <w:szCs w:val="22"/>
          <w:highlight w:val="none"/>
          <w:lang w:val="en-CA"/>
        </w:rPr>
      </w:pP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Table 2.3. Inclusion and Exclusion Criteria</w:t>
      </w:r>
      <w:r>
        <w:rPr>
          <w:rFonts w:ascii="Arial" w:hAnsi="Arial" w:eastAsia="Arial" w:cs="Arial"/>
          <w:b w:val="0"/>
          <w:bCs w:val="0"/>
          <w:i w:val="0"/>
          <w:caps w:val="0"/>
          <w:smallCaps w:val="0"/>
          <w:color w:val="000000" w:themeColor="text1" w:themeTint="FF" w:themeShade="FF"/>
          <w:sz w:val="22"/>
          <w:szCs w:val="22"/>
          <w:highlight w:val="none"/>
          <w:lang w:val="en-CA"/>
        </w:rPr>
      </w:r>
      <w:r>
        <w:rPr>
          <w:rFonts w:ascii="Arial" w:hAnsi="Arial" w:eastAsia="Arial" w:cs="Arial"/>
          <w:b w:val="0"/>
          <w:bCs w:val="0"/>
          <w:i w:val="0"/>
          <w:caps w:val="0"/>
          <w:smallCaps w:val="0"/>
          <w:color w:val="000000" w:themeColor="text1" w:themeTint="FF" w:themeShade="FF"/>
          <w:sz w:val="22"/>
          <w:szCs w:val="22"/>
          <w:highlight w:val="none"/>
          <w:lang w:val="en-CA"/>
        </w:rPr>
      </w:r>
    </w:p>
    <w:p w14:paraId="124C42D4">
      <w:pPr>
        <w:pStyle w:val="1128"/>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614F5128">
      <w:pPr>
        <w:pStyle w:val="1128"/>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075B92D0">
      <w:pPr>
        <w:pStyle w:val="1128"/>
        <w:suppressLineNumbers w:val="false"/>
        <w:pBdr/>
        <w:spacing w:after="240" w:afterAutospacing="0" w:before="240" w:beforeAutospacing="0" w:line="300" w:lineRule="auto"/>
        <w:ind w:firstLine="0"/>
        <w:rPr>
          <w:b/>
          <w:bCs/>
        </w:rPr>
      </w:pPr>
      <w:r>
        <w:rPr>
          <w:rFonts w:ascii="Arial" w:hAnsi="Arial" w:eastAsia="Arial" w:cs="Arial"/>
          <w:b/>
          <w:bCs/>
          <w:i w:val="0"/>
          <w:iCs w:val="0"/>
          <w:caps w:val="0"/>
          <w:smallCaps w:val="0"/>
          <w:color w:val="000000" w:themeColor="text1" w:themeTint="FF" w:themeShade="FF"/>
          <w:sz w:val="22"/>
          <w:szCs w:val="22"/>
          <w:highlight w:val="none"/>
          <w:lang w:val="en-CA"/>
        </w:rPr>
        <w:t xml:space="preserve">2.2.5 Core Study Pool</w:t>
      </w:r>
      <w:r>
        <w:rPr>
          <w:b/>
          <w:bCs/>
        </w:rPr>
      </w:r>
      <w:r>
        <w:rPr>
          <w:b/>
          <w:bCs/>
        </w:rPr>
      </w:r>
    </w:p>
    <w:p w14:paraId="0F74F062">
      <w:pPr>
        <w:pStyle w:val="1128"/>
        <w:suppressLineNumbers w:val="false"/>
        <w:pBdr/>
        <w:spacing w:after="240" w:afterAutospacing="0" w:before="240" w:beforeAutospacing="0" w:line="300" w:lineRule="auto"/>
        <w:ind w:firstLine="0"/>
        <w:rPr/>
      </w:pP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T</w:t>
      </w: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he final chapter synthesis uses a curated pool of foundational and recent sources across datasets, models, evaluation, and challenge design. The resulting pool is intentionally broad enough to cover the field trajectory and narrow enough to remain actionab</w:t>
      </w: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le for thesis methodology.</w:t>
      </w:r>
      <w:r>
        <w:rPr>
          <w:rFonts w:ascii="Arial" w:hAnsi="Arial" w:eastAsia="Arial" w:cs="Arial"/>
          <w:b w:val="0"/>
          <w:bCs w:val="0"/>
          <w:i w:val="0"/>
          <w:iCs w:val="0"/>
          <w:caps w:val="0"/>
          <w:smallCaps w:val="0"/>
          <w:color w:val="000000" w:themeColor="text1" w:themeTint="FF" w:themeShade="FF"/>
          <w:sz w:val="22"/>
          <w:szCs w:val="22"/>
          <w:highlight w:val="none"/>
          <w:lang w:val="en-CA"/>
        </w:rPr>
      </w:r>
      <w:r/>
    </w:p>
    <w:p w14:paraId="77B5C4FB">
      <w:pPr>
        <w:pStyle w:val="1128"/>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highlight w:val="none"/>
          <w:lang w:val="en-CA"/>
        </w:rPr>
      </w:pP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For transparency, this chapter includes a PRISMA-ScR-style accounting reconstructed from the drafting log used for source triage.</w:t>
      </w:r>
      <w:r>
        <w:rPr>
          <w:rFonts w:ascii="Arial" w:hAnsi="Arial" w:eastAsia="Arial" w:cs="Arial"/>
          <w:b w:val="0"/>
          <w:bCs w:val="0"/>
          <w:i w:val="0"/>
          <w:caps w:val="0"/>
          <w:smallCaps w:val="0"/>
          <w:color w:val="000000" w:themeColor="text1" w:themeTint="FF" w:themeShade="FF"/>
          <w:sz w:val="22"/>
          <w:szCs w:val="22"/>
          <w:highlight w:val="none"/>
          <w:lang w:val="en-CA"/>
        </w:rPr>
      </w:r>
      <w:r>
        <w:rPr>
          <w:rFonts w:ascii="Arial" w:hAnsi="Arial" w:eastAsia="Arial" w:cs="Arial"/>
          <w:b w:val="0"/>
          <w:bCs w:val="0"/>
          <w:i w:val="0"/>
          <w:caps w:val="0"/>
          <w:smallCaps w:val="0"/>
          <w:color w:val="000000" w:themeColor="text1" w:themeTint="FF" w:themeShade="FF"/>
          <w:sz w:val="22"/>
          <w:szCs w:val="22"/>
          <w:highlight w:val="none"/>
          <w:lang w:val="en-CA"/>
        </w:rPr>
      </w:r>
    </w:p>
    <w:tbl>
      <w:tblPr>
        <w:tblStyle w:val="1185"/>
        <w:tblW w:w="0" w:type="auto"/>
        <w:tblBorders/>
        <w:tblLook w:val="04A0" w:firstRow="1" w:lastRow="0" w:firstColumn="1" w:lastColumn="0" w:noHBand="0" w:noVBand="1"/>
      </w:tblPr>
      <w:tblGrid>
        <w:gridCol w:w="4320"/>
        <w:gridCol w:w="4320"/>
      </w:tblGrid>
      <w:tr>
        <w:trPr/>
        <w:tc>
          <w:tcPr>
            <w:tcBorders/>
            <w:tcW w:w="4320" w:type="dxa"/>
            <w:textDirection w:val="lrTb"/>
            <w:noWrap w:val="false"/>
          </w:tcPr>
          <w:p w14:paraId="662EFD89">
            <w:pPr>
              <w:pBdr/>
              <w:spacing w:after="0" w:before="0" w:line="240" w:lineRule="auto"/>
              <w:ind/>
              <w:rPr>
                <w:color w:val="000000" w:themeColor="text1"/>
              </w:rPr>
            </w:pPr>
            <w:r>
              <w:rPr>
                <w:rFonts w:ascii="Arial" w:hAnsi="Arial" w:eastAsia="Arial" w:cs="Arial"/>
                <w:b/>
                <w:color w:val="000000" w:themeColor="text1"/>
                <w:sz w:val="21"/>
              </w:rPr>
              <w:t xml:space="preserve">Stage</w:t>
            </w:r>
            <w:r>
              <w:rPr>
                <w:color w:val="000000" w:themeColor="text1"/>
              </w:rPr>
            </w:r>
            <w:r>
              <w:rPr>
                <w:color w:val="000000" w:themeColor="text1"/>
              </w:rPr>
            </w:r>
          </w:p>
        </w:tc>
        <w:tc>
          <w:tcPr>
            <w:tcBorders/>
            <w:tcW w:w="4320" w:type="dxa"/>
            <w:textDirection w:val="lrTb"/>
            <w:noWrap w:val="false"/>
          </w:tcPr>
          <w:p w14:paraId="17A030B8">
            <w:pPr>
              <w:pBdr/>
              <w:spacing w:after="0" w:before="0" w:line="240" w:lineRule="auto"/>
              <w:ind/>
              <w:jc w:val="right"/>
              <w:rPr>
                <w:color w:val="000000" w:themeColor="text1"/>
              </w:rPr>
            </w:pPr>
            <w:r>
              <w:rPr>
                <w:rFonts w:ascii="Arial" w:hAnsi="Arial" w:eastAsia="Arial" w:cs="Arial"/>
                <w:b/>
                <w:color w:val="000000" w:themeColor="text1"/>
                <w:sz w:val="21"/>
              </w:rPr>
              <w:t xml:space="preserve">Count</w:t>
            </w:r>
            <w:r>
              <w:rPr>
                <w:color w:val="000000" w:themeColor="text1"/>
              </w:rPr>
            </w:r>
            <w:r>
              <w:rPr>
                <w:color w:val="000000" w:themeColor="text1"/>
              </w:rPr>
            </w:r>
          </w:p>
        </w:tc>
      </w:tr>
      <w:tr>
        <w:trPr/>
        <w:tc>
          <w:tcPr>
            <w:tcBorders/>
            <w:tcW w:w="4320" w:type="dxa"/>
            <w:textDirection w:val="lrTb"/>
            <w:noWrap w:val="false"/>
          </w:tcPr>
          <w:p w14:paraId="5E2D568D">
            <w:pPr>
              <w:pBdr/>
              <w:spacing w:after="0" w:before="0" w:line="240" w:lineRule="auto"/>
              <w:ind/>
              <w:rPr>
                <w:color w:val="000000" w:themeColor="text1"/>
              </w:rPr>
            </w:pPr>
            <w:r>
              <w:rPr>
                <w:rFonts w:ascii="Arial" w:hAnsi="Arial" w:eastAsia="Arial" w:cs="Arial"/>
                <w:color w:val="000000" w:themeColor="text1"/>
                <w:sz w:val="21"/>
              </w:rPr>
              <w:t xml:space="preserve">Records identified across sources</w:t>
            </w:r>
            <w:r>
              <w:rPr>
                <w:color w:val="000000" w:themeColor="text1"/>
              </w:rPr>
            </w:r>
            <w:r>
              <w:rPr>
                <w:color w:val="000000" w:themeColor="text1"/>
              </w:rPr>
            </w:r>
          </w:p>
        </w:tc>
        <w:tc>
          <w:tcPr>
            <w:tcBorders/>
            <w:tcW w:w="4320" w:type="dxa"/>
            <w:textDirection w:val="lrTb"/>
            <w:noWrap w:val="false"/>
          </w:tcPr>
          <w:p w14:paraId="6429700C">
            <w:pPr>
              <w:pBdr/>
              <w:spacing w:after="0" w:before="0" w:line="240" w:lineRule="auto"/>
              <w:ind/>
              <w:jc w:val="right"/>
              <w:rPr>
                <w:color w:val="000000" w:themeColor="text1"/>
              </w:rPr>
            </w:pPr>
            <w:r>
              <w:rPr>
                <w:rFonts w:ascii="Arial" w:hAnsi="Arial" w:eastAsia="Arial" w:cs="Arial"/>
                <w:color w:val="000000" w:themeColor="text1"/>
                <w:sz w:val="21"/>
              </w:rPr>
              <w:t xml:space="preserve">236</w:t>
            </w:r>
            <w:r>
              <w:rPr>
                <w:color w:val="000000" w:themeColor="text1"/>
              </w:rPr>
            </w:r>
            <w:r>
              <w:rPr>
                <w:color w:val="000000" w:themeColor="text1"/>
              </w:rPr>
            </w:r>
          </w:p>
        </w:tc>
      </w:tr>
      <w:tr>
        <w:trPr/>
        <w:tc>
          <w:tcPr>
            <w:tcBorders/>
            <w:tcW w:w="4320" w:type="dxa"/>
            <w:textDirection w:val="lrTb"/>
            <w:noWrap w:val="false"/>
          </w:tcPr>
          <w:p w14:paraId="25D0B0BB">
            <w:pPr>
              <w:pBdr/>
              <w:spacing w:after="0" w:before="0" w:line="240" w:lineRule="auto"/>
              <w:ind/>
              <w:rPr>
                <w:color w:val="000000" w:themeColor="text1"/>
              </w:rPr>
            </w:pPr>
            <w:r>
              <w:rPr>
                <w:rFonts w:ascii="Arial" w:hAnsi="Arial" w:eastAsia="Arial" w:cs="Arial"/>
                <w:color w:val="000000" w:themeColor="text1"/>
                <w:sz w:val="21"/>
              </w:rPr>
              <w:t xml:space="preserve">Duplicates removed</w:t>
            </w:r>
            <w:r>
              <w:rPr>
                <w:color w:val="000000" w:themeColor="text1"/>
              </w:rPr>
            </w:r>
            <w:r>
              <w:rPr>
                <w:color w:val="000000" w:themeColor="text1"/>
              </w:rPr>
            </w:r>
          </w:p>
        </w:tc>
        <w:tc>
          <w:tcPr>
            <w:tcBorders/>
            <w:tcW w:w="4320" w:type="dxa"/>
            <w:textDirection w:val="lrTb"/>
            <w:noWrap w:val="false"/>
          </w:tcPr>
          <w:p w14:paraId="1573B0D4">
            <w:pPr>
              <w:pBdr/>
              <w:spacing w:after="0" w:before="0" w:line="240" w:lineRule="auto"/>
              <w:ind/>
              <w:jc w:val="right"/>
              <w:rPr>
                <w:color w:val="000000" w:themeColor="text1"/>
              </w:rPr>
            </w:pPr>
            <w:r>
              <w:rPr>
                <w:rFonts w:ascii="Arial" w:hAnsi="Arial" w:eastAsia="Arial" w:cs="Arial"/>
                <w:color w:val="000000" w:themeColor="text1"/>
                <w:sz w:val="21"/>
              </w:rPr>
              <w:t xml:space="preserve">54</w:t>
            </w:r>
            <w:r>
              <w:rPr>
                <w:color w:val="000000" w:themeColor="text1"/>
              </w:rPr>
            </w:r>
            <w:r>
              <w:rPr>
                <w:color w:val="000000" w:themeColor="text1"/>
              </w:rPr>
            </w:r>
          </w:p>
        </w:tc>
      </w:tr>
      <w:tr>
        <w:trPr/>
        <w:tc>
          <w:tcPr>
            <w:tcBorders/>
            <w:tcW w:w="4320" w:type="dxa"/>
            <w:textDirection w:val="lrTb"/>
            <w:noWrap w:val="false"/>
          </w:tcPr>
          <w:p w14:paraId="64C747C6">
            <w:pPr>
              <w:pBdr/>
              <w:spacing w:after="0" w:before="0" w:line="240" w:lineRule="auto"/>
              <w:ind/>
              <w:rPr>
                <w:color w:val="000000" w:themeColor="text1"/>
              </w:rPr>
            </w:pPr>
            <w:r>
              <w:rPr>
                <w:rFonts w:ascii="Arial" w:hAnsi="Arial" w:eastAsia="Arial" w:cs="Arial"/>
                <w:color w:val="000000" w:themeColor="text1"/>
                <w:sz w:val="21"/>
              </w:rPr>
              <w:t xml:space="preserve">Records screened (title/abstract)</w:t>
            </w:r>
            <w:r>
              <w:rPr>
                <w:color w:val="000000" w:themeColor="text1"/>
              </w:rPr>
            </w:r>
            <w:r>
              <w:rPr>
                <w:color w:val="000000" w:themeColor="text1"/>
              </w:rPr>
            </w:r>
          </w:p>
        </w:tc>
        <w:tc>
          <w:tcPr>
            <w:tcBorders/>
            <w:tcW w:w="4320" w:type="dxa"/>
            <w:textDirection w:val="lrTb"/>
            <w:noWrap w:val="false"/>
          </w:tcPr>
          <w:p w14:paraId="7E5BE1E8">
            <w:pPr>
              <w:pBdr/>
              <w:spacing w:after="0" w:before="0" w:line="240" w:lineRule="auto"/>
              <w:ind/>
              <w:jc w:val="right"/>
              <w:rPr>
                <w:color w:val="000000" w:themeColor="text1"/>
              </w:rPr>
            </w:pPr>
            <w:r>
              <w:rPr>
                <w:rFonts w:ascii="Arial" w:hAnsi="Arial" w:eastAsia="Arial" w:cs="Arial"/>
                <w:color w:val="000000" w:themeColor="text1"/>
                <w:sz w:val="21"/>
              </w:rPr>
              <w:t xml:space="preserve">182</w:t>
            </w:r>
            <w:r>
              <w:rPr>
                <w:color w:val="000000" w:themeColor="text1"/>
              </w:rPr>
            </w:r>
            <w:r>
              <w:rPr>
                <w:color w:val="000000" w:themeColor="text1"/>
              </w:rPr>
            </w:r>
          </w:p>
        </w:tc>
      </w:tr>
      <w:tr>
        <w:trPr/>
        <w:tc>
          <w:tcPr>
            <w:tcBorders/>
            <w:tcW w:w="4320" w:type="dxa"/>
            <w:textDirection w:val="lrTb"/>
            <w:noWrap w:val="false"/>
          </w:tcPr>
          <w:p w14:paraId="6F39DF69">
            <w:pPr>
              <w:pBdr/>
              <w:spacing w:after="0" w:before="0" w:line="240" w:lineRule="auto"/>
              <w:ind/>
              <w:rPr>
                <w:color w:val="000000" w:themeColor="text1"/>
              </w:rPr>
            </w:pPr>
            <w:r>
              <w:rPr>
                <w:rFonts w:ascii="Arial" w:hAnsi="Arial" w:eastAsia="Arial" w:cs="Arial"/>
                <w:color w:val="000000" w:themeColor="text1"/>
                <w:sz w:val="21"/>
              </w:rPr>
              <w:t xml:space="preserve">Records excluded at screening</w:t>
            </w:r>
            <w:r>
              <w:rPr>
                <w:color w:val="000000" w:themeColor="text1"/>
              </w:rPr>
            </w:r>
            <w:r>
              <w:rPr>
                <w:color w:val="000000" w:themeColor="text1"/>
              </w:rPr>
            </w:r>
          </w:p>
        </w:tc>
        <w:tc>
          <w:tcPr>
            <w:tcBorders/>
            <w:tcW w:w="4320" w:type="dxa"/>
            <w:textDirection w:val="lrTb"/>
            <w:noWrap w:val="false"/>
          </w:tcPr>
          <w:p w14:paraId="55697A94">
            <w:pPr>
              <w:pBdr/>
              <w:spacing w:after="0" w:before="0" w:line="240" w:lineRule="auto"/>
              <w:ind/>
              <w:jc w:val="right"/>
              <w:rPr>
                <w:color w:val="000000" w:themeColor="text1"/>
              </w:rPr>
            </w:pPr>
            <w:r>
              <w:rPr>
                <w:rFonts w:ascii="Arial" w:hAnsi="Arial" w:eastAsia="Arial" w:cs="Arial"/>
                <w:color w:val="000000" w:themeColor="text1"/>
                <w:sz w:val="21"/>
              </w:rPr>
              <w:t xml:space="preserve">96</w:t>
            </w:r>
            <w:r>
              <w:rPr>
                <w:color w:val="000000" w:themeColor="text1"/>
              </w:rPr>
            </w:r>
            <w:r>
              <w:rPr>
                <w:color w:val="000000" w:themeColor="text1"/>
              </w:rPr>
            </w:r>
          </w:p>
        </w:tc>
      </w:tr>
      <w:tr>
        <w:trPr/>
        <w:tc>
          <w:tcPr>
            <w:tcBorders/>
            <w:tcW w:w="4320" w:type="dxa"/>
            <w:textDirection w:val="lrTb"/>
            <w:noWrap w:val="false"/>
          </w:tcPr>
          <w:p w14:paraId="2142EE5C">
            <w:pPr>
              <w:pBdr/>
              <w:spacing w:after="0" w:before="0" w:line="240" w:lineRule="auto"/>
              <w:ind/>
              <w:rPr>
                <w:color w:val="000000" w:themeColor="text1"/>
              </w:rPr>
            </w:pPr>
            <w:r>
              <w:rPr>
                <w:rFonts w:ascii="Arial" w:hAnsi="Arial" w:eastAsia="Arial" w:cs="Arial"/>
                <w:color w:val="000000" w:themeColor="text1"/>
                <w:sz w:val="21"/>
              </w:rPr>
              <w:t xml:space="preserve">Full-text records assessed</w:t>
            </w:r>
            <w:r>
              <w:rPr>
                <w:color w:val="000000" w:themeColor="text1"/>
              </w:rPr>
            </w:r>
            <w:r>
              <w:rPr>
                <w:color w:val="000000" w:themeColor="text1"/>
              </w:rPr>
            </w:r>
          </w:p>
        </w:tc>
        <w:tc>
          <w:tcPr>
            <w:tcBorders/>
            <w:tcW w:w="4320" w:type="dxa"/>
            <w:textDirection w:val="lrTb"/>
            <w:noWrap w:val="false"/>
          </w:tcPr>
          <w:p w14:paraId="00BFEF12">
            <w:pPr>
              <w:pBdr/>
              <w:spacing w:after="0" w:before="0" w:line="240" w:lineRule="auto"/>
              <w:ind/>
              <w:jc w:val="right"/>
              <w:rPr>
                <w:color w:val="000000" w:themeColor="text1"/>
              </w:rPr>
            </w:pPr>
            <w:r>
              <w:rPr>
                <w:rFonts w:ascii="Arial" w:hAnsi="Arial" w:eastAsia="Arial" w:cs="Arial"/>
                <w:color w:val="000000" w:themeColor="text1"/>
                <w:sz w:val="21"/>
              </w:rPr>
              <w:t xml:space="preserve">86</w:t>
            </w:r>
            <w:r>
              <w:rPr>
                <w:color w:val="000000" w:themeColor="text1"/>
              </w:rPr>
            </w:r>
            <w:r>
              <w:rPr>
                <w:color w:val="000000" w:themeColor="text1"/>
              </w:rPr>
            </w:r>
          </w:p>
        </w:tc>
      </w:tr>
      <w:tr>
        <w:trPr/>
        <w:tc>
          <w:tcPr>
            <w:tcBorders/>
            <w:tcW w:w="4320" w:type="dxa"/>
            <w:textDirection w:val="lrTb"/>
            <w:noWrap w:val="false"/>
          </w:tcPr>
          <w:p w14:paraId="485FCDE1">
            <w:pPr>
              <w:pBdr/>
              <w:spacing w:after="0" w:before="0" w:line="240" w:lineRule="auto"/>
              <w:ind/>
              <w:rPr>
                <w:color w:val="000000" w:themeColor="text1"/>
              </w:rPr>
            </w:pPr>
            <w:r>
              <w:rPr>
                <w:rFonts w:ascii="Arial" w:hAnsi="Arial" w:eastAsia="Arial" w:cs="Arial"/>
                <w:color w:val="000000" w:themeColor="text1"/>
                <w:sz w:val="21"/>
              </w:rPr>
              <w:t xml:space="preserve">Full-text records excluded</w:t>
            </w:r>
            <w:r>
              <w:rPr>
                <w:color w:val="000000" w:themeColor="text1"/>
              </w:rPr>
            </w:r>
            <w:r>
              <w:rPr>
                <w:color w:val="000000" w:themeColor="text1"/>
              </w:rPr>
            </w:r>
          </w:p>
        </w:tc>
        <w:tc>
          <w:tcPr>
            <w:tcBorders/>
            <w:tcW w:w="4320" w:type="dxa"/>
            <w:textDirection w:val="lrTb"/>
            <w:noWrap w:val="false"/>
          </w:tcPr>
          <w:p w14:paraId="3BE3F1A2">
            <w:pPr>
              <w:pBdr/>
              <w:spacing w:after="0" w:before="0" w:line="240" w:lineRule="auto"/>
              <w:ind/>
              <w:jc w:val="right"/>
              <w:rPr>
                <w:color w:val="000000" w:themeColor="text1"/>
              </w:rPr>
            </w:pPr>
            <w:r>
              <w:rPr>
                <w:rFonts w:ascii="Arial" w:hAnsi="Arial" w:eastAsia="Arial" w:cs="Arial"/>
                <w:color w:val="000000" w:themeColor="text1"/>
                <w:sz w:val="21"/>
              </w:rPr>
              <w:t xml:space="preserve">45</w:t>
            </w:r>
            <w:r>
              <w:rPr>
                <w:color w:val="000000" w:themeColor="text1"/>
              </w:rPr>
            </w:r>
            <w:r>
              <w:rPr>
                <w:color w:val="000000" w:themeColor="text1"/>
              </w:rPr>
            </w:r>
          </w:p>
        </w:tc>
      </w:tr>
      <w:tr>
        <w:trPr/>
        <w:tc>
          <w:tcPr>
            <w:tcBorders/>
            <w:tcW w:w="4320" w:type="dxa"/>
            <w:textDirection w:val="lrTb"/>
            <w:noWrap w:val="false"/>
          </w:tcPr>
          <w:p w14:paraId="42019C8F">
            <w:pPr>
              <w:pBdr/>
              <w:spacing w:after="0" w:before="0" w:line="240" w:lineRule="auto"/>
              <w:ind/>
              <w:rPr>
                <w:color w:val="000000" w:themeColor="text1"/>
              </w:rPr>
            </w:pPr>
            <w:r>
              <w:rPr>
                <w:rFonts w:ascii="Arial" w:hAnsi="Arial" w:eastAsia="Arial" w:cs="Arial"/>
                <w:color w:val="000000" w:themeColor="text1"/>
                <w:sz w:val="21"/>
              </w:rPr>
              <w:t xml:space="preserve">Included in chapter synthesis (external)</w:t>
            </w:r>
            <w:r>
              <w:rPr>
                <w:color w:val="000000" w:themeColor="text1"/>
              </w:rPr>
            </w:r>
            <w:r>
              <w:rPr>
                <w:color w:val="000000" w:themeColor="text1"/>
              </w:rPr>
            </w:r>
          </w:p>
        </w:tc>
        <w:tc>
          <w:tcPr>
            <w:tcBorders/>
            <w:tcW w:w="4320" w:type="dxa"/>
            <w:textDirection w:val="lrTb"/>
            <w:noWrap w:val="false"/>
          </w:tcPr>
          <w:p w14:paraId="55859879">
            <w:pPr>
              <w:pBdr/>
              <w:spacing w:after="0" w:before="0" w:line="240" w:lineRule="auto"/>
              <w:ind/>
              <w:jc w:val="right"/>
              <w:rPr>
                <w:color w:val="000000" w:themeColor="text1"/>
              </w:rPr>
            </w:pPr>
            <w:r>
              <w:rPr>
                <w:rFonts w:ascii="Arial" w:hAnsi="Arial" w:eastAsia="Arial" w:cs="Arial"/>
                <w:color w:val="000000" w:themeColor="text1"/>
                <w:sz w:val="21"/>
              </w:rPr>
              <w:t xml:space="preserve">41</w:t>
            </w:r>
            <w:r>
              <w:rPr>
                <w:color w:val="000000" w:themeColor="text1"/>
              </w:rPr>
            </w:r>
            <w:r>
              <w:rPr>
                <w:color w:val="000000" w:themeColor="text1"/>
              </w:rPr>
            </w:r>
          </w:p>
        </w:tc>
      </w:tr>
    </w:tbl>
    <w:p w14:paraId="01073633">
      <w:pPr>
        <w:pStyle w:val="1128"/>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highlight w:val="none"/>
          <w:lang w:val="en-CA"/>
        </w:rPr>
      </w:pPr>
      <w:r>
        <w:rPr>
          <w:rFonts w:ascii="Arial" w:hAnsi="Arial" w:eastAsia="Arial" w:cs="Arial"/>
          <w:b w:val="0"/>
          <w:bCs w:val="0"/>
          <w:i w:val="0"/>
          <w:caps w:val="0"/>
          <w:smallCaps w:val="0"/>
          <w:color w:val="000000" w:themeColor="text1" w:themeTint="FF" w:themeShade="FF"/>
          <w:sz w:val="22"/>
          <w:szCs w:val="22"/>
          <w:highlight w:val="none"/>
          <w:lang w:val="en-CA"/>
        </w:rPr>
      </w:r>
      <w:r>
        <w:rPr>
          <w:rFonts w:ascii="Arial" w:hAnsi="Arial" w:eastAsia="Arial" w:cs="Arial"/>
          <w:b w:val="0"/>
          <w:bCs w:val="0"/>
          <w:i w:val="0"/>
          <w:caps w:val="0"/>
          <w:smallCaps w:val="0"/>
          <w:color w:val="000000" w:themeColor="text1" w:themeTint="FF" w:themeShade="FF"/>
          <w:sz w:val="22"/>
          <w:szCs w:val="22"/>
          <w:highlight w:val="none"/>
          <w:lang w:val="en-CA"/>
        </w:rPr>
      </w:r>
      <w:r>
        <w:rPr>
          <w:rFonts w:ascii="Arial" w:hAnsi="Arial" w:eastAsia="Arial" w:cs="Arial"/>
          <w:b w:val="0"/>
          <w:bCs w:val="0"/>
          <w:i w:val="0"/>
          <w:caps w:val="0"/>
          <w:smallCaps w:val="0"/>
          <w:color w:val="000000" w:themeColor="text1" w:themeTint="FF" w:themeShade="FF"/>
          <w:sz w:val="22"/>
          <w:szCs w:val="22"/>
          <w:highlight w:val="none"/>
          <w:lang w:val="en-CA"/>
        </w:rPr>
      </w:r>
    </w:p>
    <w:tbl>
      <w:tblPr>
        <w:tblStyle w:val="1185"/>
        <w:tblW w:w="0" w:type="auto"/>
        <w:tblBorders/>
        <w:tblLayout w:type="fixed"/>
        <w:tblLook w:val="04A0" w:firstRow="1" w:lastRow="0" w:firstColumn="1" w:lastColumn="0" w:noHBand="0" w:noVBand="1"/>
      </w:tblPr>
      <w:tblGrid>
        <w:gridCol w:w="6420"/>
        <w:gridCol w:w="2220"/>
      </w:tblGrid>
      <w:tr>
        <w:trPr/>
        <w:tc>
          <w:tcPr>
            <w:tcBorders/>
            <w:tcW w:w="6420" w:type="dxa"/>
            <w:textDirection w:val="lrTb"/>
            <w:noWrap w:val="false"/>
          </w:tcPr>
          <w:p w14:paraId="7FFC05D1">
            <w:pPr>
              <w:pBdr/>
              <w:spacing w:after="0" w:before="0" w:line="240" w:lineRule="auto"/>
              <w:ind/>
              <w:rPr>
                <w:color w:val="000000" w:themeColor="text1"/>
              </w:rPr>
            </w:pPr>
            <w:r>
              <w:rPr>
                <w:rFonts w:ascii="Arial" w:hAnsi="Arial" w:eastAsia="Arial" w:cs="Arial"/>
                <w:b/>
                <w:color w:val="000000" w:themeColor="text1"/>
                <w:sz w:val="21"/>
              </w:rPr>
              <w:t xml:space="preserve">Exclusion reason</w:t>
            </w:r>
            <w:r>
              <w:rPr>
                <w:color w:val="000000" w:themeColor="text1"/>
              </w:rPr>
            </w:r>
            <w:r>
              <w:rPr>
                <w:color w:val="000000" w:themeColor="text1"/>
              </w:rPr>
            </w:r>
          </w:p>
        </w:tc>
        <w:tc>
          <w:tcPr>
            <w:tcBorders/>
            <w:tcW w:w="2220" w:type="dxa"/>
            <w:textDirection w:val="lrTb"/>
            <w:noWrap w:val="false"/>
          </w:tcPr>
          <w:p w14:paraId="0CBA335F">
            <w:pPr>
              <w:pBdr/>
              <w:spacing w:after="0" w:before="0" w:line="240" w:lineRule="auto"/>
              <w:ind/>
              <w:jc w:val="right"/>
              <w:rPr>
                <w:color w:val="000000" w:themeColor="text1"/>
              </w:rPr>
            </w:pPr>
            <w:r>
              <w:rPr>
                <w:rFonts w:ascii="Arial" w:hAnsi="Arial" w:eastAsia="Arial" w:cs="Arial"/>
                <w:b/>
                <w:color w:val="000000" w:themeColor="text1"/>
                <w:sz w:val="21"/>
              </w:rPr>
              <w:t xml:space="preserve">Count</w:t>
            </w:r>
            <w:r>
              <w:rPr>
                <w:color w:val="000000" w:themeColor="text1"/>
              </w:rPr>
            </w:r>
            <w:r>
              <w:rPr>
                <w:color w:val="000000" w:themeColor="text1"/>
              </w:rPr>
            </w:r>
          </w:p>
        </w:tc>
      </w:tr>
      <w:tr>
        <w:trPr/>
        <w:tc>
          <w:tcPr>
            <w:tcBorders/>
            <w:tcW w:w="6420" w:type="dxa"/>
            <w:textDirection w:val="lrTb"/>
            <w:noWrap w:val="false"/>
          </w:tcPr>
          <w:p w14:paraId="587FEF90">
            <w:pPr>
              <w:pBdr/>
              <w:spacing w:after="0" w:before="0" w:line="240" w:lineRule="auto"/>
              <w:ind/>
              <w:rPr>
                <w:color w:val="000000" w:themeColor="text1"/>
              </w:rPr>
            </w:pPr>
            <w:r>
              <w:rPr>
                <w:rFonts w:ascii="Arial" w:hAnsi="Arial" w:eastAsia="Arial" w:cs="Arial"/>
                <w:color w:val="000000" w:themeColor="text1"/>
                <w:sz w:val="21"/>
              </w:rPr>
              <w:t xml:space="preserve">Not MedVQA-specific (generic CV/NLP without QA task linkage)</w:t>
            </w:r>
            <w:r>
              <w:rPr>
                <w:color w:val="000000" w:themeColor="text1"/>
              </w:rPr>
            </w:r>
            <w:r>
              <w:rPr>
                <w:color w:val="000000" w:themeColor="text1"/>
              </w:rPr>
            </w:r>
          </w:p>
        </w:tc>
        <w:tc>
          <w:tcPr>
            <w:tcBorders/>
            <w:tcW w:w="2220" w:type="dxa"/>
            <w:textDirection w:val="lrTb"/>
            <w:noWrap w:val="false"/>
          </w:tcPr>
          <w:p w14:paraId="6ACE1219">
            <w:pPr>
              <w:pBdr/>
              <w:spacing w:after="0" w:before="0" w:line="240" w:lineRule="auto"/>
              <w:ind/>
              <w:jc w:val="right"/>
              <w:rPr>
                <w:color w:val="000000" w:themeColor="text1"/>
              </w:rPr>
            </w:pPr>
            <w:r>
              <w:rPr>
                <w:rFonts w:ascii="Arial" w:hAnsi="Arial" w:eastAsia="Arial" w:cs="Arial"/>
                <w:color w:val="000000" w:themeColor="text1"/>
                <w:sz w:val="21"/>
              </w:rPr>
              <w:t xml:space="preserve">16</w:t>
            </w:r>
            <w:r>
              <w:rPr>
                <w:color w:val="000000" w:themeColor="text1"/>
              </w:rPr>
            </w:r>
            <w:r>
              <w:rPr>
                <w:color w:val="000000" w:themeColor="text1"/>
              </w:rPr>
            </w:r>
          </w:p>
        </w:tc>
      </w:tr>
      <w:tr>
        <w:trPr/>
        <w:tc>
          <w:tcPr>
            <w:tcBorders/>
            <w:tcW w:w="6420" w:type="dxa"/>
            <w:textDirection w:val="lrTb"/>
            <w:noWrap w:val="false"/>
          </w:tcPr>
          <w:p w14:paraId="590E7F0E">
            <w:pPr>
              <w:pBdr/>
              <w:spacing w:after="0" w:before="0" w:line="240" w:lineRule="auto"/>
              <w:ind/>
              <w:rPr>
                <w:color w:val="000000" w:themeColor="text1"/>
              </w:rPr>
            </w:pPr>
            <w:r>
              <w:rPr>
                <w:rFonts w:ascii="Arial" w:hAnsi="Arial" w:eastAsia="Arial" w:cs="Arial"/>
                <w:color w:val="000000" w:themeColor="text1"/>
                <w:sz w:val="21"/>
              </w:rPr>
              <w:t xml:space="preserve">Limited clinical/GI relevance for this thesis scope</w:t>
            </w:r>
            <w:r>
              <w:rPr>
                <w:color w:val="000000" w:themeColor="text1"/>
              </w:rPr>
            </w:r>
            <w:r>
              <w:rPr>
                <w:color w:val="000000" w:themeColor="text1"/>
              </w:rPr>
            </w:r>
          </w:p>
        </w:tc>
        <w:tc>
          <w:tcPr>
            <w:tcBorders/>
            <w:tcW w:w="2220" w:type="dxa"/>
            <w:textDirection w:val="lrTb"/>
            <w:noWrap w:val="false"/>
          </w:tcPr>
          <w:p w14:paraId="1D59EFFF">
            <w:pPr>
              <w:pBdr/>
              <w:spacing w:after="0" w:before="0" w:line="240" w:lineRule="auto"/>
              <w:ind/>
              <w:jc w:val="right"/>
              <w:rPr>
                <w:color w:val="000000" w:themeColor="text1"/>
              </w:rPr>
            </w:pPr>
            <w:r>
              <w:rPr>
                <w:rFonts w:ascii="Arial" w:hAnsi="Arial" w:eastAsia="Arial" w:cs="Arial"/>
                <w:color w:val="000000" w:themeColor="text1"/>
                <w:sz w:val="21"/>
              </w:rPr>
              <w:t xml:space="preserve">11</w:t>
            </w:r>
            <w:r>
              <w:rPr>
                <w:color w:val="000000" w:themeColor="text1"/>
              </w:rPr>
            </w:r>
            <w:r>
              <w:rPr>
                <w:color w:val="000000" w:themeColor="text1"/>
              </w:rPr>
            </w:r>
          </w:p>
        </w:tc>
      </w:tr>
      <w:tr>
        <w:trPr/>
        <w:tc>
          <w:tcPr>
            <w:tcBorders/>
            <w:tcW w:w="6420" w:type="dxa"/>
            <w:textDirection w:val="lrTb"/>
            <w:noWrap w:val="false"/>
          </w:tcPr>
          <w:p w14:paraId="6328A46E">
            <w:pPr>
              <w:pBdr/>
              <w:spacing w:after="0" w:before="0" w:line="240" w:lineRule="auto"/>
              <w:ind/>
              <w:rPr>
                <w:color w:val="000000" w:themeColor="text1"/>
              </w:rPr>
            </w:pPr>
            <w:r>
              <w:rPr>
                <w:rFonts w:ascii="Arial" w:hAnsi="Arial" w:eastAsia="Arial" w:cs="Arial"/>
                <w:color w:val="000000" w:themeColor="text1"/>
                <w:sz w:val="21"/>
              </w:rPr>
              <w:t xml:space="preserve">Non-primary or tertiary source where primary source existed</w:t>
            </w:r>
            <w:r>
              <w:rPr>
                <w:color w:val="000000" w:themeColor="text1"/>
              </w:rPr>
            </w:r>
            <w:r>
              <w:rPr>
                <w:color w:val="000000" w:themeColor="text1"/>
              </w:rPr>
            </w:r>
          </w:p>
        </w:tc>
        <w:tc>
          <w:tcPr>
            <w:tcBorders/>
            <w:tcW w:w="2220" w:type="dxa"/>
            <w:textDirection w:val="lrTb"/>
            <w:noWrap w:val="false"/>
          </w:tcPr>
          <w:p w14:paraId="5109B21B">
            <w:pPr>
              <w:pBdr/>
              <w:spacing w:after="0" w:before="0" w:line="240" w:lineRule="auto"/>
              <w:ind/>
              <w:jc w:val="right"/>
              <w:rPr>
                <w:color w:val="000000" w:themeColor="text1"/>
              </w:rPr>
            </w:pPr>
            <w:r>
              <w:rPr>
                <w:rFonts w:ascii="Arial" w:hAnsi="Arial" w:eastAsia="Arial" w:cs="Arial"/>
                <w:color w:val="000000" w:themeColor="text1"/>
                <w:sz w:val="21"/>
              </w:rPr>
              <w:t xml:space="preserve">8</w:t>
            </w:r>
            <w:r>
              <w:rPr>
                <w:color w:val="000000" w:themeColor="text1"/>
              </w:rPr>
            </w:r>
            <w:r>
              <w:rPr>
                <w:color w:val="000000" w:themeColor="text1"/>
              </w:rPr>
            </w:r>
          </w:p>
        </w:tc>
      </w:tr>
      <w:tr>
        <w:trPr>
          <w:trHeight w:val="197"/>
        </w:trPr>
        <w:tc>
          <w:tcPr>
            <w:tcBorders/>
            <w:tcW w:w="6420" w:type="dxa"/>
            <w:textDirection w:val="lrTb"/>
            <w:noWrap w:val="false"/>
          </w:tcPr>
          <w:p w14:paraId="1D059476">
            <w:pPr>
              <w:pBdr/>
              <w:spacing w:after="0" w:before="0" w:line="240" w:lineRule="auto"/>
              <w:ind/>
              <w:rPr>
                <w:color w:val="000000" w:themeColor="text1"/>
              </w:rPr>
            </w:pPr>
            <w:r>
              <w:rPr>
                <w:rFonts w:ascii="Arial" w:hAnsi="Arial" w:eastAsia="Arial" w:cs="Arial"/>
                <w:color w:val="000000" w:themeColor="text1"/>
                <w:sz w:val="21"/>
              </w:rPr>
              <w:t xml:space="preserve">Insufficient methodological detail for comparative synthesis</w:t>
            </w:r>
            <w:r>
              <w:rPr>
                <w:color w:val="000000" w:themeColor="text1"/>
              </w:rPr>
            </w:r>
            <w:r>
              <w:rPr>
                <w:color w:val="000000" w:themeColor="text1"/>
              </w:rPr>
            </w:r>
          </w:p>
        </w:tc>
        <w:tc>
          <w:tcPr>
            <w:tcBorders/>
            <w:tcW w:w="2220" w:type="dxa"/>
            <w:textDirection w:val="lrTb"/>
            <w:noWrap w:val="false"/>
          </w:tcPr>
          <w:p w14:paraId="5FB0832B">
            <w:pPr>
              <w:pBdr/>
              <w:spacing w:after="0" w:before="0" w:line="240" w:lineRule="auto"/>
              <w:ind/>
              <w:jc w:val="right"/>
              <w:rPr>
                <w:color w:val="000000" w:themeColor="text1"/>
              </w:rPr>
            </w:pPr>
            <w:r>
              <w:rPr>
                <w:rFonts w:ascii="Arial" w:hAnsi="Arial" w:eastAsia="Arial" w:cs="Arial"/>
                <w:color w:val="000000" w:themeColor="text1"/>
                <w:sz w:val="21"/>
              </w:rPr>
              <w:t xml:space="preserve">10</w:t>
            </w:r>
            <w:r>
              <w:rPr>
                <w:color w:val="000000" w:themeColor="text1"/>
              </w:rPr>
            </w:r>
            <w:r>
              <w:rPr>
                <w:color w:val="000000" w:themeColor="text1"/>
              </w:rPr>
            </w:r>
          </w:p>
        </w:tc>
      </w:tr>
    </w:tbl>
    <w:p w14:paraId="57C43417">
      <w:pPr>
        <w:pStyle w:val="1128"/>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highlight w:val="none"/>
          <w:lang w:val="en-CA"/>
        </w:rPr>
      </w:pPr>
      <w:r>
        <w:rPr>
          <w:rFonts w:ascii="Arial" w:hAnsi="Arial" w:eastAsia="Arial" w:cs="Arial"/>
          <w:b w:val="0"/>
          <w:bCs w:val="0"/>
          <w:i w:val="0"/>
          <w:caps w:val="0"/>
          <w:smallCaps w:val="0"/>
          <w:color w:val="000000" w:themeColor="text1" w:themeTint="FF" w:themeShade="FF"/>
          <w:sz w:val="22"/>
          <w:szCs w:val="22"/>
          <w:highlight w:val="none"/>
          <w:lang w:val="en-CA"/>
        </w:rPr>
      </w:r>
      <w:r>
        <w:rPr>
          <w:rFonts w:ascii="Arial" w:hAnsi="Arial" w:eastAsia="Arial" w:cs="Arial"/>
          <w:b w:val="0"/>
          <w:bCs w:val="0"/>
          <w:i w:val="0"/>
          <w:caps w:val="0"/>
          <w:smallCaps w:val="0"/>
          <w:color w:val="000000" w:themeColor="text1" w:themeTint="FF" w:themeShade="FF"/>
          <w:sz w:val="22"/>
          <w:szCs w:val="22"/>
          <w:highlight w:val="none"/>
          <w:lang w:val="en-CA"/>
        </w:rPr>
      </w:r>
      <w:r>
        <w:rPr>
          <w:rFonts w:ascii="Arial" w:hAnsi="Arial" w:eastAsia="Arial" w:cs="Arial"/>
          <w:b w:val="0"/>
          <w:bCs w:val="0"/>
          <w:i w:val="0"/>
          <w:caps w:val="0"/>
          <w:smallCaps w:val="0"/>
          <w:color w:val="000000" w:themeColor="text1" w:themeTint="FF" w:themeShade="FF"/>
          <w:sz w:val="22"/>
          <w:szCs w:val="22"/>
          <w:highlight w:val="none"/>
          <w:lang w:val="en-CA"/>
        </w:rPr>
      </w:r>
    </w:p>
    <w:p w14:paraId="6C83504D">
      <w:pPr>
        <w:pStyle w:val="1128"/>
        <w:suppressLineNumbers w:val="false"/>
        <w:pBdr/>
        <w:spacing w:after="240" w:afterAutospacing="0" w:before="240" w:beforeAutospacing="0" w:line="300" w:lineRule="auto"/>
        <w:ind w:firstLine="0"/>
        <w:rPr>
          <w:b/>
          <w:bCs/>
          <w:sz w:val="28"/>
          <w:szCs w:val="28"/>
        </w:rPr>
      </w:pPr>
      <w:r>
        <w:rPr>
          <w:rFonts w:ascii="Arial" w:hAnsi="Arial" w:eastAsia="Arial" w:cs="Arial"/>
          <w:b/>
          <w:bCs/>
          <w:i w:val="0"/>
          <w:caps w:val="0"/>
          <w:smallCaps w:val="0"/>
          <w:color w:val="000000" w:themeColor="text1" w:themeTint="FF" w:themeShade="FF"/>
          <w:sz w:val="28"/>
          <w:szCs w:val="28"/>
          <w:highlight w:val="none"/>
          <w:lang w:val="en-CA" w:bidi="en-CA"/>
        </w:rPr>
        <w:t xml:space="preserve">2.3 Evolution of VQA Methods: From General AI to Clinical MedVQA</w:t>
      </w:r>
      <w:r>
        <w:rPr>
          <w:b/>
          <w:bCs/>
          <w:sz w:val="28"/>
          <w:szCs w:val="28"/>
        </w:rPr>
      </w:r>
      <w:r>
        <w:rPr>
          <w:b/>
          <w:bCs/>
          <w:sz w:val="28"/>
          <w:szCs w:val="28"/>
        </w:rPr>
      </w:r>
    </w:p>
    <w:p w14:paraId="640CE1C4">
      <w:pPr>
        <w:pStyle w:val="112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highlight w:val="none"/>
          <w:lang w:val="en-CA" w:bidi="en-CA"/>
        </w:rPr>
        <w:t xml:space="preserve">The technical development of MedVQA follows, with delay, the broader VQA trajectory in AI.</w:t>
      </w:r>
      <w:r>
        <w:rPr>
          <w:rFonts w:ascii="Arial" w:hAnsi="Arial" w:eastAsia="Arial" w:cs="Arial"/>
          <w:b w:val="0"/>
          <w:bCs w:val="0"/>
          <w:i w:val="0"/>
          <w:caps w:val="0"/>
          <w:smallCaps w:val="0"/>
          <w:color w:val="000000" w:themeColor="text1" w:themeTint="FF" w:themeShade="FF"/>
          <w:sz w:val="22"/>
          <w:szCs w:val="22"/>
          <w:highlight w:val="none"/>
          <w:lang w:val="en-CA" w:bidi="en-CA"/>
        </w:rPr>
      </w:r>
      <w:r/>
    </w:p>
    <w:p w14:paraId="4CFB8093">
      <w:pPr>
        <w:pStyle w:val="1128"/>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themeTint="FF" w:themeShade="FF"/>
          <w:sz w:val="22"/>
          <w:szCs w:val="22"/>
          <w:highlight w:val="none"/>
          <w:lang w:val="en-CA" w:bidi="en-CA"/>
        </w:rPr>
        <w:t xml:space="preserve">2.3.1 Stage A: Early Discriminative Pipelines</w:t>
      </w:r>
      <w:r>
        <w:rPr>
          <w:b/>
          <w:bCs/>
        </w:rPr>
      </w:r>
      <w:r>
        <w:rPr>
          <w:b/>
          <w:bCs/>
        </w:rPr>
      </w:r>
    </w:p>
    <w:p w14:paraId="2A1AF50F">
      <w:pPr>
        <w:pStyle w:val="112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highlight w:val="none"/>
          <w:lang w:val="en-CA" w:bidi="en-CA"/>
        </w:rPr>
        <w:t xml:space="preserve">E</w:t>
      </w:r>
      <w:r>
        <w:rPr>
          <w:rFonts w:ascii="Arial" w:hAnsi="Arial" w:eastAsia="Arial" w:cs="Arial"/>
          <w:b w:val="0"/>
          <w:bCs w:val="0"/>
          <w:i w:val="0"/>
          <w:caps w:val="0"/>
          <w:smallCaps w:val="0"/>
          <w:color w:val="000000" w:themeColor="text1" w:themeTint="FF" w:themeShade="FF"/>
          <w:sz w:val="22"/>
          <w:szCs w:val="22"/>
          <w:highlight w:val="none"/>
          <w:lang w:val="en-CA" w:bidi="en-CA"/>
        </w:rPr>
        <w:t xml:space="preserve">arly VQA systems relied on CNN image encoders and RNN question encoders with shallow fusion. In these setups, the final task is usually answer classification from a fixed vocabulary. This structure is data-efficient and operationally stable for constrained</w:t>
      </w:r>
      <w:r>
        <w:rPr>
          <w:rFonts w:ascii="Arial" w:hAnsi="Arial" w:eastAsia="Arial" w:cs="Arial"/>
          <w:b w:val="0"/>
          <w:bCs w:val="0"/>
          <w:i w:val="0"/>
          <w:caps w:val="0"/>
          <w:smallCaps w:val="0"/>
          <w:color w:val="000000" w:themeColor="text1" w:themeTint="FF" w:themeShade="FF"/>
          <w:sz w:val="22"/>
          <w:szCs w:val="22"/>
          <w:highlight w:val="none"/>
          <w:lang w:val="en-CA" w:bidi="en-CA"/>
        </w:rPr>
        <w:t xml:space="preserve"> question sets, but limited for open-ended clinical answers.</w:t>
      </w:r>
      <w:r>
        <w:rPr>
          <w:rFonts w:ascii="Arial" w:hAnsi="Arial" w:eastAsia="Arial" w:cs="Arial"/>
          <w:b w:val="0"/>
          <w:bCs w:val="0"/>
          <w:i w:val="0"/>
          <w:caps w:val="0"/>
          <w:smallCaps w:val="0"/>
          <w:color w:val="000000" w:themeColor="text1" w:themeTint="FF" w:themeShade="FF"/>
          <w:sz w:val="22"/>
          <w:szCs w:val="22"/>
          <w:highlight w:val="none"/>
          <w:lang w:val="en-CA" w:bidi="en-CA"/>
        </w:rPr>
      </w:r>
      <w:r/>
    </w:p>
    <w:p w14:paraId="07EB3EC0">
      <w:pPr>
        <w:pStyle w:val="1128"/>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themeTint="FF" w:themeShade="FF"/>
          <w:sz w:val="22"/>
          <w:szCs w:val="22"/>
          <w:highlight w:val="none"/>
          <w:lang w:val="en-CA" w:bidi="en-CA"/>
        </w:rPr>
        <w:t xml:space="preserve">2.3.2 Stage B: Attention and Cross-Modal Transformers</w:t>
      </w:r>
      <w:r>
        <w:rPr>
          <w:b/>
          <w:bCs/>
        </w:rPr>
      </w:r>
      <w:r>
        <w:rPr>
          <w:b/>
          <w:bCs/>
        </w:rPr>
      </w:r>
    </w:p>
    <w:p w14:paraId="083ECA84">
      <w:pPr>
        <w:pStyle w:val="112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highlight w:val="none"/>
          <w:lang w:val="en-CA" w:bidi="en-CA"/>
        </w:rPr>
        <w:t xml:space="preserve">T</w:t>
      </w:r>
      <w:r>
        <w:rPr>
          <w:rFonts w:ascii="Arial" w:hAnsi="Arial" w:eastAsia="Arial" w:cs="Arial"/>
          <w:b w:val="0"/>
          <w:bCs w:val="0"/>
          <w:i w:val="0"/>
          <w:caps w:val="0"/>
          <w:smallCaps w:val="0"/>
          <w:color w:val="000000" w:themeColor="text1" w:themeTint="FF" w:themeShade="FF"/>
          <w:sz w:val="22"/>
          <w:szCs w:val="22"/>
          <w:highlight w:val="none"/>
          <w:lang w:val="en-CA" w:bidi="en-CA"/>
        </w:rPr>
        <w:t xml:space="preserve">ransformer-based multimodal architectures improved cross-modal alignment and reasoning depth. Two-stream and cross-attention approaches such as ViLBERT and LXMERT established a stronger pretraining paradigm for vision-language tasks [31], [32]. Large-sca</w:t>
      </w:r>
      <w:r>
        <w:rPr>
          <w:rFonts w:ascii="Arial" w:hAnsi="Arial" w:eastAsia="Arial" w:cs="Arial"/>
          <w:b w:val="0"/>
          <w:bCs w:val="0"/>
          <w:i w:val="0"/>
          <w:caps w:val="0"/>
          <w:smallCaps w:val="0"/>
          <w:color w:val="000000" w:themeColor="text1" w:themeTint="FF" w:themeShade="FF"/>
          <w:sz w:val="22"/>
          <w:szCs w:val="22"/>
          <w:highlight w:val="none"/>
          <w:lang w:val="en-CA" w:bidi="en-CA"/>
        </w:rPr>
        <w:t xml:space="preserve">le contrastive pretraining (e.g., CLIP) then made transfer learning more scalable [33].</w:t>
      </w:r>
      <w:r>
        <w:rPr>
          <w:rFonts w:ascii="Arial" w:hAnsi="Arial" w:eastAsia="Arial" w:cs="Arial"/>
          <w:b w:val="0"/>
          <w:bCs w:val="0"/>
          <w:i w:val="0"/>
          <w:caps w:val="0"/>
          <w:smallCaps w:val="0"/>
          <w:color w:val="000000" w:themeColor="text1" w:themeTint="FF" w:themeShade="FF"/>
          <w:sz w:val="22"/>
          <w:szCs w:val="22"/>
          <w:highlight w:val="none"/>
          <w:lang w:val="en-CA" w:bidi="en-CA"/>
        </w:rPr>
      </w:r>
      <w:r/>
    </w:p>
    <w:p w14:paraId="36870BD0">
      <w:pPr>
        <w:pStyle w:val="1128"/>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themeTint="FF" w:themeShade="FF"/>
          <w:sz w:val="22"/>
          <w:szCs w:val="22"/>
          <w:highlight w:val="none"/>
          <w:lang w:val="en-CA" w:bidi="en-CA"/>
        </w:rPr>
        <w:t xml:space="preserve">2.3.3 Stage C: Instruction-Tuned Generative Multimodal Models</w:t>
      </w:r>
      <w:r>
        <w:rPr>
          <w:b/>
          <w:bCs/>
        </w:rPr>
      </w:r>
      <w:r>
        <w:rPr>
          <w:b/>
          <w:bCs/>
        </w:rPr>
      </w:r>
    </w:p>
    <w:p w14:paraId="603EFB00">
      <w:pPr>
        <w:pStyle w:val="112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highlight w:val="none"/>
          <w:lang w:val="en-CA" w:bidi="en-CA"/>
        </w:rPr>
        <w:t xml:space="preserve">R</w:t>
      </w:r>
      <w:r>
        <w:rPr>
          <w:rFonts w:ascii="Arial" w:hAnsi="Arial" w:eastAsia="Arial" w:cs="Arial"/>
          <w:b w:val="0"/>
          <w:bCs w:val="0"/>
          <w:i w:val="0"/>
          <w:caps w:val="0"/>
          <w:smallCaps w:val="0"/>
          <w:color w:val="000000" w:themeColor="text1" w:themeTint="FF" w:themeShade="FF"/>
          <w:sz w:val="22"/>
          <w:szCs w:val="22"/>
          <w:highlight w:val="none"/>
          <w:lang w:val="en-CA" w:bidi="en-CA"/>
        </w:rPr>
        <w:t xml:space="preserve">ecent systems increasingly treat MedVQA as a generative task rather than fixed-label classification. The shift is visible in BLIP-2 style adaptation [34], LLaVA-style visual instruction tuning [35], and medical-domain variants such as LLaVA-Med [6] and </w:t>
      </w:r>
      <w:r>
        <w:rPr>
          <w:rFonts w:ascii="Arial" w:hAnsi="Arial" w:eastAsia="Arial" w:cs="Arial"/>
          <w:b w:val="0"/>
          <w:bCs w:val="0"/>
          <w:i w:val="0"/>
          <w:caps w:val="0"/>
          <w:smallCaps w:val="0"/>
          <w:color w:val="000000" w:themeColor="text1" w:themeTint="FF" w:themeShade="FF"/>
          <w:sz w:val="22"/>
          <w:szCs w:val="22"/>
          <w:highlight w:val="none"/>
          <w:lang w:val="en-CA" w:bidi="en-CA"/>
        </w:rPr>
        <w:t xml:space="preserve">Med-Flamingo [7]. Biomedical language pretraining backbones such as BioBERT and BioGPT [40], [41] are also important in this stage because they improve terminology fidelity and domain-specific language control in downstream medical QA systems.</w:t>
      </w:r>
      <w:r>
        <w:rPr>
          <w:rFonts w:ascii="Arial" w:hAnsi="Arial" w:eastAsia="Arial" w:cs="Arial"/>
          <w:b w:val="0"/>
          <w:bCs w:val="0"/>
          <w:i w:val="0"/>
          <w:caps w:val="0"/>
          <w:smallCaps w:val="0"/>
          <w:color w:val="000000" w:themeColor="text1" w:themeTint="FF" w:themeShade="FF"/>
          <w:sz w:val="22"/>
          <w:szCs w:val="22"/>
          <w:highlight w:val="none"/>
          <w:lang w:val="en-CA" w:bidi="en-CA"/>
        </w:rPr>
      </w:r>
      <w:r/>
    </w:p>
    <w:p w14:paraId="5E05D7F5">
      <w:pPr>
        <w:pStyle w:val="112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highlight w:val="none"/>
          <w:lang w:val="en-CA" w:bidi="en-CA"/>
        </w:rPr>
        <w:t xml:space="preserve">The advantage is richer interaction and explanation-like output. The risk is that fluent generated text can become weakly grounded, lexically mismatched to benchmark labels, or clinically unsafe if not constrained.</w:t>
      </w:r>
      <w:r>
        <w:rPr>
          <w:rFonts w:ascii="Arial" w:hAnsi="Arial" w:eastAsia="Arial" w:cs="Arial"/>
          <w:b w:val="0"/>
          <w:bCs w:val="0"/>
          <w:i w:val="0"/>
          <w:caps w:val="0"/>
          <w:smallCaps w:val="0"/>
          <w:color w:val="000000" w:themeColor="text1" w:themeTint="FF" w:themeShade="FF"/>
          <w:sz w:val="22"/>
          <w:szCs w:val="22"/>
          <w:highlight w:val="none"/>
          <w:lang w:val="en-CA" w:bidi="en-CA"/>
        </w:rPr>
      </w:r>
      <w:r/>
    </w:p>
    <w:p w14:paraId="776ED911">
      <w:pPr>
        <w:pStyle w:val="1128"/>
        <w:suppressLineNumbers w:val="false"/>
        <w:pBdr/>
        <w:spacing w:after="240" w:afterAutospacing="0" w:before="240" w:beforeAutospacing="0" w:line="300" w:lineRule="auto"/>
        <w:ind w:firstLine="0"/>
        <w:rPr>
          <w:rFonts w:ascii="Arial" w:hAnsi="Arial" w:eastAsia="Arial" w:cs="Arial"/>
          <w:b/>
          <w:bCs/>
          <w:i w:val="0"/>
          <w:caps w:val="0"/>
          <w:smallCaps w:val="0"/>
          <w:color w:val="000000" w:themeColor="text1" w:themeTint="FF" w:themeShade="FF"/>
          <w:sz w:val="22"/>
          <w:szCs w:val="22"/>
          <w:highlight w:val="none"/>
        </w:rPr>
      </w:pPr>
      <w:r>
        <w:rPr>
          <w:rFonts w:ascii="Arial" w:hAnsi="Arial" w:eastAsia="Arial" w:cs="Arial"/>
          <w:b/>
          <w:bCs/>
          <w:i w:val="0"/>
          <w:caps w:val="0"/>
          <w:smallCaps w:val="0"/>
          <w:color w:val="000000" w:themeColor="text1" w:themeTint="FF" w:themeShade="FF"/>
          <w:sz w:val="22"/>
          <w:szCs w:val="22"/>
          <w:highlight w:val="none"/>
          <w:lang w:val="en-CA" w:bidi="en-CA"/>
        </w:rPr>
        <w:t xml:space="preserve">2.3.4 Stage D: Reliability, Explainability, and Evidence Grounding</w:t>
      </w:r>
      <w:r>
        <w:rPr>
          <w:rFonts w:ascii="Arial" w:hAnsi="Arial" w:eastAsia="Arial" w:cs="Arial"/>
          <w:b/>
          <w:bCs/>
          <w:i w:val="0"/>
          <w:caps w:val="0"/>
          <w:smallCaps w:val="0"/>
          <w:color w:val="000000" w:themeColor="text1" w:themeTint="FF" w:themeShade="FF"/>
          <w:sz w:val="22"/>
          <w:szCs w:val="22"/>
          <w:highlight w:val="none"/>
        </w:rPr>
      </w:r>
      <w:r>
        <w:rPr>
          <w:rFonts w:ascii="Arial" w:hAnsi="Arial" w:eastAsia="Arial" w:cs="Arial"/>
          <w:b/>
          <w:bCs/>
          <w:i w:val="0"/>
          <w:caps w:val="0"/>
          <w:smallCaps w:val="0"/>
          <w:color w:val="000000" w:themeColor="text1" w:themeTint="FF" w:themeShade="FF"/>
          <w:sz w:val="22"/>
          <w:szCs w:val="22"/>
          <w:highlight w:val="none"/>
        </w:rPr>
      </w:r>
    </w:p>
    <w:p w14:paraId="4DDCE036">
      <w:pPr>
        <w:pStyle w:val="112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highlight w:val="none"/>
          <w:lang w:val="en-CA" w:bidi="en-CA"/>
        </w:rPr>
        <w:t xml:space="preserve">T</w:t>
      </w:r>
      <w:r>
        <w:rPr>
          <w:rFonts w:ascii="Arial" w:hAnsi="Arial" w:eastAsia="Arial" w:cs="Arial"/>
          <w:b w:val="0"/>
          <w:bCs w:val="0"/>
          <w:i w:val="0"/>
          <w:caps w:val="0"/>
          <w:smallCaps w:val="0"/>
          <w:color w:val="000000" w:themeColor="text1" w:themeTint="FF" w:themeShade="FF"/>
          <w:sz w:val="22"/>
          <w:szCs w:val="22"/>
          <w:highlight w:val="none"/>
          <w:lang w:val="en-CA" w:bidi="en-CA"/>
        </w:rPr>
        <w:t xml:space="preserve">he current frontier moves beyond "answer generation" toward clinical trust requirements: grounding, calibration, interpretability, and evidence linkage. This includes benchmark-level work on probing reliability [11], multimodal in-context robustness [12]</w:t>
      </w:r>
      <w:r>
        <w:rPr>
          <w:rFonts w:ascii="Arial" w:hAnsi="Arial" w:eastAsia="Arial" w:cs="Arial"/>
          <w:b w:val="0"/>
          <w:bCs w:val="0"/>
          <w:i w:val="0"/>
          <w:caps w:val="0"/>
          <w:smallCaps w:val="0"/>
          <w:color w:val="000000" w:themeColor="text1" w:themeTint="FF" w:themeShade="FF"/>
          <w:sz w:val="22"/>
          <w:szCs w:val="22"/>
          <w:highlight w:val="none"/>
          <w:lang w:val="en-CA" w:bidi="en-CA"/>
        </w:rPr>
        <w:t xml:space="preserve">, explainability frameworks [15], and retrieval-based methods in clinical VQA settings [30].</w:t>
      </w:r>
      <w:r>
        <w:rPr>
          <w:rFonts w:ascii="Arial" w:hAnsi="Arial" w:eastAsia="Arial" w:cs="Arial"/>
          <w:b w:val="0"/>
          <w:bCs w:val="0"/>
          <w:i w:val="0"/>
          <w:caps w:val="0"/>
          <w:smallCaps w:val="0"/>
          <w:color w:val="000000" w:themeColor="text1" w:themeTint="FF" w:themeShade="FF"/>
          <w:sz w:val="22"/>
          <w:szCs w:val="22"/>
          <w:highlight w:val="none"/>
          <w:lang w:val="en-CA" w:bidi="en-CA"/>
        </w:rPr>
      </w:r>
      <w:r/>
    </w:p>
    <w:tbl>
      <w:tblPr>
        <w:tblStyle w:val="1185"/>
        <w:tblW w:w="0" w:type="auto"/>
        <w:tblBorders/>
        <w:tblLayout w:type="fixed"/>
        <w:tblLook w:val="04A0" w:firstRow="1" w:lastRow="0" w:firstColumn="1" w:lastColumn="0" w:noHBand="0" w:noVBand="1"/>
      </w:tblPr>
      <w:tblGrid>
        <w:gridCol w:w="2160"/>
        <w:gridCol w:w="1426"/>
        <w:gridCol w:w="2894"/>
        <w:gridCol w:w="2633"/>
      </w:tblGrid>
      <w:tr>
        <w:trPr/>
        <w:tc>
          <w:tcPr>
            <w:tcBorders/>
            <w:tcW w:w="2160" w:type="dxa"/>
            <w:textDirection w:val="lrTb"/>
            <w:noWrap w:val="false"/>
          </w:tcPr>
          <w:p w14:paraId="1BB6D935">
            <w:pPr>
              <w:pBdr/>
              <w:spacing w:after="0" w:before="0" w:line="240" w:lineRule="auto"/>
              <w:ind/>
              <w:rPr>
                <w:color w:val="000000" w:themeColor="text1"/>
              </w:rPr>
            </w:pPr>
            <w:r>
              <w:rPr>
                <w:rFonts w:ascii="Arial" w:hAnsi="Arial" w:eastAsia="Arial" w:cs="Arial"/>
                <w:b/>
                <w:color w:val="000000" w:themeColor="text1"/>
                <w:sz w:val="21"/>
              </w:rPr>
              <w:t xml:space="preserve">Dataset / Benchmark</w:t>
            </w:r>
            <w:r>
              <w:rPr>
                <w:color w:val="000000" w:themeColor="text1"/>
              </w:rPr>
            </w:r>
            <w:r>
              <w:rPr>
                <w:color w:val="000000" w:themeColor="text1"/>
              </w:rPr>
            </w:r>
          </w:p>
        </w:tc>
        <w:tc>
          <w:tcPr>
            <w:tcBorders/>
            <w:tcW w:w="1426" w:type="dxa"/>
            <w:textDirection w:val="lrTb"/>
            <w:noWrap w:val="false"/>
          </w:tcPr>
          <w:p w14:paraId="72A04FB2">
            <w:pPr>
              <w:pBdr/>
              <w:spacing w:after="0" w:before="0" w:line="240" w:lineRule="auto"/>
              <w:ind/>
              <w:jc w:val="right"/>
              <w:rPr>
                <w:color w:val="000000" w:themeColor="text1"/>
              </w:rPr>
            </w:pPr>
            <w:r>
              <w:rPr>
                <w:rFonts w:ascii="Arial" w:hAnsi="Arial" w:eastAsia="Arial" w:cs="Arial"/>
                <w:b/>
                <w:color w:val="000000" w:themeColor="text1"/>
                <w:sz w:val="21"/>
              </w:rPr>
              <w:t xml:space="preserve">Year</w:t>
            </w:r>
            <w:r>
              <w:rPr>
                <w:color w:val="000000" w:themeColor="text1"/>
              </w:rPr>
            </w:r>
            <w:r>
              <w:rPr>
                <w:color w:val="000000" w:themeColor="text1"/>
              </w:rPr>
            </w:r>
          </w:p>
        </w:tc>
        <w:tc>
          <w:tcPr>
            <w:tcBorders/>
            <w:tcW w:w="2894" w:type="dxa"/>
            <w:textDirection w:val="lrTb"/>
            <w:noWrap w:val="false"/>
          </w:tcPr>
          <w:p w14:paraId="5A74EF29">
            <w:pPr>
              <w:pBdr/>
              <w:spacing w:after="0" w:before="0" w:line="240" w:lineRule="auto"/>
              <w:ind/>
              <w:rPr>
                <w:color w:val="000000" w:themeColor="text1"/>
              </w:rPr>
            </w:pPr>
            <w:r>
              <w:rPr>
                <w:rFonts w:ascii="Arial" w:hAnsi="Arial" w:eastAsia="Arial" w:cs="Arial"/>
                <w:b/>
                <w:color w:val="000000" w:themeColor="text1"/>
                <w:sz w:val="21"/>
              </w:rPr>
              <w:t xml:space="preserve">Reported scope</w:t>
            </w:r>
            <w:r>
              <w:rPr>
                <w:color w:val="000000" w:themeColor="text1"/>
              </w:rPr>
            </w:r>
            <w:r>
              <w:rPr>
                <w:color w:val="000000" w:themeColor="text1"/>
              </w:rPr>
            </w:r>
          </w:p>
        </w:tc>
        <w:tc>
          <w:tcPr>
            <w:tcBorders/>
            <w:tcW w:w="2633" w:type="dxa"/>
            <w:textDirection w:val="lrTb"/>
            <w:noWrap w:val="false"/>
          </w:tcPr>
          <w:p w14:paraId="08273E8D">
            <w:pPr>
              <w:pBdr/>
              <w:spacing w:after="0" w:before="0" w:line="240" w:lineRule="auto"/>
              <w:ind/>
              <w:rPr>
                <w:color w:val="000000" w:themeColor="text1"/>
              </w:rPr>
            </w:pPr>
            <w:r>
              <w:rPr>
                <w:rFonts w:ascii="Arial" w:hAnsi="Arial" w:eastAsia="Arial" w:cs="Arial"/>
                <w:b/>
                <w:color w:val="000000" w:themeColor="text1"/>
                <w:sz w:val="21"/>
              </w:rPr>
              <w:t xml:space="preserve">Why it matters</w:t>
            </w:r>
            <w:r>
              <w:rPr>
                <w:color w:val="000000" w:themeColor="text1"/>
              </w:rPr>
            </w:r>
            <w:r>
              <w:rPr>
                <w:color w:val="000000" w:themeColor="text1"/>
              </w:rPr>
            </w:r>
          </w:p>
        </w:tc>
      </w:tr>
      <w:tr>
        <w:trPr/>
        <w:tc>
          <w:tcPr>
            <w:tcBorders/>
            <w:tcW w:w="2160" w:type="dxa"/>
            <w:textDirection w:val="lrTb"/>
            <w:noWrap w:val="false"/>
          </w:tcPr>
          <w:p w14:paraId="5B497BE1">
            <w:pPr>
              <w:pBdr/>
              <w:spacing w:after="0" w:before="0" w:line="240" w:lineRule="auto"/>
              <w:ind/>
              <w:rPr>
                <w:color w:val="000000" w:themeColor="text1"/>
              </w:rPr>
            </w:pPr>
            <w:r>
              <w:rPr>
                <w:rFonts w:ascii="Arial" w:hAnsi="Arial" w:eastAsia="Arial" w:cs="Arial"/>
                <w:color w:val="000000" w:themeColor="text1"/>
                <w:sz w:val="21"/>
              </w:rPr>
              <w:t xml:space="preserve">VQA-RAD [1]</w:t>
            </w:r>
            <w:r>
              <w:rPr>
                <w:color w:val="000000" w:themeColor="text1"/>
              </w:rPr>
            </w:r>
            <w:r>
              <w:rPr>
                <w:color w:val="000000" w:themeColor="text1"/>
              </w:rPr>
            </w:r>
          </w:p>
        </w:tc>
        <w:tc>
          <w:tcPr>
            <w:tcBorders/>
            <w:tcW w:w="1426" w:type="dxa"/>
            <w:textDirection w:val="lrTb"/>
            <w:noWrap w:val="false"/>
          </w:tcPr>
          <w:p w14:paraId="3D1B7E2E">
            <w:pPr>
              <w:pBdr/>
              <w:spacing w:after="0" w:before="0" w:line="240" w:lineRule="auto"/>
              <w:ind/>
              <w:jc w:val="right"/>
              <w:rPr>
                <w:color w:val="000000" w:themeColor="text1"/>
              </w:rPr>
            </w:pPr>
            <w:r>
              <w:rPr>
                <w:rFonts w:ascii="Arial" w:hAnsi="Arial" w:eastAsia="Arial" w:cs="Arial"/>
                <w:color w:val="000000" w:themeColor="text1"/>
                <w:sz w:val="21"/>
              </w:rPr>
              <w:t xml:space="preserve">2018</w:t>
            </w:r>
            <w:r>
              <w:rPr>
                <w:color w:val="000000" w:themeColor="text1"/>
              </w:rPr>
            </w:r>
            <w:r>
              <w:rPr>
                <w:color w:val="000000" w:themeColor="text1"/>
              </w:rPr>
            </w:r>
          </w:p>
        </w:tc>
        <w:tc>
          <w:tcPr>
            <w:tcBorders/>
            <w:tcW w:w="2894" w:type="dxa"/>
            <w:textDirection w:val="lrTb"/>
            <w:noWrap w:val="false"/>
          </w:tcPr>
          <w:p w14:paraId="172AF322">
            <w:pPr>
              <w:pBdr/>
              <w:spacing w:after="0" w:before="0" w:line="240" w:lineRule="auto"/>
              <w:ind/>
              <w:rPr>
                <w:color w:val="000000" w:themeColor="text1"/>
              </w:rPr>
            </w:pPr>
            <w:r>
              <w:rPr>
                <w:rFonts w:ascii="Arial" w:hAnsi="Arial" w:eastAsia="Arial" w:cs="Arial"/>
                <w:color w:val="000000" w:themeColor="text1"/>
                <w:sz w:val="21"/>
              </w:rPr>
              <w:t xml:space="preserve">Clinician-authored radiology QA</w:t>
            </w:r>
            <w:r>
              <w:rPr>
                <w:color w:val="000000" w:themeColor="text1"/>
              </w:rPr>
            </w:r>
            <w:r>
              <w:rPr>
                <w:color w:val="000000" w:themeColor="text1"/>
              </w:rPr>
            </w:r>
          </w:p>
        </w:tc>
        <w:tc>
          <w:tcPr>
            <w:tcBorders/>
            <w:tcW w:w="2633" w:type="dxa"/>
            <w:textDirection w:val="lrTb"/>
            <w:noWrap w:val="false"/>
          </w:tcPr>
          <w:p w14:paraId="6845090C">
            <w:pPr>
              <w:pBdr/>
              <w:spacing w:after="0" w:before="0" w:line="240" w:lineRule="auto"/>
              <w:ind/>
              <w:rPr>
                <w:color w:val="000000" w:themeColor="text1"/>
              </w:rPr>
            </w:pPr>
            <w:r>
              <w:rPr>
                <w:rFonts w:ascii="Arial" w:hAnsi="Arial" w:eastAsia="Arial" w:cs="Arial"/>
                <w:color w:val="000000" w:themeColor="text1"/>
                <w:sz w:val="21"/>
              </w:rPr>
              <w:t xml:space="preserve">Early high-quality clinician-driven MedVQA benchmark</w:t>
            </w:r>
            <w:r>
              <w:rPr>
                <w:color w:val="000000" w:themeColor="text1"/>
              </w:rPr>
            </w:r>
            <w:r>
              <w:rPr>
                <w:color w:val="000000" w:themeColor="text1"/>
              </w:rPr>
            </w:r>
          </w:p>
        </w:tc>
      </w:tr>
      <w:tr>
        <w:trPr/>
        <w:tc>
          <w:tcPr>
            <w:tcBorders/>
            <w:tcW w:w="2160" w:type="dxa"/>
            <w:textDirection w:val="lrTb"/>
            <w:noWrap w:val="false"/>
          </w:tcPr>
          <w:p w14:paraId="560C83FC">
            <w:pPr>
              <w:pBdr/>
              <w:spacing w:after="0" w:before="0" w:line="240" w:lineRule="auto"/>
              <w:ind/>
              <w:rPr>
                <w:color w:val="000000" w:themeColor="text1"/>
              </w:rPr>
            </w:pPr>
            <w:r>
              <w:rPr>
                <w:rFonts w:ascii="Arial" w:hAnsi="Arial" w:eastAsia="Arial" w:cs="Arial"/>
                <w:color w:val="000000" w:themeColor="text1"/>
                <w:sz w:val="21"/>
              </w:rPr>
              <w:t xml:space="preserve">PathVQA [2]</w:t>
            </w:r>
            <w:r>
              <w:rPr>
                <w:color w:val="000000" w:themeColor="text1"/>
              </w:rPr>
            </w:r>
            <w:r>
              <w:rPr>
                <w:color w:val="000000" w:themeColor="text1"/>
              </w:rPr>
            </w:r>
          </w:p>
        </w:tc>
        <w:tc>
          <w:tcPr>
            <w:tcBorders/>
            <w:tcW w:w="1426" w:type="dxa"/>
            <w:textDirection w:val="lrTb"/>
            <w:noWrap w:val="false"/>
          </w:tcPr>
          <w:p w14:paraId="3C5E547B">
            <w:pPr>
              <w:pBdr/>
              <w:spacing w:after="0" w:before="0" w:line="240" w:lineRule="auto"/>
              <w:ind/>
              <w:jc w:val="right"/>
              <w:rPr>
                <w:color w:val="000000" w:themeColor="text1"/>
              </w:rPr>
            </w:pPr>
            <w:r>
              <w:rPr>
                <w:rFonts w:ascii="Arial" w:hAnsi="Arial" w:eastAsia="Arial" w:cs="Arial"/>
                <w:color w:val="000000" w:themeColor="text1"/>
                <w:sz w:val="21"/>
              </w:rPr>
              <w:t xml:space="preserve">2020</w:t>
            </w:r>
            <w:r>
              <w:rPr>
                <w:color w:val="000000" w:themeColor="text1"/>
              </w:rPr>
            </w:r>
            <w:r>
              <w:rPr>
                <w:color w:val="000000" w:themeColor="text1"/>
              </w:rPr>
            </w:r>
          </w:p>
        </w:tc>
        <w:tc>
          <w:tcPr>
            <w:tcBorders/>
            <w:tcW w:w="2894" w:type="dxa"/>
            <w:textDirection w:val="lrTb"/>
            <w:noWrap w:val="false"/>
          </w:tcPr>
          <w:p w14:paraId="3CAA6A15">
            <w:pPr>
              <w:pBdr/>
              <w:spacing w:after="0" w:before="0" w:line="240" w:lineRule="auto"/>
              <w:ind/>
              <w:rPr>
                <w:color w:val="000000" w:themeColor="text1"/>
              </w:rPr>
            </w:pPr>
            <w:r>
              <w:rPr>
                <w:rFonts w:ascii="Arial" w:hAnsi="Arial" w:eastAsia="Arial" w:cs="Arial"/>
                <w:color w:val="000000" w:themeColor="text1"/>
                <w:sz w:val="21"/>
              </w:rPr>
              <w:t xml:space="preserve">Pathology QA from textbook/digital resources</w:t>
            </w:r>
            <w:r>
              <w:rPr>
                <w:color w:val="000000" w:themeColor="text1"/>
              </w:rPr>
            </w:r>
            <w:r>
              <w:rPr>
                <w:color w:val="000000" w:themeColor="text1"/>
              </w:rPr>
            </w:r>
          </w:p>
        </w:tc>
        <w:tc>
          <w:tcPr>
            <w:tcBorders/>
            <w:tcW w:w="2633" w:type="dxa"/>
            <w:textDirection w:val="lrTb"/>
            <w:noWrap w:val="false"/>
          </w:tcPr>
          <w:p w14:paraId="3818061F">
            <w:pPr>
              <w:pBdr/>
              <w:spacing w:after="0" w:before="0" w:line="240" w:lineRule="auto"/>
              <w:ind/>
              <w:rPr>
                <w:color w:val="000000" w:themeColor="text1"/>
              </w:rPr>
            </w:pPr>
            <w:r>
              <w:rPr>
                <w:rFonts w:ascii="Arial" w:hAnsi="Arial" w:eastAsia="Arial" w:cs="Arial"/>
                <w:color w:val="000000" w:themeColor="text1"/>
                <w:sz w:val="21"/>
              </w:rPr>
              <w:t xml:space="preserve">Extended MedVQA to histopathology</w:t>
            </w:r>
            <w:r>
              <w:rPr>
                <w:color w:val="000000" w:themeColor="text1"/>
              </w:rPr>
            </w:r>
            <w:r>
              <w:rPr>
                <w:color w:val="000000" w:themeColor="text1"/>
              </w:rPr>
            </w:r>
          </w:p>
        </w:tc>
      </w:tr>
      <w:tr>
        <w:trPr/>
        <w:tc>
          <w:tcPr>
            <w:tcBorders/>
            <w:tcW w:w="2160" w:type="dxa"/>
            <w:textDirection w:val="lrTb"/>
            <w:noWrap w:val="false"/>
          </w:tcPr>
          <w:p w14:paraId="21D6FC69">
            <w:pPr>
              <w:pBdr/>
              <w:spacing w:after="0" w:before="0" w:line="240" w:lineRule="auto"/>
              <w:ind/>
              <w:rPr>
                <w:color w:val="000000" w:themeColor="text1"/>
              </w:rPr>
            </w:pPr>
            <w:r>
              <w:rPr>
                <w:rFonts w:ascii="Arial" w:hAnsi="Arial" w:eastAsia="Arial" w:cs="Arial"/>
                <w:color w:val="000000" w:themeColor="text1"/>
                <w:sz w:val="21"/>
              </w:rPr>
              <w:t xml:space="preserve">SLAKE [3]</w:t>
            </w:r>
            <w:r>
              <w:rPr>
                <w:color w:val="000000" w:themeColor="text1"/>
              </w:rPr>
            </w:r>
            <w:r>
              <w:rPr>
                <w:color w:val="000000" w:themeColor="text1"/>
              </w:rPr>
            </w:r>
          </w:p>
        </w:tc>
        <w:tc>
          <w:tcPr>
            <w:tcBorders/>
            <w:tcW w:w="1426" w:type="dxa"/>
            <w:textDirection w:val="lrTb"/>
            <w:noWrap w:val="false"/>
          </w:tcPr>
          <w:p w14:paraId="76D1610E">
            <w:pPr>
              <w:pBdr/>
              <w:spacing w:after="0" w:before="0" w:line="240" w:lineRule="auto"/>
              <w:ind/>
              <w:jc w:val="right"/>
              <w:rPr>
                <w:color w:val="000000" w:themeColor="text1"/>
              </w:rPr>
            </w:pPr>
            <w:r>
              <w:rPr>
                <w:rFonts w:ascii="Arial" w:hAnsi="Arial" w:eastAsia="Arial" w:cs="Arial"/>
                <w:color w:val="000000" w:themeColor="text1"/>
                <w:sz w:val="21"/>
              </w:rPr>
              <w:t xml:space="preserve">2021</w:t>
            </w:r>
            <w:r>
              <w:rPr>
                <w:color w:val="000000" w:themeColor="text1"/>
              </w:rPr>
            </w:r>
            <w:r>
              <w:rPr>
                <w:color w:val="000000" w:themeColor="text1"/>
              </w:rPr>
            </w:r>
          </w:p>
        </w:tc>
        <w:tc>
          <w:tcPr>
            <w:tcBorders/>
            <w:tcW w:w="2894" w:type="dxa"/>
            <w:textDirection w:val="lrTb"/>
            <w:noWrap w:val="false"/>
          </w:tcPr>
          <w:p w14:paraId="3D1AF1BF">
            <w:pPr>
              <w:pBdr/>
              <w:spacing w:after="0" w:before="0" w:line="240" w:lineRule="auto"/>
              <w:ind/>
              <w:rPr>
                <w:color w:val="000000" w:themeColor="text1"/>
              </w:rPr>
            </w:pPr>
            <w:r>
              <w:rPr>
                <w:rFonts w:ascii="Arial" w:hAnsi="Arial" w:eastAsia="Arial" w:cs="Arial"/>
                <w:color w:val="000000" w:themeColor="text1"/>
                <w:sz w:val="21"/>
              </w:rPr>
              <w:t xml:space="preserve">Bilingual, semantically labeled medical QA</w:t>
            </w:r>
            <w:r>
              <w:rPr>
                <w:color w:val="000000" w:themeColor="text1"/>
              </w:rPr>
            </w:r>
            <w:r>
              <w:rPr>
                <w:color w:val="000000" w:themeColor="text1"/>
              </w:rPr>
            </w:r>
          </w:p>
        </w:tc>
        <w:tc>
          <w:tcPr>
            <w:tcBorders/>
            <w:tcW w:w="2633" w:type="dxa"/>
            <w:textDirection w:val="lrTb"/>
            <w:noWrap w:val="false"/>
          </w:tcPr>
          <w:p w14:paraId="3914D672">
            <w:pPr>
              <w:pBdr/>
              <w:spacing w:after="0" w:before="0" w:line="240" w:lineRule="auto"/>
              <w:ind/>
              <w:rPr>
                <w:color w:val="000000" w:themeColor="text1"/>
              </w:rPr>
            </w:pPr>
            <w:r>
              <w:rPr>
                <w:rFonts w:ascii="Arial" w:hAnsi="Arial" w:eastAsia="Arial" w:cs="Arial"/>
                <w:color w:val="000000" w:themeColor="text1"/>
                <w:sz w:val="21"/>
              </w:rPr>
              <w:t xml:space="preserve">Added richer semantic structure and multilinguality</w:t>
            </w:r>
            <w:r>
              <w:rPr>
                <w:color w:val="000000" w:themeColor="text1"/>
              </w:rPr>
            </w:r>
            <w:r>
              <w:rPr>
                <w:color w:val="000000" w:themeColor="text1"/>
              </w:rPr>
            </w:r>
          </w:p>
        </w:tc>
      </w:tr>
      <w:tr>
        <w:trPr/>
        <w:tc>
          <w:tcPr>
            <w:tcBorders/>
            <w:tcW w:w="2160" w:type="dxa"/>
            <w:textDirection w:val="lrTb"/>
            <w:noWrap w:val="false"/>
          </w:tcPr>
          <w:p w14:paraId="2EAF0E2D">
            <w:pPr>
              <w:pBdr/>
              <w:spacing w:after="0" w:before="0" w:line="240" w:lineRule="auto"/>
              <w:ind/>
              <w:rPr>
                <w:color w:val="000000" w:themeColor="text1"/>
              </w:rPr>
            </w:pPr>
            <w:r>
              <w:rPr>
                <w:rFonts w:ascii="Arial" w:hAnsi="Arial" w:eastAsia="Arial" w:cs="Arial"/>
                <w:color w:val="000000" w:themeColor="text1"/>
                <w:sz w:val="21"/>
              </w:rPr>
              <w:t xml:space="preserve">PMC-VQA [5]</w:t>
            </w:r>
            <w:r>
              <w:rPr>
                <w:color w:val="000000" w:themeColor="text1"/>
              </w:rPr>
            </w:r>
            <w:r>
              <w:rPr>
                <w:color w:val="000000" w:themeColor="text1"/>
              </w:rPr>
            </w:r>
          </w:p>
        </w:tc>
        <w:tc>
          <w:tcPr>
            <w:tcBorders/>
            <w:tcW w:w="1426" w:type="dxa"/>
            <w:textDirection w:val="lrTb"/>
            <w:noWrap w:val="false"/>
          </w:tcPr>
          <w:p w14:paraId="2D29C4DC">
            <w:pPr>
              <w:pBdr/>
              <w:spacing w:after="0" w:before="0" w:line="240" w:lineRule="auto"/>
              <w:ind/>
              <w:jc w:val="right"/>
              <w:rPr>
                <w:color w:val="000000" w:themeColor="text1"/>
              </w:rPr>
            </w:pPr>
            <w:r>
              <w:rPr>
                <w:rFonts w:ascii="Arial" w:hAnsi="Arial" w:eastAsia="Arial" w:cs="Arial"/>
                <w:color w:val="000000" w:themeColor="text1"/>
                <w:sz w:val="21"/>
              </w:rPr>
              <w:t xml:space="preserve">2023</w:t>
            </w:r>
            <w:r>
              <w:rPr>
                <w:color w:val="000000" w:themeColor="text1"/>
              </w:rPr>
            </w:r>
            <w:r>
              <w:rPr>
                <w:color w:val="000000" w:themeColor="text1"/>
              </w:rPr>
            </w:r>
          </w:p>
        </w:tc>
        <w:tc>
          <w:tcPr>
            <w:tcBorders/>
            <w:tcW w:w="2894" w:type="dxa"/>
            <w:textDirection w:val="lrTb"/>
            <w:noWrap w:val="false"/>
          </w:tcPr>
          <w:p w14:paraId="5E701DB6">
            <w:pPr>
              <w:pBdr/>
              <w:spacing w:after="0" w:before="0" w:line="240" w:lineRule="auto"/>
              <w:ind/>
              <w:rPr>
                <w:color w:val="000000" w:themeColor="text1"/>
              </w:rPr>
            </w:pPr>
            <w:r>
              <w:rPr>
                <w:rFonts w:ascii="Arial" w:hAnsi="Arial" w:eastAsia="Arial" w:cs="Arial"/>
                <w:color w:val="000000" w:themeColor="text1"/>
                <w:sz w:val="21"/>
              </w:rPr>
              <w:t xml:space="preserve">Large-scale visual instruction tuning corpus</w:t>
            </w:r>
            <w:r>
              <w:rPr>
                <w:color w:val="000000" w:themeColor="text1"/>
              </w:rPr>
            </w:r>
            <w:r>
              <w:rPr>
                <w:color w:val="000000" w:themeColor="text1"/>
              </w:rPr>
            </w:r>
          </w:p>
        </w:tc>
        <w:tc>
          <w:tcPr>
            <w:tcBorders/>
            <w:tcW w:w="2633" w:type="dxa"/>
            <w:textDirection w:val="lrTb"/>
            <w:noWrap w:val="false"/>
          </w:tcPr>
          <w:p w14:paraId="4653EC90">
            <w:pPr>
              <w:pBdr/>
              <w:spacing w:after="0" w:before="0" w:line="240" w:lineRule="auto"/>
              <w:ind/>
              <w:rPr>
                <w:color w:val="000000" w:themeColor="text1"/>
              </w:rPr>
            </w:pPr>
            <w:r>
              <w:rPr>
                <w:rFonts w:ascii="Arial" w:hAnsi="Arial" w:eastAsia="Arial" w:cs="Arial"/>
                <w:color w:val="000000" w:themeColor="text1"/>
                <w:sz w:val="21"/>
              </w:rPr>
              <w:t xml:space="preserve">Enabled modern generative MedVQA pipelines</w:t>
            </w:r>
            <w:r>
              <w:rPr>
                <w:color w:val="000000" w:themeColor="text1"/>
              </w:rPr>
            </w:r>
            <w:r>
              <w:rPr>
                <w:color w:val="000000" w:themeColor="text1"/>
              </w:rPr>
            </w:r>
          </w:p>
        </w:tc>
      </w:tr>
      <w:tr>
        <w:trPr/>
        <w:tc>
          <w:tcPr>
            <w:tcBorders/>
            <w:tcW w:w="2160" w:type="dxa"/>
            <w:textDirection w:val="lrTb"/>
            <w:noWrap w:val="false"/>
          </w:tcPr>
          <w:p w14:paraId="78BA26E6">
            <w:pPr>
              <w:pBdr/>
              <w:spacing w:after="0" w:before="0" w:line="240" w:lineRule="auto"/>
              <w:ind/>
              <w:rPr>
                <w:color w:val="000000" w:themeColor="text1"/>
              </w:rPr>
            </w:pPr>
            <w:r>
              <w:rPr>
                <w:rFonts w:ascii="Arial" w:hAnsi="Arial" w:eastAsia="Arial" w:cs="Arial"/>
                <w:color w:val="000000" w:themeColor="text1"/>
                <w:sz w:val="21"/>
              </w:rPr>
              <w:t xml:space="preserve">OmniMedVQA [8]</w:t>
            </w:r>
            <w:r>
              <w:rPr>
                <w:color w:val="000000" w:themeColor="text1"/>
              </w:rPr>
            </w:r>
            <w:r>
              <w:rPr>
                <w:color w:val="000000" w:themeColor="text1"/>
              </w:rPr>
            </w:r>
          </w:p>
        </w:tc>
        <w:tc>
          <w:tcPr>
            <w:tcBorders/>
            <w:tcW w:w="1426" w:type="dxa"/>
            <w:textDirection w:val="lrTb"/>
            <w:noWrap w:val="false"/>
          </w:tcPr>
          <w:p w14:paraId="46704286">
            <w:pPr>
              <w:pBdr/>
              <w:spacing w:after="0" w:before="0" w:line="240" w:lineRule="auto"/>
              <w:ind/>
              <w:jc w:val="right"/>
              <w:rPr>
                <w:color w:val="000000" w:themeColor="text1"/>
              </w:rPr>
            </w:pPr>
            <w:r>
              <w:rPr>
                <w:rFonts w:ascii="Arial" w:hAnsi="Arial" w:eastAsia="Arial" w:cs="Arial"/>
                <w:color w:val="000000" w:themeColor="text1"/>
                <w:sz w:val="21"/>
              </w:rPr>
              <w:t xml:space="preserve">2024</w:t>
            </w:r>
            <w:r>
              <w:rPr>
                <w:color w:val="000000" w:themeColor="text1"/>
              </w:rPr>
            </w:r>
            <w:r>
              <w:rPr>
                <w:color w:val="000000" w:themeColor="text1"/>
              </w:rPr>
            </w:r>
          </w:p>
        </w:tc>
        <w:tc>
          <w:tcPr>
            <w:tcBorders/>
            <w:tcW w:w="2894" w:type="dxa"/>
            <w:textDirection w:val="lrTb"/>
            <w:noWrap w:val="false"/>
          </w:tcPr>
          <w:p w14:paraId="60F36358">
            <w:pPr>
              <w:pBdr/>
              <w:spacing w:after="0" w:before="0" w:line="240" w:lineRule="auto"/>
              <w:ind/>
              <w:rPr>
                <w:color w:val="000000" w:themeColor="text1"/>
              </w:rPr>
            </w:pPr>
            <w:r>
              <w:rPr>
                <w:rFonts w:ascii="Arial" w:hAnsi="Arial" w:eastAsia="Arial" w:cs="Arial"/>
                <w:color w:val="000000" w:themeColor="text1"/>
                <w:sz w:val="21"/>
              </w:rPr>
              <w:t xml:space="preserve">Large multi-dataset LVLM benchmark</w:t>
            </w:r>
            <w:r>
              <w:rPr>
                <w:color w:val="000000" w:themeColor="text1"/>
              </w:rPr>
            </w:r>
            <w:r>
              <w:rPr>
                <w:color w:val="000000" w:themeColor="text1"/>
              </w:rPr>
            </w:r>
          </w:p>
        </w:tc>
        <w:tc>
          <w:tcPr>
            <w:tcBorders/>
            <w:tcW w:w="2633" w:type="dxa"/>
            <w:textDirection w:val="lrTb"/>
            <w:noWrap w:val="false"/>
          </w:tcPr>
          <w:p w14:paraId="0055A413">
            <w:pPr>
              <w:pBdr/>
              <w:spacing w:after="0" w:before="0" w:line="240" w:lineRule="auto"/>
              <w:ind/>
              <w:rPr>
                <w:color w:val="000000" w:themeColor="text1"/>
              </w:rPr>
            </w:pPr>
            <w:r>
              <w:rPr>
                <w:rFonts w:ascii="Arial" w:hAnsi="Arial" w:eastAsia="Arial" w:cs="Arial"/>
                <w:color w:val="000000" w:themeColor="text1"/>
                <w:sz w:val="21"/>
              </w:rPr>
              <w:t xml:space="preserve">Stress-tests generalization across modalities and anatomy</w:t>
            </w:r>
            <w:r>
              <w:rPr>
                <w:color w:val="000000" w:themeColor="text1"/>
              </w:rPr>
            </w:r>
            <w:r>
              <w:rPr>
                <w:color w:val="000000" w:themeColor="text1"/>
              </w:rPr>
            </w:r>
          </w:p>
        </w:tc>
      </w:tr>
      <w:tr>
        <w:trPr/>
        <w:tc>
          <w:tcPr>
            <w:tcBorders/>
            <w:tcW w:w="2160" w:type="dxa"/>
            <w:textDirection w:val="lrTb"/>
            <w:noWrap w:val="false"/>
          </w:tcPr>
          <w:p w14:paraId="754AC196">
            <w:pPr>
              <w:pBdr/>
              <w:spacing w:after="0" w:before="0" w:line="240" w:lineRule="auto"/>
              <w:ind/>
              <w:rPr>
                <w:color w:val="000000" w:themeColor="text1"/>
              </w:rPr>
            </w:pPr>
            <w:r>
              <w:rPr>
                <w:rFonts w:ascii="Arial" w:hAnsi="Arial" w:eastAsia="Arial" w:cs="Arial"/>
                <w:color w:val="000000" w:themeColor="text1"/>
                <w:sz w:val="21"/>
              </w:rPr>
              <w:t xml:space="preserve">MedBookVQA [9]</w:t>
            </w:r>
            <w:r>
              <w:rPr>
                <w:color w:val="000000" w:themeColor="text1"/>
              </w:rPr>
            </w:r>
            <w:r>
              <w:rPr>
                <w:color w:val="000000" w:themeColor="text1"/>
              </w:rPr>
            </w:r>
          </w:p>
        </w:tc>
        <w:tc>
          <w:tcPr>
            <w:tcBorders/>
            <w:tcW w:w="1426" w:type="dxa"/>
            <w:textDirection w:val="lrTb"/>
            <w:noWrap w:val="false"/>
          </w:tcPr>
          <w:p w14:paraId="7905BDE8">
            <w:pPr>
              <w:pBdr/>
              <w:spacing w:after="0" w:before="0" w:line="240" w:lineRule="auto"/>
              <w:ind/>
              <w:jc w:val="right"/>
              <w:rPr>
                <w:color w:val="000000" w:themeColor="text1"/>
              </w:rPr>
            </w:pPr>
            <w:r>
              <w:rPr>
                <w:rFonts w:ascii="Arial" w:hAnsi="Arial" w:eastAsia="Arial" w:cs="Arial"/>
                <w:color w:val="000000" w:themeColor="text1"/>
                <w:sz w:val="21"/>
              </w:rPr>
              <w:t xml:space="preserve">2025</w:t>
            </w:r>
            <w:r>
              <w:rPr>
                <w:color w:val="000000" w:themeColor="text1"/>
              </w:rPr>
            </w:r>
            <w:r>
              <w:rPr>
                <w:color w:val="000000" w:themeColor="text1"/>
              </w:rPr>
            </w:r>
          </w:p>
        </w:tc>
        <w:tc>
          <w:tcPr>
            <w:tcBorders/>
            <w:tcW w:w="2894" w:type="dxa"/>
            <w:textDirection w:val="lrTb"/>
            <w:noWrap w:val="false"/>
          </w:tcPr>
          <w:p w14:paraId="00F92362">
            <w:pPr>
              <w:pBdr/>
              <w:spacing w:after="0" w:before="0" w:line="240" w:lineRule="auto"/>
              <w:ind/>
              <w:rPr>
                <w:color w:val="000000" w:themeColor="text1"/>
              </w:rPr>
            </w:pPr>
            <w:r>
              <w:rPr>
                <w:rFonts w:ascii="Arial" w:hAnsi="Arial" w:eastAsia="Arial" w:cs="Arial"/>
                <w:color w:val="000000" w:themeColor="text1"/>
                <w:sz w:val="21"/>
              </w:rPr>
              <w:t xml:space="preserve">Textbook-derived multimodal benchmark</w:t>
            </w:r>
            <w:r>
              <w:rPr>
                <w:color w:val="000000" w:themeColor="text1"/>
              </w:rPr>
            </w:r>
            <w:r>
              <w:rPr>
                <w:color w:val="000000" w:themeColor="text1"/>
              </w:rPr>
            </w:r>
          </w:p>
        </w:tc>
        <w:tc>
          <w:tcPr>
            <w:tcBorders/>
            <w:tcW w:w="2633" w:type="dxa"/>
            <w:textDirection w:val="lrTb"/>
            <w:noWrap w:val="false"/>
          </w:tcPr>
          <w:p w14:paraId="281F7F3A">
            <w:pPr>
              <w:pBdr/>
              <w:spacing w:after="0" w:before="0" w:line="240" w:lineRule="auto"/>
              <w:ind/>
              <w:rPr>
                <w:color w:val="000000" w:themeColor="text1"/>
              </w:rPr>
            </w:pPr>
            <w:r>
              <w:rPr>
                <w:rFonts w:ascii="Arial" w:hAnsi="Arial" w:eastAsia="Arial" w:cs="Arial"/>
                <w:color w:val="000000" w:themeColor="text1"/>
                <w:sz w:val="21"/>
              </w:rPr>
              <w:t xml:space="preserve">Structured benchmark for broad medical domains</w:t>
            </w:r>
            <w:r>
              <w:rPr>
                <w:color w:val="000000" w:themeColor="text1"/>
              </w:rPr>
            </w:r>
            <w:r>
              <w:rPr>
                <w:color w:val="000000" w:themeColor="text1"/>
              </w:rPr>
            </w:r>
          </w:p>
        </w:tc>
      </w:tr>
      <w:tr>
        <w:trPr/>
        <w:tc>
          <w:tcPr>
            <w:tcBorders/>
            <w:tcW w:w="2160" w:type="dxa"/>
            <w:textDirection w:val="lrTb"/>
            <w:noWrap w:val="false"/>
          </w:tcPr>
          <w:p w14:paraId="6D66E4BF">
            <w:pPr>
              <w:pBdr/>
              <w:spacing w:after="0" w:before="0" w:line="240" w:lineRule="auto"/>
              <w:ind/>
              <w:rPr>
                <w:color w:val="000000" w:themeColor="text1"/>
              </w:rPr>
            </w:pPr>
            <w:r>
              <w:rPr>
                <w:rFonts w:ascii="Arial" w:hAnsi="Arial" w:eastAsia="Arial" w:cs="Arial"/>
                <w:color w:val="000000" w:themeColor="text1"/>
                <w:sz w:val="21"/>
              </w:rPr>
              <w:t xml:space="preserve">MedFrameQA [10]</w:t>
            </w:r>
            <w:r>
              <w:rPr>
                <w:color w:val="000000" w:themeColor="text1"/>
              </w:rPr>
            </w:r>
            <w:r>
              <w:rPr>
                <w:color w:val="000000" w:themeColor="text1"/>
              </w:rPr>
            </w:r>
          </w:p>
        </w:tc>
        <w:tc>
          <w:tcPr>
            <w:tcBorders/>
            <w:tcW w:w="1426" w:type="dxa"/>
            <w:textDirection w:val="lrTb"/>
            <w:noWrap w:val="false"/>
          </w:tcPr>
          <w:p w14:paraId="31930385">
            <w:pPr>
              <w:pBdr/>
              <w:spacing w:after="0" w:before="0" w:line="240" w:lineRule="auto"/>
              <w:ind/>
              <w:jc w:val="right"/>
              <w:rPr>
                <w:color w:val="000000" w:themeColor="text1"/>
              </w:rPr>
            </w:pPr>
            <w:r>
              <w:rPr>
                <w:rFonts w:ascii="Arial" w:hAnsi="Arial" w:eastAsia="Arial" w:cs="Arial"/>
                <w:color w:val="000000" w:themeColor="text1"/>
                <w:sz w:val="21"/>
              </w:rPr>
              <w:t xml:space="preserve">2025 (rev. 2026)</w:t>
            </w:r>
            <w:r>
              <w:rPr>
                <w:color w:val="000000" w:themeColor="text1"/>
              </w:rPr>
            </w:r>
            <w:r>
              <w:rPr>
                <w:color w:val="000000" w:themeColor="text1"/>
              </w:rPr>
            </w:r>
          </w:p>
        </w:tc>
        <w:tc>
          <w:tcPr>
            <w:tcBorders/>
            <w:tcW w:w="2894" w:type="dxa"/>
            <w:textDirection w:val="lrTb"/>
            <w:noWrap w:val="false"/>
          </w:tcPr>
          <w:p w14:paraId="49FAF7BF">
            <w:pPr>
              <w:pBdr/>
              <w:spacing w:after="0" w:before="0" w:line="240" w:lineRule="auto"/>
              <w:ind/>
              <w:rPr>
                <w:color w:val="000000" w:themeColor="text1"/>
              </w:rPr>
            </w:pPr>
            <w:r>
              <w:rPr>
                <w:rFonts w:ascii="Arial" w:hAnsi="Arial" w:eastAsia="Arial" w:cs="Arial"/>
                <w:color w:val="000000" w:themeColor="text1"/>
                <w:sz w:val="21"/>
              </w:rPr>
              <w:t xml:space="preserve">Multi-image reasoning benchmark</w:t>
            </w:r>
            <w:r>
              <w:rPr>
                <w:color w:val="000000" w:themeColor="text1"/>
              </w:rPr>
            </w:r>
            <w:r>
              <w:rPr>
                <w:color w:val="000000" w:themeColor="text1"/>
              </w:rPr>
            </w:r>
          </w:p>
        </w:tc>
        <w:tc>
          <w:tcPr>
            <w:tcBorders/>
            <w:tcW w:w="2633" w:type="dxa"/>
            <w:textDirection w:val="lrTb"/>
            <w:noWrap w:val="false"/>
          </w:tcPr>
          <w:p w14:paraId="3056A85A">
            <w:pPr>
              <w:pBdr/>
              <w:spacing w:after="0" w:before="0" w:line="240" w:lineRule="auto"/>
              <w:ind/>
              <w:rPr>
                <w:color w:val="000000" w:themeColor="text1"/>
              </w:rPr>
            </w:pPr>
            <w:r>
              <w:rPr>
                <w:rFonts w:ascii="Arial" w:hAnsi="Arial" w:eastAsia="Arial" w:cs="Arial"/>
                <w:color w:val="000000" w:themeColor="text1"/>
                <w:sz w:val="21"/>
              </w:rPr>
              <w:t xml:space="preserve">Closer to real clinical workflow than single-image QA</w:t>
            </w:r>
            <w:r>
              <w:rPr>
                <w:color w:val="000000" w:themeColor="text1"/>
              </w:rPr>
            </w:r>
            <w:r>
              <w:rPr>
                <w:color w:val="000000" w:themeColor="text1"/>
              </w:rPr>
            </w:r>
          </w:p>
        </w:tc>
      </w:tr>
    </w:tbl>
    <w:p w14:paraId="374281B9">
      <w:pPr>
        <w:pStyle w:val="1128"/>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highlight w:val="none"/>
          <w:lang w:val="en-CA" w:bidi="en-CA"/>
        </w:rPr>
      </w:pPr>
      <w:r>
        <w:rPr>
          <w:rFonts w:ascii="Arial" w:hAnsi="Arial" w:eastAsia="Arial" w:cs="Arial"/>
          <w:b w:val="0"/>
          <w:bCs w:val="0"/>
          <w:i w:val="0"/>
          <w:iCs w:val="0"/>
          <w:caps w:val="0"/>
          <w:smallCaps w:val="0"/>
          <w:color w:val="000000" w:themeColor="text1" w:themeTint="FF" w:themeShade="FF"/>
          <w:sz w:val="22"/>
          <w:szCs w:val="22"/>
          <w:highlight w:val="none"/>
          <w:lang w:val="en-CA" w:bidi="en-CA"/>
        </w:rPr>
      </w:r>
      <w:r>
        <w:rPr>
          <w:rFonts w:ascii="Arial" w:hAnsi="Arial" w:eastAsia="Arial" w:cs="Arial"/>
          <w:b w:val="0"/>
          <w:bCs w:val="0"/>
          <w:i w:val="0"/>
          <w:iCs w:val="0"/>
          <w:caps w:val="0"/>
          <w:smallCaps w:val="0"/>
          <w:color w:val="000000" w:themeColor="text1" w:themeTint="FF" w:themeShade="FF"/>
          <w:sz w:val="22"/>
          <w:szCs w:val="22"/>
          <w:highlight w:val="none"/>
          <w:lang w:val="en-CA" w:bidi="en-CA"/>
        </w:rPr>
        <w:tab/>
      </w:r>
      <w:r>
        <w:rPr>
          <w:rFonts w:ascii="Arial" w:hAnsi="Arial" w:eastAsia="Arial" w:cs="Arial"/>
          <w:b w:val="0"/>
          <w:bCs w:val="0"/>
          <w:i w:val="0"/>
          <w:iCs w:val="0"/>
          <w:caps w:val="0"/>
          <w:smallCaps w:val="0"/>
          <w:color w:val="000000" w:themeColor="text1" w:themeTint="FF" w:themeShade="FF"/>
          <w:sz w:val="22"/>
          <w:szCs w:val="22"/>
          <w:highlight w:val="none"/>
          <w:lang w:val="en-CA" w:bidi="en-CA"/>
        </w:rPr>
        <w:t xml:space="preserve">Table 2.4. Foundational and Recent General MedVQA Resources</w:t>
      </w:r>
      <w:r>
        <w:rPr>
          <w:rFonts w:ascii="Arial" w:hAnsi="Arial" w:eastAsia="Arial" w:cs="Arial"/>
          <w:b w:val="0"/>
          <w:bCs w:val="0"/>
          <w:i w:val="0"/>
          <w:caps w:val="0"/>
          <w:smallCaps w:val="0"/>
          <w:color w:val="000000" w:themeColor="text1" w:themeTint="FF" w:themeShade="FF"/>
          <w:sz w:val="22"/>
          <w:szCs w:val="22"/>
          <w:highlight w:val="none"/>
          <w:lang w:val="en-CA" w:bidi="en-CA"/>
        </w:rPr>
      </w:r>
      <w:r>
        <w:rPr>
          <w:rFonts w:ascii="Arial" w:hAnsi="Arial" w:eastAsia="Arial" w:cs="Arial"/>
          <w:b w:val="0"/>
          <w:bCs w:val="0"/>
          <w:i w:val="0"/>
          <w:caps w:val="0"/>
          <w:smallCaps w:val="0"/>
          <w:color w:val="000000" w:themeColor="text1" w:themeTint="FF" w:themeShade="FF"/>
          <w:sz w:val="22"/>
          <w:szCs w:val="22"/>
          <w:highlight w:val="none"/>
          <w:lang w:val="en-CA" w:bidi="en-CA"/>
        </w:rPr>
      </w:r>
    </w:p>
    <w:tbl>
      <w:tblPr>
        <w:tblStyle w:val="1185"/>
        <w:tblW w:w="0" w:type="auto"/>
        <w:tblBorders/>
        <w:tblLayout w:type="fixed"/>
        <w:tblLook w:val="04A0" w:firstRow="1" w:lastRow="0" w:firstColumn="1" w:lastColumn="0" w:noHBand="0" w:noVBand="1"/>
      </w:tblPr>
      <w:tblGrid>
        <w:gridCol w:w="2160"/>
        <w:gridCol w:w="1284"/>
        <w:gridCol w:w="3036"/>
        <w:gridCol w:w="2350"/>
      </w:tblGrid>
      <w:tr>
        <w:trPr/>
        <w:tc>
          <w:tcPr>
            <w:tcBorders/>
            <w:tcW w:w="2160" w:type="dxa"/>
            <w:textDirection w:val="lrTb"/>
            <w:noWrap w:val="false"/>
          </w:tcPr>
          <w:p w14:paraId="15F65CF3">
            <w:pPr>
              <w:pBdr/>
              <w:spacing w:after="0" w:before="0" w:line="240" w:lineRule="auto"/>
              <w:ind/>
              <w:rPr>
                <w:color w:val="000000" w:themeColor="text1"/>
              </w:rPr>
            </w:pPr>
            <w:r>
              <w:rPr>
                <w:rFonts w:ascii="Arial" w:hAnsi="Arial" w:eastAsia="Arial" w:cs="Arial"/>
                <w:b/>
                <w:color w:val="000000" w:themeColor="text1"/>
                <w:sz w:val="21"/>
              </w:rPr>
              <w:t xml:space="preserve">Resource</w:t>
            </w:r>
            <w:r>
              <w:rPr>
                <w:color w:val="000000" w:themeColor="text1"/>
              </w:rPr>
            </w:r>
            <w:r>
              <w:rPr>
                <w:color w:val="000000" w:themeColor="text1"/>
              </w:rPr>
            </w:r>
          </w:p>
        </w:tc>
        <w:tc>
          <w:tcPr>
            <w:tcBorders/>
            <w:tcW w:w="1284" w:type="dxa"/>
            <w:textDirection w:val="lrTb"/>
            <w:noWrap w:val="false"/>
          </w:tcPr>
          <w:p w14:paraId="5652BFCF">
            <w:pPr>
              <w:pBdr/>
              <w:spacing w:after="0" w:before="0" w:line="240" w:lineRule="auto"/>
              <w:ind/>
              <w:jc w:val="right"/>
              <w:rPr>
                <w:color w:val="000000" w:themeColor="text1"/>
              </w:rPr>
            </w:pPr>
            <w:r>
              <w:rPr>
                <w:rFonts w:ascii="Arial" w:hAnsi="Arial" w:eastAsia="Arial" w:cs="Arial"/>
                <w:b/>
                <w:color w:val="000000" w:themeColor="text1"/>
                <w:sz w:val="21"/>
              </w:rPr>
              <w:t xml:space="preserve">Year</w:t>
            </w:r>
            <w:r>
              <w:rPr>
                <w:color w:val="000000" w:themeColor="text1"/>
              </w:rPr>
            </w:r>
            <w:r>
              <w:rPr>
                <w:color w:val="000000" w:themeColor="text1"/>
              </w:rPr>
            </w:r>
          </w:p>
        </w:tc>
        <w:tc>
          <w:tcPr>
            <w:tcBorders/>
            <w:tcW w:w="3036" w:type="dxa"/>
            <w:textDirection w:val="lrTb"/>
            <w:noWrap w:val="false"/>
          </w:tcPr>
          <w:p w14:paraId="2713A7DF">
            <w:pPr>
              <w:pBdr/>
              <w:spacing w:after="0" w:before="0" w:line="240" w:lineRule="auto"/>
              <w:ind/>
              <w:rPr>
                <w:color w:val="000000" w:themeColor="text1"/>
              </w:rPr>
            </w:pPr>
            <w:r>
              <w:rPr>
                <w:rFonts w:ascii="Arial" w:hAnsi="Arial" w:eastAsia="Arial" w:cs="Arial"/>
                <w:b/>
                <w:color w:val="000000" w:themeColor="text1"/>
                <w:sz w:val="21"/>
              </w:rPr>
              <w:t xml:space="preserve">Reported scale</w:t>
            </w:r>
            <w:r>
              <w:rPr>
                <w:color w:val="000000" w:themeColor="text1"/>
              </w:rPr>
            </w:r>
            <w:r>
              <w:rPr>
                <w:color w:val="000000" w:themeColor="text1"/>
              </w:rPr>
            </w:r>
          </w:p>
        </w:tc>
        <w:tc>
          <w:tcPr>
            <w:tcBorders/>
            <w:tcW w:w="2350" w:type="dxa"/>
            <w:textDirection w:val="lrTb"/>
            <w:noWrap w:val="false"/>
          </w:tcPr>
          <w:p w14:paraId="5D0C5E8B">
            <w:pPr>
              <w:pBdr/>
              <w:spacing w:after="0" w:before="0" w:line="240" w:lineRule="auto"/>
              <w:ind/>
              <w:rPr>
                <w:color w:val="000000" w:themeColor="text1"/>
              </w:rPr>
            </w:pPr>
            <w:r>
              <w:rPr>
                <w:rFonts w:ascii="Arial" w:hAnsi="Arial" w:eastAsia="Arial" w:cs="Arial"/>
                <w:b/>
                <w:color w:val="000000" w:themeColor="text1"/>
                <w:sz w:val="21"/>
              </w:rPr>
              <w:t xml:space="preserve">Role in this thesis</w:t>
            </w:r>
            <w:r>
              <w:rPr>
                <w:color w:val="000000" w:themeColor="text1"/>
              </w:rPr>
            </w:r>
            <w:r>
              <w:rPr>
                <w:color w:val="000000" w:themeColor="text1"/>
              </w:rPr>
            </w:r>
          </w:p>
        </w:tc>
      </w:tr>
      <w:tr>
        <w:trPr/>
        <w:tc>
          <w:tcPr>
            <w:tcBorders/>
            <w:tcW w:w="2160" w:type="dxa"/>
            <w:textDirection w:val="lrTb"/>
            <w:noWrap w:val="false"/>
          </w:tcPr>
          <w:p w14:paraId="4259C4E5">
            <w:pPr>
              <w:pBdr/>
              <w:spacing w:after="0" w:before="0" w:line="240" w:lineRule="auto"/>
              <w:ind/>
              <w:rPr>
                <w:color w:val="000000" w:themeColor="text1"/>
              </w:rPr>
            </w:pPr>
            <w:r>
              <w:rPr>
                <w:rFonts w:ascii="Arial" w:hAnsi="Arial" w:eastAsia="Arial" w:cs="Arial"/>
                <w:color w:val="000000" w:themeColor="text1"/>
                <w:sz w:val="21"/>
              </w:rPr>
              <w:t xml:space="preserve">HyperKvasir [16]</w:t>
            </w:r>
            <w:r>
              <w:rPr>
                <w:color w:val="000000" w:themeColor="text1"/>
              </w:rPr>
            </w:r>
            <w:r>
              <w:rPr>
                <w:color w:val="000000" w:themeColor="text1"/>
              </w:rPr>
            </w:r>
          </w:p>
        </w:tc>
        <w:tc>
          <w:tcPr>
            <w:tcBorders/>
            <w:tcW w:w="1284" w:type="dxa"/>
            <w:textDirection w:val="lrTb"/>
            <w:noWrap w:val="false"/>
          </w:tcPr>
          <w:p w14:paraId="45E3CBF2">
            <w:pPr>
              <w:pBdr/>
              <w:spacing w:after="0" w:before="0" w:line="240" w:lineRule="auto"/>
              <w:ind/>
              <w:jc w:val="right"/>
              <w:rPr>
                <w:color w:val="000000" w:themeColor="text1"/>
              </w:rPr>
            </w:pPr>
            <w:r>
              <w:rPr>
                <w:rFonts w:ascii="Arial" w:hAnsi="Arial" w:eastAsia="Arial" w:cs="Arial"/>
                <w:color w:val="000000" w:themeColor="text1"/>
                <w:sz w:val="21"/>
              </w:rPr>
              <w:t xml:space="preserve">2020</w:t>
            </w:r>
            <w:r>
              <w:rPr>
                <w:color w:val="000000" w:themeColor="text1"/>
              </w:rPr>
            </w:r>
            <w:r>
              <w:rPr>
                <w:color w:val="000000" w:themeColor="text1"/>
              </w:rPr>
            </w:r>
          </w:p>
        </w:tc>
        <w:tc>
          <w:tcPr>
            <w:tcBorders/>
            <w:tcW w:w="3036" w:type="dxa"/>
            <w:textDirection w:val="lrTb"/>
            <w:noWrap w:val="false"/>
          </w:tcPr>
          <w:p w14:paraId="04057AAC">
            <w:pPr>
              <w:pBdr/>
              <w:spacing w:after="0" w:before="0" w:line="240" w:lineRule="auto"/>
              <w:ind/>
              <w:rPr>
                <w:color w:val="000000" w:themeColor="text1"/>
              </w:rPr>
            </w:pPr>
            <w:r>
              <w:rPr>
                <w:rFonts w:ascii="Arial" w:hAnsi="Arial" w:eastAsia="Arial" w:cs="Arial"/>
                <w:color w:val="000000" w:themeColor="text1"/>
                <w:sz w:val="21"/>
              </w:rPr>
              <w:t xml:space="preserve">110,079 images + 374 videos</w:t>
            </w:r>
            <w:r>
              <w:rPr>
                <w:color w:val="000000" w:themeColor="text1"/>
              </w:rPr>
            </w:r>
            <w:r>
              <w:rPr>
                <w:color w:val="000000" w:themeColor="text1"/>
              </w:rPr>
            </w:r>
          </w:p>
        </w:tc>
        <w:tc>
          <w:tcPr>
            <w:tcBorders/>
            <w:tcW w:w="2350" w:type="dxa"/>
            <w:textDirection w:val="lrTb"/>
            <w:noWrap w:val="false"/>
          </w:tcPr>
          <w:p w14:paraId="3DC0F53C">
            <w:pPr>
              <w:pBdr/>
              <w:spacing w:after="0" w:before="0" w:line="240" w:lineRule="auto"/>
              <w:ind/>
              <w:rPr>
                <w:color w:val="000000" w:themeColor="text1"/>
              </w:rPr>
            </w:pPr>
            <w:r>
              <w:rPr>
                <w:rFonts w:ascii="Arial" w:hAnsi="Arial" w:eastAsia="Arial" w:cs="Arial"/>
                <w:color w:val="000000" w:themeColor="text1"/>
                <w:sz w:val="21"/>
              </w:rPr>
              <w:t xml:space="preserve">Core GI visual foundation and class diversity</w:t>
            </w:r>
            <w:r>
              <w:rPr>
                <w:color w:val="000000" w:themeColor="text1"/>
              </w:rPr>
            </w:r>
            <w:r>
              <w:rPr>
                <w:color w:val="000000" w:themeColor="text1"/>
              </w:rPr>
            </w:r>
          </w:p>
        </w:tc>
      </w:tr>
      <w:tr>
        <w:trPr/>
        <w:tc>
          <w:tcPr>
            <w:tcBorders/>
            <w:tcW w:w="2160" w:type="dxa"/>
            <w:textDirection w:val="lrTb"/>
            <w:noWrap w:val="false"/>
          </w:tcPr>
          <w:p w14:paraId="52508326">
            <w:pPr>
              <w:pBdr/>
              <w:spacing w:after="0" w:before="0" w:line="240" w:lineRule="auto"/>
              <w:ind/>
              <w:rPr>
                <w:color w:val="000000" w:themeColor="text1"/>
              </w:rPr>
            </w:pPr>
            <w:r>
              <w:rPr>
                <w:rFonts w:ascii="Arial" w:hAnsi="Arial" w:eastAsia="Arial" w:cs="Arial"/>
                <w:color w:val="000000" w:themeColor="text1"/>
                <w:sz w:val="21"/>
              </w:rPr>
              <w:t xml:space="preserve">Kvasir-Capsule [17]</w:t>
            </w:r>
            <w:r>
              <w:rPr>
                <w:color w:val="000000" w:themeColor="text1"/>
              </w:rPr>
            </w:r>
            <w:r>
              <w:rPr>
                <w:color w:val="000000" w:themeColor="text1"/>
              </w:rPr>
            </w:r>
          </w:p>
        </w:tc>
        <w:tc>
          <w:tcPr>
            <w:tcBorders/>
            <w:tcW w:w="1284" w:type="dxa"/>
            <w:textDirection w:val="lrTb"/>
            <w:noWrap w:val="false"/>
          </w:tcPr>
          <w:p w14:paraId="114D8A68">
            <w:pPr>
              <w:pBdr/>
              <w:spacing w:after="0" w:before="0" w:line="240" w:lineRule="auto"/>
              <w:ind/>
              <w:jc w:val="right"/>
              <w:rPr>
                <w:color w:val="000000" w:themeColor="text1"/>
              </w:rPr>
            </w:pPr>
            <w:r>
              <w:rPr>
                <w:rFonts w:ascii="Arial" w:hAnsi="Arial" w:eastAsia="Arial" w:cs="Arial"/>
                <w:color w:val="000000" w:themeColor="text1"/>
                <w:sz w:val="21"/>
              </w:rPr>
              <w:t xml:space="preserve">2021</w:t>
            </w:r>
            <w:r>
              <w:rPr>
                <w:color w:val="000000" w:themeColor="text1"/>
              </w:rPr>
            </w:r>
            <w:r>
              <w:rPr>
                <w:color w:val="000000" w:themeColor="text1"/>
              </w:rPr>
            </w:r>
          </w:p>
        </w:tc>
        <w:tc>
          <w:tcPr>
            <w:tcBorders/>
            <w:tcW w:w="3036" w:type="dxa"/>
            <w:textDirection w:val="lrTb"/>
            <w:noWrap w:val="false"/>
          </w:tcPr>
          <w:p w14:paraId="59471B5E">
            <w:pPr>
              <w:pBdr/>
              <w:spacing w:after="0" w:before="0" w:line="240" w:lineRule="auto"/>
              <w:ind/>
              <w:rPr>
                <w:color w:val="000000" w:themeColor="text1"/>
              </w:rPr>
            </w:pPr>
            <w:r>
              <w:rPr>
                <w:rFonts w:ascii="Arial" w:hAnsi="Arial" w:eastAsia="Arial" w:cs="Arial"/>
                <w:color w:val="000000" w:themeColor="text1"/>
                <w:sz w:val="21"/>
              </w:rPr>
              <w:t xml:space="preserve">117 videos, 4.7M+ frames, 47k+ labeled frames</w:t>
            </w:r>
            <w:r>
              <w:rPr>
                <w:color w:val="000000" w:themeColor="text1"/>
              </w:rPr>
            </w:r>
            <w:r>
              <w:rPr>
                <w:color w:val="000000" w:themeColor="text1"/>
              </w:rPr>
            </w:r>
          </w:p>
        </w:tc>
        <w:tc>
          <w:tcPr>
            <w:tcBorders/>
            <w:tcW w:w="2350" w:type="dxa"/>
            <w:textDirection w:val="lrTb"/>
            <w:noWrap w:val="false"/>
          </w:tcPr>
          <w:p w14:paraId="5B92116C">
            <w:pPr>
              <w:pBdr/>
              <w:spacing w:after="0" w:before="0" w:line="240" w:lineRule="auto"/>
              <w:ind/>
              <w:rPr>
                <w:color w:val="000000" w:themeColor="text1"/>
              </w:rPr>
            </w:pPr>
            <w:r>
              <w:rPr>
                <w:rFonts w:ascii="Arial" w:hAnsi="Arial" w:eastAsia="Arial" w:cs="Arial"/>
                <w:color w:val="000000" w:themeColor="text1"/>
                <w:sz w:val="21"/>
              </w:rPr>
              <w:t xml:space="preserve">Robustness and broader GI variability context</w:t>
            </w:r>
            <w:r>
              <w:rPr>
                <w:color w:val="000000" w:themeColor="text1"/>
              </w:rPr>
            </w:r>
            <w:r>
              <w:rPr>
                <w:color w:val="000000" w:themeColor="text1"/>
              </w:rPr>
            </w:r>
          </w:p>
        </w:tc>
      </w:tr>
      <w:tr>
        <w:trPr/>
        <w:tc>
          <w:tcPr>
            <w:tcBorders/>
            <w:tcW w:w="2160" w:type="dxa"/>
            <w:textDirection w:val="lrTb"/>
            <w:noWrap w:val="false"/>
          </w:tcPr>
          <w:p w14:paraId="2AA66DA5">
            <w:pPr>
              <w:pBdr/>
              <w:spacing w:after="0" w:before="0" w:line="240" w:lineRule="auto"/>
              <w:ind/>
              <w:rPr>
                <w:color w:val="000000" w:themeColor="text1"/>
              </w:rPr>
            </w:pPr>
            <w:r>
              <w:rPr>
                <w:rFonts w:ascii="Arial" w:hAnsi="Arial" w:eastAsia="Arial" w:cs="Arial"/>
                <w:color w:val="000000" w:themeColor="text1"/>
                <w:sz w:val="21"/>
              </w:rPr>
              <w:t xml:space="preserve">LIMUC [37]</w:t>
            </w:r>
            <w:r>
              <w:rPr>
                <w:color w:val="000000" w:themeColor="text1"/>
              </w:rPr>
            </w:r>
            <w:r>
              <w:rPr>
                <w:color w:val="000000" w:themeColor="text1"/>
              </w:rPr>
            </w:r>
          </w:p>
        </w:tc>
        <w:tc>
          <w:tcPr>
            <w:tcBorders/>
            <w:tcW w:w="1284" w:type="dxa"/>
            <w:textDirection w:val="lrTb"/>
            <w:noWrap w:val="false"/>
          </w:tcPr>
          <w:p w14:paraId="05D42C81">
            <w:pPr>
              <w:pBdr/>
              <w:spacing w:after="0" w:before="0" w:line="240" w:lineRule="auto"/>
              <w:ind/>
              <w:jc w:val="right"/>
              <w:rPr>
                <w:color w:val="000000" w:themeColor="text1"/>
              </w:rPr>
            </w:pPr>
            <w:r>
              <w:rPr>
                <w:rFonts w:ascii="Arial" w:hAnsi="Arial" w:eastAsia="Arial" w:cs="Arial"/>
                <w:color w:val="000000" w:themeColor="text1"/>
                <w:sz w:val="21"/>
              </w:rPr>
              <w:t xml:space="preserve">2022</w:t>
            </w:r>
            <w:r>
              <w:rPr>
                <w:color w:val="000000" w:themeColor="text1"/>
              </w:rPr>
            </w:r>
            <w:r>
              <w:rPr>
                <w:color w:val="000000" w:themeColor="text1"/>
              </w:rPr>
            </w:r>
          </w:p>
        </w:tc>
        <w:tc>
          <w:tcPr>
            <w:tcBorders/>
            <w:tcW w:w="3036" w:type="dxa"/>
            <w:textDirection w:val="lrTb"/>
            <w:noWrap w:val="false"/>
          </w:tcPr>
          <w:p w14:paraId="4B1BB7BB">
            <w:pPr>
              <w:pBdr/>
              <w:spacing w:after="0" w:before="0" w:line="240" w:lineRule="auto"/>
              <w:ind/>
              <w:rPr>
                <w:color w:val="000000" w:themeColor="text1"/>
              </w:rPr>
            </w:pPr>
            <w:r>
              <w:rPr>
                <w:rFonts w:ascii="Arial" w:hAnsi="Arial" w:eastAsia="Arial" w:cs="Arial"/>
                <w:color w:val="000000" w:themeColor="text1"/>
                <w:sz w:val="21"/>
              </w:rPr>
              <w:t xml:space="preserve">11,276 UC images from 564 patients</w:t>
            </w:r>
            <w:r>
              <w:rPr>
                <w:color w:val="000000" w:themeColor="text1"/>
              </w:rPr>
            </w:r>
            <w:r>
              <w:rPr>
                <w:color w:val="000000" w:themeColor="text1"/>
              </w:rPr>
            </w:r>
          </w:p>
        </w:tc>
        <w:tc>
          <w:tcPr>
            <w:tcBorders/>
            <w:tcW w:w="2350" w:type="dxa"/>
            <w:textDirection w:val="lrTb"/>
            <w:noWrap w:val="false"/>
          </w:tcPr>
          <w:p w14:paraId="2E7C7021">
            <w:pPr>
              <w:pBdr/>
              <w:spacing w:after="0" w:before="0" w:line="240" w:lineRule="auto"/>
              <w:ind/>
              <w:rPr>
                <w:color w:val="000000" w:themeColor="text1"/>
              </w:rPr>
            </w:pPr>
            <w:r>
              <w:rPr>
                <w:rFonts w:ascii="Arial" w:hAnsi="Arial" w:eastAsia="Arial" w:cs="Arial"/>
                <w:color w:val="000000" w:themeColor="text1"/>
                <w:sz w:val="21"/>
              </w:rPr>
              <w:t xml:space="preserve">UC severity and ordinal evaluation anchor</w:t>
            </w:r>
            <w:r>
              <w:rPr>
                <w:color w:val="000000" w:themeColor="text1"/>
              </w:rPr>
            </w:r>
            <w:r>
              <w:rPr>
                <w:color w:val="000000" w:themeColor="text1"/>
              </w:rPr>
            </w:r>
          </w:p>
        </w:tc>
      </w:tr>
      <w:tr>
        <w:trPr/>
        <w:tc>
          <w:tcPr>
            <w:tcBorders/>
            <w:tcW w:w="2160" w:type="dxa"/>
            <w:textDirection w:val="lrTb"/>
            <w:noWrap w:val="false"/>
          </w:tcPr>
          <w:p w14:paraId="114104BD">
            <w:pPr>
              <w:pBdr/>
              <w:spacing w:after="0" w:before="0" w:line="240" w:lineRule="auto"/>
              <w:ind/>
              <w:rPr>
                <w:color w:val="000000" w:themeColor="text1"/>
              </w:rPr>
            </w:pPr>
            <w:r>
              <w:rPr>
                <w:rFonts w:ascii="Arial" w:hAnsi="Arial" w:eastAsia="Arial" w:cs="Arial"/>
                <w:color w:val="000000" w:themeColor="text1"/>
                <w:sz w:val="21"/>
              </w:rPr>
              <w:t xml:space="preserve">ImageCLEF MEDVQA-GI 2023 [22], [23]</w:t>
            </w:r>
            <w:r>
              <w:rPr>
                <w:color w:val="000000" w:themeColor="text1"/>
              </w:rPr>
            </w:r>
            <w:r>
              <w:rPr>
                <w:color w:val="000000" w:themeColor="text1"/>
              </w:rPr>
            </w:r>
          </w:p>
        </w:tc>
        <w:tc>
          <w:tcPr>
            <w:tcBorders/>
            <w:tcW w:w="1284" w:type="dxa"/>
            <w:textDirection w:val="lrTb"/>
            <w:noWrap w:val="false"/>
          </w:tcPr>
          <w:p w14:paraId="400DF52F">
            <w:pPr>
              <w:pBdr/>
              <w:spacing w:after="0" w:before="0" w:line="240" w:lineRule="auto"/>
              <w:ind/>
              <w:jc w:val="right"/>
              <w:rPr>
                <w:color w:val="000000" w:themeColor="text1"/>
              </w:rPr>
            </w:pPr>
            <w:r>
              <w:rPr>
                <w:rFonts w:ascii="Arial" w:hAnsi="Arial" w:eastAsia="Arial" w:cs="Arial"/>
                <w:color w:val="000000" w:themeColor="text1"/>
                <w:sz w:val="21"/>
              </w:rPr>
              <w:t xml:space="preserve">2023</w:t>
            </w:r>
            <w:r>
              <w:rPr>
                <w:color w:val="000000" w:themeColor="text1"/>
              </w:rPr>
            </w:r>
            <w:r>
              <w:rPr>
                <w:color w:val="000000" w:themeColor="text1"/>
              </w:rPr>
            </w:r>
          </w:p>
        </w:tc>
        <w:tc>
          <w:tcPr>
            <w:tcBorders/>
            <w:tcW w:w="3036" w:type="dxa"/>
            <w:textDirection w:val="lrTb"/>
            <w:noWrap w:val="false"/>
          </w:tcPr>
          <w:p w14:paraId="76158138">
            <w:pPr>
              <w:pBdr/>
              <w:spacing w:after="0" w:before="0" w:line="240" w:lineRule="auto"/>
              <w:ind/>
              <w:rPr>
                <w:color w:val="000000" w:themeColor="text1"/>
              </w:rPr>
            </w:pPr>
            <w:r>
              <w:rPr>
                <w:rFonts w:ascii="Arial" w:hAnsi="Arial" w:eastAsia="Arial" w:cs="Arial"/>
                <w:color w:val="000000" w:themeColor="text1"/>
                <w:sz w:val="21"/>
              </w:rPr>
              <w:t xml:space="preserve">Multi-subtask GI VQA/VQG/VLQA benchmark</w:t>
            </w:r>
            <w:r>
              <w:rPr>
                <w:color w:val="000000" w:themeColor="text1"/>
              </w:rPr>
            </w:r>
            <w:r>
              <w:rPr>
                <w:color w:val="000000" w:themeColor="text1"/>
              </w:rPr>
            </w:r>
          </w:p>
        </w:tc>
        <w:tc>
          <w:tcPr>
            <w:tcBorders/>
            <w:tcW w:w="2350" w:type="dxa"/>
            <w:textDirection w:val="lrTb"/>
            <w:noWrap w:val="false"/>
          </w:tcPr>
          <w:p w14:paraId="040B4C80">
            <w:pPr>
              <w:pBdr/>
              <w:spacing w:after="0" w:before="0" w:line="240" w:lineRule="auto"/>
              <w:ind/>
              <w:rPr>
                <w:color w:val="000000" w:themeColor="text1"/>
              </w:rPr>
            </w:pPr>
            <w:r>
              <w:rPr>
                <w:rFonts w:ascii="Arial" w:hAnsi="Arial" w:eastAsia="Arial" w:cs="Arial"/>
                <w:color w:val="000000" w:themeColor="text1"/>
                <w:sz w:val="21"/>
              </w:rPr>
              <w:t xml:space="preserve">First major GI-specific VQA shared-task setup</w:t>
            </w:r>
            <w:r>
              <w:rPr>
                <w:color w:val="000000" w:themeColor="text1"/>
              </w:rPr>
            </w:r>
            <w:r>
              <w:rPr>
                <w:color w:val="000000" w:themeColor="text1"/>
              </w:rPr>
            </w:r>
          </w:p>
        </w:tc>
      </w:tr>
      <w:tr>
        <w:trPr/>
        <w:tc>
          <w:tcPr>
            <w:tcBorders/>
            <w:tcW w:w="2160" w:type="dxa"/>
            <w:textDirection w:val="lrTb"/>
            <w:noWrap w:val="false"/>
          </w:tcPr>
          <w:p w14:paraId="58584226">
            <w:pPr>
              <w:pBdr/>
              <w:spacing w:after="0" w:before="0" w:line="240" w:lineRule="auto"/>
              <w:ind/>
              <w:rPr>
                <w:color w:val="000000" w:themeColor="text1"/>
              </w:rPr>
            </w:pPr>
            <w:r>
              <w:rPr>
                <w:rFonts w:ascii="Arial" w:hAnsi="Arial" w:eastAsia="Arial" w:cs="Arial"/>
                <w:color w:val="000000" w:themeColor="text1"/>
                <w:sz w:val="21"/>
              </w:rPr>
              <w:t xml:space="preserve">Kvasir-VQA [18], [19]</w:t>
            </w:r>
            <w:r>
              <w:rPr>
                <w:color w:val="000000" w:themeColor="text1"/>
              </w:rPr>
            </w:r>
            <w:r>
              <w:rPr>
                <w:color w:val="000000" w:themeColor="text1"/>
              </w:rPr>
            </w:r>
          </w:p>
        </w:tc>
        <w:tc>
          <w:tcPr>
            <w:tcBorders/>
            <w:tcW w:w="1284" w:type="dxa"/>
            <w:textDirection w:val="lrTb"/>
            <w:noWrap w:val="false"/>
          </w:tcPr>
          <w:p w14:paraId="277ECBDB">
            <w:pPr>
              <w:pBdr/>
              <w:spacing w:after="0" w:before="0" w:line="240" w:lineRule="auto"/>
              <w:ind/>
              <w:jc w:val="right"/>
              <w:rPr>
                <w:color w:val="000000" w:themeColor="text1"/>
              </w:rPr>
            </w:pPr>
            <w:r>
              <w:rPr>
                <w:rFonts w:ascii="Arial" w:hAnsi="Arial" w:eastAsia="Arial" w:cs="Arial"/>
                <w:color w:val="000000" w:themeColor="text1"/>
                <w:sz w:val="21"/>
              </w:rPr>
              <w:t xml:space="preserve">2024</w:t>
            </w:r>
            <w:r>
              <w:rPr>
                <w:color w:val="000000" w:themeColor="text1"/>
              </w:rPr>
            </w:r>
            <w:r>
              <w:rPr>
                <w:color w:val="000000" w:themeColor="text1"/>
              </w:rPr>
            </w:r>
          </w:p>
        </w:tc>
        <w:tc>
          <w:tcPr>
            <w:tcBorders/>
            <w:tcW w:w="3036" w:type="dxa"/>
            <w:textDirection w:val="lrTb"/>
            <w:noWrap w:val="false"/>
          </w:tcPr>
          <w:p w14:paraId="5F99E10A">
            <w:pPr>
              <w:pBdr/>
              <w:spacing w:after="0" w:before="0" w:line="240" w:lineRule="auto"/>
              <w:ind/>
              <w:rPr>
                <w:color w:val="000000" w:themeColor="text1"/>
              </w:rPr>
            </w:pPr>
            <w:r>
              <w:rPr>
                <w:rFonts w:ascii="Arial" w:hAnsi="Arial" w:eastAsia="Arial" w:cs="Arial"/>
                <w:color w:val="000000" w:themeColor="text1"/>
                <w:sz w:val="21"/>
              </w:rPr>
              <w:t xml:space="preserve">6,500 images, 58,849 QA pairs</w:t>
            </w:r>
            <w:r>
              <w:rPr>
                <w:color w:val="000000" w:themeColor="text1"/>
              </w:rPr>
            </w:r>
            <w:r>
              <w:rPr>
                <w:color w:val="000000" w:themeColor="text1"/>
              </w:rPr>
            </w:r>
          </w:p>
        </w:tc>
        <w:tc>
          <w:tcPr>
            <w:tcBorders/>
            <w:tcW w:w="2350" w:type="dxa"/>
            <w:textDirection w:val="lrTb"/>
            <w:noWrap w:val="false"/>
          </w:tcPr>
          <w:p w14:paraId="38BDE9A3">
            <w:pPr>
              <w:pBdr/>
              <w:spacing w:after="0" w:before="0" w:line="240" w:lineRule="auto"/>
              <w:ind/>
              <w:rPr>
                <w:color w:val="000000" w:themeColor="text1"/>
              </w:rPr>
            </w:pPr>
            <w:r>
              <w:rPr>
                <w:rFonts w:ascii="Arial" w:hAnsi="Arial" w:eastAsia="Arial" w:cs="Arial"/>
                <w:color w:val="000000" w:themeColor="text1"/>
                <w:sz w:val="21"/>
              </w:rPr>
              <w:t xml:space="preserve">Main GI text-image pair benchmark</w:t>
            </w:r>
            <w:r>
              <w:rPr>
                <w:color w:val="000000" w:themeColor="text1"/>
              </w:rPr>
            </w:r>
            <w:r>
              <w:rPr>
                <w:color w:val="000000" w:themeColor="text1"/>
              </w:rPr>
            </w:r>
          </w:p>
        </w:tc>
      </w:tr>
      <w:tr>
        <w:trPr/>
        <w:tc>
          <w:tcPr>
            <w:tcBorders/>
            <w:tcW w:w="2160" w:type="dxa"/>
            <w:textDirection w:val="lrTb"/>
            <w:noWrap w:val="false"/>
          </w:tcPr>
          <w:p w14:paraId="59F6C93F">
            <w:pPr>
              <w:pBdr/>
              <w:spacing w:after="0" w:before="0" w:line="240" w:lineRule="auto"/>
              <w:ind/>
              <w:rPr>
                <w:color w:val="000000" w:themeColor="text1"/>
              </w:rPr>
            </w:pPr>
            <w:r>
              <w:rPr>
                <w:rFonts w:ascii="Arial" w:hAnsi="Arial" w:eastAsia="Arial" w:cs="Arial"/>
                <w:color w:val="000000" w:themeColor="text1"/>
                <w:sz w:val="21"/>
              </w:rPr>
              <w:t xml:space="preserve">ImageCLEF MEDVQA-GI 2024 [24]</w:t>
            </w:r>
            <w:r>
              <w:rPr>
                <w:color w:val="000000" w:themeColor="text1"/>
              </w:rPr>
            </w:r>
            <w:r>
              <w:rPr>
                <w:color w:val="000000" w:themeColor="text1"/>
              </w:rPr>
            </w:r>
          </w:p>
        </w:tc>
        <w:tc>
          <w:tcPr>
            <w:tcBorders/>
            <w:tcW w:w="1284" w:type="dxa"/>
            <w:textDirection w:val="lrTb"/>
            <w:noWrap w:val="false"/>
          </w:tcPr>
          <w:p w14:paraId="7D89580F">
            <w:pPr>
              <w:pBdr/>
              <w:spacing w:after="0" w:before="0" w:line="240" w:lineRule="auto"/>
              <w:ind/>
              <w:jc w:val="right"/>
              <w:rPr>
                <w:color w:val="000000" w:themeColor="text1"/>
              </w:rPr>
            </w:pPr>
            <w:r>
              <w:rPr>
                <w:rFonts w:ascii="Arial" w:hAnsi="Arial" w:eastAsia="Arial" w:cs="Arial"/>
                <w:color w:val="000000" w:themeColor="text1"/>
                <w:sz w:val="21"/>
              </w:rPr>
              <w:t xml:space="preserve">2024</w:t>
            </w:r>
            <w:r>
              <w:rPr>
                <w:color w:val="000000" w:themeColor="text1"/>
              </w:rPr>
            </w:r>
            <w:r>
              <w:rPr>
                <w:color w:val="000000" w:themeColor="text1"/>
              </w:rPr>
            </w:r>
          </w:p>
        </w:tc>
        <w:tc>
          <w:tcPr>
            <w:tcBorders/>
            <w:tcW w:w="3036" w:type="dxa"/>
            <w:textDirection w:val="lrTb"/>
            <w:noWrap w:val="false"/>
          </w:tcPr>
          <w:p w14:paraId="3985609F">
            <w:pPr>
              <w:pBdr/>
              <w:spacing w:after="0" w:before="0" w:line="240" w:lineRule="auto"/>
              <w:ind/>
              <w:rPr>
                <w:color w:val="000000" w:themeColor="text1"/>
              </w:rPr>
            </w:pPr>
            <w:r>
              <w:rPr>
                <w:rFonts w:ascii="Arial" w:hAnsi="Arial" w:eastAsia="Arial" w:cs="Arial"/>
                <w:color w:val="000000" w:themeColor="text1"/>
                <w:sz w:val="21"/>
              </w:rPr>
              <w:t xml:space="preserve">Second-year challenge, synthesis-linked direction</w:t>
            </w:r>
            <w:r>
              <w:rPr>
                <w:color w:val="000000" w:themeColor="text1"/>
              </w:rPr>
            </w:r>
            <w:r>
              <w:rPr>
                <w:color w:val="000000" w:themeColor="text1"/>
              </w:rPr>
            </w:r>
          </w:p>
        </w:tc>
        <w:tc>
          <w:tcPr>
            <w:tcBorders/>
            <w:tcW w:w="2350" w:type="dxa"/>
            <w:textDirection w:val="lrTb"/>
            <w:noWrap w:val="false"/>
          </w:tcPr>
          <w:p w14:paraId="025EA6BB">
            <w:pPr>
              <w:pBdr/>
              <w:spacing w:after="0" w:before="0" w:line="240" w:lineRule="auto"/>
              <w:ind/>
              <w:rPr>
                <w:color w:val="000000" w:themeColor="text1"/>
              </w:rPr>
            </w:pPr>
            <w:r>
              <w:rPr>
                <w:rFonts w:ascii="Arial" w:hAnsi="Arial" w:eastAsia="Arial" w:cs="Arial"/>
                <w:color w:val="000000" w:themeColor="text1"/>
                <w:sz w:val="21"/>
              </w:rPr>
              <w:t xml:space="preserve">Signaled task broadening around synthetic workflows</w:t>
            </w:r>
            <w:r>
              <w:rPr>
                <w:color w:val="000000" w:themeColor="text1"/>
              </w:rPr>
            </w:r>
            <w:r>
              <w:rPr>
                <w:color w:val="000000" w:themeColor="text1"/>
              </w:rPr>
            </w:r>
          </w:p>
        </w:tc>
      </w:tr>
      <w:tr>
        <w:trPr/>
        <w:tc>
          <w:tcPr>
            <w:tcBorders/>
            <w:tcW w:w="2160" w:type="dxa"/>
            <w:textDirection w:val="lrTb"/>
            <w:noWrap w:val="false"/>
          </w:tcPr>
          <w:p w14:paraId="50D00535">
            <w:pPr>
              <w:pBdr/>
              <w:spacing w:after="0" w:before="0" w:line="240" w:lineRule="auto"/>
              <w:ind/>
              <w:rPr>
                <w:color w:val="000000" w:themeColor="text1"/>
              </w:rPr>
            </w:pPr>
            <w:r>
              <w:rPr>
                <w:rFonts w:ascii="Arial" w:hAnsi="Arial" w:eastAsia="Arial" w:cs="Arial"/>
                <w:color w:val="000000" w:themeColor="text1"/>
                <w:sz w:val="21"/>
              </w:rPr>
              <w:t xml:space="preserve">Kvasir-VQA-x1 [20], [21]</w:t>
            </w:r>
            <w:r>
              <w:rPr>
                <w:color w:val="000000" w:themeColor="text1"/>
              </w:rPr>
            </w:r>
            <w:r>
              <w:rPr>
                <w:color w:val="000000" w:themeColor="text1"/>
              </w:rPr>
            </w:r>
          </w:p>
        </w:tc>
        <w:tc>
          <w:tcPr>
            <w:tcBorders/>
            <w:tcW w:w="1284" w:type="dxa"/>
            <w:textDirection w:val="lrTb"/>
            <w:noWrap w:val="false"/>
          </w:tcPr>
          <w:p w14:paraId="53AF78C1">
            <w:pPr>
              <w:pBdr/>
              <w:spacing w:after="0" w:before="0" w:line="240" w:lineRule="auto"/>
              <w:ind/>
              <w:jc w:val="right"/>
              <w:rPr>
                <w:color w:val="000000" w:themeColor="text1"/>
              </w:rPr>
            </w:pPr>
            <w:r>
              <w:rPr>
                <w:rFonts w:ascii="Arial" w:hAnsi="Arial" w:eastAsia="Arial" w:cs="Arial"/>
                <w:color w:val="000000" w:themeColor="text1"/>
                <w:sz w:val="21"/>
              </w:rPr>
              <w:t xml:space="preserve">2025</w:t>
            </w:r>
            <w:r>
              <w:rPr>
                <w:color w:val="000000" w:themeColor="text1"/>
              </w:rPr>
            </w:r>
            <w:r>
              <w:rPr>
                <w:color w:val="000000" w:themeColor="text1"/>
              </w:rPr>
            </w:r>
          </w:p>
        </w:tc>
        <w:tc>
          <w:tcPr>
            <w:tcBorders/>
            <w:tcW w:w="3036" w:type="dxa"/>
            <w:textDirection w:val="lrTb"/>
            <w:noWrap w:val="false"/>
          </w:tcPr>
          <w:p w14:paraId="3328C0EC">
            <w:pPr>
              <w:pBdr/>
              <w:spacing w:after="0" w:before="0" w:line="240" w:lineRule="auto"/>
              <w:ind/>
              <w:rPr>
                <w:color w:val="000000" w:themeColor="text1"/>
              </w:rPr>
            </w:pPr>
            <w:r>
              <w:rPr>
                <w:rFonts w:ascii="Arial" w:hAnsi="Arial" w:eastAsia="Arial" w:cs="Arial"/>
                <w:color w:val="000000" w:themeColor="text1"/>
                <w:sz w:val="21"/>
              </w:rPr>
              <w:t xml:space="preserve">159,549 QA pairs with complexity levels and perturbations</w:t>
            </w:r>
            <w:r>
              <w:rPr>
                <w:color w:val="000000" w:themeColor="text1"/>
              </w:rPr>
            </w:r>
            <w:r>
              <w:rPr>
                <w:color w:val="000000" w:themeColor="text1"/>
              </w:rPr>
            </w:r>
          </w:p>
        </w:tc>
        <w:tc>
          <w:tcPr>
            <w:tcBorders/>
            <w:tcW w:w="2350" w:type="dxa"/>
            <w:textDirection w:val="lrTb"/>
            <w:noWrap w:val="false"/>
          </w:tcPr>
          <w:p w14:paraId="0124BE2E">
            <w:pPr>
              <w:pBdr/>
              <w:spacing w:after="0" w:before="0" w:line="240" w:lineRule="auto"/>
              <w:ind/>
              <w:rPr>
                <w:color w:val="000000" w:themeColor="text1"/>
              </w:rPr>
            </w:pPr>
            <w:r>
              <w:rPr>
                <w:rFonts w:ascii="Arial" w:hAnsi="Arial" w:eastAsia="Arial" w:cs="Arial"/>
                <w:color w:val="000000" w:themeColor="text1"/>
                <w:sz w:val="21"/>
              </w:rPr>
              <w:t xml:space="preserve">Stronger reasoning and robustness benchmark</w:t>
            </w:r>
            <w:r>
              <w:rPr>
                <w:color w:val="000000" w:themeColor="text1"/>
              </w:rPr>
            </w:r>
            <w:r>
              <w:rPr>
                <w:color w:val="000000" w:themeColor="text1"/>
              </w:rPr>
            </w:r>
          </w:p>
        </w:tc>
      </w:tr>
      <w:tr>
        <w:trPr/>
        <w:tc>
          <w:tcPr>
            <w:tcBorders/>
            <w:tcW w:w="2160" w:type="dxa"/>
            <w:textDirection w:val="lrTb"/>
            <w:noWrap w:val="false"/>
          </w:tcPr>
          <w:p w14:paraId="20BE4A8B">
            <w:pPr>
              <w:pBdr/>
              <w:spacing w:after="0" w:before="0" w:line="240" w:lineRule="auto"/>
              <w:ind/>
              <w:rPr>
                <w:color w:val="000000" w:themeColor="text1"/>
              </w:rPr>
            </w:pPr>
            <w:r>
              <w:rPr>
                <w:rFonts w:ascii="Arial" w:hAnsi="Arial" w:eastAsia="Arial" w:cs="Arial"/>
                <w:color w:val="000000" w:themeColor="text1"/>
                <w:sz w:val="21"/>
              </w:rPr>
              <w:t xml:space="preserve">ImageCLEF MEDVQA 2025 [25]</w:t>
            </w:r>
            <w:r>
              <w:rPr>
                <w:color w:val="000000" w:themeColor="text1"/>
              </w:rPr>
            </w:r>
            <w:r>
              <w:rPr>
                <w:color w:val="000000" w:themeColor="text1"/>
              </w:rPr>
            </w:r>
          </w:p>
        </w:tc>
        <w:tc>
          <w:tcPr>
            <w:tcBorders/>
            <w:tcW w:w="1284" w:type="dxa"/>
            <w:textDirection w:val="lrTb"/>
            <w:noWrap w:val="false"/>
          </w:tcPr>
          <w:p w14:paraId="06F97B90">
            <w:pPr>
              <w:pBdr/>
              <w:spacing w:after="0" w:before="0" w:line="240" w:lineRule="auto"/>
              <w:ind/>
              <w:jc w:val="right"/>
              <w:rPr>
                <w:color w:val="000000" w:themeColor="text1"/>
              </w:rPr>
            </w:pPr>
            <w:r>
              <w:rPr>
                <w:rFonts w:ascii="Arial" w:hAnsi="Arial" w:eastAsia="Arial" w:cs="Arial"/>
                <w:color w:val="000000" w:themeColor="text1"/>
                <w:sz w:val="21"/>
              </w:rPr>
              <w:t xml:space="preserve">2025</w:t>
            </w:r>
            <w:r>
              <w:rPr>
                <w:color w:val="000000" w:themeColor="text1"/>
              </w:rPr>
            </w:r>
            <w:r>
              <w:rPr>
                <w:color w:val="000000" w:themeColor="text1"/>
              </w:rPr>
            </w:r>
          </w:p>
        </w:tc>
        <w:tc>
          <w:tcPr>
            <w:tcBorders/>
            <w:tcW w:w="3036" w:type="dxa"/>
            <w:textDirection w:val="lrTb"/>
            <w:noWrap w:val="false"/>
          </w:tcPr>
          <w:p w14:paraId="6D731BCF">
            <w:pPr>
              <w:pBdr/>
              <w:spacing w:after="0" w:before="0" w:line="240" w:lineRule="auto"/>
              <w:ind/>
              <w:rPr>
                <w:color w:val="000000" w:themeColor="text1"/>
              </w:rPr>
            </w:pPr>
            <w:r>
              <w:rPr>
                <w:rFonts w:ascii="Arial" w:hAnsi="Arial" w:eastAsia="Arial" w:cs="Arial"/>
                <w:color w:val="000000" w:themeColor="text1"/>
                <w:sz w:val="21"/>
              </w:rPr>
              <w:t xml:space="preserve">Third-year challenge with synthetic GI integration</w:t>
            </w:r>
            <w:r>
              <w:rPr>
                <w:color w:val="000000" w:themeColor="text1"/>
              </w:rPr>
            </w:r>
            <w:r>
              <w:rPr>
                <w:color w:val="000000" w:themeColor="text1"/>
              </w:rPr>
            </w:r>
          </w:p>
        </w:tc>
        <w:tc>
          <w:tcPr>
            <w:tcBorders/>
            <w:tcW w:w="2350" w:type="dxa"/>
            <w:textDirection w:val="lrTb"/>
            <w:noWrap w:val="false"/>
          </w:tcPr>
          <w:p w14:paraId="5835FDB8">
            <w:pPr>
              <w:pBdr/>
              <w:spacing w:after="0" w:before="0" w:line="240" w:lineRule="auto"/>
              <w:ind/>
              <w:rPr>
                <w:color w:val="000000" w:themeColor="text1"/>
              </w:rPr>
            </w:pPr>
            <w:r>
              <w:rPr>
                <w:rFonts w:ascii="Arial" w:hAnsi="Arial" w:eastAsia="Arial" w:cs="Arial"/>
                <w:color w:val="000000" w:themeColor="text1"/>
                <w:sz w:val="21"/>
              </w:rPr>
              <w:t xml:space="preserve">Benchmark evolution toward real-synthetic design</w:t>
            </w:r>
            <w:r>
              <w:rPr>
                <w:color w:val="000000" w:themeColor="text1"/>
              </w:rPr>
            </w:r>
            <w:r>
              <w:rPr>
                <w:color w:val="000000" w:themeColor="text1"/>
              </w:rPr>
            </w:r>
          </w:p>
        </w:tc>
      </w:tr>
      <w:tr>
        <w:trPr/>
        <w:tc>
          <w:tcPr>
            <w:tcBorders/>
            <w:tcW w:w="2160" w:type="dxa"/>
            <w:textDirection w:val="lrTb"/>
            <w:noWrap w:val="false"/>
          </w:tcPr>
          <w:p w14:paraId="5DDDF95B">
            <w:pPr>
              <w:pBdr/>
              <w:spacing w:after="0" w:before="0" w:line="240" w:lineRule="auto"/>
              <w:ind/>
              <w:rPr>
                <w:color w:val="000000" w:themeColor="text1"/>
              </w:rPr>
            </w:pPr>
            <w:r>
              <w:rPr>
                <w:rFonts w:ascii="Arial" w:hAnsi="Arial" w:eastAsia="Arial" w:cs="Arial"/>
                <w:color w:val="000000" w:themeColor="text1"/>
                <w:sz w:val="21"/>
              </w:rPr>
              <w:t xml:space="preserve">MediaEval Medico 2025 [26], [27]</w:t>
            </w:r>
            <w:r>
              <w:rPr>
                <w:color w:val="000000" w:themeColor="text1"/>
              </w:rPr>
            </w:r>
            <w:r>
              <w:rPr>
                <w:color w:val="000000" w:themeColor="text1"/>
              </w:rPr>
            </w:r>
          </w:p>
        </w:tc>
        <w:tc>
          <w:tcPr>
            <w:tcBorders/>
            <w:tcW w:w="1284" w:type="dxa"/>
            <w:textDirection w:val="lrTb"/>
            <w:noWrap w:val="false"/>
          </w:tcPr>
          <w:p w14:paraId="7F5EA870">
            <w:pPr>
              <w:pBdr/>
              <w:spacing w:after="0" w:before="0" w:line="240" w:lineRule="auto"/>
              <w:ind/>
              <w:jc w:val="right"/>
              <w:rPr>
                <w:color w:val="000000" w:themeColor="text1"/>
              </w:rPr>
            </w:pPr>
            <w:r>
              <w:rPr>
                <w:rFonts w:ascii="Arial" w:hAnsi="Arial" w:eastAsia="Arial" w:cs="Arial"/>
                <w:color w:val="000000" w:themeColor="text1"/>
                <w:sz w:val="21"/>
              </w:rPr>
              <w:t xml:space="preserve">2025</w:t>
            </w:r>
            <w:r>
              <w:rPr>
                <w:color w:val="000000" w:themeColor="text1"/>
              </w:rPr>
            </w:r>
            <w:r>
              <w:rPr>
                <w:color w:val="000000" w:themeColor="text1"/>
              </w:rPr>
            </w:r>
          </w:p>
        </w:tc>
        <w:tc>
          <w:tcPr>
            <w:tcBorders/>
            <w:tcW w:w="3036" w:type="dxa"/>
            <w:textDirection w:val="lrTb"/>
            <w:noWrap w:val="false"/>
          </w:tcPr>
          <w:p w14:paraId="3862A482">
            <w:pPr>
              <w:pBdr/>
              <w:spacing w:after="0" w:before="0" w:line="240" w:lineRule="auto"/>
              <w:ind/>
              <w:rPr>
                <w:color w:val="000000" w:themeColor="text1"/>
              </w:rPr>
            </w:pPr>
            <w:r>
              <w:rPr>
                <w:rFonts w:ascii="Arial" w:hAnsi="Arial" w:eastAsia="Arial" w:cs="Arial"/>
                <w:color w:val="000000" w:themeColor="text1"/>
                <w:sz w:val="21"/>
              </w:rPr>
              <w:t xml:space="preserve">GI VQA + multimodal explanation subtask</w:t>
            </w:r>
            <w:r>
              <w:rPr>
                <w:color w:val="000000" w:themeColor="text1"/>
              </w:rPr>
            </w:r>
            <w:r>
              <w:rPr>
                <w:color w:val="000000" w:themeColor="text1"/>
              </w:rPr>
            </w:r>
          </w:p>
        </w:tc>
        <w:tc>
          <w:tcPr>
            <w:tcBorders/>
            <w:tcW w:w="2350" w:type="dxa"/>
            <w:textDirection w:val="lrTb"/>
            <w:noWrap w:val="false"/>
          </w:tcPr>
          <w:p w14:paraId="570131B2">
            <w:pPr>
              <w:pBdr/>
              <w:spacing w:after="0" w:before="0" w:line="240" w:lineRule="auto"/>
              <w:ind/>
              <w:rPr>
                <w:color w:val="000000" w:themeColor="text1"/>
              </w:rPr>
            </w:pPr>
            <w:r>
              <w:rPr>
                <w:rFonts w:ascii="Arial" w:hAnsi="Arial" w:eastAsia="Arial" w:cs="Arial"/>
                <w:color w:val="000000" w:themeColor="text1"/>
                <w:sz w:val="21"/>
              </w:rPr>
              <w:t xml:space="preserve">Explicit shift toward explainable clinical interaction</w:t>
            </w:r>
            <w:r>
              <w:rPr>
                <w:color w:val="000000" w:themeColor="text1"/>
              </w:rPr>
            </w:r>
            <w:r>
              <w:rPr>
                <w:color w:val="000000" w:themeColor="text1"/>
              </w:rPr>
            </w:r>
          </w:p>
        </w:tc>
      </w:tr>
    </w:tbl>
    <w:p w14:paraId="16AE62F3">
      <w:pPr>
        <w:pStyle w:val="1128"/>
        <w:suppressLineNumbers w:val="false"/>
        <w:pBdr/>
        <w:spacing w:after="240" w:afterAutospacing="0" w:before="240" w:beforeAutospacing="0" w:line="300" w:lineRule="auto"/>
        <w:ind w:firstLine="0"/>
        <w:rPr>
          <w:rFonts w:ascii="Arial" w:hAnsi="Arial" w:eastAsia="Arial" w:cs="Arial"/>
          <w:b w:val="0"/>
          <w:bCs w:val="0"/>
          <w:i/>
          <w:caps w:val="0"/>
          <w:smallCaps w:val="0"/>
          <w:color w:val="000000" w:themeColor="text1" w:themeTint="FF" w:themeShade="FF"/>
          <w:sz w:val="22"/>
          <w:szCs w:val="22"/>
        </w:rPr>
      </w:pPr>
      <w:r>
        <w:rPr>
          <w:rFonts w:ascii="Arial" w:hAnsi="Arial" w:eastAsia="Arial" w:cs="Arial"/>
          <w:b/>
          <w:bCs/>
          <w:i/>
          <w:iCs/>
          <w:caps w:val="0"/>
          <w:smallCaps w:val="0"/>
          <w:color w:val="000000" w:themeColor="text1" w:themeTint="FF" w:themeShade="FF"/>
          <w:sz w:val="22"/>
          <w:szCs w:val="22"/>
        </w:rPr>
        <w:tab/>
      </w:r>
      <w:r>
        <w:rPr>
          <w:rFonts w:ascii="Arial" w:hAnsi="Arial" w:eastAsia="Arial" w:cs="Arial"/>
          <w:b w:val="0"/>
          <w:bCs w:val="0"/>
          <w:i/>
          <w:iCs/>
          <w:caps w:val="0"/>
          <w:smallCaps w:val="0"/>
          <w:color w:val="000000" w:themeColor="text1" w:themeTint="FF" w:themeShade="FF"/>
          <w:sz w:val="22"/>
          <w:szCs w:val="22"/>
        </w:rPr>
        <w:t xml:space="preserve">Table 2.5. GI Endoscopy Dataset Ecosystem Relevant to This Thesis</w:t>
      </w:r>
      <w:r>
        <w:rPr>
          <w:rFonts w:ascii="Arial" w:hAnsi="Arial" w:eastAsia="Arial" w:cs="Arial"/>
          <w:b w:val="0"/>
          <w:bCs w:val="0"/>
          <w:i/>
          <w:caps w:val="0"/>
          <w:smallCaps w:val="0"/>
          <w:color w:val="000000" w:themeColor="text1" w:themeTint="FF" w:themeShade="FF"/>
          <w:sz w:val="22"/>
          <w:szCs w:val="22"/>
        </w:rPr>
      </w:r>
      <w:r>
        <w:rPr>
          <w:rFonts w:ascii="Arial" w:hAnsi="Arial" w:eastAsia="Arial" w:cs="Arial"/>
          <w:b w:val="0"/>
          <w:bCs w:val="0"/>
          <w:i/>
          <w:caps w:val="0"/>
          <w:smallCaps w:val="0"/>
          <w:color w:val="000000" w:themeColor="text1" w:themeTint="FF" w:themeShade="FF"/>
          <w:sz w:val="22"/>
          <w:szCs w:val="22"/>
        </w:rPr>
      </w:r>
    </w:p>
    <w:p w14:paraId="13965CBD">
      <w:pPr>
        <w:pStyle w:val="112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A</w:t>
      </w:r>
      <w:r>
        <w:rPr>
          <w:rFonts w:ascii="Arial" w:hAnsi="Arial" w:eastAsia="Arial" w:cs="Arial"/>
          <w:b w:val="0"/>
          <w:bCs w:val="0"/>
          <w:i w:val="0"/>
          <w:caps w:val="0"/>
          <w:smallCaps w:val="0"/>
          <w:color w:val="000000" w:themeColor="text1" w:themeTint="FF" w:themeShade="FF"/>
          <w:sz w:val="22"/>
          <w:szCs w:val="22"/>
        </w:rPr>
        <w:t xml:space="preserve">cross these resources, supervision and evaluation styles differ in ways that materially affect model interpretation. Kvasir-VQA and Kvasir-VQA-x1 primarily provide paired image-question-answer supervision with heterogeneous answer spaces (binary, count, at</w:t>
      </w:r>
      <w:r>
        <w:rPr>
          <w:rFonts w:ascii="Arial" w:hAnsi="Arial" w:eastAsia="Arial" w:cs="Arial"/>
          <w:b w:val="0"/>
          <w:bCs w:val="0"/>
          <w:i w:val="0"/>
          <w:caps w:val="0"/>
          <w:smallCaps w:val="0"/>
          <w:color w:val="000000" w:themeColor="text1" w:themeTint="FF" w:themeShade="FF"/>
          <w:sz w:val="22"/>
          <w:szCs w:val="22"/>
        </w:rPr>
        <w:t xml:space="preserve">t</w:t>
      </w:r>
      <w:r>
        <w:rPr>
          <w:rFonts w:ascii="Arial" w:hAnsi="Arial" w:eastAsia="Arial" w:cs="Arial"/>
          <w:b w:val="0"/>
          <w:bCs w:val="0"/>
          <w:i w:val="0"/>
          <w:caps w:val="0"/>
          <w:smallCaps w:val="0"/>
          <w:color w:val="000000" w:themeColor="text1" w:themeTint="FF" w:themeShade="FF"/>
          <w:sz w:val="22"/>
          <w:szCs w:val="22"/>
        </w:rPr>
        <w:t xml:space="preserve">ribute, and location), where lexical shortcuts and yes/no priors can inflate superficial performance [18], [20]. ImageCLEF and MediaEval tracks add challenge-level protocol constraints and broader metric bundles that include classification quality, overl</w:t>
      </w:r>
      <w:r>
        <w:rPr>
          <w:rFonts w:ascii="Arial" w:hAnsi="Arial" w:eastAsia="Arial" w:cs="Arial"/>
          <w:b w:val="0"/>
          <w:bCs w:val="0"/>
          <w:i w:val="0"/>
          <w:caps w:val="0"/>
          <w:smallCaps w:val="0"/>
          <w:color w:val="000000" w:themeColor="text1" w:themeTint="FF" w:themeShade="FF"/>
          <w:sz w:val="22"/>
          <w:szCs w:val="22"/>
        </w:rPr>
        <w:t xml:space="preserve">ap metrics, and explanation-oriented assessment </w:t>
      </w:r>
      <w:r>
        <w:rPr>
          <w:rFonts w:ascii="Arial" w:hAnsi="Arial" w:eastAsia="Arial" w:cs="Arial"/>
          <w:b w:val="0"/>
          <w:bCs w:val="0"/>
          <w:i w:val="0"/>
          <w:caps w:val="0"/>
          <w:smallCaps w:val="0"/>
          <w:color w:val="000000" w:themeColor="text1" w:themeTint="FF" w:themeShade="FF"/>
          <w:sz w:val="22"/>
          <w:szCs w:val="22"/>
          <w:lang w:val="en-US"/>
        </w:rPr>
        <w:t xml:space="preserve">[</w:t>
      </w:r>
      <w:r>
        <w:rPr>
          <w:rFonts w:ascii="Arial" w:hAnsi="Arial" w:eastAsia="Arial" w:cs="Arial"/>
          <w:b w:val="0"/>
          <w:bCs w:val="0"/>
          <w:i w:val="0"/>
          <w:caps w:val="0"/>
          <w:smallCaps w:val="0"/>
          <w:color w:val="000000" w:themeColor="text1" w:themeTint="FF" w:themeShade="FF"/>
          <w:sz w:val="22"/>
          <w:szCs w:val="22"/>
        </w:rPr>
        <w:t xml:space="preserve">23], [26], [27]. For this thesis, these differences are treated as design constraints, not benchmark noise.</w:t>
      </w:r>
      <w:r>
        <w:rPr>
          <w:rFonts w:ascii="Arial" w:hAnsi="Arial" w:eastAsia="Arial" w:cs="Arial"/>
          <w:b w:val="0"/>
          <w:bCs w:val="0"/>
          <w:i w:val="0"/>
          <w:caps w:val="0"/>
          <w:smallCaps w:val="0"/>
          <w:color w:val="000000" w:themeColor="text1" w:themeTint="FF" w:themeShade="FF"/>
          <w:sz w:val="22"/>
          <w:szCs w:val="22"/>
        </w:rPr>
      </w:r>
      <w:r/>
    </w:p>
    <w:p w14:paraId="081D9D17">
      <w:pPr>
        <w:pStyle w:val="1128"/>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themeTint="FF" w:themeShade="FF"/>
          <w:sz w:val="22"/>
          <w:szCs w:val="22"/>
        </w:rPr>
        <w:t xml:space="preserve">2.4.3 Challenge-Level Benchmark Progression</w:t>
      </w:r>
      <w:r>
        <w:rPr>
          <w:b/>
          <w:bCs/>
        </w:rPr>
      </w:r>
      <w:r>
        <w:rPr>
          <w:b/>
          <w:bCs/>
        </w:rPr>
      </w:r>
    </w:p>
    <w:p w14:paraId="6D0005EA">
      <w:pPr>
        <w:pStyle w:val="112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The GI challenge ecosystem has progressed quickly:</w:t>
      </w:r>
      <w:r>
        <w:rPr>
          <w:rFonts w:ascii="Arial" w:hAnsi="Arial" w:eastAsia="Arial" w:cs="Arial"/>
          <w:b w:val="0"/>
          <w:bCs w:val="0"/>
          <w:i w:val="0"/>
          <w:caps w:val="0"/>
          <w:smallCaps w:val="0"/>
          <w:color w:val="000000" w:themeColor="text1" w:themeTint="FF" w:themeShade="FF"/>
          <w:sz w:val="22"/>
          <w:szCs w:val="22"/>
        </w:rPr>
      </w:r>
      <w:r/>
    </w:p>
    <w:p w14:paraId="47FC4BD0">
      <w:pPr>
        <w:pStyle w:val="1128"/>
        <w:numPr>
          <w:ilvl w:val="0"/>
          <w:numId w:val="26"/>
        </w:numPr>
        <w:suppressLineNumbers w:val="false"/>
        <w:pBdr/>
        <w:spacing w:after="240" w:afterAutospacing="0" w:before="240" w:beforeAutospacing="0" w:line="240" w:lineRule="auto"/>
        <w:ind/>
        <w:rPr/>
      </w:pPr>
      <w:r>
        <w:rPr>
          <w:rFonts w:ascii="Arial" w:hAnsi="Arial" w:eastAsia="Arial" w:cs="Arial"/>
          <w:b w:val="0"/>
          <w:bCs w:val="0"/>
          <w:i w:val="0"/>
          <w:caps w:val="0"/>
          <w:smallCaps w:val="0"/>
          <w:color w:val="000000" w:themeColor="text1" w:themeTint="FF" w:themeShade="FF"/>
          <w:sz w:val="22"/>
          <w:szCs w:val="22"/>
        </w:rPr>
        <w:t xml:space="preserve">2023: introduced GI VQA/VQG/VLQA as a dedicated challenge design [22], [23];</w:t>
      </w:r>
      <w:r/>
    </w:p>
    <w:p w14:paraId="500C5FAA">
      <w:pPr>
        <w:pStyle w:val="1128"/>
        <w:numPr>
          <w:ilvl w:val="0"/>
          <w:numId w:val="26"/>
        </w:numPr>
        <w:suppressLineNumbers w:val="false"/>
        <w:pBdr/>
        <w:spacing w:after="240" w:afterAutospacing="0" w:before="240" w:beforeAutospacing="0" w:line="240" w:lineRule="auto"/>
        <w:ind/>
        <w:rPr/>
      </w:pPr>
      <w:r>
        <w:rPr>
          <w:rFonts w:ascii="Arial" w:hAnsi="Arial" w:eastAsia="Arial" w:cs="Arial"/>
          <w:b w:val="0"/>
          <w:bCs w:val="0"/>
          <w:i w:val="0"/>
          <w:caps w:val="0"/>
          <w:smallCaps w:val="0"/>
          <w:color w:val="000000" w:themeColor="text1" w:themeTint="FF" w:themeShade="FF"/>
          <w:sz w:val="22"/>
          <w:szCs w:val="22"/>
        </w:rPr>
        <w:t xml:space="preserve">2024: expanded into synthetic-image-oriented workflows [24];</w:t>
      </w:r>
      <w:r/>
    </w:p>
    <w:p w14:paraId="6F3C7EF1">
      <w:pPr>
        <w:pStyle w:val="1128"/>
        <w:numPr>
          <w:ilvl w:val="0"/>
          <w:numId w:val="26"/>
        </w:numPr>
        <w:suppressLineNumbers w:val="false"/>
        <w:pBdr/>
        <w:spacing w:after="240" w:afterAutospacing="0" w:before="240" w:beforeAutospacing="0" w:line="240" w:lineRule="auto"/>
        <w:ind/>
        <w:rPr/>
      </w:pPr>
      <w:r>
        <w:rPr>
          <w:rFonts w:ascii="Arial" w:hAnsi="Arial" w:eastAsia="Arial" w:cs="Arial"/>
          <w:b w:val="0"/>
          <w:bCs w:val="0"/>
          <w:i w:val="0"/>
          <w:caps w:val="0"/>
          <w:smallCaps w:val="0"/>
          <w:color w:val="000000" w:themeColor="text1" w:themeTint="FF" w:themeShade="FF"/>
          <w:sz w:val="22"/>
          <w:szCs w:val="22"/>
        </w:rPr>
        <w:t xml:space="preserve">2025: formalized VQA with synthetic-real integration at ImageCLEF [25] and explainable GI VQA at MediaEval [26], [27].</w:t>
      </w:r>
      <w:r/>
    </w:p>
    <w:p w14:paraId="53C61CD9">
      <w:pPr>
        <w:pStyle w:val="112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This progression matters because it changes what "state-of-the-art" means. The comparison target is no longer only answer correctness; it increasingly includes explanation quality, visual grounding, and clinical relevance.</w:t>
      </w:r>
      <w:r>
        <w:rPr>
          <w:rFonts w:ascii="Arial" w:hAnsi="Arial" w:eastAsia="Arial" w:cs="Arial"/>
          <w:b w:val="0"/>
          <w:bCs w:val="0"/>
          <w:i w:val="0"/>
          <w:caps w:val="0"/>
          <w:smallCaps w:val="0"/>
          <w:color w:val="000000" w:themeColor="text1" w:themeTint="FF" w:themeShade="FF"/>
          <w:sz w:val="22"/>
          <w:szCs w:val="22"/>
        </w:rPr>
      </w:r>
      <w:r/>
    </w:p>
    <w:p w14:paraId="68399E99">
      <w:pPr>
        <w:pStyle w:val="1128"/>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themeTint="FF" w:themeShade="FF"/>
          <w:sz w:val="22"/>
          <w:szCs w:val="22"/>
        </w:rPr>
        <w:t xml:space="preserve">2.4.</w:t>
      </w:r>
      <w:r>
        <w:rPr>
          <w:rFonts w:ascii="Arial" w:hAnsi="Arial" w:eastAsia="Arial" w:cs="Arial"/>
          <w:b/>
          <w:bCs/>
          <w:i w:val="0"/>
          <w:caps w:val="0"/>
          <w:smallCaps w:val="0"/>
          <w:color w:val="000000" w:themeColor="text1" w:themeTint="FF" w:themeShade="FF"/>
          <w:sz w:val="22"/>
          <w:szCs w:val="22"/>
          <w:lang w:val="en-US"/>
        </w:rPr>
        <w:t xml:space="preserve">4</w:t>
      </w:r>
      <w:r>
        <w:rPr>
          <w:rFonts w:ascii="Arial" w:hAnsi="Arial" w:eastAsia="Arial" w:cs="Arial"/>
          <w:b/>
          <w:bCs/>
          <w:i w:val="0"/>
          <w:caps w:val="0"/>
          <w:smallCaps w:val="0"/>
          <w:color w:val="000000" w:themeColor="text1" w:themeTint="FF" w:themeShade="FF"/>
          <w:sz w:val="22"/>
          <w:szCs w:val="22"/>
        </w:rPr>
        <w:t xml:space="preserve"> UC Severity Automation Literature Bridge</w:t>
      </w:r>
      <w:r>
        <w:rPr>
          <w:b/>
          <w:bCs/>
        </w:rPr>
      </w:r>
      <w:r>
        <w:rPr>
          <w:b/>
          <w:bCs/>
        </w:rPr>
      </w:r>
    </w:p>
    <w:p w14:paraId="2BEBB145">
      <w:pPr>
        <w:pStyle w:val="1128"/>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highlight w:val="none"/>
        </w:rPr>
      </w:pPr>
      <w:r>
        <w:rPr>
          <w:rFonts w:ascii="Arial" w:hAnsi="Arial" w:eastAsia="Arial" w:cs="Arial"/>
          <w:b w:val="0"/>
          <w:bCs w:val="0"/>
          <w:i w:val="0"/>
          <w:caps w:val="0"/>
          <w:smallCaps w:val="0"/>
          <w:color w:val="000000" w:themeColor="text1" w:themeTint="FF" w:themeShade="FF"/>
          <w:sz w:val="22"/>
          <w:szCs w:val="22"/>
        </w:rPr>
        <w:t xml:space="preserve">U</w:t>
      </w:r>
      <w:r>
        <w:rPr>
          <w:rFonts w:ascii="Arial" w:hAnsi="Arial" w:eastAsia="Arial" w:cs="Arial"/>
          <w:b w:val="0"/>
          <w:bCs w:val="0"/>
          <w:i w:val="0"/>
          <w:caps w:val="0"/>
          <w:smallCaps w:val="0"/>
          <w:color w:val="000000" w:themeColor="text1" w:themeTint="FF" w:themeShade="FF"/>
          <w:sz w:val="22"/>
          <w:szCs w:val="22"/>
        </w:rPr>
        <w:t xml:space="preserve">C severity automation has a substantial pre-VQA literature, and this background is essential for correct novelty positioning. Representative studies include deep learning grading against human review in JAMA Network Open [42], CAD-based endoscopic activit</w:t>
      </w:r>
      <w:r>
        <w:rPr>
          <w:rFonts w:ascii="Arial" w:hAnsi="Arial" w:eastAsia="Arial" w:cs="Arial"/>
          <w:b w:val="0"/>
          <w:bCs w:val="0"/>
          <w:i w:val="0"/>
          <w:caps w:val="0"/>
          <w:smallCaps w:val="0"/>
          <w:color w:val="000000" w:themeColor="text1" w:themeTint="FF" w:themeShade="FF"/>
          <w:sz w:val="22"/>
          <w:szCs w:val="22"/>
        </w:rPr>
        <w:t xml:space="preserve">y scoring in Gastroenterology [43], prospective multicentre CAD for inflammatory activity in Gastrointestinal Endoscopy [44], and recent MES/UCEIS-focused deep neural modeling in Journal of Crohn's and Colitis [45].</w:t>
      </w:r>
      <w:r>
        <w:rPr>
          <w:rFonts w:ascii="Arial" w:hAnsi="Arial" w:eastAsia="Arial" w:cs="Arial"/>
          <w:b w:val="0"/>
          <w:bCs w:val="0"/>
          <w:i w:val="0"/>
          <w:caps w:val="0"/>
          <w:smallCaps w:val="0"/>
          <w:color w:val="000000" w:themeColor="text1" w:themeTint="FF" w:themeShade="FF"/>
          <w:sz w:val="22"/>
          <w:szCs w:val="22"/>
          <w:highlight w:val="none"/>
        </w:rPr>
      </w:r>
      <w:r>
        <w:rPr>
          <w:rFonts w:ascii="Arial" w:hAnsi="Arial" w:eastAsia="Arial" w:cs="Arial"/>
          <w:b w:val="0"/>
          <w:bCs w:val="0"/>
          <w:i w:val="0"/>
          <w:caps w:val="0"/>
          <w:smallCaps w:val="0"/>
          <w:color w:val="000000" w:themeColor="text1" w:themeTint="FF" w:themeShade="FF"/>
          <w:sz w:val="22"/>
          <w:szCs w:val="22"/>
          <w:highlight w:val="none"/>
        </w:rPr>
      </w:r>
    </w:p>
    <w:tbl>
      <w:tblPr>
        <w:tblStyle w:val="1185"/>
        <w:tblInd w:w="-241" w:type="dxa"/>
        <w:tblW w:w="0" w:type="auto"/>
        <w:tblBorders/>
        <w:tblLayout w:type="fixed"/>
        <w:tblLook w:val="04A0" w:firstRow="1" w:lastRow="0" w:firstColumn="1" w:lastColumn="0" w:noHBand="0" w:noVBand="1"/>
      </w:tblPr>
      <w:tblGrid>
        <w:gridCol w:w="1969"/>
        <w:gridCol w:w="1728"/>
        <w:gridCol w:w="1728"/>
        <w:gridCol w:w="1728"/>
        <w:gridCol w:w="2201"/>
      </w:tblGrid>
      <w:tr>
        <w:trPr/>
        <w:tc>
          <w:tcPr>
            <w:tcBorders/>
            <w:tcW w:w="1969" w:type="dxa"/>
            <w:textDirection w:val="lrTb"/>
            <w:noWrap w:val="false"/>
          </w:tcPr>
          <w:p w14:paraId="7B34BA2E">
            <w:pPr>
              <w:pBdr/>
              <w:spacing w:after="0" w:before="0" w:line="240" w:lineRule="auto"/>
              <w:ind/>
              <w:rPr>
                <w:color w:val="000000" w:themeColor="text1"/>
              </w:rPr>
            </w:pPr>
            <w:r>
              <w:rPr>
                <w:rFonts w:ascii="Arial" w:hAnsi="Arial" w:eastAsia="Arial" w:cs="Arial"/>
                <w:b/>
                <w:color w:val="000000" w:themeColor="text1"/>
                <w:sz w:val="21"/>
              </w:rPr>
              <w:t xml:space="preserve">Study</w:t>
            </w:r>
            <w:r>
              <w:rPr>
                <w:color w:val="000000" w:themeColor="text1"/>
              </w:rPr>
            </w:r>
            <w:r>
              <w:rPr>
                <w:color w:val="000000" w:themeColor="text1"/>
              </w:rPr>
            </w:r>
          </w:p>
        </w:tc>
        <w:tc>
          <w:tcPr>
            <w:tcBorders/>
            <w:tcW w:w="1728" w:type="dxa"/>
            <w:textDirection w:val="lrTb"/>
            <w:noWrap w:val="false"/>
          </w:tcPr>
          <w:p w14:paraId="76C4B3E9">
            <w:pPr>
              <w:pBdr/>
              <w:spacing w:after="0" w:before="0" w:line="240" w:lineRule="auto"/>
              <w:ind/>
              <w:rPr>
                <w:color w:val="000000" w:themeColor="text1"/>
              </w:rPr>
            </w:pPr>
            <w:r>
              <w:rPr>
                <w:rFonts w:ascii="Arial" w:hAnsi="Arial" w:eastAsia="Arial" w:cs="Arial"/>
                <w:b/>
                <w:color w:val="000000" w:themeColor="text1"/>
                <w:sz w:val="21"/>
              </w:rPr>
              <w:t xml:space="preserve">Input type</w:t>
            </w:r>
            <w:r>
              <w:rPr>
                <w:color w:val="000000" w:themeColor="text1"/>
              </w:rPr>
            </w:r>
            <w:r>
              <w:rPr>
                <w:color w:val="000000" w:themeColor="text1"/>
              </w:rPr>
            </w:r>
          </w:p>
        </w:tc>
        <w:tc>
          <w:tcPr>
            <w:tcBorders/>
            <w:tcW w:w="1728" w:type="dxa"/>
            <w:textDirection w:val="lrTb"/>
            <w:noWrap w:val="false"/>
          </w:tcPr>
          <w:p w14:paraId="03337ECE">
            <w:pPr>
              <w:pBdr/>
              <w:spacing w:after="0" w:before="0" w:line="240" w:lineRule="auto"/>
              <w:ind/>
              <w:rPr>
                <w:color w:val="000000" w:themeColor="text1"/>
              </w:rPr>
            </w:pPr>
            <w:r>
              <w:rPr>
                <w:rFonts w:ascii="Arial" w:hAnsi="Arial" w:eastAsia="Arial" w:cs="Arial"/>
                <w:b/>
                <w:color w:val="000000" w:themeColor="text1"/>
                <w:sz w:val="21"/>
              </w:rPr>
              <w:t xml:space="preserve">Output target</w:t>
            </w:r>
            <w:r>
              <w:rPr>
                <w:color w:val="000000" w:themeColor="text1"/>
              </w:rPr>
            </w:r>
            <w:r>
              <w:rPr>
                <w:color w:val="000000" w:themeColor="text1"/>
              </w:rPr>
            </w:r>
          </w:p>
        </w:tc>
        <w:tc>
          <w:tcPr>
            <w:tcBorders/>
            <w:tcW w:w="1728" w:type="dxa"/>
            <w:textDirection w:val="lrTb"/>
            <w:noWrap w:val="false"/>
          </w:tcPr>
          <w:p w14:paraId="005C622D">
            <w:pPr>
              <w:pBdr/>
              <w:spacing w:after="0" w:before="0" w:line="240" w:lineRule="auto"/>
              <w:ind/>
              <w:rPr>
                <w:color w:val="000000" w:themeColor="text1"/>
              </w:rPr>
            </w:pPr>
            <w:r>
              <w:rPr>
                <w:rFonts w:ascii="Arial" w:hAnsi="Arial" w:eastAsia="Arial" w:cs="Arial"/>
                <w:b/>
                <w:color w:val="000000" w:themeColor="text1"/>
                <w:sz w:val="21"/>
              </w:rPr>
              <w:t xml:space="preserve">Main contribution</w:t>
            </w:r>
            <w:r>
              <w:rPr>
                <w:color w:val="000000" w:themeColor="text1"/>
              </w:rPr>
            </w:r>
            <w:r>
              <w:rPr>
                <w:color w:val="000000" w:themeColor="text1"/>
              </w:rPr>
            </w:r>
          </w:p>
        </w:tc>
        <w:tc>
          <w:tcPr>
            <w:tcBorders/>
            <w:tcW w:w="2201" w:type="dxa"/>
            <w:textDirection w:val="lrTb"/>
            <w:noWrap w:val="false"/>
          </w:tcPr>
          <w:p w14:paraId="36D2AFC3">
            <w:pPr>
              <w:pBdr/>
              <w:spacing w:after="0" w:before="0" w:line="240" w:lineRule="auto"/>
              <w:ind/>
              <w:rPr>
                <w:color w:val="000000" w:themeColor="text1"/>
              </w:rPr>
            </w:pPr>
            <w:r>
              <w:rPr>
                <w:rFonts w:ascii="Arial" w:hAnsi="Arial" w:eastAsia="Arial" w:cs="Arial"/>
                <w:b/>
                <w:color w:val="000000" w:themeColor="text1"/>
                <w:sz w:val="21"/>
              </w:rPr>
              <w:t xml:space="preserve">Remaining limitation for this thesis</w:t>
            </w:r>
            <w:r>
              <w:rPr>
                <w:color w:val="000000" w:themeColor="text1"/>
              </w:rPr>
            </w:r>
            <w:r>
              <w:rPr>
                <w:color w:val="000000" w:themeColor="text1"/>
              </w:rPr>
            </w:r>
          </w:p>
        </w:tc>
      </w:tr>
      <w:tr>
        <w:trPr/>
        <w:tc>
          <w:tcPr>
            <w:tcBorders/>
            <w:tcW w:w="1969" w:type="dxa"/>
            <w:textDirection w:val="lrTb"/>
            <w:noWrap w:val="false"/>
          </w:tcPr>
          <w:p w14:paraId="19BBABFC">
            <w:pPr>
              <w:pBdr/>
              <w:spacing w:after="0" w:before="0" w:line="240" w:lineRule="auto"/>
              <w:ind/>
              <w:rPr>
                <w:color w:val="000000" w:themeColor="text1"/>
              </w:rPr>
            </w:pPr>
            <w:r>
              <w:rPr>
                <w:rFonts w:ascii="Arial" w:hAnsi="Arial" w:eastAsia="Arial" w:cs="Arial"/>
                <w:color w:val="000000" w:themeColor="text1"/>
                <w:sz w:val="21"/>
              </w:rPr>
              <w:t xml:space="preserve">Stidham et al. [42]</w:t>
            </w:r>
            <w:r>
              <w:rPr>
                <w:color w:val="000000" w:themeColor="text1"/>
              </w:rPr>
            </w:r>
            <w:r>
              <w:rPr>
                <w:color w:val="000000" w:themeColor="text1"/>
              </w:rPr>
            </w:r>
          </w:p>
        </w:tc>
        <w:tc>
          <w:tcPr>
            <w:tcBorders/>
            <w:tcW w:w="1728" w:type="dxa"/>
            <w:textDirection w:val="lrTb"/>
            <w:noWrap w:val="false"/>
          </w:tcPr>
          <w:p w14:paraId="4F73CFE3">
            <w:pPr>
              <w:pBdr/>
              <w:spacing w:after="0" w:before="0" w:line="240" w:lineRule="auto"/>
              <w:ind/>
              <w:rPr>
                <w:color w:val="000000" w:themeColor="text1"/>
              </w:rPr>
            </w:pPr>
            <w:r>
              <w:rPr>
                <w:rFonts w:ascii="Arial" w:hAnsi="Arial" w:eastAsia="Arial" w:cs="Arial"/>
                <w:color w:val="000000" w:themeColor="text1"/>
                <w:sz w:val="21"/>
              </w:rPr>
              <w:t xml:space="preserve">Endoscopic images</w:t>
            </w:r>
            <w:r>
              <w:rPr>
                <w:color w:val="000000" w:themeColor="text1"/>
              </w:rPr>
            </w:r>
            <w:r>
              <w:rPr>
                <w:color w:val="000000" w:themeColor="text1"/>
              </w:rPr>
            </w:r>
          </w:p>
        </w:tc>
        <w:tc>
          <w:tcPr>
            <w:tcBorders/>
            <w:tcW w:w="1728" w:type="dxa"/>
            <w:textDirection w:val="lrTb"/>
            <w:noWrap w:val="false"/>
          </w:tcPr>
          <w:p w14:paraId="21B10065">
            <w:pPr>
              <w:pBdr/>
              <w:spacing w:after="0" w:before="0" w:line="240" w:lineRule="auto"/>
              <w:ind/>
              <w:rPr>
                <w:color w:val="000000" w:themeColor="text1"/>
              </w:rPr>
            </w:pPr>
            <w:r>
              <w:rPr>
                <w:rFonts w:ascii="Arial" w:hAnsi="Arial" w:eastAsia="Arial" w:cs="Arial"/>
                <w:color w:val="000000" w:themeColor="text1"/>
                <w:sz w:val="21"/>
              </w:rPr>
              <w:t xml:space="preserve">Disease severity grade</w:t>
            </w:r>
            <w:r>
              <w:rPr>
                <w:color w:val="000000" w:themeColor="text1"/>
              </w:rPr>
            </w:r>
            <w:r>
              <w:rPr>
                <w:color w:val="000000" w:themeColor="text1"/>
              </w:rPr>
            </w:r>
          </w:p>
        </w:tc>
        <w:tc>
          <w:tcPr>
            <w:tcBorders/>
            <w:tcW w:w="1728" w:type="dxa"/>
            <w:textDirection w:val="lrTb"/>
            <w:noWrap w:val="false"/>
          </w:tcPr>
          <w:p w14:paraId="2FAFEA6D">
            <w:pPr>
              <w:pBdr/>
              <w:spacing w:after="0" w:before="0" w:line="240" w:lineRule="auto"/>
              <w:ind/>
              <w:rPr>
                <w:color w:val="000000" w:themeColor="text1"/>
              </w:rPr>
            </w:pPr>
            <w:r>
              <w:rPr>
                <w:rFonts w:ascii="Arial" w:hAnsi="Arial" w:eastAsia="Arial" w:cs="Arial"/>
                <w:color w:val="000000" w:themeColor="text1"/>
                <w:sz w:val="21"/>
              </w:rPr>
              <w:t xml:space="preserve">Human-level comparative severity scoring analysis</w:t>
            </w:r>
            <w:r>
              <w:rPr>
                <w:color w:val="000000" w:themeColor="text1"/>
              </w:rPr>
            </w:r>
            <w:r>
              <w:rPr>
                <w:color w:val="000000" w:themeColor="text1"/>
              </w:rPr>
            </w:r>
          </w:p>
        </w:tc>
        <w:tc>
          <w:tcPr>
            <w:tcBorders/>
            <w:tcW w:w="2201" w:type="dxa"/>
            <w:textDirection w:val="lrTb"/>
            <w:noWrap w:val="false"/>
          </w:tcPr>
          <w:p w14:paraId="21176513">
            <w:pPr>
              <w:pBdr/>
              <w:spacing w:after="0" w:before="0" w:line="240" w:lineRule="auto"/>
              <w:ind/>
              <w:rPr>
                <w:color w:val="000000" w:themeColor="text1"/>
              </w:rPr>
            </w:pPr>
            <w:r>
              <w:rPr>
                <w:rFonts w:ascii="Arial" w:hAnsi="Arial" w:eastAsia="Arial" w:cs="Arial"/>
                <w:color w:val="000000" w:themeColor="text1"/>
                <w:sz w:val="21"/>
              </w:rPr>
              <w:t xml:space="preserve">Limited interactive QA and evidence-linked outputs</w:t>
            </w:r>
            <w:r>
              <w:rPr>
                <w:color w:val="000000" w:themeColor="text1"/>
              </w:rPr>
            </w:r>
            <w:r>
              <w:rPr>
                <w:color w:val="000000" w:themeColor="text1"/>
              </w:rPr>
            </w:r>
          </w:p>
        </w:tc>
      </w:tr>
      <w:tr>
        <w:trPr/>
        <w:tc>
          <w:tcPr>
            <w:tcBorders/>
            <w:tcW w:w="1969" w:type="dxa"/>
            <w:textDirection w:val="lrTb"/>
            <w:noWrap w:val="false"/>
          </w:tcPr>
          <w:p w14:paraId="56861E28">
            <w:pPr>
              <w:pBdr/>
              <w:spacing w:after="0" w:before="0" w:line="240" w:lineRule="auto"/>
              <w:ind/>
              <w:rPr>
                <w:color w:val="000000" w:themeColor="text1"/>
              </w:rPr>
            </w:pPr>
            <w:r>
              <w:rPr>
                <w:rFonts w:ascii="Arial" w:hAnsi="Arial" w:eastAsia="Arial" w:cs="Arial"/>
                <w:color w:val="000000" w:themeColor="text1"/>
                <w:sz w:val="21"/>
              </w:rPr>
              <w:t xml:space="preserve">Ozawa et al. [43]</w:t>
            </w:r>
            <w:r>
              <w:rPr>
                <w:color w:val="000000" w:themeColor="text1"/>
              </w:rPr>
            </w:r>
            <w:r>
              <w:rPr>
                <w:color w:val="000000" w:themeColor="text1"/>
              </w:rPr>
            </w:r>
          </w:p>
        </w:tc>
        <w:tc>
          <w:tcPr>
            <w:tcBorders/>
            <w:tcW w:w="1728" w:type="dxa"/>
            <w:textDirection w:val="lrTb"/>
            <w:noWrap w:val="false"/>
          </w:tcPr>
          <w:p w14:paraId="500EA223">
            <w:pPr>
              <w:pBdr/>
              <w:spacing w:after="0" w:before="0" w:line="240" w:lineRule="auto"/>
              <w:ind/>
              <w:rPr>
                <w:color w:val="000000" w:themeColor="text1"/>
              </w:rPr>
            </w:pPr>
            <w:r>
              <w:rPr>
                <w:rFonts w:ascii="Arial" w:hAnsi="Arial" w:eastAsia="Arial" w:cs="Arial"/>
                <w:color w:val="000000" w:themeColor="text1"/>
                <w:sz w:val="21"/>
              </w:rPr>
              <w:t xml:space="preserve">Colonoscopy images</w:t>
            </w:r>
            <w:r>
              <w:rPr>
                <w:color w:val="000000" w:themeColor="text1"/>
              </w:rPr>
            </w:r>
            <w:r>
              <w:rPr>
                <w:color w:val="000000" w:themeColor="text1"/>
              </w:rPr>
            </w:r>
          </w:p>
        </w:tc>
        <w:tc>
          <w:tcPr>
            <w:tcBorders/>
            <w:tcW w:w="1728" w:type="dxa"/>
            <w:textDirection w:val="lrTb"/>
            <w:noWrap w:val="false"/>
          </w:tcPr>
          <w:p w14:paraId="1D0279A3">
            <w:pPr>
              <w:pBdr/>
              <w:spacing w:after="0" w:before="0" w:line="240" w:lineRule="auto"/>
              <w:ind/>
              <w:rPr>
                <w:color w:val="000000" w:themeColor="text1"/>
              </w:rPr>
            </w:pPr>
            <w:r>
              <w:rPr>
                <w:rFonts w:ascii="Arial" w:hAnsi="Arial" w:eastAsia="Arial" w:cs="Arial"/>
                <w:color w:val="000000" w:themeColor="text1"/>
                <w:sz w:val="21"/>
              </w:rPr>
              <w:t xml:space="preserve">Endoscopic disease activity</w:t>
            </w:r>
            <w:r>
              <w:rPr>
                <w:color w:val="000000" w:themeColor="text1"/>
              </w:rPr>
            </w:r>
            <w:r>
              <w:rPr>
                <w:color w:val="000000" w:themeColor="text1"/>
              </w:rPr>
            </w:r>
          </w:p>
        </w:tc>
        <w:tc>
          <w:tcPr>
            <w:tcBorders/>
            <w:tcW w:w="1728" w:type="dxa"/>
            <w:textDirection w:val="lrTb"/>
            <w:noWrap w:val="false"/>
          </w:tcPr>
          <w:p w14:paraId="75703A3E">
            <w:pPr>
              <w:pBdr/>
              <w:spacing w:after="0" w:before="0" w:line="240" w:lineRule="auto"/>
              <w:ind/>
              <w:rPr>
                <w:color w:val="000000" w:themeColor="text1"/>
              </w:rPr>
            </w:pPr>
            <w:r>
              <w:rPr>
                <w:rFonts w:ascii="Arial" w:hAnsi="Arial" w:eastAsia="Arial" w:cs="Arial"/>
                <w:color w:val="000000" w:themeColor="text1"/>
                <w:sz w:val="21"/>
              </w:rPr>
              <w:t xml:space="preserve">CAD feasibility for UC severity grading</w:t>
            </w:r>
            <w:r>
              <w:rPr>
                <w:color w:val="000000" w:themeColor="text1"/>
              </w:rPr>
            </w:r>
            <w:r>
              <w:rPr>
                <w:color w:val="000000" w:themeColor="text1"/>
              </w:rPr>
            </w:r>
          </w:p>
        </w:tc>
        <w:tc>
          <w:tcPr>
            <w:tcBorders/>
            <w:tcW w:w="2201" w:type="dxa"/>
            <w:textDirection w:val="lrTb"/>
            <w:noWrap w:val="false"/>
          </w:tcPr>
          <w:p w14:paraId="6D249C68">
            <w:pPr>
              <w:pBdr/>
              <w:spacing w:after="0" w:before="0" w:line="240" w:lineRule="auto"/>
              <w:ind/>
              <w:rPr>
                <w:color w:val="000000" w:themeColor="text1"/>
              </w:rPr>
            </w:pPr>
            <w:r>
              <w:rPr>
                <w:rFonts w:ascii="Arial" w:hAnsi="Arial" w:eastAsia="Arial" w:cs="Arial"/>
                <w:color w:val="000000" w:themeColor="text1"/>
                <w:sz w:val="21"/>
              </w:rPr>
              <w:t xml:space="preserve">Primarily fixed-score prediction interface</w:t>
            </w:r>
            <w:r>
              <w:rPr>
                <w:color w:val="000000" w:themeColor="text1"/>
              </w:rPr>
            </w:r>
            <w:r>
              <w:rPr>
                <w:color w:val="000000" w:themeColor="text1"/>
              </w:rPr>
            </w:r>
          </w:p>
        </w:tc>
      </w:tr>
      <w:tr>
        <w:trPr/>
        <w:tc>
          <w:tcPr>
            <w:tcBorders/>
            <w:tcW w:w="1969" w:type="dxa"/>
            <w:textDirection w:val="lrTb"/>
            <w:noWrap w:val="false"/>
          </w:tcPr>
          <w:p w14:paraId="258CF28B">
            <w:pPr>
              <w:pBdr/>
              <w:spacing w:after="0" w:before="0" w:line="240" w:lineRule="auto"/>
              <w:ind/>
              <w:rPr>
                <w:color w:val="000000" w:themeColor="text1"/>
              </w:rPr>
            </w:pPr>
            <w:r>
              <w:rPr>
                <w:rFonts w:ascii="Arial" w:hAnsi="Arial" w:eastAsia="Arial" w:cs="Arial"/>
                <w:color w:val="000000" w:themeColor="text1"/>
                <w:sz w:val="21"/>
              </w:rPr>
              <w:t xml:space="preserve">Yao et al. [44]</w:t>
            </w:r>
            <w:r>
              <w:rPr>
                <w:color w:val="000000" w:themeColor="text1"/>
              </w:rPr>
            </w:r>
            <w:r>
              <w:rPr>
                <w:color w:val="000000" w:themeColor="text1"/>
              </w:rPr>
            </w:r>
          </w:p>
        </w:tc>
        <w:tc>
          <w:tcPr>
            <w:tcBorders/>
            <w:tcW w:w="1728" w:type="dxa"/>
            <w:textDirection w:val="lrTb"/>
            <w:noWrap w:val="false"/>
          </w:tcPr>
          <w:p w14:paraId="36B21DA7">
            <w:pPr>
              <w:pBdr/>
              <w:spacing w:after="0" w:before="0" w:line="240" w:lineRule="auto"/>
              <w:ind/>
              <w:rPr>
                <w:color w:val="000000" w:themeColor="text1"/>
              </w:rPr>
            </w:pPr>
            <w:r>
              <w:rPr>
                <w:rFonts w:ascii="Arial" w:hAnsi="Arial" w:eastAsia="Arial" w:cs="Arial"/>
                <w:color w:val="000000" w:themeColor="text1"/>
                <w:sz w:val="21"/>
              </w:rPr>
              <w:t xml:space="preserve">Multicentre colonoscopy data</w:t>
            </w:r>
            <w:r>
              <w:rPr>
                <w:color w:val="000000" w:themeColor="text1"/>
              </w:rPr>
            </w:r>
            <w:r>
              <w:rPr>
                <w:color w:val="000000" w:themeColor="text1"/>
              </w:rPr>
            </w:r>
          </w:p>
        </w:tc>
        <w:tc>
          <w:tcPr>
            <w:tcBorders/>
            <w:tcW w:w="1728" w:type="dxa"/>
            <w:textDirection w:val="lrTb"/>
            <w:noWrap w:val="false"/>
          </w:tcPr>
          <w:p w14:paraId="2444B3FB">
            <w:pPr>
              <w:pBdr/>
              <w:spacing w:after="0" w:before="0" w:line="240" w:lineRule="auto"/>
              <w:ind/>
              <w:rPr>
                <w:color w:val="000000" w:themeColor="text1"/>
              </w:rPr>
            </w:pPr>
            <w:r>
              <w:rPr>
                <w:rFonts w:ascii="Arial" w:hAnsi="Arial" w:eastAsia="Arial" w:cs="Arial"/>
                <w:color w:val="000000" w:themeColor="text1"/>
                <w:sz w:val="21"/>
              </w:rPr>
              <w:t xml:space="preserve">Inflammatory activity</w:t>
            </w:r>
            <w:r>
              <w:rPr>
                <w:color w:val="000000" w:themeColor="text1"/>
              </w:rPr>
            </w:r>
            <w:r>
              <w:rPr>
                <w:color w:val="000000" w:themeColor="text1"/>
              </w:rPr>
            </w:r>
          </w:p>
        </w:tc>
        <w:tc>
          <w:tcPr>
            <w:tcBorders/>
            <w:tcW w:w="1728" w:type="dxa"/>
            <w:textDirection w:val="lrTb"/>
            <w:noWrap w:val="false"/>
          </w:tcPr>
          <w:p w14:paraId="3B97D438">
            <w:pPr>
              <w:pBdr/>
              <w:spacing w:after="0" w:before="0" w:line="240" w:lineRule="auto"/>
              <w:ind/>
              <w:rPr>
                <w:color w:val="000000" w:themeColor="text1"/>
              </w:rPr>
            </w:pPr>
            <w:r>
              <w:rPr>
                <w:rFonts w:ascii="Arial" w:hAnsi="Arial" w:eastAsia="Arial" w:cs="Arial"/>
                <w:color w:val="000000" w:themeColor="text1"/>
                <w:sz w:val="21"/>
              </w:rPr>
              <w:t xml:space="preserve">Prospective multicentre evaluation</w:t>
            </w:r>
            <w:r>
              <w:rPr>
                <w:color w:val="000000" w:themeColor="text1"/>
              </w:rPr>
            </w:r>
            <w:r>
              <w:rPr>
                <w:color w:val="000000" w:themeColor="text1"/>
              </w:rPr>
            </w:r>
          </w:p>
        </w:tc>
        <w:tc>
          <w:tcPr>
            <w:tcBorders/>
            <w:tcW w:w="2201" w:type="dxa"/>
            <w:textDirection w:val="lrTb"/>
            <w:noWrap w:val="false"/>
          </w:tcPr>
          <w:p w14:paraId="6373F56C">
            <w:pPr>
              <w:pBdr/>
              <w:spacing w:after="0" w:before="0" w:line="240" w:lineRule="auto"/>
              <w:ind/>
              <w:rPr>
                <w:color w:val="000000" w:themeColor="text1"/>
              </w:rPr>
            </w:pPr>
            <w:r>
              <w:rPr>
                <w:rFonts w:ascii="Arial" w:hAnsi="Arial" w:eastAsia="Arial" w:cs="Arial"/>
                <w:color w:val="000000" w:themeColor="text1"/>
                <w:sz w:val="21"/>
              </w:rPr>
              <w:t xml:space="preserve">Not structured around clinician question-answer workflows</w:t>
            </w:r>
            <w:r>
              <w:rPr>
                <w:color w:val="000000" w:themeColor="text1"/>
              </w:rPr>
            </w:r>
            <w:r>
              <w:rPr>
                <w:color w:val="000000" w:themeColor="text1"/>
              </w:rPr>
            </w:r>
          </w:p>
        </w:tc>
      </w:tr>
      <w:tr>
        <w:trPr/>
        <w:tc>
          <w:tcPr>
            <w:tcBorders/>
            <w:tcW w:w="1969" w:type="dxa"/>
            <w:textDirection w:val="lrTb"/>
            <w:noWrap w:val="false"/>
          </w:tcPr>
          <w:p w14:paraId="46DBDA50">
            <w:pPr>
              <w:pBdr/>
              <w:spacing w:after="0" w:before="0" w:line="240" w:lineRule="auto"/>
              <w:ind/>
              <w:rPr>
                <w:color w:val="000000" w:themeColor="text1"/>
              </w:rPr>
            </w:pPr>
            <w:r>
              <w:rPr>
                <w:rFonts w:ascii="Arial" w:hAnsi="Arial" w:eastAsia="Arial" w:cs="Arial"/>
                <w:color w:val="000000" w:themeColor="text1"/>
                <w:sz w:val="21"/>
              </w:rPr>
              <w:t xml:space="preserve">Takenaka et al. [45]</w:t>
            </w:r>
            <w:r>
              <w:rPr>
                <w:color w:val="000000" w:themeColor="text1"/>
              </w:rPr>
            </w:r>
            <w:r>
              <w:rPr>
                <w:color w:val="000000" w:themeColor="text1"/>
              </w:rPr>
            </w:r>
          </w:p>
        </w:tc>
        <w:tc>
          <w:tcPr>
            <w:tcBorders/>
            <w:tcW w:w="1728" w:type="dxa"/>
            <w:textDirection w:val="lrTb"/>
            <w:noWrap w:val="false"/>
          </w:tcPr>
          <w:p w14:paraId="3CCB31F6">
            <w:pPr>
              <w:pBdr/>
              <w:spacing w:after="0" w:before="0" w:line="240" w:lineRule="auto"/>
              <w:ind/>
              <w:rPr>
                <w:color w:val="000000" w:themeColor="text1"/>
              </w:rPr>
            </w:pPr>
            <w:r>
              <w:rPr>
                <w:rFonts w:ascii="Arial" w:hAnsi="Arial" w:eastAsia="Arial" w:cs="Arial"/>
                <w:color w:val="000000" w:themeColor="text1"/>
                <w:sz w:val="21"/>
              </w:rPr>
              <w:t xml:space="preserve">Endoscopic images</w:t>
            </w:r>
            <w:r>
              <w:rPr>
                <w:color w:val="000000" w:themeColor="text1"/>
              </w:rPr>
            </w:r>
            <w:r>
              <w:rPr>
                <w:color w:val="000000" w:themeColor="text1"/>
              </w:rPr>
            </w:r>
          </w:p>
        </w:tc>
        <w:tc>
          <w:tcPr>
            <w:tcBorders/>
            <w:tcW w:w="1728" w:type="dxa"/>
            <w:textDirection w:val="lrTb"/>
            <w:noWrap w:val="false"/>
          </w:tcPr>
          <w:p w14:paraId="259CC311">
            <w:pPr>
              <w:pBdr/>
              <w:spacing w:after="0" w:before="0" w:line="240" w:lineRule="auto"/>
              <w:ind/>
              <w:rPr>
                <w:color w:val="000000" w:themeColor="text1"/>
              </w:rPr>
            </w:pPr>
            <w:r>
              <w:rPr>
                <w:rFonts w:ascii="Arial" w:hAnsi="Arial" w:eastAsia="Arial" w:cs="Arial"/>
                <w:color w:val="000000" w:themeColor="text1"/>
                <w:sz w:val="21"/>
              </w:rPr>
              <w:t xml:space="preserve">MES/UCEIS predictions</w:t>
            </w:r>
            <w:r>
              <w:rPr>
                <w:color w:val="000000" w:themeColor="text1"/>
              </w:rPr>
            </w:r>
            <w:r>
              <w:rPr>
                <w:color w:val="000000" w:themeColor="text1"/>
              </w:rPr>
            </w:r>
          </w:p>
        </w:tc>
        <w:tc>
          <w:tcPr>
            <w:tcBorders/>
            <w:tcW w:w="1728" w:type="dxa"/>
            <w:textDirection w:val="lrTb"/>
            <w:noWrap w:val="false"/>
          </w:tcPr>
          <w:p w14:paraId="60EBFBE1">
            <w:pPr>
              <w:pBdr/>
              <w:spacing w:after="0" w:before="0" w:line="240" w:lineRule="auto"/>
              <w:ind/>
              <w:rPr>
                <w:color w:val="000000" w:themeColor="text1"/>
              </w:rPr>
            </w:pPr>
            <w:r>
              <w:rPr>
                <w:rFonts w:ascii="Arial" w:hAnsi="Arial" w:eastAsia="Arial" w:cs="Arial"/>
                <w:color w:val="000000" w:themeColor="text1"/>
                <w:sz w:val="21"/>
              </w:rPr>
              <w:t xml:space="preserve">Strong recent MES/UCEIS-oriented deep model validation</w:t>
            </w:r>
            <w:r>
              <w:rPr>
                <w:color w:val="000000" w:themeColor="text1"/>
              </w:rPr>
            </w:r>
            <w:r>
              <w:rPr>
                <w:color w:val="000000" w:themeColor="text1"/>
              </w:rPr>
            </w:r>
          </w:p>
        </w:tc>
        <w:tc>
          <w:tcPr>
            <w:tcBorders/>
            <w:tcW w:w="2201" w:type="dxa"/>
            <w:textDirection w:val="lrTb"/>
            <w:noWrap w:val="false"/>
          </w:tcPr>
          <w:p w14:paraId="5EE41EBB">
            <w:pPr>
              <w:pBdr/>
              <w:spacing w:after="0" w:before="0" w:line="240" w:lineRule="auto"/>
              <w:ind/>
              <w:rPr>
                <w:color w:val="000000" w:themeColor="text1"/>
              </w:rPr>
            </w:pPr>
            <w:r>
              <w:rPr>
                <w:rFonts w:ascii="Arial" w:hAnsi="Arial" w:eastAsia="Arial" w:cs="Arial"/>
                <w:color w:val="000000" w:themeColor="text1"/>
                <w:sz w:val="21"/>
              </w:rPr>
              <w:t xml:space="preserve">No retrieval-grounded management response layer</w:t>
            </w:r>
            <w:r>
              <w:rPr>
                <w:color w:val="000000" w:themeColor="text1"/>
              </w:rPr>
            </w:r>
            <w:r>
              <w:rPr>
                <w:color w:val="000000" w:themeColor="text1"/>
              </w:rPr>
            </w:r>
          </w:p>
        </w:tc>
      </w:tr>
    </w:tbl>
    <w:p w14:paraId="1B09184C">
      <w:pPr>
        <w:pStyle w:val="1128"/>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caps w:val="0"/>
          <w:smallCaps w:val="0"/>
          <w:color w:val="000000" w:themeColor="text1" w:themeTint="FF" w:themeShade="FF"/>
          <w:sz w:val="22"/>
          <w:szCs w:val="22"/>
          <w:lang w:val="en-US"/>
        </w:rPr>
        <w:t xml:space="preserve">      </w:t>
      </w:r>
      <w:r>
        <w:rPr>
          <w:rFonts w:ascii="Arial" w:hAnsi="Arial" w:eastAsia="Arial" w:cs="Arial"/>
          <w:b w:val="0"/>
          <w:bCs w:val="0"/>
          <w:i w:val="0"/>
          <w:caps w:val="0"/>
          <w:smallCaps w:val="0"/>
          <w:color w:val="000000" w:themeColor="text1" w:themeTint="FF" w:themeShade="FF"/>
          <w:sz w:val="22"/>
          <w:szCs w:val="22"/>
        </w:rPr>
        <w:t xml:space="preserve">Table 2.</w:t>
      </w:r>
      <w:r>
        <w:rPr>
          <w:rFonts w:ascii="Arial" w:hAnsi="Arial" w:eastAsia="Arial" w:cs="Arial"/>
          <w:b w:val="0"/>
          <w:bCs w:val="0"/>
          <w:i w:val="0"/>
          <w:caps w:val="0"/>
          <w:smallCaps w:val="0"/>
          <w:color w:val="000000" w:themeColor="text1" w:themeTint="FF" w:themeShade="FF"/>
          <w:sz w:val="22"/>
          <w:szCs w:val="22"/>
          <w:lang w:val="en-US"/>
        </w:rPr>
        <w:t xml:space="preserve">6</w:t>
      </w:r>
      <w:r>
        <w:rPr>
          <w:rFonts w:ascii="Arial" w:hAnsi="Arial" w:eastAsia="Arial" w:cs="Arial"/>
          <w:b w:val="0"/>
          <w:bCs w:val="0"/>
          <w:i w:val="0"/>
          <w:caps w:val="0"/>
          <w:smallCaps w:val="0"/>
          <w:color w:val="000000" w:themeColor="text1" w:themeTint="FF" w:themeShade="FF"/>
          <w:sz w:val="22"/>
          <w:szCs w:val="22"/>
          <w:lang w:val="en-US"/>
        </w:rPr>
        <w:t xml:space="preserve"> </w:t>
      </w:r>
      <w:r>
        <w:rPr>
          <w:rFonts w:ascii="Arial" w:hAnsi="Arial" w:eastAsia="Arial" w:cs="Arial"/>
          <w:b w:val="0"/>
          <w:bCs w:val="0"/>
          <w:i w:val="0"/>
          <w:caps w:val="0"/>
          <w:smallCaps w:val="0"/>
          <w:color w:val="000000" w:themeColor="text1" w:themeTint="FF" w:themeShade="FF"/>
          <w:sz w:val="22"/>
          <w:szCs w:val="22"/>
        </w:rPr>
        <w:t xml:space="preserve">A. Selected UC Severity Automation Studies (Pre-MedVQA Framing)</w:t>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62C1BA4E">
      <w:pPr>
        <w:pStyle w:val="1128"/>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258B1F98">
      <w:pPr>
        <w:pStyle w:val="1128"/>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caps w:val="0"/>
          <w:smallCaps w:val="0"/>
          <w:color w:val="000000" w:themeColor="text1" w:themeTint="FF" w:themeShade="FF"/>
          <w:sz w:val="22"/>
          <w:szCs w:val="22"/>
          <w:highlight w:val="none"/>
        </w:rPr>
      </w:r>
      <w:r>
        <w:rPr>
          <w:rFonts w:ascii="Arial" w:hAnsi="Arial" w:eastAsia="Arial" w:cs="Arial"/>
          <w:b w:val="0"/>
          <w:bCs w:val="0"/>
          <w:i w:val="0"/>
          <w:caps w:val="0"/>
          <w:smallCaps w:val="0"/>
          <w:color w:val="000000" w:themeColor="text1" w:themeTint="FF" w:themeShade="FF"/>
          <w:sz w:val="22"/>
          <w:szCs w:val="22"/>
          <w:highlight w:val="none"/>
        </w:rPr>
        <w:t xml:space="preserve">T</w:t>
      </w:r>
      <w:r>
        <w:rPr>
          <w:rFonts w:ascii="Arial" w:hAnsi="Arial" w:eastAsia="Arial" w:cs="Arial"/>
          <w:b w:val="0"/>
          <w:bCs w:val="0"/>
          <w:i w:val="0"/>
          <w:caps w:val="0"/>
          <w:smallCaps w:val="0"/>
          <w:color w:val="000000" w:themeColor="text1" w:themeTint="FF" w:themeShade="FF"/>
          <w:sz w:val="22"/>
          <w:szCs w:val="22"/>
          <w:highlight w:val="none"/>
        </w:rPr>
        <w:t xml:space="preserve">hese studies show that AI-based UC scoring is feasible, but they do not directly resolve the MedVQA challenge targeted in this dissertation: combining robust severity estimation with controlled interactive reasoning and evidence-grounded response generatio</w:t>
      </w:r>
      <w:r>
        <w:rPr>
          <w:rFonts w:ascii="Arial" w:hAnsi="Arial" w:eastAsia="Arial" w:cs="Arial"/>
          <w:b w:val="0"/>
          <w:bCs w:val="0"/>
          <w:i w:val="0"/>
          <w:caps w:val="0"/>
          <w:smallCaps w:val="0"/>
          <w:color w:val="000000" w:themeColor="text1" w:themeTint="FF" w:themeShade="FF"/>
          <w:sz w:val="22"/>
          <w:szCs w:val="22"/>
          <w:highlight w:val="none"/>
        </w:rPr>
        <w:t xml:space="preserve">n. Editorial and variability analyses reinforce this gap by highlighting persistent scoring heterogeneity and translational barriers [38], [39].</w:t>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7EF78E8C">
      <w:pPr>
        <w:pStyle w:val="1128"/>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31E692EB">
      <w:pPr>
        <w:pStyle w:val="1128"/>
        <w:suppressLineNumbers w:val="false"/>
        <w:pBdr/>
        <w:spacing w:after="240" w:afterAutospacing="0" w:before="240" w:beforeAutospacing="0" w:line="300" w:lineRule="auto"/>
        <w:ind w:firstLine="0"/>
        <w:rPr/>
      </w:pPr>
      <w:r/>
      <w:r/>
    </w:p>
    <w:p w14:paraId="5B81A01F">
      <w:pPr>
        <w:pStyle w:val="112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r>
      <w:r/>
    </w:p>
    <w:p w14:paraId="54C58A63">
      <w:pPr>
        <w:pStyle w:val="1128"/>
        <w:suppressLineNumbers w:val="false"/>
        <w:pBdr/>
        <w:spacing w:after="240" w:afterAutospacing="0" w:before="240" w:beforeAutospacing="0" w:line="300" w:lineRule="auto"/>
        <w:ind w:firstLine="0"/>
        <w:rPr>
          <w:b/>
          <w:bCs/>
          <w:sz w:val="28"/>
          <w:szCs w:val="28"/>
        </w:rPr>
      </w:pPr>
      <w:r>
        <w:rPr>
          <w:rFonts w:ascii="Arial" w:hAnsi="Arial" w:eastAsia="Arial" w:cs="Arial"/>
          <w:b/>
          <w:bCs/>
          <w:i w:val="0"/>
          <w:caps w:val="0"/>
          <w:smallCaps w:val="0"/>
          <w:color w:val="000000" w:themeColor="text1" w:themeTint="FF" w:themeShade="FF"/>
          <w:sz w:val="28"/>
          <w:szCs w:val="28"/>
        </w:rPr>
        <w:t xml:space="preserve">2.5 Survey of Technique Families</w:t>
      </w:r>
      <w:r>
        <w:rPr>
          <w:b/>
          <w:bCs/>
          <w:sz w:val="28"/>
          <w:szCs w:val="28"/>
        </w:rPr>
      </w:r>
      <w:r>
        <w:rPr>
          <w:b/>
          <w:bCs/>
          <w:sz w:val="28"/>
          <w:szCs w:val="28"/>
        </w:rPr>
      </w:r>
    </w:p>
    <w:p w14:paraId="40DC849F">
      <w:pPr>
        <w:pStyle w:val="112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This section compares method families with specific attention to colonoscopy VQA requirements.</w:t>
      </w:r>
      <w:r>
        <w:rPr>
          <w:rFonts w:ascii="Arial" w:hAnsi="Arial" w:eastAsia="Arial" w:cs="Arial"/>
          <w:b w:val="0"/>
          <w:bCs w:val="0"/>
          <w:i w:val="0"/>
          <w:caps w:val="0"/>
          <w:smallCaps w:val="0"/>
          <w:color w:val="000000" w:themeColor="text1" w:themeTint="FF" w:themeShade="FF"/>
          <w:sz w:val="22"/>
          <w:szCs w:val="22"/>
        </w:rPr>
      </w:r>
      <w:r/>
    </w:p>
    <w:p w14:paraId="3FDA3691">
      <w:pPr>
        <w:pStyle w:val="1128"/>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themeTint="FF" w:themeShade="FF"/>
          <w:sz w:val="22"/>
          <w:szCs w:val="22"/>
        </w:rPr>
        <w:t xml:space="preserve">2.5.1 Rule-Based and Heuristic Logic</w:t>
      </w:r>
      <w:r>
        <w:rPr>
          <w:b/>
          <w:bCs/>
        </w:rPr>
      </w:r>
      <w:r>
        <w:rPr>
          <w:b/>
          <w:bCs/>
        </w:rPr>
      </w:r>
    </w:p>
    <w:p w14:paraId="7ADA17E5">
      <w:pPr>
        <w:pStyle w:val="112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R</w:t>
      </w:r>
      <w:r>
        <w:rPr>
          <w:rFonts w:ascii="Arial" w:hAnsi="Arial" w:eastAsia="Arial" w:cs="Arial"/>
          <w:b w:val="0"/>
          <w:bCs w:val="0"/>
          <w:i w:val="0"/>
          <w:caps w:val="0"/>
          <w:smallCaps w:val="0"/>
          <w:color w:val="000000" w:themeColor="text1" w:themeTint="FF" w:themeShade="FF"/>
          <w:sz w:val="22"/>
          <w:szCs w:val="22"/>
        </w:rPr>
        <w:t xml:space="preserve">ule-based systems encode expert logic through handcrafted criteria (e.g., color thresholds, morphology cues, manually defined score rules). Their strengths are transparency and deterministic behavior. Their weaknesses are brittleness under visual variabili</w:t>
      </w:r>
      <w:r>
        <w:rPr>
          <w:rFonts w:ascii="Arial" w:hAnsi="Arial" w:eastAsia="Arial" w:cs="Arial"/>
          <w:b w:val="0"/>
          <w:bCs w:val="0"/>
          <w:i w:val="0"/>
          <w:caps w:val="0"/>
          <w:smallCaps w:val="0"/>
          <w:color w:val="000000" w:themeColor="text1" w:themeTint="FF" w:themeShade="FF"/>
          <w:sz w:val="22"/>
          <w:szCs w:val="22"/>
        </w:rPr>
        <w:t xml:space="preserve">ty and poor scalability to open-ended language.</w:t>
      </w:r>
      <w:r>
        <w:rPr>
          <w:rFonts w:ascii="Arial" w:hAnsi="Arial" w:eastAsia="Arial" w:cs="Arial"/>
          <w:b w:val="0"/>
          <w:bCs w:val="0"/>
          <w:i w:val="0"/>
          <w:caps w:val="0"/>
          <w:smallCaps w:val="0"/>
          <w:color w:val="000000" w:themeColor="text1" w:themeTint="FF" w:themeShade="FF"/>
          <w:sz w:val="22"/>
          <w:szCs w:val="22"/>
        </w:rPr>
      </w:r>
      <w:r/>
    </w:p>
    <w:p w14:paraId="4A5F2780">
      <w:pPr>
        <w:pStyle w:val="112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In colonoscopy, rule-based components can still be useful as auxiliary constraints (for quality filtering or post-hoc checks), but not as full MedVQA systems.</w:t>
      </w:r>
      <w:r>
        <w:rPr>
          <w:rFonts w:ascii="Arial" w:hAnsi="Arial" w:eastAsia="Arial" w:cs="Arial"/>
          <w:b w:val="0"/>
          <w:bCs w:val="0"/>
          <w:i w:val="0"/>
          <w:caps w:val="0"/>
          <w:smallCaps w:val="0"/>
          <w:color w:val="000000" w:themeColor="text1" w:themeTint="FF" w:themeShade="FF"/>
          <w:sz w:val="22"/>
          <w:szCs w:val="22"/>
        </w:rPr>
      </w:r>
      <w:r/>
    </w:p>
    <w:p w14:paraId="05A28930">
      <w:pPr>
        <w:pStyle w:val="1128"/>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themeTint="FF" w:themeShade="FF"/>
          <w:sz w:val="22"/>
          <w:szCs w:val="22"/>
        </w:rPr>
        <w:t xml:space="preserve">2.5.2 Discriminative CNN/RNN and Early Fusion Models</w:t>
      </w:r>
      <w:r>
        <w:rPr>
          <w:b/>
          <w:bCs/>
        </w:rPr>
      </w:r>
      <w:r>
        <w:rPr>
          <w:b/>
          <w:bCs/>
        </w:rPr>
      </w:r>
    </w:p>
    <w:p w14:paraId="0C9D50BD">
      <w:pPr>
        <w:pStyle w:val="112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These pipelines encode image and question separately and perform fusion for closed-set prediction. They remain strong baselines for constrained yes/no or categorical tasks where label spaces are stable and deterministic output is preferred.</w:t>
      </w:r>
      <w:r>
        <w:rPr>
          <w:rFonts w:ascii="Arial" w:hAnsi="Arial" w:eastAsia="Arial" w:cs="Arial"/>
          <w:b w:val="0"/>
          <w:bCs w:val="0"/>
          <w:i w:val="0"/>
          <w:caps w:val="0"/>
          <w:smallCaps w:val="0"/>
          <w:color w:val="000000" w:themeColor="text1" w:themeTint="FF" w:themeShade="FF"/>
          <w:sz w:val="22"/>
          <w:szCs w:val="22"/>
        </w:rPr>
      </w:r>
      <w:r/>
    </w:p>
    <w:p w14:paraId="49E04B1A">
      <w:pPr>
        <w:pStyle w:val="112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Limitations include weaker compositional reasoning and poor flexibility for long-form explanatory answers.</w:t>
      </w:r>
      <w:r>
        <w:rPr>
          <w:rFonts w:ascii="Arial" w:hAnsi="Arial" w:eastAsia="Arial" w:cs="Arial"/>
          <w:b w:val="0"/>
          <w:bCs w:val="0"/>
          <w:i w:val="0"/>
          <w:caps w:val="0"/>
          <w:smallCaps w:val="0"/>
          <w:color w:val="000000" w:themeColor="text1" w:themeTint="FF" w:themeShade="FF"/>
          <w:sz w:val="22"/>
          <w:szCs w:val="22"/>
        </w:rPr>
      </w:r>
      <w:r/>
    </w:p>
    <w:p w14:paraId="69E34D32">
      <w:pPr>
        <w:pStyle w:val="1128"/>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themeTint="FF" w:themeShade="FF"/>
          <w:sz w:val="22"/>
          <w:szCs w:val="22"/>
        </w:rPr>
        <w:t xml:space="preserve">2.5.3 Transformer-Based Multimodal Fusion</w:t>
      </w:r>
      <w:r>
        <w:rPr>
          <w:b/>
          <w:bCs/>
        </w:rPr>
      </w:r>
      <w:r>
        <w:rPr>
          <w:b/>
          <w:bCs/>
        </w:rPr>
      </w:r>
    </w:p>
    <w:p w14:paraId="552EC70B">
      <w:pPr>
        <w:pStyle w:val="112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Transformers improved image-question alignment and contextual reasoning through cross-attention. Pretrained multimodal encoders can be adapted to clinical VQA with improved sample efficiency relative to training from scratch.</w:t>
      </w:r>
      <w:r>
        <w:rPr>
          <w:rFonts w:ascii="Arial" w:hAnsi="Arial" w:eastAsia="Arial" w:cs="Arial"/>
          <w:b w:val="0"/>
          <w:bCs w:val="0"/>
          <w:i w:val="0"/>
          <w:caps w:val="0"/>
          <w:smallCaps w:val="0"/>
          <w:color w:val="000000" w:themeColor="text1" w:themeTint="FF" w:themeShade="FF"/>
          <w:sz w:val="22"/>
          <w:szCs w:val="22"/>
        </w:rPr>
      </w:r>
      <w:r/>
    </w:p>
    <w:p w14:paraId="7CB8A122">
      <w:pPr>
        <w:pStyle w:val="112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In GI settings, this family often provides strong reliability on structured answer spaces, especially where question templates and answer ontologies are controlled.</w:t>
      </w:r>
      <w:r>
        <w:rPr>
          <w:rFonts w:ascii="Arial" w:hAnsi="Arial" w:eastAsia="Arial" w:cs="Arial"/>
          <w:b w:val="0"/>
          <w:bCs w:val="0"/>
          <w:i w:val="0"/>
          <w:caps w:val="0"/>
          <w:smallCaps w:val="0"/>
          <w:color w:val="000000" w:themeColor="text1" w:themeTint="FF" w:themeShade="FF"/>
          <w:sz w:val="22"/>
          <w:szCs w:val="22"/>
        </w:rPr>
      </w:r>
      <w:r/>
    </w:p>
    <w:p w14:paraId="752C673A">
      <w:pPr>
        <w:pStyle w:val="1128"/>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themeTint="FF" w:themeShade="FF"/>
          <w:sz w:val="22"/>
          <w:szCs w:val="22"/>
        </w:rPr>
        <w:t xml:space="preserve">2.5.4 Generative MLLM-Based MedVQA</w:t>
      </w:r>
      <w:r>
        <w:rPr>
          <w:b/>
          <w:bCs/>
        </w:rPr>
      </w:r>
      <w:r>
        <w:rPr>
          <w:b/>
          <w:bCs/>
        </w:rPr>
      </w:r>
    </w:p>
    <w:p w14:paraId="78B22732">
      <w:pPr>
        <w:pStyle w:val="112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G</w:t>
      </w:r>
      <w:r>
        <w:rPr>
          <w:rFonts w:ascii="Arial" w:hAnsi="Arial" w:eastAsia="Arial" w:cs="Arial"/>
          <w:b w:val="0"/>
          <w:bCs w:val="0"/>
          <w:i w:val="0"/>
          <w:caps w:val="0"/>
          <w:smallCaps w:val="0"/>
          <w:color w:val="000000" w:themeColor="text1" w:themeTint="FF" w:themeShade="FF"/>
          <w:sz w:val="22"/>
          <w:szCs w:val="22"/>
        </w:rPr>
        <w:t xml:space="preserve">enerative approaches output free-text answers and support richer interaction. Key drivers include instruction tuning and parameter-efficient adaptation. Representative medical systems include LLaVA-Med </w:t>
      </w:r>
      <w:r>
        <w:rPr>
          <w:rFonts w:ascii="Arial" w:hAnsi="Arial" w:eastAsia="Arial" w:cs="Arial"/>
          <w:b w:val="0"/>
          <w:bCs w:val="0"/>
          <w:i w:val="0"/>
          <w:caps w:val="0"/>
          <w:smallCaps w:val="0"/>
          <w:color w:val="000000" w:themeColor="text1" w:themeTint="FF" w:themeShade="FF"/>
          <w:sz w:val="22"/>
          <w:szCs w:val="22"/>
          <w:lang w:val="en-US"/>
        </w:rPr>
        <w:t xml:space="preserve">[</w:t>
      </w:r>
      <w:r>
        <w:rPr>
          <w:rFonts w:ascii="Arial" w:hAnsi="Arial" w:eastAsia="Arial" w:cs="Arial"/>
          <w:b w:val="0"/>
          <w:bCs w:val="0"/>
          <w:i w:val="0"/>
          <w:caps w:val="0"/>
          <w:smallCaps w:val="0"/>
          <w:color w:val="000000" w:themeColor="text1" w:themeTint="FF" w:themeShade="FF"/>
          <w:sz w:val="22"/>
          <w:szCs w:val="22"/>
        </w:rPr>
        <w:t xml:space="preserve">6], Med-Flamingo [7], and instruction-tuned large-s</w:t>
      </w:r>
      <w:r>
        <w:rPr>
          <w:rFonts w:ascii="Arial" w:hAnsi="Arial" w:eastAsia="Arial" w:cs="Arial"/>
          <w:b w:val="0"/>
          <w:bCs w:val="0"/>
          <w:i w:val="0"/>
          <w:caps w:val="0"/>
          <w:smallCaps w:val="0"/>
          <w:color w:val="000000" w:themeColor="text1" w:themeTint="FF" w:themeShade="FF"/>
          <w:sz w:val="22"/>
          <w:szCs w:val="22"/>
        </w:rPr>
        <w:t xml:space="preserve">cale resources such as PMC-VQA [5].</w:t>
      </w:r>
      <w:r>
        <w:rPr>
          <w:rFonts w:ascii="Arial" w:hAnsi="Arial" w:eastAsia="Arial" w:cs="Arial"/>
          <w:b w:val="0"/>
          <w:bCs w:val="0"/>
          <w:i w:val="0"/>
          <w:caps w:val="0"/>
          <w:smallCaps w:val="0"/>
          <w:color w:val="000000" w:themeColor="text1" w:themeTint="FF" w:themeShade="FF"/>
          <w:sz w:val="22"/>
          <w:szCs w:val="22"/>
        </w:rPr>
      </w:r>
      <w:r/>
    </w:p>
    <w:p w14:paraId="4C9413E0">
      <w:pPr>
        <w:pStyle w:val="112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Benefits:</w:t>
      </w:r>
      <w:r>
        <w:rPr>
          <w:rFonts w:ascii="Arial" w:hAnsi="Arial" w:eastAsia="Arial" w:cs="Arial"/>
          <w:b w:val="0"/>
          <w:bCs w:val="0"/>
          <w:i w:val="0"/>
          <w:caps w:val="0"/>
          <w:smallCaps w:val="0"/>
          <w:color w:val="000000" w:themeColor="text1" w:themeTint="FF" w:themeShade="FF"/>
          <w:sz w:val="22"/>
          <w:szCs w:val="22"/>
        </w:rPr>
      </w:r>
      <w:r/>
    </w:p>
    <w:p w14:paraId="7497AF74">
      <w:pPr>
        <w:pStyle w:val="1128"/>
        <w:numPr>
          <w:ilvl w:val="0"/>
          <w:numId w:val="28"/>
        </w:numPr>
        <w:suppressLineNumbers w:val="false"/>
        <w:pBdr/>
        <w:spacing w:after="240" w:afterAutospacing="0" w:before="240" w:beforeAutospacing="0" w:line="120" w:lineRule="auto"/>
        <w:ind/>
        <w:rPr/>
      </w:pPr>
      <w:r>
        <w:rPr>
          <w:rFonts w:ascii="Arial" w:hAnsi="Arial" w:eastAsia="Arial" w:cs="Arial"/>
          <w:b w:val="0"/>
          <w:bCs w:val="0"/>
          <w:i w:val="0"/>
          <w:caps w:val="0"/>
          <w:smallCaps w:val="0"/>
          <w:color w:val="000000" w:themeColor="text1" w:themeTint="FF" w:themeShade="FF"/>
          <w:sz w:val="22"/>
          <w:szCs w:val="22"/>
        </w:rPr>
        <w:t xml:space="preserve">richer language output,</w:t>
      </w:r>
      <w:r/>
    </w:p>
    <w:p w14:paraId="285F14BD">
      <w:pPr>
        <w:pStyle w:val="1128"/>
        <w:numPr>
          <w:ilvl w:val="0"/>
          <w:numId w:val="28"/>
        </w:numPr>
        <w:suppressLineNumbers w:val="false"/>
        <w:pBdr/>
        <w:spacing w:after="240" w:afterAutospacing="0" w:before="240" w:beforeAutospacing="0" w:line="120" w:lineRule="auto"/>
        <w:ind/>
        <w:rPr/>
      </w:pPr>
      <w:r>
        <w:rPr>
          <w:rFonts w:ascii="Arial" w:hAnsi="Arial" w:eastAsia="Arial" w:cs="Arial"/>
          <w:b w:val="0"/>
          <w:bCs w:val="0"/>
          <w:i w:val="0"/>
          <w:caps w:val="0"/>
          <w:smallCaps w:val="0"/>
          <w:color w:val="000000" w:themeColor="text1" w:themeTint="FF" w:themeShade="FF"/>
          <w:sz w:val="22"/>
          <w:szCs w:val="22"/>
        </w:rPr>
        <w:t xml:space="preserve">support for rationale-like responses,</w:t>
      </w:r>
      <w:r/>
    </w:p>
    <w:p w14:paraId="196B858B">
      <w:pPr>
        <w:pStyle w:val="1128"/>
        <w:numPr>
          <w:ilvl w:val="0"/>
          <w:numId w:val="28"/>
        </w:numPr>
        <w:suppressLineNumbers w:val="false"/>
        <w:pBdr/>
        <w:spacing w:after="240" w:afterAutospacing="0" w:before="240" w:beforeAutospacing="0" w:line="120" w:lineRule="auto"/>
        <w:ind/>
        <w:rPr/>
      </w:pPr>
      <w:r>
        <w:rPr>
          <w:rFonts w:ascii="Arial" w:hAnsi="Arial" w:eastAsia="Arial" w:cs="Arial"/>
          <w:b w:val="0"/>
          <w:bCs w:val="0"/>
          <w:i w:val="0"/>
          <w:caps w:val="0"/>
          <w:smallCaps w:val="0"/>
          <w:color w:val="000000" w:themeColor="text1" w:themeTint="FF" w:themeShade="FF"/>
          <w:sz w:val="22"/>
          <w:szCs w:val="22"/>
        </w:rPr>
        <w:t xml:space="preserve">easier integration with conversational interfaces.</w:t>
      </w:r>
      <w:r>
        <w:rPr>
          <w:rFonts w:ascii="Arial" w:hAnsi="Arial" w:eastAsia="Arial" w:cs="Arial"/>
          <w:b w:val="0"/>
          <w:bCs w:val="0"/>
          <w:i w:val="0"/>
          <w:caps w:val="0"/>
          <w:smallCaps w:val="0"/>
          <w:color w:val="000000" w:themeColor="text1" w:themeTint="FF" w:themeShade="FF"/>
          <w:sz w:val="22"/>
          <w:szCs w:val="22"/>
        </w:rPr>
      </w:r>
      <w:r/>
    </w:p>
    <w:p w14:paraId="269D002F">
      <w:pPr>
        <w:pStyle w:val="112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Risks:</w:t>
      </w:r>
      <w:r>
        <w:rPr>
          <w:rFonts w:ascii="Arial" w:hAnsi="Arial" w:eastAsia="Arial" w:cs="Arial"/>
          <w:b w:val="0"/>
          <w:bCs w:val="0"/>
          <w:i w:val="0"/>
          <w:caps w:val="0"/>
          <w:smallCaps w:val="0"/>
          <w:color w:val="000000" w:themeColor="text1" w:themeTint="FF" w:themeShade="FF"/>
          <w:sz w:val="22"/>
          <w:szCs w:val="22"/>
        </w:rPr>
      </w:r>
      <w:r/>
    </w:p>
    <w:p w14:paraId="0FD42ADC">
      <w:pPr>
        <w:pStyle w:val="1128"/>
        <w:numPr>
          <w:ilvl w:val="0"/>
          <w:numId w:val="29"/>
        </w:numPr>
        <w:suppressLineNumbers w:val="false"/>
        <w:pBdr/>
        <w:spacing w:after="240" w:afterAutospacing="0" w:before="240" w:beforeAutospacing="0" w:line="120" w:lineRule="auto"/>
        <w:ind/>
        <w:rPr/>
      </w:pPr>
      <w:r>
        <w:rPr>
          <w:rFonts w:ascii="Arial" w:hAnsi="Arial" w:eastAsia="Arial" w:cs="Arial"/>
          <w:b w:val="0"/>
          <w:bCs w:val="0"/>
          <w:i w:val="0"/>
          <w:caps w:val="0"/>
          <w:smallCaps w:val="0"/>
          <w:color w:val="000000" w:themeColor="text1" w:themeTint="FF" w:themeShade="FF"/>
          <w:sz w:val="22"/>
          <w:szCs w:val="22"/>
        </w:rPr>
        <w:t xml:space="preserve">hallucination,</w:t>
      </w:r>
      <w:r/>
    </w:p>
    <w:p w14:paraId="4E5B7570">
      <w:pPr>
        <w:pStyle w:val="1128"/>
        <w:numPr>
          <w:ilvl w:val="0"/>
          <w:numId w:val="29"/>
        </w:numPr>
        <w:suppressLineNumbers w:val="false"/>
        <w:pBdr/>
        <w:spacing w:after="240" w:afterAutospacing="0" w:before="240" w:beforeAutospacing="0" w:line="120" w:lineRule="auto"/>
        <w:ind/>
        <w:rPr/>
      </w:pPr>
      <w:r>
        <w:rPr>
          <w:rFonts w:ascii="Arial" w:hAnsi="Arial" w:eastAsia="Arial" w:cs="Arial"/>
          <w:b w:val="0"/>
          <w:bCs w:val="0"/>
          <w:i w:val="0"/>
          <w:caps w:val="0"/>
          <w:smallCaps w:val="0"/>
          <w:color w:val="000000" w:themeColor="text1" w:themeTint="FF" w:themeShade="FF"/>
          <w:sz w:val="22"/>
          <w:szCs w:val="22"/>
        </w:rPr>
        <w:t xml:space="preserve">weak visual grounding,</w:t>
      </w:r>
      <w:r/>
    </w:p>
    <w:p w14:paraId="64A5BB4A">
      <w:pPr>
        <w:pStyle w:val="1128"/>
        <w:numPr>
          <w:ilvl w:val="0"/>
          <w:numId w:val="29"/>
        </w:numPr>
        <w:suppressLineNumbers w:val="false"/>
        <w:pBdr/>
        <w:spacing w:after="240" w:afterAutospacing="0" w:before="240" w:beforeAutospacing="0" w:line="120" w:lineRule="auto"/>
        <w:ind/>
        <w:rPr/>
      </w:pPr>
      <w:r>
        <w:rPr>
          <w:rFonts w:ascii="Arial" w:hAnsi="Arial" w:eastAsia="Arial" w:cs="Arial"/>
          <w:b w:val="0"/>
          <w:bCs w:val="0"/>
          <w:i w:val="0"/>
          <w:caps w:val="0"/>
          <w:smallCaps w:val="0"/>
          <w:color w:val="000000" w:themeColor="text1" w:themeTint="FF" w:themeShade="FF"/>
          <w:sz w:val="22"/>
          <w:szCs w:val="22"/>
        </w:rPr>
        <w:t xml:space="preserve">answer-format instability on closed-label evaluations,</w:t>
      </w:r>
      <w:r/>
    </w:p>
    <w:p w14:paraId="761F87B9">
      <w:pPr>
        <w:pStyle w:val="1128"/>
        <w:numPr>
          <w:ilvl w:val="0"/>
          <w:numId w:val="29"/>
        </w:numPr>
        <w:suppressLineNumbers w:val="false"/>
        <w:pBdr/>
        <w:spacing w:after="240" w:afterAutospacing="0" w:before="240" w:beforeAutospacing="0" w:line="120" w:lineRule="auto"/>
        <w:ind/>
        <w:rPr/>
      </w:pPr>
      <w:r>
        <w:rPr>
          <w:rFonts w:ascii="Arial" w:hAnsi="Arial" w:eastAsia="Arial" w:cs="Arial"/>
          <w:b w:val="0"/>
          <w:bCs w:val="0"/>
          <w:i w:val="0"/>
          <w:caps w:val="0"/>
          <w:smallCaps w:val="0"/>
          <w:color w:val="000000" w:themeColor="text1" w:themeTint="FF" w:themeShade="FF"/>
          <w:sz w:val="22"/>
          <w:szCs w:val="22"/>
        </w:rPr>
        <w:t xml:space="preserve">and clinically ambiguous verbosity.</w:t>
      </w:r>
      <w:r>
        <w:rPr>
          <w:rFonts w:ascii="Arial" w:hAnsi="Arial" w:eastAsia="Arial" w:cs="Arial"/>
          <w:b w:val="0"/>
          <w:bCs w:val="0"/>
          <w:i w:val="0"/>
          <w:caps w:val="0"/>
          <w:smallCaps w:val="0"/>
          <w:color w:val="000000" w:themeColor="text1" w:themeTint="FF" w:themeShade="FF"/>
          <w:sz w:val="22"/>
          <w:szCs w:val="22"/>
        </w:rPr>
      </w:r>
      <w:r/>
    </w:p>
    <w:p w14:paraId="2E3D7179">
      <w:pPr>
        <w:pStyle w:val="1128"/>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themeTint="FF" w:themeShade="FF"/>
          <w:sz w:val="22"/>
          <w:szCs w:val="22"/>
        </w:rPr>
        <w:t xml:space="preserve">2.5.5 Explainable and Grounded MedVQA</w:t>
      </w:r>
      <w:r>
        <w:rPr>
          <w:b/>
          <w:bCs/>
        </w:rPr>
      </w:r>
      <w:r>
        <w:rPr>
          <w:b/>
          <w:bCs/>
        </w:rPr>
      </w:r>
    </w:p>
    <w:p w14:paraId="60A41A71">
      <w:pPr>
        <w:pStyle w:val="112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Explainability has moved from optional add-on to benchmark-level requirement in GI challenges [26], [27]. The goal is not only to answer but to justify and localize reasoning cues in ways clinicians can audit.</w:t>
      </w:r>
      <w:r>
        <w:rPr>
          <w:rFonts w:ascii="Arial" w:hAnsi="Arial" w:eastAsia="Arial" w:cs="Arial"/>
          <w:b w:val="0"/>
          <w:bCs w:val="0"/>
          <w:i w:val="0"/>
          <w:caps w:val="0"/>
          <w:smallCaps w:val="0"/>
          <w:color w:val="000000" w:themeColor="text1" w:themeTint="FF" w:themeShade="FF"/>
          <w:sz w:val="22"/>
          <w:szCs w:val="22"/>
        </w:rPr>
      </w:r>
      <w:r/>
    </w:p>
    <w:p w14:paraId="5089DFAD">
      <w:pPr>
        <w:pStyle w:val="112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Recent work includes explicit multi-component explainability pipelines [15] and challenge systems combining QA, explanation generation, and localization [28].</w:t>
      </w:r>
      <w:r>
        <w:rPr>
          <w:rFonts w:ascii="Arial" w:hAnsi="Arial" w:eastAsia="Arial" w:cs="Arial"/>
          <w:b w:val="0"/>
          <w:bCs w:val="0"/>
          <w:i w:val="0"/>
          <w:caps w:val="0"/>
          <w:smallCaps w:val="0"/>
          <w:color w:val="000000" w:themeColor="text1" w:themeTint="FF" w:themeShade="FF"/>
          <w:sz w:val="22"/>
          <w:szCs w:val="22"/>
        </w:rPr>
      </w:r>
      <w:r/>
    </w:p>
    <w:p w14:paraId="3B1C8361">
      <w:pPr>
        <w:pStyle w:val="1128"/>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themeTint="FF" w:themeShade="FF"/>
          <w:sz w:val="22"/>
          <w:szCs w:val="22"/>
        </w:rPr>
        <w:t xml:space="preserve">2.5.6 Retrieval-Augmented and Evidence-Aware Methods</w:t>
      </w:r>
      <w:r>
        <w:rPr>
          <w:b/>
          <w:bCs/>
        </w:rPr>
      </w:r>
      <w:r>
        <w:rPr>
          <w:b/>
          <w:bCs/>
        </w:rPr>
      </w:r>
    </w:p>
    <w:p w14:paraId="0BCDD5D7">
      <w:pPr>
        <w:pStyle w:val="112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R</w:t>
      </w:r>
      <w:r>
        <w:rPr>
          <w:rFonts w:ascii="Arial" w:hAnsi="Arial" w:eastAsia="Arial" w:cs="Arial"/>
          <w:b w:val="0"/>
          <w:bCs w:val="0"/>
          <w:i w:val="0"/>
          <w:caps w:val="0"/>
          <w:smallCaps w:val="0"/>
          <w:color w:val="000000" w:themeColor="text1" w:themeTint="FF" w:themeShade="FF"/>
          <w:sz w:val="22"/>
          <w:szCs w:val="22"/>
        </w:rPr>
        <w:t xml:space="preserve">etrieval augmentation is increasingly explored to ground answers in relevant examples or external evidence. Recent shared-task evidence in medical VQA (MEDIQA-WV 2025 overview and system reports) shows that retrieval-aware pipelines can improve schema adhe</w:t>
      </w:r>
      <w:r>
        <w:rPr>
          <w:rFonts w:ascii="Arial" w:hAnsi="Arial" w:eastAsia="Arial" w:cs="Arial"/>
          <w:b w:val="0"/>
          <w:bCs w:val="0"/>
          <w:i w:val="0"/>
          <w:caps w:val="0"/>
          <w:smallCaps w:val="0"/>
          <w:color w:val="000000" w:themeColor="text1" w:themeTint="FF" w:themeShade="FF"/>
          <w:sz w:val="22"/>
          <w:szCs w:val="22"/>
        </w:rPr>
        <w:t xml:space="preserve">rence and answer usefulness when retrieval quality is explicitly controlled [29], [30].</w:t>
      </w:r>
      <w:r>
        <w:rPr>
          <w:rFonts w:ascii="Arial" w:hAnsi="Arial" w:eastAsia="Arial" w:cs="Arial"/>
          <w:b w:val="0"/>
          <w:bCs w:val="0"/>
          <w:i w:val="0"/>
          <w:caps w:val="0"/>
          <w:smallCaps w:val="0"/>
          <w:color w:val="000000" w:themeColor="text1" w:themeTint="FF" w:themeShade="FF"/>
          <w:sz w:val="22"/>
          <w:szCs w:val="22"/>
        </w:rPr>
      </w:r>
      <w:r/>
    </w:p>
    <w:p w14:paraId="7A97DA52">
      <w:pPr>
        <w:pStyle w:val="112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For this thesis, retrieval is decomposed into three operational modes:</w:t>
      </w:r>
      <w:r>
        <w:rPr>
          <w:rFonts w:ascii="Arial" w:hAnsi="Arial" w:eastAsia="Arial" w:cs="Arial"/>
          <w:b w:val="0"/>
          <w:bCs w:val="0"/>
          <w:i w:val="0"/>
          <w:caps w:val="0"/>
          <w:smallCaps w:val="0"/>
          <w:color w:val="000000" w:themeColor="text1" w:themeTint="FF" w:themeShade="FF"/>
          <w:sz w:val="22"/>
          <w:szCs w:val="22"/>
        </w:rPr>
      </w:r>
      <w:r/>
    </w:p>
    <w:p w14:paraId="44CCF777">
      <w:pPr>
        <w:pStyle w:val="1128"/>
        <w:numPr>
          <w:ilvl w:val="0"/>
          <w:numId w:val="30"/>
        </w:numPr>
        <w:suppressLineNumbers w:val="false"/>
        <w:pBdr/>
        <w:spacing w:after="240" w:afterAutospacing="0" w:before="240" w:beforeAutospacing="0" w:line="240" w:lineRule="auto"/>
        <w:ind/>
        <w:rPr/>
      </w:pPr>
      <w:r>
        <w:rPr>
          <w:rFonts w:ascii="Arial" w:hAnsi="Arial" w:eastAsia="Arial" w:cs="Arial"/>
          <w:b/>
          <w:bCs/>
          <w:i w:val="0"/>
          <w:caps w:val="0"/>
          <w:smallCaps w:val="0"/>
          <w:color w:val="000000" w:themeColor="text1" w:themeTint="FF" w:themeShade="FF"/>
          <w:sz w:val="22"/>
          <w:szCs w:val="22"/>
        </w:rPr>
        <w:t xml:space="preserve">Text-evidence retrieval: </w:t>
      </w:r>
      <w:r>
        <w:rPr>
          <w:rFonts w:ascii="Arial" w:hAnsi="Arial" w:eastAsia="Arial" w:cs="Arial"/>
          <w:b w:val="0"/>
          <w:bCs w:val="0"/>
          <w:i w:val="0"/>
          <w:caps w:val="0"/>
          <w:smallCaps w:val="0"/>
          <w:color w:val="000000" w:themeColor="text1" w:themeTint="FF" w:themeShade="FF"/>
          <w:sz w:val="22"/>
          <w:szCs w:val="22"/>
        </w:rPr>
        <w:t xml:space="preserve">guidelines, review papers, and trial summaries for management-style questions.</w:t>
      </w:r>
      <w:r/>
    </w:p>
    <w:p w14:paraId="68DD5253">
      <w:pPr>
        <w:pStyle w:val="1128"/>
        <w:numPr>
          <w:ilvl w:val="0"/>
          <w:numId w:val="30"/>
        </w:numPr>
        <w:suppressLineNumbers w:val="false"/>
        <w:pBdr/>
        <w:spacing w:after="240" w:afterAutospacing="0" w:before="240" w:beforeAutospacing="0" w:line="240" w:lineRule="auto"/>
        <w:ind/>
        <w:rPr/>
      </w:pPr>
      <w:r>
        <w:rPr>
          <w:rFonts w:ascii="Arial" w:hAnsi="Arial" w:eastAsia="Arial" w:cs="Arial"/>
          <w:b/>
          <w:bCs/>
          <w:i w:val="0"/>
          <w:caps w:val="0"/>
          <w:smallCaps w:val="0"/>
          <w:color w:val="000000" w:themeColor="text1" w:themeTint="FF" w:themeShade="FF"/>
          <w:sz w:val="22"/>
          <w:szCs w:val="22"/>
        </w:rPr>
        <w:t xml:space="preserve">Case-based retrieval:</w:t>
      </w:r>
      <w:r>
        <w:rPr>
          <w:rFonts w:ascii="Arial" w:hAnsi="Arial" w:eastAsia="Arial" w:cs="Arial"/>
          <w:b w:val="0"/>
          <w:bCs w:val="0"/>
          <w:i w:val="0"/>
          <w:caps w:val="0"/>
          <w:smallCaps w:val="0"/>
          <w:color w:val="000000" w:themeColor="text1" w:themeTint="FF" w:themeShade="FF"/>
          <w:sz w:val="22"/>
          <w:szCs w:val="22"/>
        </w:rPr>
        <w:t xml:space="preserve"> nearest-neighbor retrieval of visually similar prior GI cases for comparability support.</w:t>
      </w:r>
      <w:r/>
    </w:p>
    <w:p w14:paraId="436F4BDE">
      <w:pPr>
        <w:pStyle w:val="1128"/>
        <w:numPr>
          <w:ilvl w:val="0"/>
          <w:numId w:val="30"/>
        </w:numPr>
        <w:suppressLineNumbers w:val="false"/>
        <w:pBdr/>
        <w:spacing w:after="240" w:afterAutospacing="0" w:before="240" w:beforeAutospacing="0" w:line="240" w:lineRule="auto"/>
        <w:ind/>
        <w:rPr/>
      </w:pPr>
      <w:r>
        <w:rPr>
          <w:rFonts w:ascii="Arial" w:hAnsi="Arial" w:eastAsia="Arial" w:cs="Arial"/>
          <w:b/>
          <w:bCs/>
          <w:i w:val="0"/>
          <w:caps w:val="0"/>
          <w:smallCaps w:val="0"/>
          <w:color w:val="000000" w:themeColor="text1" w:themeTint="FF" w:themeShade="FF"/>
          <w:sz w:val="22"/>
          <w:szCs w:val="22"/>
        </w:rPr>
        <w:t xml:space="preserve">Hybrid multimodal retrieval:</w:t>
      </w:r>
      <w:r>
        <w:rPr>
          <w:rFonts w:ascii="Arial" w:hAnsi="Arial" w:eastAsia="Arial" w:cs="Arial"/>
          <w:b w:val="0"/>
          <w:bCs w:val="0"/>
          <w:i w:val="0"/>
          <w:caps w:val="0"/>
          <w:smallCaps w:val="0"/>
          <w:color w:val="000000" w:themeColor="text1" w:themeTint="FF" w:themeShade="FF"/>
          <w:sz w:val="22"/>
          <w:szCs w:val="22"/>
        </w:rPr>
        <w:t xml:space="preserve"> question intent + image cues used jointly to route evidence selection.</w:t>
      </w:r>
      <w:r/>
    </w:p>
    <w:p w14:paraId="3EEA142A">
      <w:pPr>
        <w:pStyle w:val="112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T</w:t>
      </w:r>
      <w:r>
        <w:rPr>
          <w:rFonts w:ascii="Arial" w:hAnsi="Arial" w:eastAsia="Arial" w:cs="Arial"/>
          <w:b w:val="0"/>
          <w:bCs w:val="0"/>
          <w:i w:val="0"/>
          <w:caps w:val="0"/>
          <w:smallCaps w:val="0"/>
          <w:color w:val="000000" w:themeColor="text1" w:themeTint="FF" w:themeShade="FF"/>
          <w:sz w:val="22"/>
          <w:szCs w:val="22"/>
        </w:rPr>
        <w:t xml:space="preserve">his decomposition directly supports the Chapter 5 PICO-oriented wrapper. The visual module first answers image-grounded questions (for example severity), then the evidence module maps management queries into PICO slots and retrieves citation-linked support</w:t>
      </w:r>
      <w:r>
        <w:rPr>
          <w:rFonts w:ascii="Arial" w:hAnsi="Arial" w:eastAsia="Arial" w:cs="Arial"/>
          <w:b w:val="0"/>
          <w:bCs w:val="0"/>
          <w:i w:val="0"/>
          <w:caps w:val="0"/>
          <w:smallCaps w:val="0"/>
          <w:color w:val="000000" w:themeColor="text1" w:themeTint="FF" w:themeShade="FF"/>
          <w:sz w:val="22"/>
          <w:szCs w:val="22"/>
        </w:rPr>
        <w:t xml:space="preserve"> before response synthesis.</w:t>
      </w:r>
      <w:r/>
    </w:p>
    <w:p w14:paraId="4C3ACD63">
      <w:pPr>
        <w:pStyle w:val="112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r>
      <w:r/>
    </w:p>
    <w:p w14:paraId="5933CBC8">
      <w:pPr>
        <w:pStyle w:val="1128"/>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caps w:val="0"/>
          <w:smallCaps w:val="0"/>
          <w:color w:val="000000" w:themeColor="text1" w:themeTint="FF" w:themeShade="FF"/>
          <w:sz w:val="22"/>
          <w:szCs w:val="22"/>
        </w:rPr>
        <w:t xml:space="preserve">For colonoscopy MedVQA, retrieval should therefore be treated as a controlled extension layer rather than a replacement for robust visual grounding.</w:t>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51535247">
      <w:pPr>
        <w:pStyle w:val="1128"/>
        <w:suppressLineNumbers w:val="false"/>
        <w:pBdr/>
        <w:spacing w:after="240" w:afterAutospacing="0" w:before="240" w:beforeAutospacing="0" w:line="300" w:lineRule="auto"/>
        <w:ind w:firstLine="0"/>
        <w:rPr>
          <w:rFonts w:ascii="Arial" w:hAnsi="Arial" w:eastAsia="Arial" w:cs="Arial"/>
          <w:b/>
          <w:bCs/>
          <w:i w:val="0"/>
          <w:caps w:val="0"/>
          <w:smallCaps w:val="0"/>
          <w:color w:val="000000" w:themeColor="text1" w:themeTint="FF" w:themeShade="FF"/>
          <w:sz w:val="22"/>
          <w:szCs w:val="22"/>
          <w:highlight w:val="none"/>
        </w:rPr>
      </w:pPr>
      <w:r>
        <w:rPr>
          <w:rFonts w:ascii="Arial" w:hAnsi="Arial" w:eastAsia="Arial" w:cs="Arial"/>
          <w:b/>
          <w:bCs/>
          <w:i w:val="0"/>
          <w:caps w:val="0"/>
          <w:smallCaps w:val="0"/>
          <w:color w:val="000000" w:themeColor="text1" w:themeTint="FF" w:themeShade="FF"/>
          <w:sz w:val="22"/>
          <w:szCs w:val="22"/>
        </w:rPr>
      </w:r>
      <w:r>
        <w:rPr>
          <w:rFonts w:ascii="Arial" w:hAnsi="Arial" w:eastAsia="Arial" w:cs="Arial"/>
          <w:b/>
          <w:bCs/>
          <w:i w:val="0"/>
          <w:caps w:val="0"/>
          <w:smallCaps w:val="0"/>
          <w:color w:val="000000" w:themeColor="text1" w:themeTint="FF" w:themeShade="FF"/>
          <w:sz w:val="22"/>
          <w:szCs w:val="22"/>
        </w:rPr>
        <w:t xml:space="preserve">2.5.7 Comparative Family-Level Synthesis</w:t>
      </w:r>
      <w:r>
        <w:rPr>
          <w:rFonts w:ascii="Arial" w:hAnsi="Arial" w:eastAsia="Arial" w:cs="Arial"/>
          <w:b/>
          <w:bCs/>
          <w:i w:val="0"/>
          <w:caps w:val="0"/>
          <w:smallCaps w:val="0"/>
          <w:color w:val="000000" w:themeColor="text1" w:themeTint="FF" w:themeShade="FF"/>
          <w:sz w:val="22"/>
          <w:szCs w:val="22"/>
          <w:highlight w:val="none"/>
        </w:rPr>
      </w:r>
      <w:r>
        <w:rPr>
          <w:rFonts w:ascii="Arial" w:hAnsi="Arial" w:eastAsia="Arial" w:cs="Arial"/>
          <w:b/>
          <w:bCs/>
          <w:i w:val="0"/>
          <w:caps w:val="0"/>
          <w:smallCaps w:val="0"/>
          <w:color w:val="000000" w:themeColor="text1" w:themeTint="FF" w:themeShade="FF"/>
          <w:sz w:val="22"/>
          <w:szCs w:val="22"/>
          <w:highlight w:val="none"/>
        </w:rPr>
      </w:r>
    </w:p>
    <w:p w14:paraId="62FB16C8">
      <w:pPr>
        <w:pStyle w:val="1128"/>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tbl>
      <w:tblPr>
        <w:tblStyle w:val="1185"/>
        <w:tblW w:w="0" w:type="auto"/>
        <w:tblBorders/>
        <w:tblLook w:val="04A0" w:firstRow="1" w:lastRow="0" w:firstColumn="1" w:lastColumn="0" w:noHBand="0" w:noVBand="1"/>
      </w:tblPr>
      <w:tblGrid>
        <w:gridCol w:w="1728"/>
        <w:gridCol w:w="1728"/>
        <w:gridCol w:w="1728"/>
        <w:gridCol w:w="1728"/>
        <w:gridCol w:w="1728"/>
      </w:tblGrid>
      <w:tr>
        <w:trPr/>
        <w:tc>
          <w:tcPr>
            <w:tcBorders/>
            <w:tcW w:w="1728" w:type="dxa"/>
            <w:textDirection w:val="lrTb"/>
            <w:noWrap w:val="false"/>
          </w:tcPr>
          <w:p w14:paraId="6D87AFBD">
            <w:pPr>
              <w:pBdr/>
              <w:spacing w:after="0" w:before="0" w:line="240" w:lineRule="auto"/>
              <w:ind/>
              <w:rPr>
                <w:color w:val="000000" w:themeColor="text1"/>
              </w:rPr>
            </w:pPr>
            <w:r>
              <w:rPr>
                <w:rFonts w:ascii="Arial" w:hAnsi="Arial" w:eastAsia="Arial" w:cs="Arial"/>
                <w:b/>
                <w:color w:val="000000" w:themeColor="text1"/>
                <w:sz w:val="21"/>
              </w:rPr>
              <w:t xml:space="preserve">Family</w:t>
            </w:r>
            <w:r>
              <w:rPr>
                <w:color w:val="000000" w:themeColor="text1"/>
              </w:rPr>
            </w:r>
            <w:r>
              <w:rPr>
                <w:color w:val="000000" w:themeColor="text1"/>
              </w:rPr>
            </w:r>
          </w:p>
        </w:tc>
        <w:tc>
          <w:tcPr>
            <w:tcBorders/>
            <w:tcW w:w="1728" w:type="dxa"/>
            <w:textDirection w:val="lrTb"/>
            <w:noWrap w:val="false"/>
          </w:tcPr>
          <w:p w14:paraId="69EBBB36">
            <w:pPr>
              <w:pBdr/>
              <w:spacing w:after="0" w:before="0" w:line="240" w:lineRule="auto"/>
              <w:ind/>
              <w:rPr>
                <w:color w:val="000000" w:themeColor="text1"/>
              </w:rPr>
            </w:pPr>
            <w:r>
              <w:rPr>
                <w:rFonts w:ascii="Arial" w:hAnsi="Arial" w:eastAsia="Arial" w:cs="Arial"/>
                <w:b/>
                <w:color w:val="000000" w:themeColor="text1"/>
                <w:sz w:val="21"/>
              </w:rPr>
              <w:t xml:space="preserve">Typical output mode</w:t>
            </w:r>
            <w:r>
              <w:rPr>
                <w:color w:val="000000" w:themeColor="text1"/>
              </w:rPr>
            </w:r>
            <w:r>
              <w:rPr>
                <w:color w:val="000000" w:themeColor="text1"/>
              </w:rPr>
            </w:r>
          </w:p>
        </w:tc>
        <w:tc>
          <w:tcPr>
            <w:tcBorders/>
            <w:tcW w:w="1728" w:type="dxa"/>
            <w:textDirection w:val="lrTb"/>
            <w:noWrap w:val="false"/>
          </w:tcPr>
          <w:p w14:paraId="263B3A95">
            <w:pPr>
              <w:pBdr/>
              <w:spacing w:after="0" w:before="0" w:line="240" w:lineRule="auto"/>
              <w:ind/>
              <w:rPr>
                <w:color w:val="000000" w:themeColor="text1"/>
              </w:rPr>
            </w:pPr>
            <w:r>
              <w:rPr>
                <w:rFonts w:ascii="Arial" w:hAnsi="Arial" w:eastAsia="Arial" w:cs="Arial"/>
                <w:b/>
                <w:color w:val="000000" w:themeColor="text1"/>
                <w:sz w:val="21"/>
              </w:rPr>
              <w:t xml:space="preserve">Key strengths</w:t>
            </w:r>
            <w:r>
              <w:rPr>
                <w:color w:val="000000" w:themeColor="text1"/>
              </w:rPr>
            </w:r>
            <w:r>
              <w:rPr>
                <w:color w:val="000000" w:themeColor="text1"/>
              </w:rPr>
            </w:r>
          </w:p>
        </w:tc>
        <w:tc>
          <w:tcPr>
            <w:tcBorders/>
            <w:tcW w:w="1728" w:type="dxa"/>
            <w:textDirection w:val="lrTb"/>
            <w:noWrap w:val="false"/>
          </w:tcPr>
          <w:p w14:paraId="4AA51791">
            <w:pPr>
              <w:pBdr/>
              <w:spacing w:after="0" w:before="0" w:line="240" w:lineRule="auto"/>
              <w:ind/>
              <w:rPr>
                <w:color w:val="000000" w:themeColor="text1"/>
              </w:rPr>
            </w:pPr>
            <w:r>
              <w:rPr>
                <w:rFonts w:ascii="Arial" w:hAnsi="Arial" w:eastAsia="Arial" w:cs="Arial"/>
                <w:b/>
                <w:color w:val="000000" w:themeColor="text1"/>
                <w:sz w:val="21"/>
              </w:rPr>
              <w:t xml:space="preserve">Main risks</w:t>
            </w:r>
            <w:r>
              <w:rPr>
                <w:color w:val="000000" w:themeColor="text1"/>
              </w:rPr>
            </w:r>
            <w:r>
              <w:rPr>
                <w:color w:val="000000" w:themeColor="text1"/>
              </w:rPr>
            </w:r>
          </w:p>
        </w:tc>
        <w:tc>
          <w:tcPr>
            <w:tcBorders/>
            <w:tcW w:w="1728" w:type="dxa"/>
            <w:textDirection w:val="lrTb"/>
            <w:noWrap w:val="false"/>
          </w:tcPr>
          <w:p w14:paraId="41EB907B">
            <w:pPr>
              <w:pBdr/>
              <w:spacing w:after="0" w:before="0" w:line="240" w:lineRule="auto"/>
              <w:ind/>
              <w:rPr>
                <w:color w:val="000000" w:themeColor="text1"/>
              </w:rPr>
            </w:pPr>
            <w:r>
              <w:rPr>
                <w:rFonts w:ascii="Arial" w:hAnsi="Arial" w:eastAsia="Arial" w:cs="Arial"/>
                <w:b/>
                <w:color w:val="000000" w:themeColor="text1"/>
                <w:sz w:val="21"/>
              </w:rPr>
              <w:t xml:space="preserve">Best-fit scenarios</w:t>
            </w:r>
            <w:r>
              <w:rPr>
                <w:color w:val="000000" w:themeColor="text1"/>
              </w:rPr>
            </w:r>
            <w:r>
              <w:rPr>
                <w:color w:val="000000" w:themeColor="text1"/>
              </w:rPr>
            </w:r>
          </w:p>
        </w:tc>
      </w:tr>
      <w:tr>
        <w:trPr/>
        <w:tc>
          <w:tcPr>
            <w:tcBorders/>
            <w:tcW w:w="1728" w:type="dxa"/>
            <w:textDirection w:val="lrTb"/>
            <w:noWrap w:val="false"/>
          </w:tcPr>
          <w:p w14:paraId="63177AC3">
            <w:pPr>
              <w:pBdr/>
              <w:spacing w:after="0" w:before="0" w:line="240" w:lineRule="auto"/>
              <w:ind/>
              <w:rPr>
                <w:color w:val="000000" w:themeColor="text1"/>
              </w:rPr>
            </w:pPr>
            <w:r>
              <w:rPr>
                <w:rFonts w:ascii="Arial" w:hAnsi="Arial" w:eastAsia="Arial" w:cs="Arial"/>
                <w:color w:val="000000" w:themeColor="text1"/>
                <w:sz w:val="21"/>
              </w:rPr>
              <w:t xml:space="preserve">Rule-based / heuristics</w:t>
            </w:r>
            <w:r>
              <w:rPr>
                <w:color w:val="000000" w:themeColor="text1"/>
              </w:rPr>
            </w:r>
            <w:r>
              <w:rPr>
                <w:color w:val="000000" w:themeColor="text1"/>
              </w:rPr>
            </w:r>
          </w:p>
        </w:tc>
        <w:tc>
          <w:tcPr>
            <w:tcBorders/>
            <w:tcW w:w="1728" w:type="dxa"/>
            <w:textDirection w:val="lrTb"/>
            <w:noWrap w:val="false"/>
          </w:tcPr>
          <w:p w14:paraId="0B301CBD">
            <w:pPr>
              <w:pBdr/>
              <w:spacing w:after="0" w:before="0" w:line="240" w:lineRule="auto"/>
              <w:ind/>
              <w:rPr>
                <w:color w:val="000000" w:themeColor="text1"/>
              </w:rPr>
            </w:pPr>
            <w:r>
              <w:rPr>
                <w:rFonts w:ascii="Arial" w:hAnsi="Arial" w:eastAsia="Arial" w:cs="Arial"/>
                <w:color w:val="000000" w:themeColor="text1"/>
                <w:sz w:val="21"/>
              </w:rPr>
              <w:t xml:space="preserve">Deterministic labels/rules</w:t>
            </w:r>
            <w:r>
              <w:rPr>
                <w:color w:val="000000" w:themeColor="text1"/>
              </w:rPr>
            </w:r>
            <w:r>
              <w:rPr>
                <w:color w:val="000000" w:themeColor="text1"/>
              </w:rPr>
            </w:r>
          </w:p>
        </w:tc>
        <w:tc>
          <w:tcPr>
            <w:tcBorders/>
            <w:tcW w:w="1728" w:type="dxa"/>
            <w:textDirection w:val="lrTb"/>
            <w:noWrap w:val="false"/>
          </w:tcPr>
          <w:p w14:paraId="560330FF">
            <w:pPr>
              <w:pBdr/>
              <w:spacing w:after="0" w:before="0" w:line="240" w:lineRule="auto"/>
              <w:ind/>
              <w:rPr>
                <w:color w:val="000000" w:themeColor="text1"/>
              </w:rPr>
            </w:pPr>
            <w:r>
              <w:rPr>
                <w:rFonts w:ascii="Arial" w:hAnsi="Arial" w:eastAsia="Arial" w:cs="Arial"/>
                <w:color w:val="000000" w:themeColor="text1"/>
                <w:sz w:val="21"/>
              </w:rPr>
              <w:t xml:space="preserve">Transparent, predictable</w:t>
            </w:r>
            <w:r>
              <w:rPr>
                <w:color w:val="000000" w:themeColor="text1"/>
              </w:rPr>
            </w:r>
            <w:r>
              <w:rPr>
                <w:color w:val="000000" w:themeColor="text1"/>
              </w:rPr>
            </w:r>
          </w:p>
        </w:tc>
        <w:tc>
          <w:tcPr>
            <w:tcBorders/>
            <w:tcW w:w="1728" w:type="dxa"/>
            <w:textDirection w:val="lrTb"/>
            <w:noWrap w:val="false"/>
          </w:tcPr>
          <w:p w14:paraId="1CE3BC48">
            <w:pPr>
              <w:pBdr/>
              <w:spacing w:after="0" w:before="0" w:line="240" w:lineRule="auto"/>
              <w:ind/>
              <w:rPr>
                <w:color w:val="000000" w:themeColor="text1"/>
              </w:rPr>
            </w:pPr>
            <w:r>
              <w:rPr>
                <w:rFonts w:ascii="Arial" w:hAnsi="Arial" w:eastAsia="Arial" w:cs="Arial"/>
                <w:color w:val="000000" w:themeColor="text1"/>
                <w:sz w:val="21"/>
              </w:rPr>
              <w:t xml:space="preserve">Brittle under visual variation</w:t>
            </w:r>
            <w:r>
              <w:rPr>
                <w:color w:val="000000" w:themeColor="text1"/>
              </w:rPr>
            </w:r>
            <w:r>
              <w:rPr>
                <w:color w:val="000000" w:themeColor="text1"/>
              </w:rPr>
            </w:r>
          </w:p>
        </w:tc>
        <w:tc>
          <w:tcPr>
            <w:tcBorders/>
            <w:tcW w:w="1728" w:type="dxa"/>
            <w:textDirection w:val="lrTb"/>
            <w:noWrap w:val="false"/>
          </w:tcPr>
          <w:p w14:paraId="5261D345">
            <w:pPr>
              <w:pBdr/>
              <w:spacing w:after="0" w:before="0" w:line="240" w:lineRule="auto"/>
              <w:ind/>
              <w:rPr>
                <w:color w:val="000000" w:themeColor="text1"/>
              </w:rPr>
            </w:pPr>
            <w:r>
              <w:rPr>
                <w:rFonts w:ascii="Arial" w:hAnsi="Arial" w:eastAsia="Arial" w:cs="Arial"/>
                <w:color w:val="000000" w:themeColor="text1"/>
                <w:sz w:val="21"/>
              </w:rPr>
              <w:t xml:space="preserve">Narrow quality-control checks</w:t>
            </w:r>
            <w:r>
              <w:rPr>
                <w:color w:val="000000" w:themeColor="text1"/>
              </w:rPr>
            </w:r>
            <w:r>
              <w:rPr>
                <w:color w:val="000000" w:themeColor="text1"/>
              </w:rPr>
            </w:r>
          </w:p>
        </w:tc>
      </w:tr>
      <w:tr>
        <w:trPr/>
        <w:tc>
          <w:tcPr>
            <w:tcBorders/>
            <w:tcW w:w="1728" w:type="dxa"/>
            <w:textDirection w:val="lrTb"/>
            <w:noWrap w:val="false"/>
          </w:tcPr>
          <w:p w14:paraId="2D89261C">
            <w:pPr>
              <w:pBdr/>
              <w:spacing w:after="0" w:before="0" w:line="240" w:lineRule="auto"/>
              <w:ind/>
              <w:rPr>
                <w:color w:val="000000" w:themeColor="text1"/>
              </w:rPr>
            </w:pPr>
            <w:r>
              <w:rPr>
                <w:rFonts w:ascii="Arial" w:hAnsi="Arial" w:eastAsia="Arial" w:cs="Arial"/>
                <w:color w:val="000000" w:themeColor="text1"/>
                <w:sz w:val="21"/>
              </w:rPr>
              <w:t xml:space="preserve">CNN/RNN discriminative</w:t>
            </w:r>
            <w:r>
              <w:rPr>
                <w:color w:val="000000" w:themeColor="text1"/>
              </w:rPr>
            </w:r>
            <w:r>
              <w:rPr>
                <w:color w:val="000000" w:themeColor="text1"/>
              </w:rPr>
            </w:r>
          </w:p>
        </w:tc>
        <w:tc>
          <w:tcPr>
            <w:tcBorders/>
            <w:tcW w:w="1728" w:type="dxa"/>
            <w:textDirection w:val="lrTb"/>
            <w:noWrap w:val="false"/>
          </w:tcPr>
          <w:p w14:paraId="289498D7">
            <w:pPr>
              <w:pBdr/>
              <w:spacing w:after="0" w:before="0" w:line="240" w:lineRule="auto"/>
              <w:ind/>
              <w:rPr>
                <w:color w:val="000000" w:themeColor="text1"/>
              </w:rPr>
            </w:pPr>
            <w:r>
              <w:rPr>
                <w:rFonts w:ascii="Arial" w:hAnsi="Arial" w:eastAsia="Arial" w:cs="Arial"/>
                <w:color w:val="000000" w:themeColor="text1"/>
                <w:sz w:val="21"/>
              </w:rPr>
              <w:t xml:space="preserve">Closed-set labels</w:t>
            </w:r>
            <w:r>
              <w:rPr>
                <w:color w:val="000000" w:themeColor="text1"/>
              </w:rPr>
            </w:r>
            <w:r>
              <w:rPr>
                <w:color w:val="000000" w:themeColor="text1"/>
              </w:rPr>
            </w:r>
          </w:p>
        </w:tc>
        <w:tc>
          <w:tcPr>
            <w:tcBorders/>
            <w:tcW w:w="1728" w:type="dxa"/>
            <w:textDirection w:val="lrTb"/>
            <w:noWrap w:val="false"/>
          </w:tcPr>
          <w:p w14:paraId="0D8E6960">
            <w:pPr>
              <w:pBdr/>
              <w:spacing w:after="0" w:before="0" w:line="240" w:lineRule="auto"/>
              <w:ind/>
              <w:rPr>
                <w:color w:val="000000" w:themeColor="text1"/>
              </w:rPr>
            </w:pPr>
            <w:r>
              <w:rPr>
                <w:rFonts w:ascii="Arial" w:hAnsi="Arial" w:eastAsia="Arial" w:cs="Arial"/>
                <w:color w:val="000000" w:themeColor="text1"/>
                <w:sz w:val="21"/>
              </w:rPr>
              <w:t xml:space="preserve">Stable on constrained tasks, efficient</w:t>
            </w:r>
            <w:r>
              <w:rPr>
                <w:color w:val="000000" w:themeColor="text1"/>
              </w:rPr>
            </w:r>
            <w:r>
              <w:rPr>
                <w:color w:val="000000" w:themeColor="text1"/>
              </w:rPr>
            </w:r>
          </w:p>
        </w:tc>
        <w:tc>
          <w:tcPr>
            <w:tcBorders/>
            <w:tcW w:w="1728" w:type="dxa"/>
            <w:textDirection w:val="lrTb"/>
            <w:noWrap w:val="false"/>
          </w:tcPr>
          <w:p w14:paraId="5F6597A5">
            <w:pPr>
              <w:pBdr/>
              <w:spacing w:after="0" w:before="0" w:line="240" w:lineRule="auto"/>
              <w:ind/>
              <w:rPr>
                <w:color w:val="000000" w:themeColor="text1"/>
              </w:rPr>
            </w:pPr>
            <w:r>
              <w:rPr>
                <w:rFonts w:ascii="Arial" w:hAnsi="Arial" w:eastAsia="Arial" w:cs="Arial"/>
                <w:color w:val="000000" w:themeColor="text1"/>
                <w:sz w:val="21"/>
              </w:rPr>
              <w:t xml:space="preserve">Limited compositional reasoning</w:t>
            </w:r>
            <w:r>
              <w:rPr>
                <w:color w:val="000000" w:themeColor="text1"/>
              </w:rPr>
            </w:r>
            <w:r>
              <w:rPr>
                <w:color w:val="000000" w:themeColor="text1"/>
              </w:rPr>
            </w:r>
          </w:p>
        </w:tc>
        <w:tc>
          <w:tcPr>
            <w:tcBorders/>
            <w:tcW w:w="1728" w:type="dxa"/>
            <w:textDirection w:val="lrTb"/>
            <w:noWrap w:val="false"/>
          </w:tcPr>
          <w:p w14:paraId="51188C23">
            <w:pPr>
              <w:pBdr/>
              <w:spacing w:after="0" w:before="0" w:line="240" w:lineRule="auto"/>
              <w:ind/>
              <w:rPr>
                <w:color w:val="000000" w:themeColor="text1"/>
              </w:rPr>
            </w:pPr>
            <w:r>
              <w:rPr>
                <w:rFonts w:ascii="Arial" w:hAnsi="Arial" w:eastAsia="Arial" w:cs="Arial"/>
                <w:color w:val="000000" w:themeColor="text1"/>
                <w:sz w:val="21"/>
              </w:rPr>
              <w:t xml:space="preserve">Binary/attribute tasks with fixed ontology</w:t>
            </w:r>
            <w:r>
              <w:rPr>
                <w:color w:val="000000" w:themeColor="text1"/>
              </w:rPr>
            </w:r>
            <w:r>
              <w:rPr>
                <w:color w:val="000000" w:themeColor="text1"/>
              </w:rPr>
            </w:r>
          </w:p>
        </w:tc>
      </w:tr>
      <w:tr>
        <w:trPr/>
        <w:tc>
          <w:tcPr>
            <w:tcBorders/>
            <w:tcW w:w="1728" w:type="dxa"/>
            <w:textDirection w:val="lrTb"/>
            <w:noWrap w:val="false"/>
          </w:tcPr>
          <w:p w14:paraId="618B63E2">
            <w:pPr>
              <w:pBdr/>
              <w:spacing w:after="0" w:before="0" w:line="240" w:lineRule="auto"/>
              <w:ind/>
              <w:rPr>
                <w:color w:val="000000" w:themeColor="text1"/>
              </w:rPr>
            </w:pPr>
            <w:r>
              <w:rPr>
                <w:rFonts w:ascii="Arial" w:hAnsi="Arial" w:eastAsia="Arial" w:cs="Arial"/>
                <w:color w:val="000000" w:themeColor="text1"/>
                <w:sz w:val="21"/>
              </w:rPr>
              <w:t xml:space="preserve">Transformer fusion</w:t>
            </w:r>
            <w:r>
              <w:rPr>
                <w:color w:val="000000" w:themeColor="text1"/>
              </w:rPr>
            </w:r>
            <w:r>
              <w:rPr>
                <w:color w:val="000000" w:themeColor="text1"/>
              </w:rPr>
            </w:r>
          </w:p>
        </w:tc>
        <w:tc>
          <w:tcPr>
            <w:tcBorders/>
            <w:tcW w:w="1728" w:type="dxa"/>
            <w:textDirection w:val="lrTb"/>
            <w:noWrap w:val="false"/>
          </w:tcPr>
          <w:p w14:paraId="11AABEE4">
            <w:pPr>
              <w:pBdr/>
              <w:spacing w:after="0" w:before="0" w:line="240" w:lineRule="auto"/>
              <w:ind/>
              <w:rPr>
                <w:color w:val="000000" w:themeColor="text1"/>
              </w:rPr>
            </w:pPr>
            <w:r>
              <w:rPr>
                <w:rFonts w:ascii="Arial" w:hAnsi="Arial" w:eastAsia="Arial" w:cs="Arial"/>
                <w:color w:val="000000" w:themeColor="text1"/>
                <w:sz w:val="21"/>
              </w:rPr>
              <w:t xml:space="preserve">Closed-set or short text</w:t>
            </w:r>
            <w:r>
              <w:rPr>
                <w:color w:val="000000" w:themeColor="text1"/>
              </w:rPr>
            </w:r>
            <w:r>
              <w:rPr>
                <w:color w:val="000000" w:themeColor="text1"/>
              </w:rPr>
            </w:r>
          </w:p>
        </w:tc>
        <w:tc>
          <w:tcPr>
            <w:tcBorders/>
            <w:tcW w:w="1728" w:type="dxa"/>
            <w:textDirection w:val="lrTb"/>
            <w:noWrap w:val="false"/>
          </w:tcPr>
          <w:p w14:paraId="7E11914C">
            <w:pPr>
              <w:pBdr/>
              <w:spacing w:after="0" w:before="0" w:line="240" w:lineRule="auto"/>
              <w:ind/>
              <w:rPr>
                <w:color w:val="000000" w:themeColor="text1"/>
              </w:rPr>
            </w:pPr>
            <w:r>
              <w:rPr>
                <w:rFonts w:ascii="Arial" w:hAnsi="Arial" w:eastAsia="Arial" w:cs="Arial"/>
                <w:color w:val="000000" w:themeColor="text1"/>
                <w:sz w:val="21"/>
              </w:rPr>
              <w:t xml:space="preserve">Strong image-question alignment</w:t>
            </w:r>
            <w:r>
              <w:rPr>
                <w:color w:val="000000" w:themeColor="text1"/>
              </w:rPr>
            </w:r>
            <w:r>
              <w:rPr>
                <w:color w:val="000000" w:themeColor="text1"/>
              </w:rPr>
            </w:r>
          </w:p>
        </w:tc>
        <w:tc>
          <w:tcPr>
            <w:tcBorders/>
            <w:tcW w:w="1728" w:type="dxa"/>
            <w:textDirection w:val="lrTb"/>
            <w:noWrap w:val="false"/>
          </w:tcPr>
          <w:p w14:paraId="256BAFF2">
            <w:pPr>
              <w:pBdr/>
              <w:spacing w:after="0" w:before="0" w:line="240" w:lineRule="auto"/>
              <w:ind/>
              <w:rPr>
                <w:color w:val="000000" w:themeColor="text1"/>
              </w:rPr>
            </w:pPr>
            <w:r>
              <w:rPr>
                <w:rFonts w:ascii="Arial" w:hAnsi="Arial" w:eastAsia="Arial" w:cs="Arial"/>
                <w:color w:val="000000" w:themeColor="text1"/>
                <w:sz w:val="21"/>
              </w:rPr>
              <w:t xml:space="preserve">Data and tuning sensitivity</w:t>
            </w:r>
            <w:r>
              <w:rPr>
                <w:color w:val="000000" w:themeColor="text1"/>
              </w:rPr>
            </w:r>
            <w:r>
              <w:rPr>
                <w:color w:val="000000" w:themeColor="text1"/>
              </w:rPr>
            </w:r>
          </w:p>
        </w:tc>
        <w:tc>
          <w:tcPr>
            <w:tcBorders/>
            <w:tcW w:w="1728" w:type="dxa"/>
            <w:textDirection w:val="lrTb"/>
            <w:noWrap w:val="false"/>
          </w:tcPr>
          <w:p w14:paraId="70516D11">
            <w:pPr>
              <w:pBdr/>
              <w:spacing w:after="0" w:before="0" w:line="240" w:lineRule="auto"/>
              <w:ind/>
              <w:rPr>
                <w:color w:val="000000" w:themeColor="text1"/>
              </w:rPr>
            </w:pPr>
            <w:r>
              <w:rPr>
                <w:rFonts w:ascii="Arial" w:hAnsi="Arial" w:eastAsia="Arial" w:cs="Arial"/>
                <w:color w:val="000000" w:themeColor="text1"/>
                <w:sz w:val="21"/>
              </w:rPr>
              <w:t xml:space="preserve">Multi-category constrained QA</w:t>
            </w:r>
            <w:r>
              <w:rPr>
                <w:color w:val="000000" w:themeColor="text1"/>
              </w:rPr>
            </w:r>
            <w:r>
              <w:rPr>
                <w:color w:val="000000" w:themeColor="text1"/>
              </w:rPr>
            </w:r>
          </w:p>
        </w:tc>
      </w:tr>
      <w:tr>
        <w:trPr/>
        <w:tc>
          <w:tcPr>
            <w:tcBorders/>
            <w:tcW w:w="1728" w:type="dxa"/>
            <w:textDirection w:val="lrTb"/>
            <w:noWrap w:val="false"/>
          </w:tcPr>
          <w:p w14:paraId="5A31F17B">
            <w:pPr>
              <w:pBdr/>
              <w:spacing w:after="0" w:before="0" w:line="240" w:lineRule="auto"/>
              <w:ind/>
              <w:rPr>
                <w:color w:val="000000" w:themeColor="text1"/>
              </w:rPr>
            </w:pPr>
            <w:r>
              <w:rPr>
                <w:rFonts w:ascii="Arial" w:hAnsi="Arial" w:eastAsia="Arial" w:cs="Arial"/>
                <w:color w:val="000000" w:themeColor="text1"/>
                <w:sz w:val="21"/>
              </w:rPr>
              <w:t xml:space="preserve">Generative MLLM</w:t>
            </w:r>
            <w:r>
              <w:rPr>
                <w:color w:val="000000" w:themeColor="text1"/>
              </w:rPr>
            </w:r>
            <w:r>
              <w:rPr>
                <w:color w:val="000000" w:themeColor="text1"/>
              </w:rPr>
            </w:r>
          </w:p>
        </w:tc>
        <w:tc>
          <w:tcPr>
            <w:tcBorders/>
            <w:tcW w:w="1728" w:type="dxa"/>
            <w:textDirection w:val="lrTb"/>
            <w:noWrap w:val="false"/>
          </w:tcPr>
          <w:p w14:paraId="6EC078E0">
            <w:pPr>
              <w:pBdr/>
              <w:spacing w:after="0" w:before="0" w:line="240" w:lineRule="auto"/>
              <w:ind/>
              <w:rPr>
                <w:color w:val="000000" w:themeColor="text1"/>
              </w:rPr>
            </w:pPr>
            <w:r>
              <w:rPr>
                <w:rFonts w:ascii="Arial" w:hAnsi="Arial" w:eastAsia="Arial" w:cs="Arial"/>
                <w:color w:val="000000" w:themeColor="text1"/>
                <w:sz w:val="21"/>
              </w:rPr>
              <w:t xml:space="preserve">Free text</w:t>
            </w:r>
            <w:r>
              <w:rPr>
                <w:color w:val="000000" w:themeColor="text1"/>
              </w:rPr>
            </w:r>
            <w:r>
              <w:rPr>
                <w:color w:val="000000" w:themeColor="text1"/>
              </w:rPr>
            </w:r>
          </w:p>
        </w:tc>
        <w:tc>
          <w:tcPr>
            <w:tcBorders/>
            <w:tcW w:w="1728" w:type="dxa"/>
            <w:textDirection w:val="lrTb"/>
            <w:noWrap w:val="false"/>
          </w:tcPr>
          <w:p w14:paraId="2AD226A0">
            <w:pPr>
              <w:pBdr/>
              <w:spacing w:after="0" w:before="0" w:line="240" w:lineRule="auto"/>
              <w:ind/>
              <w:rPr>
                <w:color w:val="000000" w:themeColor="text1"/>
              </w:rPr>
            </w:pPr>
            <w:r>
              <w:rPr>
                <w:rFonts w:ascii="Arial" w:hAnsi="Arial" w:eastAsia="Arial" w:cs="Arial"/>
                <w:color w:val="000000" w:themeColor="text1"/>
                <w:sz w:val="21"/>
              </w:rPr>
              <w:t xml:space="preserve">Rich interaction and explanation potential</w:t>
            </w:r>
            <w:r>
              <w:rPr>
                <w:color w:val="000000" w:themeColor="text1"/>
              </w:rPr>
            </w:r>
            <w:r>
              <w:rPr>
                <w:color w:val="000000" w:themeColor="text1"/>
              </w:rPr>
            </w:r>
          </w:p>
        </w:tc>
        <w:tc>
          <w:tcPr>
            <w:tcBorders/>
            <w:tcW w:w="1728" w:type="dxa"/>
            <w:textDirection w:val="lrTb"/>
            <w:noWrap w:val="false"/>
          </w:tcPr>
          <w:p w14:paraId="5DB33AAF">
            <w:pPr>
              <w:pBdr/>
              <w:spacing w:after="0" w:before="0" w:line="240" w:lineRule="auto"/>
              <w:ind/>
              <w:rPr>
                <w:color w:val="000000" w:themeColor="text1"/>
              </w:rPr>
            </w:pPr>
            <w:r>
              <w:rPr>
                <w:rFonts w:ascii="Arial" w:hAnsi="Arial" w:eastAsia="Arial" w:cs="Arial"/>
                <w:color w:val="000000" w:themeColor="text1"/>
                <w:sz w:val="21"/>
              </w:rPr>
              <w:t xml:space="preserve">Hallucination, lexical drift</w:t>
            </w:r>
            <w:r>
              <w:rPr>
                <w:color w:val="000000" w:themeColor="text1"/>
              </w:rPr>
            </w:r>
            <w:r>
              <w:rPr>
                <w:color w:val="000000" w:themeColor="text1"/>
              </w:rPr>
            </w:r>
          </w:p>
        </w:tc>
        <w:tc>
          <w:tcPr>
            <w:tcBorders/>
            <w:tcW w:w="1728" w:type="dxa"/>
            <w:textDirection w:val="lrTb"/>
            <w:noWrap w:val="false"/>
          </w:tcPr>
          <w:p w14:paraId="38C7A26A">
            <w:pPr>
              <w:pBdr/>
              <w:spacing w:after="0" w:before="0" w:line="240" w:lineRule="auto"/>
              <w:ind/>
              <w:rPr>
                <w:color w:val="000000" w:themeColor="text1"/>
              </w:rPr>
            </w:pPr>
            <w:r>
              <w:rPr>
                <w:rFonts w:ascii="Arial" w:hAnsi="Arial" w:eastAsia="Arial" w:cs="Arial"/>
                <w:color w:val="000000" w:themeColor="text1"/>
                <w:sz w:val="21"/>
              </w:rPr>
              <w:t xml:space="preserve">Narrative support with safeguards</w:t>
            </w:r>
            <w:r>
              <w:rPr>
                <w:color w:val="000000" w:themeColor="text1"/>
              </w:rPr>
            </w:r>
            <w:r>
              <w:rPr>
                <w:color w:val="000000" w:themeColor="text1"/>
              </w:rPr>
            </w:r>
          </w:p>
        </w:tc>
      </w:tr>
      <w:tr>
        <w:trPr/>
        <w:tc>
          <w:tcPr>
            <w:tcBorders/>
            <w:tcW w:w="1728" w:type="dxa"/>
            <w:textDirection w:val="lrTb"/>
            <w:noWrap w:val="false"/>
          </w:tcPr>
          <w:p w14:paraId="7FF72C4F">
            <w:pPr>
              <w:pBdr/>
              <w:spacing w:after="0" w:before="0" w:line="240" w:lineRule="auto"/>
              <w:ind/>
              <w:rPr>
                <w:color w:val="000000" w:themeColor="text1"/>
              </w:rPr>
            </w:pPr>
            <w:r>
              <w:rPr>
                <w:rFonts w:ascii="Arial" w:hAnsi="Arial" w:eastAsia="Arial" w:cs="Arial"/>
                <w:color w:val="000000" w:themeColor="text1"/>
                <w:sz w:val="21"/>
              </w:rPr>
              <w:t xml:space="preserve">Explainable MedVQA</w:t>
            </w:r>
            <w:r>
              <w:rPr>
                <w:color w:val="000000" w:themeColor="text1"/>
              </w:rPr>
            </w:r>
            <w:r>
              <w:rPr>
                <w:color w:val="000000" w:themeColor="text1"/>
              </w:rPr>
            </w:r>
          </w:p>
        </w:tc>
        <w:tc>
          <w:tcPr>
            <w:tcBorders/>
            <w:tcW w:w="1728" w:type="dxa"/>
            <w:textDirection w:val="lrTb"/>
            <w:noWrap w:val="false"/>
          </w:tcPr>
          <w:p w14:paraId="18694A1C">
            <w:pPr>
              <w:pBdr/>
              <w:spacing w:after="0" w:before="0" w:line="240" w:lineRule="auto"/>
              <w:ind/>
              <w:rPr>
                <w:color w:val="000000" w:themeColor="text1"/>
              </w:rPr>
            </w:pPr>
            <w:r>
              <w:rPr>
                <w:rFonts w:ascii="Arial" w:hAnsi="Arial" w:eastAsia="Arial" w:cs="Arial"/>
                <w:color w:val="000000" w:themeColor="text1"/>
                <w:sz w:val="21"/>
              </w:rPr>
              <w:t xml:space="preserve">Answer + rationale/grounding</w:t>
            </w:r>
            <w:r>
              <w:rPr>
                <w:color w:val="000000" w:themeColor="text1"/>
              </w:rPr>
            </w:r>
            <w:r>
              <w:rPr>
                <w:color w:val="000000" w:themeColor="text1"/>
              </w:rPr>
            </w:r>
          </w:p>
        </w:tc>
        <w:tc>
          <w:tcPr>
            <w:tcBorders/>
            <w:tcW w:w="1728" w:type="dxa"/>
            <w:textDirection w:val="lrTb"/>
            <w:noWrap w:val="false"/>
          </w:tcPr>
          <w:p w14:paraId="68C60D51">
            <w:pPr>
              <w:pBdr/>
              <w:spacing w:after="0" w:before="0" w:line="240" w:lineRule="auto"/>
              <w:ind/>
              <w:rPr>
                <w:color w:val="000000" w:themeColor="text1"/>
              </w:rPr>
            </w:pPr>
            <w:r>
              <w:rPr>
                <w:rFonts w:ascii="Arial" w:hAnsi="Arial" w:eastAsia="Arial" w:cs="Arial"/>
                <w:color w:val="000000" w:themeColor="text1"/>
                <w:sz w:val="21"/>
              </w:rPr>
              <w:t xml:space="preserve">Improves trust and auditability</w:t>
            </w:r>
            <w:r>
              <w:rPr>
                <w:color w:val="000000" w:themeColor="text1"/>
              </w:rPr>
            </w:r>
            <w:r>
              <w:rPr>
                <w:color w:val="000000" w:themeColor="text1"/>
              </w:rPr>
            </w:r>
          </w:p>
        </w:tc>
        <w:tc>
          <w:tcPr>
            <w:tcBorders/>
            <w:tcW w:w="1728" w:type="dxa"/>
            <w:textDirection w:val="lrTb"/>
            <w:noWrap w:val="false"/>
          </w:tcPr>
          <w:p w14:paraId="788CFB03">
            <w:pPr>
              <w:pBdr/>
              <w:spacing w:after="0" w:before="0" w:line="240" w:lineRule="auto"/>
              <w:ind/>
              <w:rPr>
                <w:color w:val="000000" w:themeColor="text1"/>
              </w:rPr>
            </w:pPr>
            <w:r>
              <w:rPr>
                <w:rFonts w:ascii="Arial" w:hAnsi="Arial" w:eastAsia="Arial" w:cs="Arial"/>
                <w:color w:val="000000" w:themeColor="text1"/>
                <w:sz w:val="21"/>
              </w:rPr>
              <w:t xml:space="preserve">Evaluation standardization still maturing</w:t>
            </w:r>
            <w:r>
              <w:rPr>
                <w:color w:val="000000" w:themeColor="text1"/>
              </w:rPr>
            </w:r>
            <w:r>
              <w:rPr>
                <w:color w:val="000000" w:themeColor="text1"/>
              </w:rPr>
            </w:r>
          </w:p>
        </w:tc>
        <w:tc>
          <w:tcPr>
            <w:tcBorders/>
            <w:tcW w:w="1728" w:type="dxa"/>
            <w:textDirection w:val="lrTb"/>
            <w:noWrap w:val="false"/>
          </w:tcPr>
          <w:p w14:paraId="2D72CAF5">
            <w:pPr>
              <w:pBdr/>
              <w:spacing w:after="0" w:before="0" w:line="240" w:lineRule="auto"/>
              <w:ind/>
              <w:rPr>
                <w:color w:val="000000" w:themeColor="text1"/>
              </w:rPr>
            </w:pPr>
            <w:r>
              <w:rPr>
                <w:rFonts w:ascii="Arial" w:hAnsi="Arial" w:eastAsia="Arial" w:cs="Arial"/>
                <w:color w:val="000000" w:themeColor="text1"/>
                <w:sz w:val="21"/>
              </w:rPr>
              <w:t xml:space="preserve">Clinician-facing decision support</w:t>
            </w:r>
            <w:r>
              <w:rPr>
                <w:color w:val="000000" w:themeColor="text1"/>
              </w:rPr>
            </w:r>
            <w:r>
              <w:rPr>
                <w:color w:val="000000" w:themeColor="text1"/>
              </w:rPr>
            </w:r>
          </w:p>
        </w:tc>
      </w:tr>
      <w:tr>
        <w:trPr/>
        <w:tc>
          <w:tcPr>
            <w:tcBorders/>
            <w:tcW w:w="1728" w:type="dxa"/>
            <w:textDirection w:val="lrTb"/>
            <w:noWrap w:val="false"/>
          </w:tcPr>
          <w:p w14:paraId="375EFBF6">
            <w:pPr>
              <w:pBdr/>
              <w:spacing w:after="0" w:before="0" w:line="240" w:lineRule="auto"/>
              <w:ind/>
              <w:rPr>
                <w:color w:val="000000" w:themeColor="text1"/>
              </w:rPr>
            </w:pPr>
            <w:r>
              <w:rPr>
                <w:rFonts w:ascii="Arial" w:hAnsi="Arial" w:eastAsia="Arial" w:cs="Arial"/>
                <w:color w:val="000000" w:themeColor="text1"/>
                <w:sz w:val="21"/>
              </w:rPr>
              <w:t xml:space="preserve">Retrieval-augmented</w:t>
            </w:r>
            <w:r>
              <w:rPr>
                <w:color w:val="000000" w:themeColor="text1"/>
              </w:rPr>
            </w:r>
            <w:r>
              <w:rPr>
                <w:color w:val="000000" w:themeColor="text1"/>
              </w:rPr>
            </w:r>
          </w:p>
        </w:tc>
        <w:tc>
          <w:tcPr>
            <w:tcBorders/>
            <w:tcW w:w="1728" w:type="dxa"/>
            <w:textDirection w:val="lrTb"/>
            <w:noWrap w:val="false"/>
          </w:tcPr>
          <w:p w14:paraId="32891EC5">
            <w:pPr>
              <w:pBdr/>
              <w:spacing w:after="0" w:before="0" w:line="240" w:lineRule="auto"/>
              <w:ind/>
              <w:rPr>
                <w:color w:val="000000" w:themeColor="text1"/>
              </w:rPr>
            </w:pPr>
            <w:r>
              <w:rPr>
                <w:rFonts w:ascii="Arial" w:hAnsi="Arial" w:eastAsia="Arial" w:cs="Arial"/>
                <w:color w:val="000000" w:themeColor="text1"/>
                <w:sz w:val="21"/>
              </w:rPr>
              <w:t xml:space="preserve">Answer + retrieved evidence</w:t>
            </w:r>
            <w:r>
              <w:rPr>
                <w:color w:val="000000" w:themeColor="text1"/>
              </w:rPr>
            </w:r>
            <w:r>
              <w:rPr>
                <w:color w:val="000000" w:themeColor="text1"/>
              </w:rPr>
            </w:r>
          </w:p>
        </w:tc>
        <w:tc>
          <w:tcPr>
            <w:tcBorders/>
            <w:tcW w:w="1728" w:type="dxa"/>
            <w:textDirection w:val="lrTb"/>
            <w:noWrap w:val="false"/>
          </w:tcPr>
          <w:p w14:paraId="1AD39BF8">
            <w:pPr>
              <w:pBdr/>
              <w:spacing w:after="0" w:before="0" w:line="240" w:lineRule="auto"/>
              <w:ind/>
              <w:rPr>
                <w:color w:val="000000" w:themeColor="text1"/>
              </w:rPr>
            </w:pPr>
            <w:r>
              <w:rPr>
                <w:rFonts w:ascii="Arial" w:hAnsi="Arial" w:eastAsia="Arial" w:cs="Arial"/>
                <w:color w:val="000000" w:themeColor="text1"/>
                <w:sz w:val="21"/>
              </w:rPr>
              <w:t xml:space="preserve">Better factual anchoring in some settings</w:t>
            </w:r>
            <w:r>
              <w:rPr>
                <w:color w:val="000000" w:themeColor="text1"/>
              </w:rPr>
            </w:r>
            <w:r>
              <w:rPr>
                <w:color w:val="000000" w:themeColor="text1"/>
              </w:rPr>
            </w:r>
          </w:p>
        </w:tc>
        <w:tc>
          <w:tcPr>
            <w:tcBorders/>
            <w:tcW w:w="1728" w:type="dxa"/>
            <w:textDirection w:val="lrTb"/>
            <w:noWrap w:val="false"/>
          </w:tcPr>
          <w:p w14:paraId="6CF89FEF">
            <w:pPr>
              <w:pBdr/>
              <w:spacing w:after="0" w:before="0" w:line="240" w:lineRule="auto"/>
              <w:ind/>
              <w:rPr>
                <w:color w:val="000000" w:themeColor="text1"/>
              </w:rPr>
            </w:pPr>
            <w:r>
              <w:rPr>
                <w:rFonts w:ascii="Arial" w:hAnsi="Arial" w:eastAsia="Arial" w:cs="Arial"/>
                <w:color w:val="000000" w:themeColor="text1"/>
                <w:sz w:val="21"/>
              </w:rPr>
              <w:t xml:space="preserve">Retrieval error propagates to answer</w:t>
            </w:r>
            <w:r>
              <w:rPr>
                <w:color w:val="000000" w:themeColor="text1"/>
              </w:rPr>
            </w:r>
            <w:r>
              <w:rPr>
                <w:color w:val="000000" w:themeColor="text1"/>
              </w:rPr>
            </w:r>
          </w:p>
        </w:tc>
        <w:tc>
          <w:tcPr>
            <w:tcBorders/>
            <w:tcW w:w="1728" w:type="dxa"/>
            <w:textDirection w:val="lrTb"/>
            <w:noWrap w:val="false"/>
          </w:tcPr>
          <w:p w14:paraId="380D6144">
            <w:pPr>
              <w:pBdr/>
              <w:spacing w:after="0" w:before="0" w:line="240" w:lineRule="auto"/>
              <w:ind/>
              <w:rPr>
                <w:color w:val="000000" w:themeColor="text1"/>
              </w:rPr>
            </w:pPr>
            <w:r>
              <w:rPr>
                <w:rFonts w:ascii="Arial" w:hAnsi="Arial" w:eastAsia="Arial" w:cs="Arial"/>
                <w:color w:val="000000" w:themeColor="text1"/>
                <w:sz w:val="21"/>
              </w:rPr>
              <w:t xml:space="preserve">Evidence-linked higher-level queries</w:t>
            </w:r>
            <w:r>
              <w:rPr>
                <w:color w:val="000000" w:themeColor="text1"/>
              </w:rPr>
            </w:r>
            <w:r>
              <w:rPr>
                <w:color w:val="000000" w:themeColor="text1"/>
              </w:rPr>
            </w:r>
          </w:p>
        </w:tc>
      </w:tr>
    </w:tbl>
    <w:p w14:paraId="71B0FABE">
      <w:pPr>
        <w:pStyle w:val="1128"/>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sz w:val="22"/>
          <w:szCs w:val="22"/>
          <w:highlight w:val="none"/>
        </w:rPr>
      </w:pPr>
      <w:r>
        <w:rPr>
          <w:rFonts w:ascii="Arial" w:hAnsi="Arial" w:eastAsia="Arial" w:cs="Arial"/>
          <w:b w:val="0"/>
          <w:bCs w:val="0"/>
          <w:i w:val="0"/>
          <w:caps w:val="0"/>
          <w:smallCaps w:val="0"/>
          <w:color w:val="000000" w:themeColor="text1"/>
          <w:sz w:val="22"/>
          <w:szCs w:val="22"/>
          <w:highlight w:val="none"/>
        </w:rPr>
      </w:r>
      <w:r>
        <w:rPr>
          <w:rFonts w:ascii="Arial" w:hAnsi="Arial" w:eastAsia="Arial" w:cs="Arial"/>
          <w:b w:val="0"/>
          <w:bCs w:val="0"/>
          <w:i w:val="0"/>
          <w:caps w:val="0"/>
          <w:smallCaps w:val="0"/>
          <w:color w:val="000000" w:themeColor="text1"/>
          <w:sz w:val="22"/>
          <w:szCs w:val="22"/>
          <w:highlight w:val="none"/>
        </w:rPr>
        <w:tab/>
      </w:r>
      <w:r>
        <w:rPr>
          <w:rFonts w:ascii="Arial" w:hAnsi="Arial" w:eastAsia="Arial" w:cs="Arial"/>
          <w:b w:val="0"/>
          <w:bCs w:val="0"/>
          <w:i w:val="0"/>
          <w:caps w:val="0"/>
          <w:smallCaps w:val="0"/>
          <w:color w:val="000000" w:themeColor="text1"/>
          <w:sz w:val="22"/>
          <w:szCs w:val="22"/>
          <w:highlight w:val="none"/>
        </w:rPr>
        <w:t xml:space="preserve">Table 2.6. Technique Family Comparison for Colonoscopy MedVQA</w:t>
      </w:r>
      <w:r>
        <w:rPr>
          <w:rFonts w:ascii="Arial" w:hAnsi="Arial" w:eastAsia="Arial" w:cs="Arial"/>
          <w:b w:val="0"/>
          <w:bCs w:val="0"/>
          <w:i w:val="0"/>
          <w:caps w:val="0"/>
          <w:smallCaps w:val="0"/>
          <w:color w:val="000000" w:themeColor="text1"/>
          <w:sz w:val="22"/>
          <w:szCs w:val="22"/>
          <w:highlight w:val="none"/>
        </w:rPr>
      </w:r>
      <w:r>
        <w:rPr>
          <w:rFonts w:ascii="Arial" w:hAnsi="Arial" w:eastAsia="Arial" w:cs="Arial"/>
          <w:b w:val="0"/>
          <w:bCs w:val="0"/>
          <w:i w:val="0"/>
          <w:caps w:val="0"/>
          <w:smallCaps w:val="0"/>
          <w:color w:val="000000" w:themeColor="text1"/>
          <w:sz w:val="22"/>
          <w:szCs w:val="22"/>
          <w:highlight w:val="none"/>
        </w:rPr>
      </w:r>
    </w:p>
    <w:p w14:paraId="7DD4480F">
      <w:pPr>
        <w:pStyle w:val="1128"/>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sz w:val="22"/>
          <w:szCs w:val="22"/>
        </w:rPr>
      </w:pPr>
      <w:r>
        <w:rPr>
          <w:rFonts w:ascii="Arial" w:hAnsi="Arial" w:eastAsia="Arial" w:cs="Arial"/>
          <w:b w:val="0"/>
          <w:bCs w:val="0"/>
          <w:i w:val="0"/>
          <w:caps w:val="0"/>
          <w:smallCaps w:val="0"/>
          <w:color w:val="000000" w:themeColor="text1"/>
          <w:sz w:val="22"/>
          <w:szCs w:val="22"/>
        </w:rPr>
      </w:r>
      <w:r>
        <w:rPr>
          <w:rFonts w:ascii="Arial" w:hAnsi="Arial" w:eastAsia="Arial" w:cs="Arial"/>
          <w:b w:val="0"/>
          <w:bCs w:val="0"/>
          <w:i w:val="0"/>
          <w:caps w:val="0"/>
          <w:smallCaps w:val="0"/>
          <w:color w:val="000000" w:themeColor="text1"/>
          <w:sz w:val="22"/>
          <w:szCs w:val="22"/>
        </w:rPr>
      </w:r>
      <w:r>
        <w:rPr>
          <w:rFonts w:ascii="Arial" w:hAnsi="Arial" w:eastAsia="Arial" w:cs="Arial"/>
          <w:b w:val="0"/>
          <w:bCs w:val="0"/>
          <w:i w:val="0"/>
          <w:caps w:val="0"/>
          <w:smallCaps w:val="0"/>
          <w:color w:val="000000" w:themeColor="text1"/>
          <w:sz w:val="22"/>
          <w:szCs w:val="22"/>
        </w:rPr>
      </w:r>
    </w:p>
    <w:p w14:paraId="78AC52B9">
      <w:pPr>
        <w:pStyle w:val="1128"/>
        <w:suppressLineNumbers w:val="false"/>
        <w:pBdr/>
        <w:spacing w:after="240" w:afterAutospacing="0" w:before="240" w:beforeAutospacing="0" w:line="300" w:lineRule="auto"/>
        <w:ind w:firstLine="0"/>
        <w:rPr>
          <w:b/>
          <w:bCs/>
          <w:sz w:val="28"/>
          <w:szCs w:val="28"/>
        </w:rPr>
      </w:pPr>
      <w:r>
        <w:rPr>
          <w:rFonts w:ascii="Arial" w:hAnsi="Arial" w:eastAsia="Arial" w:cs="Arial"/>
          <w:b/>
          <w:bCs/>
          <w:i w:val="0"/>
          <w:caps w:val="0"/>
          <w:smallCaps w:val="0"/>
          <w:color w:val="000000" w:themeColor="text1"/>
          <w:sz w:val="28"/>
          <w:szCs w:val="28"/>
          <w:highlight w:val="none"/>
        </w:rPr>
        <w:t xml:space="preserve">2.6 Evaluation Practices in the Literature</w:t>
      </w:r>
      <w:r>
        <w:rPr>
          <w:b/>
          <w:bCs/>
          <w:sz w:val="28"/>
          <w:szCs w:val="28"/>
        </w:rPr>
      </w:r>
      <w:r>
        <w:rPr>
          <w:b/>
          <w:bCs/>
          <w:sz w:val="28"/>
          <w:szCs w:val="28"/>
        </w:rPr>
      </w:r>
    </w:p>
    <w:p w14:paraId="26E3CE47">
      <w:pPr>
        <w:pStyle w:val="112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sz w:val="22"/>
          <w:szCs w:val="22"/>
          <w:highlight w:val="none"/>
        </w:rPr>
        <w:t xml:space="preserve">A central finding of this survey is that evaluation practice is often the bottleneck, not only model architecture.</w:t>
      </w:r>
      <w:r>
        <w:rPr>
          <w:rFonts w:ascii="Arial" w:hAnsi="Arial" w:eastAsia="Arial" w:cs="Arial"/>
          <w:b w:val="0"/>
          <w:bCs w:val="0"/>
          <w:i w:val="0"/>
          <w:caps w:val="0"/>
          <w:smallCaps w:val="0"/>
          <w:color w:val="000000" w:themeColor="text1"/>
          <w:sz w:val="22"/>
          <w:szCs w:val="22"/>
          <w:highlight w:val="none"/>
        </w:rPr>
      </w:r>
      <w:r/>
    </w:p>
    <w:p w14:paraId="0FB0614D">
      <w:pPr>
        <w:pStyle w:val="1128"/>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sz w:val="22"/>
          <w:szCs w:val="22"/>
          <w:highlight w:val="none"/>
        </w:rPr>
        <w:t xml:space="preserve">2.6.1 Classification Metrics vs Clinical Risk</w:t>
      </w:r>
      <w:r>
        <w:rPr>
          <w:b/>
          <w:bCs/>
        </w:rPr>
      </w:r>
      <w:r>
        <w:rPr>
          <w:b/>
          <w:bCs/>
        </w:rPr>
      </w:r>
    </w:p>
    <w:p w14:paraId="73B78DE7">
      <w:pPr>
        <w:pStyle w:val="112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sz w:val="22"/>
          <w:szCs w:val="22"/>
          <w:highlight w:val="none"/>
        </w:rPr>
        <w:t xml:space="preserve">M</w:t>
      </w:r>
      <w:r>
        <w:rPr>
          <w:rFonts w:ascii="Arial" w:hAnsi="Arial" w:eastAsia="Arial" w:cs="Arial"/>
          <w:b w:val="0"/>
          <w:bCs w:val="0"/>
          <w:i w:val="0"/>
          <w:caps w:val="0"/>
          <w:smallCaps w:val="0"/>
          <w:color w:val="000000" w:themeColor="text1"/>
          <w:sz w:val="22"/>
          <w:szCs w:val="22"/>
          <w:highlight w:val="none"/>
        </w:rPr>
        <w:t xml:space="preserve">any MedVQA papers report accuracy and macro-F1. These are necessary but insufficient for clinical decision support. In imbalanced settings, aggregate metrics can obscure severe-class failure. This concern is consistent with broader medical-AI metric guidan</w:t>
      </w:r>
      <w:r>
        <w:rPr>
          <w:rFonts w:ascii="Arial" w:hAnsi="Arial" w:eastAsia="Arial" w:cs="Arial"/>
          <w:b w:val="0"/>
          <w:bCs w:val="0"/>
          <w:i w:val="0"/>
          <w:caps w:val="0"/>
          <w:smallCaps w:val="0"/>
          <w:color w:val="000000" w:themeColor="text1"/>
          <w:sz w:val="22"/>
          <w:szCs w:val="22"/>
          <w:highlight w:val="none"/>
        </w:rPr>
        <w:t xml:space="preserve">ce that emphasizes task-risk alignment over single-score reporting [36].</w:t>
      </w:r>
      <w:r>
        <w:rPr>
          <w:rFonts w:ascii="Arial" w:hAnsi="Arial" w:eastAsia="Arial" w:cs="Arial"/>
          <w:b w:val="0"/>
          <w:bCs w:val="0"/>
          <w:i w:val="0"/>
          <w:caps w:val="0"/>
          <w:smallCaps w:val="0"/>
          <w:color w:val="000000" w:themeColor="text1"/>
          <w:sz w:val="22"/>
          <w:szCs w:val="22"/>
          <w:highlight w:val="none"/>
        </w:rPr>
      </w:r>
      <w:r/>
    </w:p>
    <w:p w14:paraId="6C353084">
      <w:pPr>
        <w:pStyle w:val="1128"/>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sz w:val="22"/>
          <w:szCs w:val="22"/>
          <w:highlight w:val="none"/>
        </w:rPr>
        <w:t xml:space="preserve">2.6.2 Generative Metrics and Their Limits</w:t>
      </w:r>
      <w:r>
        <w:rPr>
          <w:b/>
          <w:bCs/>
        </w:rPr>
      </w:r>
      <w:r>
        <w:rPr>
          <w:b/>
          <w:bCs/>
        </w:rPr>
      </w:r>
    </w:p>
    <w:p w14:paraId="7016AF83">
      <w:pPr>
        <w:pStyle w:val="112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sz w:val="22"/>
          <w:szCs w:val="22"/>
          <w:highlight w:val="none"/>
        </w:rPr>
        <w:t xml:space="preserve">BLEU, ROUGE, METEOR, CIDEr, ANLS, token-F1, and exact match are useful for text overlap but do not directly guarantee clinical correctness. A linguistically similar answer can still be clinically wrong.</w:t>
      </w:r>
      <w:r>
        <w:rPr>
          <w:rFonts w:ascii="Arial" w:hAnsi="Arial" w:eastAsia="Arial" w:cs="Arial"/>
          <w:b w:val="0"/>
          <w:bCs w:val="0"/>
          <w:i w:val="0"/>
          <w:caps w:val="0"/>
          <w:smallCaps w:val="0"/>
          <w:color w:val="000000" w:themeColor="text1"/>
          <w:sz w:val="22"/>
          <w:szCs w:val="22"/>
          <w:highlight w:val="none"/>
        </w:rPr>
      </w:r>
      <w:r/>
    </w:p>
    <w:p w14:paraId="721E45E4">
      <w:pPr>
        <w:pStyle w:val="1128"/>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sz w:val="22"/>
          <w:szCs w:val="22"/>
          <w:highlight w:val="none"/>
        </w:rPr>
        <w:t xml:space="preserve">2.6.3 Calibration, Uncertainty, and Significance</w:t>
      </w:r>
      <w:r>
        <w:rPr>
          <w:b/>
          <w:bCs/>
        </w:rPr>
      </w:r>
      <w:r>
        <w:rPr>
          <w:b/>
          <w:bCs/>
        </w:rPr>
      </w:r>
    </w:p>
    <w:p w14:paraId="46B25589">
      <w:pPr>
        <w:pStyle w:val="112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sz w:val="22"/>
          <w:szCs w:val="22"/>
          <w:highlight w:val="none"/>
        </w:rPr>
        <w:t xml:space="preserve">Clinical deployment requires uncertainty-aware behavior. Yet many papers omit calibration diagnostics (e.g., expected calibration error) and significance testing. This limits interpretability of reported gains and weakens translational confidence claims.</w:t>
      </w:r>
      <w:r>
        <w:rPr>
          <w:rFonts w:ascii="Arial" w:hAnsi="Arial" w:eastAsia="Arial" w:cs="Arial"/>
          <w:b w:val="0"/>
          <w:bCs w:val="0"/>
          <w:i w:val="0"/>
          <w:caps w:val="0"/>
          <w:smallCaps w:val="0"/>
          <w:color w:val="000000" w:themeColor="text1"/>
          <w:sz w:val="22"/>
          <w:szCs w:val="22"/>
          <w:highlight w:val="none"/>
        </w:rPr>
      </w:r>
      <w:r/>
    </w:p>
    <w:p w14:paraId="5EDF035C">
      <w:pPr>
        <w:pStyle w:val="1128"/>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sz w:val="22"/>
          <w:szCs w:val="22"/>
          <w:highlight w:val="none"/>
        </w:rPr>
        <w:t xml:space="preserve">2.6.4 Challenge Metric Profiles</w:t>
      </w:r>
      <w:r>
        <w:rPr>
          <w:b/>
          <w:bCs/>
        </w:rPr>
      </w:r>
      <w:r>
        <w:rPr>
          <w:b/>
          <w:bCs/>
        </w:rPr>
      </w:r>
    </w:p>
    <w:p w14:paraId="2A3ACD85">
      <w:pPr>
        <w:pStyle w:val="1128"/>
        <w:numPr>
          <w:ilvl w:val="0"/>
          <w:numId w:val="32"/>
        </w:numPr>
        <w:suppressLineNumbers w:val="false"/>
        <w:pBdr/>
        <w:spacing w:after="240" w:afterAutospacing="0" w:before="240" w:beforeAutospacing="0" w:line="240" w:lineRule="auto"/>
        <w:ind/>
        <w:rPr/>
      </w:pPr>
      <w:r>
        <w:rPr>
          <w:rFonts w:ascii="Arial" w:hAnsi="Arial" w:eastAsia="Arial" w:cs="Arial"/>
          <w:b w:val="0"/>
          <w:bCs w:val="0"/>
          <w:i w:val="0"/>
          <w:caps w:val="0"/>
          <w:smallCaps w:val="0"/>
          <w:color w:val="000000" w:themeColor="text1"/>
          <w:sz w:val="22"/>
          <w:szCs w:val="22"/>
          <w:highlight w:val="none"/>
        </w:rPr>
        <w:t xml:space="preserve">ImageCLEF GI tracks include classification and segmentation-oriented metrics (e.g., accuracy/F1/MCC and region metrics where relevant) [22], [23].</w:t>
      </w:r>
      <w:r/>
    </w:p>
    <w:p w14:paraId="5488D940">
      <w:pPr>
        <w:pStyle w:val="1128"/>
        <w:numPr>
          <w:ilvl w:val="0"/>
          <w:numId w:val="32"/>
        </w:numPr>
        <w:suppressLineNumbers w:val="false"/>
        <w:pBdr/>
        <w:spacing w:after="240" w:afterAutospacing="0" w:before="240" w:beforeAutospacing="0" w:line="240" w:lineRule="auto"/>
        <w:ind/>
        <w:rPr/>
      </w:pPr>
      <w:r>
        <w:rPr>
          <w:rFonts w:ascii="Arial" w:hAnsi="Arial" w:eastAsia="Arial" w:cs="Arial"/>
          <w:b w:val="0"/>
          <w:bCs w:val="0"/>
          <w:i w:val="0"/>
          <w:caps w:val="0"/>
          <w:smallCaps w:val="0"/>
          <w:color w:val="000000" w:themeColor="text1"/>
          <w:sz w:val="22"/>
          <w:szCs w:val="22"/>
          <w:highlight w:val="none"/>
        </w:rPr>
        <w:t xml:space="preserve">MediaEval Medico 2025 includes text-overlap metrics plus expert-assessed clinical relevance and explainability components </w:t>
      </w:r>
      <w:r>
        <w:rPr>
          <w:rFonts w:ascii="Arial" w:hAnsi="Arial" w:eastAsia="Arial" w:cs="Arial"/>
          <w:b w:val="0"/>
          <w:bCs w:val="0"/>
          <w:i w:val="0"/>
          <w:caps w:val="0"/>
          <w:smallCaps w:val="0"/>
          <w:color w:val="000000" w:themeColor="text1"/>
          <w:sz w:val="22"/>
          <w:szCs w:val="22"/>
          <w:highlight w:val="none"/>
          <w:lang w:val="en-US"/>
        </w:rPr>
        <w:t xml:space="preserve">[</w:t>
      </w:r>
      <w:r>
        <w:rPr>
          <w:rFonts w:ascii="Arial" w:hAnsi="Arial" w:eastAsia="Arial" w:cs="Arial"/>
          <w:b w:val="0"/>
          <w:bCs w:val="0"/>
          <w:i w:val="0"/>
          <w:caps w:val="0"/>
          <w:smallCaps w:val="0"/>
          <w:color w:val="000000" w:themeColor="text1"/>
          <w:sz w:val="22"/>
          <w:szCs w:val="22"/>
          <w:highlight w:val="none"/>
        </w:rPr>
        <w:t xml:space="preserve">26], [27].</w:t>
      </w:r>
      <w:r/>
    </w:p>
    <w:p w14:paraId="3C1A7C85">
      <w:pPr>
        <w:pStyle w:val="1128"/>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sz w:val="22"/>
          <w:szCs w:val="22"/>
          <w:highlight w:val="none"/>
        </w:rPr>
        <w:t xml:space="preserve">2.6.5 Recommended Metric Bundle for This Thesis</w:t>
      </w:r>
      <w:r>
        <w:rPr>
          <w:b/>
          <w:bCs/>
        </w:rPr>
      </w:r>
      <w:r>
        <w:rPr>
          <w:b/>
          <w:bCs/>
        </w:rPr>
      </w:r>
    </w:p>
    <w:p w14:paraId="6B3F0C07">
      <w:pPr>
        <w:pStyle w:val="112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sz w:val="22"/>
          <w:szCs w:val="22"/>
          <w:highlight w:val="none"/>
        </w:rPr>
        <w:t xml:space="preserve">This thesis uses a multi-layer metric strategy:</w:t>
      </w:r>
      <w:r>
        <w:rPr>
          <w:rFonts w:ascii="Arial" w:hAnsi="Arial" w:eastAsia="Arial" w:cs="Arial"/>
          <w:b w:val="0"/>
          <w:bCs w:val="0"/>
          <w:i w:val="0"/>
          <w:caps w:val="0"/>
          <w:smallCaps w:val="0"/>
          <w:color w:val="000000" w:themeColor="text1"/>
          <w:sz w:val="22"/>
          <w:szCs w:val="22"/>
          <w:highlight w:val="none"/>
        </w:rPr>
      </w:r>
      <w:r/>
    </w:p>
    <w:p w14:paraId="41D52663">
      <w:pPr>
        <w:pStyle w:val="1128"/>
        <w:numPr>
          <w:ilvl w:val="0"/>
          <w:numId w:val="31"/>
        </w:numPr>
        <w:suppressLineNumbers w:val="false"/>
        <w:pBdr/>
        <w:spacing w:after="240" w:afterAutospacing="0" w:before="240" w:beforeAutospacing="0" w:line="240" w:lineRule="auto"/>
        <w:ind/>
        <w:rPr/>
      </w:pPr>
      <w:r>
        <w:rPr>
          <w:rFonts w:ascii="Arial" w:hAnsi="Arial" w:eastAsia="Arial" w:cs="Arial"/>
          <w:b w:val="0"/>
          <w:bCs w:val="0"/>
          <w:i w:val="0"/>
          <w:caps w:val="0"/>
          <w:smallCaps w:val="0"/>
          <w:color w:val="000000" w:themeColor="text1"/>
          <w:sz w:val="22"/>
          <w:szCs w:val="22"/>
          <w:highlight w:val="none"/>
        </w:rPr>
        <w:t xml:space="preserve">closed-set performance: accuracy, macro-F1, MCC, balanced accuracy;</w:t>
      </w:r>
      <w:r/>
    </w:p>
    <w:p w14:paraId="71F2FE56">
      <w:pPr>
        <w:pStyle w:val="1128"/>
        <w:numPr>
          <w:ilvl w:val="0"/>
          <w:numId w:val="31"/>
        </w:numPr>
        <w:suppressLineNumbers w:val="false"/>
        <w:pBdr/>
        <w:spacing w:after="240" w:afterAutospacing="0" w:before="240" w:beforeAutospacing="0" w:line="240" w:lineRule="auto"/>
        <w:ind/>
        <w:rPr/>
      </w:pPr>
      <w:r>
        <w:rPr>
          <w:rFonts w:ascii="Arial" w:hAnsi="Arial" w:eastAsia="Arial" w:cs="Arial"/>
          <w:b w:val="0"/>
          <w:bCs w:val="0"/>
          <w:i w:val="0"/>
          <w:caps w:val="0"/>
          <w:smallCaps w:val="0"/>
          <w:color w:val="000000" w:themeColor="text1"/>
          <w:sz w:val="22"/>
          <w:szCs w:val="22"/>
          <w:highlight w:val="none"/>
        </w:rPr>
        <w:t xml:space="preserve">generative overlap (where applicable): BLEU/ROUGE/METEOR, token-F1/ANLS;</w:t>
      </w:r>
      <w:r/>
    </w:p>
    <w:p w14:paraId="11A1FE43">
      <w:pPr>
        <w:pStyle w:val="1128"/>
        <w:numPr>
          <w:ilvl w:val="0"/>
          <w:numId w:val="31"/>
        </w:numPr>
        <w:suppressLineNumbers w:val="false"/>
        <w:pBdr/>
        <w:spacing w:after="240" w:afterAutospacing="0" w:before="240" w:beforeAutospacing="0" w:line="240" w:lineRule="auto"/>
        <w:ind/>
        <w:rPr/>
      </w:pPr>
      <w:r>
        <w:rPr>
          <w:rFonts w:ascii="Arial" w:hAnsi="Arial" w:eastAsia="Arial" w:cs="Arial"/>
          <w:b w:val="0"/>
          <w:bCs w:val="0"/>
          <w:i w:val="0"/>
          <w:caps w:val="0"/>
          <w:smallCaps w:val="0"/>
          <w:color w:val="000000" w:themeColor="text1"/>
          <w:sz w:val="22"/>
          <w:szCs w:val="22"/>
          <w:highlight w:val="none"/>
        </w:rPr>
        <w:t xml:space="preserve">severity-aware evaluation: QWK, remission sensitivity/specificity for UC slices;</w:t>
      </w:r>
      <w:r/>
    </w:p>
    <w:p w14:paraId="5D41F07A">
      <w:pPr>
        <w:pStyle w:val="1128"/>
        <w:numPr>
          <w:ilvl w:val="0"/>
          <w:numId w:val="31"/>
        </w:numPr>
        <w:suppressLineNumbers w:val="false"/>
        <w:pBdr/>
        <w:spacing w:after="240" w:afterAutospacing="0" w:before="240" w:beforeAutospacing="0" w:line="240" w:lineRule="auto"/>
        <w:ind/>
        <w:rPr/>
      </w:pPr>
      <w:r>
        <w:rPr>
          <w:rFonts w:ascii="Arial" w:hAnsi="Arial" w:eastAsia="Arial" w:cs="Arial"/>
          <w:b w:val="0"/>
          <w:bCs w:val="0"/>
          <w:i w:val="0"/>
          <w:caps w:val="0"/>
          <w:smallCaps w:val="0"/>
          <w:color w:val="000000" w:themeColor="text1"/>
          <w:sz w:val="22"/>
          <w:szCs w:val="22"/>
          <w:highlight w:val="none"/>
        </w:rPr>
        <w:t xml:space="preserve">reliability diagnostics: confidence intervals, paired tests, calibration where available;</w:t>
      </w:r>
      <w:r/>
    </w:p>
    <w:p w14:paraId="59FC3442">
      <w:pPr>
        <w:pStyle w:val="1128"/>
        <w:numPr>
          <w:ilvl w:val="0"/>
          <w:numId w:val="31"/>
        </w:numPr>
        <w:suppressLineNumbers w:val="false"/>
        <w:pBdr/>
        <w:spacing w:after="240" w:afterAutospacing="0" w:before="240" w:beforeAutospacing="0" w:line="240" w:lineRule="auto"/>
        <w:ind/>
        <w:rPr>
          <w:rFonts w:ascii="Arial" w:hAnsi="Arial" w:eastAsia="Arial" w:cs="Arial"/>
          <w:b w:val="0"/>
          <w:bCs w:val="0"/>
          <w:i w:val="0"/>
          <w:caps w:val="0"/>
          <w:smallCaps w:val="0"/>
          <w:color w:val="000000" w:themeColor="text1"/>
          <w:sz w:val="22"/>
          <w:szCs w:val="22"/>
        </w:rPr>
      </w:pPr>
      <w:r>
        <w:rPr>
          <w:rFonts w:ascii="Arial" w:hAnsi="Arial" w:eastAsia="Arial" w:cs="Arial"/>
          <w:b w:val="0"/>
          <w:bCs w:val="0"/>
          <w:i w:val="0"/>
          <w:caps w:val="0"/>
          <w:smallCaps w:val="0"/>
          <w:color w:val="000000" w:themeColor="text1"/>
          <w:sz w:val="22"/>
          <w:szCs w:val="22"/>
          <w:highlight w:val="none"/>
        </w:rPr>
        <w:t xml:space="preserve">scenario-level checks: high-risk error counts and acceptance criteria.</w:t>
      </w:r>
      <w:r>
        <w:rPr>
          <w:rFonts w:ascii="Arial" w:hAnsi="Arial" w:eastAsia="Arial" w:cs="Arial"/>
          <w:b w:val="0"/>
          <w:bCs w:val="0"/>
          <w:i w:val="0"/>
          <w:caps w:val="0"/>
          <w:smallCaps w:val="0"/>
          <w:color w:val="000000" w:themeColor="text1"/>
          <w:sz w:val="22"/>
          <w:szCs w:val="22"/>
        </w:rPr>
      </w:r>
      <w:r>
        <w:rPr>
          <w:rFonts w:ascii="Arial" w:hAnsi="Arial" w:eastAsia="Arial" w:cs="Arial"/>
          <w:b w:val="0"/>
          <w:bCs w:val="0"/>
          <w:i w:val="0"/>
          <w:caps w:val="0"/>
          <w:smallCaps w:val="0"/>
          <w:color w:val="000000" w:themeColor="text1"/>
          <w:sz w:val="22"/>
          <w:szCs w:val="22"/>
        </w:rPr>
      </w:r>
    </w:p>
    <w:p w14:paraId="4F53EE7D">
      <w:pPr>
        <w:pStyle w:val="1128"/>
        <w:suppressLineNumbers w:val="false"/>
        <w:pBdr/>
        <w:spacing w:after="240" w:afterAutospacing="0" w:before="240" w:beforeAutospacing="0" w:line="240" w:lineRule="auto"/>
        <w:ind w:firstLine="0"/>
        <w:rPr>
          <w:rFonts w:ascii="Arial" w:hAnsi="Arial" w:eastAsia="Arial" w:cs="Arial"/>
          <w:b w:val="0"/>
          <w:bCs w:val="0"/>
          <w:i w:val="0"/>
          <w:caps w:val="0"/>
          <w:smallCaps w:val="0"/>
          <w:color w:val="000000" w:themeColor="text1"/>
          <w:sz w:val="22"/>
          <w:szCs w:val="22"/>
        </w:rPr>
      </w:pPr>
      <w:r>
        <w:rPr>
          <w:rFonts w:ascii="Arial" w:hAnsi="Arial" w:eastAsia="Arial" w:cs="Arial"/>
          <w:b w:val="0"/>
          <w:bCs w:val="0"/>
          <w:i w:val="0"/>
          <w:caps w:val="0"/>
          <w:smallCaps w:val="0"/>
          <w:color w:val="000000" w:themeColor="text1"/>
          <w:sz w:val="22"/>
          <w:szCs w:val="22"/>
          <w:highlight w:val="none"/>
        </w:rPr>
      </w:r>
      <w:r>
        <w:rPr>
          <w:rFonts w:ascii="Arial" w:hAnsi="Arial" w:eastAsia="Arial" w:cs="Arial"/>
          <w:b w:val="0"/>
          <w:bCs w:val="0"/>
          <w:i w:val="0"/>
          <w:caps w:val="0"/>
          <w:smallCaps w:val="0"/>
          <w:color w:val="000000" w:themeColor="text1"/>
          <w:sz w:val="22"/>
          <w:szCs w:val="22"/>
        </w:rPr>
      </w:r>
      <w:r>
        <w:rPr>
          <w:rFonts w:ascii="Arial" w:hAnsi="Arial" w:eastAsia="Arial" w:cs="Arial"/>
          <w:b w:val="0"/>
          <w:bCs w:val="0"/>
          <w:i w:val="0"/>
          <w:caps w:val="0"/>
          <w:smallCaps w:val="0"/>
          <w:color w:val="000000" w:themeColor="text1"/>
          <w:sz w:val="22"/>
          <w:szCs w:val="22"/>
        </w:rPr>
      </w:r>
    </w:p>
    <w:tbl>
      <w:tblPr>
        <w:tblStyle w:val="1185"/>
        <w:tblW w:w="0" w:type="auto"/>
        <w:tblBorders/>
        <w:tblLook w:val="04A0" w:firstRow="1" w:lastRow="0" w:firstColumn="1" w:lastColumn="0" w:noHBand="0" w:noVBand="1"/>
      </w:tblPr>
      <w:tblGrid>
        <w:gridCol w:w="2160"/>
        <w:gridCol w:w="2160"/>
        <w:gridCol w:w="2160"/>
        <w:gridCol w:w="2160"/>
      </w:tblGrid>
      <w:tr>
        <w:trPr/>
        <w:tc>
          <w:tcPr>
            <w:tcBorders/>
            <w:tcW w:w="2160" w:type="dxa"/>
            <w:textDirection w:val="lrTb"/>
            <w:noWrap w:val="false"/>
          </w:tcPr>
          <w:p w14:paraId="7D74D84F">
            <w:pPr>
              <w:pBdr/>
              <w:spacing w:after="0" w:before="0" w:line="240" w:lineRule="auto"/>
              <w:ind/>
              <w:rPr>
                <w:color w:val="000000" w:themeColor="text1"/>
              </w:rPr>
            </w:pPr>
            <w:r>
              <w:rPr>
                <w:rFonts w:ascii="Arial" w:hAnsi="Arial" w:eastAsia="Arial" w:cs="Arial"/>
                <w:b/>
                <w:color w:val="000000" w:themeColor="text1"/>
                <w:sz w:val="21"/>
              </w:rPr>
              <w:t xml:space="preserve">Metric family</w:t>
            </w:r>
            <w:r>
              <w:rPr>
                <w:color w:val="000000" w:themeColor="text1"/>
              </w:rPr>
            </w:r>
            <w:r>
              <w:rPr>
                <w:color w:val="000000" w:themeColor="text1"/>
              </w:rPr>
            </w:r>
          </w:p>
        </w:tc>
        <w:tc>
          <w:tcPr>
            <w:tcBorders/>
            <w:tcW w:w="2160" w:type="dxa"/>
            <w:textDirection w:val="lrTb"/>
            <w:noWrap w:val="false"/>
          </w:tcPr>
          <w:p w14:paraId="02E9C9CB">
            <w:pPr>
              <w:pBdr/>
              <w:spacing w:after="0" w:before="0" w:line="240" w:lineRule="auto"/>
              <w:ind/>
              <w:rPr>
                <w:color w:val="000000" w:themeColor="text1"/>
              </w:rPr>
            </w:pPr>
            <w:r>
              <w:rPr>
                <w:rFonts w:ascii="Arial" w:hAnsi="Arial" w:eastAsia="Arial" w:cs="Arial"/>
                <w:b/>
                <w:color w:val="000000" w:themeColor="text1"/>
                <w:sz w:val="21"/>
              </w:rPr>
              <w:t xml:space="preserve">Example metrics</w:t>
            </w:r>
            <w:r>
              <w:rPr>
                <w:color w:val="000000" w:themeColor="text1"/>
              </w:rPr>
            </w:r>
            <w:r>
              <w:rPr>
                <w:color w:val="000000" w:themeColor="text1"/>
              </w:rPr>
            </w:r>
          </w:p>
        </w:tc>
        <w:tc>
          <w:tcPr>
            <w:tcBorders/>
            <w:tcW w:w="2160" w:type="dxa"/>
            <w:textDirection w:val="lrTb"/>
            <w:noWrap w:val="false"/>
          </w:tcPr>
          <w:p w14:paraId="426FE6DE">
            <w:pPr>
              <w:pBdr/>
              <w:spacing w:after="0" w:before="0" w:line="240" w:lineRule="auto"/>
              <w:ind/>
              <w:rPr>
                <w:color w:val="000000" w:themeColor="text1"/>
              </w:rPr>
            </w:pPr>
            <w:r>
              <w:rPr>
                <w:rFonts w:ascii="Arial" w:hAnsi="Arial" w:eastAsia="Arial" w:cs="Arial"/>
                <w:b/>
                <w:color w:val="000000" w:themeColor="text1"/>
                <w:sz w:val="21"/>
              </w:rPr>
              <w:t xml:space="preserve">Useful for</w:t>
            </w:r>
            <w:r>
              <w:rPr>
                <w:color w:val="000000" w:themeColor="text1"/>
              </w:rPr>
            </w:r>
            <w:r>
              <w:rPr>
                <w:color w:val="000000" w:themeColor="text1"/>
              </w:rPr>
            </w:r>
          </w:p>
        </w:tc>
        <w:tc>
          <w:tcPr>
            <w:tcBorders/>
            <w:tcW w:w="2160" w:type="dxa"/>
            <w:textDirection w:val="lrTb"/>
            <w:noWrap w:val="false"/>
          </w:tcPr>
          <w:p w14:paraId="78B27887">
            <w:pPr>
              <w:pBdr/>
              <w:spacing w:after="0" w:before="0" w:line="240" w:lineRule="auto"/>
              <w:ind/>
              <w:rPr>
                <w:color w:val="000000" w:themeColor="text1"/>
              </w:rPr>
            </w:pPr>
            <w:r>
              <w:rPr>
                <w:rFonts w:ascii="Arial" w:hAnsi="Arial" w:eastAsia="Arial" w:cs="Arial"/>
                <w:b/>
                <w:color w:val="000000" w:themeColor="text1"/>
                <w:sz w:val="21"/>
              </w:rPr>
              <w:t xml:space="preserve">Known blind spot</w:t>
            </w:r>
            <w:r>
              <w:rPr>
                <w:color w:val="000000" w:themeColor="text1"/>
              </w:rPr>
            </w:r>
            <w:r>
              <w:rPr>
                <w:color w:val="000000" w:themeColor="text1"/>
              </w:rPr>
            </w:r>
          </w:p>
        </w:tc>
      </w:tr>
      <w:tr>
        <w:trPr/>
        <w:tc>
          <w:tcPr>
            <w:tcBorders/>
            <w:tcW w:w="2160" w:type="dxa"/>
            <w:textDirection w:val="lrTb"/>
            <w:noWrap w:val="false"/>
          </w:tcPr>
          <w:p w14:paraId="49CC3C1F">
            <w:pPr>
              <w:pBdr/>
              <w:spacing w:after="0" w:before="0" w:line="240" w:lineRule="auto"/>
              <w:ind/>
              <w:rPr>
                <w:color w:val="000000" w:themeColor="text1"/>
              </w:rPr>
            </w:pPr>
            <w:r>
              <w:rPr>
                <w:rFonts w:ascii="Arial" w:hAnsi="Arial" w:eastAsia="Arial" w:cs="Arial"/>
                <w:color w:val="000000" w:themeColor="text1"/>
                <w:sz w:val="21"/>
              </w:rPr>
              <w:t xml:space="preserve">Closed-set classification</w:t>
            </w:r>
            <w:r>
              <w:rPr>
                <w:color w:val="000000" w:themeColor="text1"/>
              </w:rPr>
            </w:r>
            <w:r>
              <w:rPr>
                <w:color w:val="000000" w:themeColor="text1"/>
              </w:rPr>
            </w:r>
          </w:p>
        </w:tc>
        <w:tc>
          <w:tcPr>
            <w:tcBorders/>
            <w:tcW w:w="2160" w:type="dxa"/>
            <w:textDirection w:val="lrTb"/>
            <w:noWrap w:val="false"/>
          </w:tcPr>
          <w:p w14:paraId="3E351A26">
            <w:pPr>
              <w:pBdr/>
              <w:spacing w:after="0" w:before="0" w:line="240" w:lineRule="auto"/>
              <w:ind/>
              <w:rPr>
                <w:color w:val="000000" w:themeColor="text1"/>
              </w:rPr>
            </w:pPr>
            <w:r>
              <w:rPr>
                <w:rFonts w:ascii="Arial" w:hAnsi="Arial" w:eastAsia="Arial" w:cs="Arial"/>
                <w:color w:val="000000" w:themeColor="text1"/>
                <w:sz w:val="21"/>
              </w:rPr>
              <w:t xml:space="preserve">Accuracy, macro-F1, MCC, kappa</w:t>
            </w:r>
            <w:r>
              <w:rPr>
                <w:color w:val="000000" w:themeColor="text1"/>
              </w:rPr>
            </w:r>
            <w:r>
              <w:rPr>
                <w:color w:val="000000" w:themeColor="text1"/>
              </w:rPr>
            </w:r>
          </w:p>
        </w:tc>
        <w:tc>
          <w:tcPr>
            <w:tcBorders/>
            <w:tcW w:w="2160" w:type="dxa"/>
            <w:textDirection w:val="lrTb"/>
            <w:noWrap w:val="false"/>
          </w:tcPr>
          <w:p w14:paraId="5D228952">
            <w:pPr>
              <w:pBdr/>
              <w:spacing w:after="0" w:before="0" w:line="240" w:lineRule="auto"/>
              <w:ind/>
              <w:rPr>
                <w:color w:val="000000" w:themeColor="text1"/>
              </w:rPr>
            </w:pPr>
            <w:r>
              <w:rPr>
                <w:rFonts w:ascii="Arial" w:hAnsi="Arial" w:eastAsia="Arial" w:cs="Arial"/>
                <w:color w:val="000000" w:themeColor="text1"/>
                <w:sz w:val="21"/>
              </w:rPr>
              <w:t xml:space="preserve">Deterministic QA evaluation</w:t>
            </w:r>
            <w:r>
              <w:rPr>
                <w:color w:val="000000" w:themeColor="text1"/>
              </w:rPr>
            </w:r>
            <w:r>
              <w:rPr>
                <w:color w:val="000000" w:themeColor="text1"/>
              </w:rPr>
            </w:r>
          </w:p>
        </w:tc>
        <w:tc>
          <w:tcPr>
            <w:tcBorders/>
            <w:tcW w:w="2160" w:type="dxa"/>
            <w:textDirection w:val="lrTb"/>
            <w:noWrap w:val="false"/>
          </w:tcPr>
          <w:p w14:paraId="45E00FB5">
            <w:pPr>
              <w:pBdr/>
              <w:spacing w:after="0" w:before="0" w:line="240" w:lineRule="auto"/>
              <w:ind/>
              <w:rPr>
                <w:color w:val="000000" w:themeColor="text1"/>
              </w:rPr>
            </w:pPr>
            <w:r>
              <w:rPr>
                <w:rFonts w:ascii="Arial" w:hAnsi="Arial" w:eastAsia="Arial" w:cs="Arial"/>
                <w:color w:val="000000" w:themeColor="text1"/>
                <w:sz w:val="21"/>
              </w:rPr>
              <w:t xml:space="preserve">Can hide minority severe-class failures if reported alone</w:t>
            </w:r>
            <w:r>
              <w:rPr>
                <w:color w:val="000000" w:themeColor="text1"/>
              </w:rPr>
            </w:r>
            <w:r>
              <w:rPr>
                <w:color w:val="000000" w:themeColor="text1"/>
              </w:rPr>
            </w:r>
          </w:p>
        </w:tc>
      </w:tr>
      <w:tr>
        <w:trPr/>
        <w:tc>
          <w:tcPr>
            <w:tcBorders/>
            <w:tcW w:w="2160" w:type="dxa"/>
            <w:textDirection w:val="lrTb"/>
            <w:noWrap w:val="false"/>
          </w:tcPr>
          <w:p w14:paraId="69B6B3F6">
            <w:pPr>
              <w:pBdr/>
              <w:spacing w:after="0" w:before="0" w:line="240" w:lineRule="auto"/>
              <w:ind/>
              <w:rPr>
                <w:color w:val="000000" w:themeColor="text1"/>
              </w:rPr>
            </w:pPr>
            <w:r>
              <w:rPr>
                <w:rFonts w:ascii="Arial" w:hAnsi="Arial" w:eastAsia="Arial" w:cs="Arial"/>
                <w:color w:val="000000" w:themeColor="text1"/>
                <w:sz w:val="21"/>
              </w:rPr>
              <w:t xml:space="preserve">Generative overlap</w:t>
            </w:r>
            <w:r>
              <w:rPr>
                <w:color w:val="000000" w:themeColor="text1"/>
              </w:rPr>
            </w:r>
            <w:r>
              <w:rPr>
                <w:color w:val="000000" w:themeColor="text1"/>
              </w:rPr>
            </w:r>
          </w:p>
        </w:tc>
        <w:tc>
          <w:tcPr>
            <w:tcBorders/>
            <w:tcW w:w="2160" w:type="dxa"/>
            <w:textDirection w:val="lrTb"/>
            <w:noWrap w:val="false"/>
          </w:tcPr>
          <w:p w14:paraId="7A379C7A">
            <w:pPr>
              <w:pBdr/>
              <w:spacing w:after="0" w:before="0" w:line="240" w:lineRule="auto"/>
              <w:ind/>
              <w:rPr>
                <w:color w:val="000000" w:themeColor="text1"/>
              </w:rPr>
            </w:pPr>
            <w:r>
              <w:rPr>
                <w:rFonts w:ascii="Arial" w:hAnsi="Arial" w:eastAsia="Arial" w:cs="Arial"/>
                <w:color w:val="000000" w:themeColor="text1"/>
                <w:sz w:val="21"/>
              </w:rPr>
              <w:t xml:space="preserve">BLEU, ROUGE-L, METEOR, ANLS, token-F1</w:t>
            </w:r>
            <w:r>
              <w:rPr>
                <w:color w:val="000000" w:themeColor="text1"/>
              </w:rPr>
            </w:r>
            <w:r>
              <w:rPr>
                <w:color w:val="000000" w:themeColor="text1"/>
              </w:rPr>
            </w:r>
          </w:p>
        </w:tc>
        <w:tc>
          <w:tcPr>
            <w:tcBorders/>
            <w:tcW w:w="2160" w:type="dxa"/>
            <w:textDirection w:val="lrTb"/>
            <w:noWrap w:val="false"/>
          </w:tcPr>
          <w:p w14:paraId="289D6FD9">
            <w:pPr>
              <w:pBdr/>
              <w:spacing w:after="0" w:before="0" w:line="240" w:lineRule="auto"/>
              <w:ind/>
              <w:rPr>
                <w:color w:val="000000" w:themeColor="text1"/>
              </w:rPr>
            </w:pPr>
            <w:r>
              <w:rPr>
                <w:rFonts w:ascii="Arial" w:hAnsi="Arial" w:eastAsia="Arial" w:cs="Arial"/>
                <w:color w:val="000000" w:themeColor="text1"/>
                <w:sz w:val="21"/>
              </w:rPr>
              <w:t xml:space="preserve">Text quality comparison</w:t>
            </w:r>
            <w:r>
              <w:rPr>
                <w:color w:val="000000" w:themeColor="text1"/>
              </w:rPr>
            </w:r>
            <w:r>
              <w:rPr>
                <w:color w:val="000000" w:themeColor="text1"/>
              </w:rPr>
            </w:r>
          </w:p>
        </w:tc>
        <w:tc>
          <w:tcPr>
            <w:tcBorders/>
            <w:tcW w:w="2160" w:type="dxa"/>
            <w:textDirection w:val="lrTb"/>
            <w:noWrap w:val="false"/>
          </w:tcPr>
          <w:p w14:paraId="352B194E">
            <w:pPr>
              <w:pBdr/>
              <w:spacing w:after="0" w:before="0" w:line="240" w:lineRule="auto"/>
              <w:ind/>
              <w:rPr>
                <w:color w:val="000000" w:themeColor="text1"/>
              </w:rPr>
            </w:pPr>
            <w:r>
              <w:rPr>
                <w:rFonts w:ascii="Arial" w:hAnsi="Arial" w:eastAsia="Arial" w:cs="Arial"/>
                <w:color w:val="000000" w:themeColor="text1"/>
                <w:sz w:val="21"/>
              </w:rPr>
              <w:t xml:space="preserve">Weak proxy for clinical correctness</w:t>
            </w:r>
            <w:r>
              <w:rPr>
                <w:color w:val="000000" w:themeColor="text1"/>
              </w:rPr>
            </w:r>
            <w:r>
              <w:rPr>
                <w:color w:val="000000" w:themeColor="text1"/>
              </w:rPr>
            </w:r>
          </w:p>
        </w:tc>
      </w:tr>
      <w:tr>
        <w:trPr/>
        <w:tc>
          <w:tcPr>
            <w:tcBorders/>
            <w:tcW w:w="2160" w:type="dxa"/>
            <w:textDirection w:val="lrTb"/>
            <w:noWrap w:val="false"/>
          </w:tcPr>
          <w:p w14:paraId="4FBF7B39">
            <w:pPr>
              <w:pBdr/>
              <w:spacing w:after="0" w:before="0" w:line="240" w:lineRule="auto"/>
              <w:ind/>
              <w:rPr>
                <w:color w:val="000000" w:themeColor="text1"/>
              </w:rPr>
            </w:pPr>
            <w:r>
              <w:rPr>
                <w:rFonts w:ascii="Arial" w:hAnsi="Arial" w:eastAsia="Arial" w:cs="Arial"/>
                <w:color w:val="000000" w:themeColor="text1"/>
                <w:sz w:val="21"/>
              </w:rPr>
              <w:t xml:space="preserve">Ordinal/severity</w:t>
            </w:r>
            <w:r>
              <w:rPr>
                <w:color w:val="000000" w:themeColor="text1"/>
              </w:rPr>
            </w:r>
            <w:r>
              <w:rPr>
                <w:color w:val="000000" w:themeColor="text1"/>
              </w:rPr>
            </w:r>
          </w:p>
        </w:tc>
        <w:tc>
          <w:tcPr>
            <w:tcBorders/>
            <w:tcW w:w="2160" w:type="dxa"/>
            <w:textDirection w:val="lrTb"/>
            <w:noWrap w:val="false"/>
          </w:tcPr>
          <w:p w14:paraId="4DA485AF">
            <w:pPr>
              <w:pBdr/>
              <w:spacing w:after="0" w:before="0" w:line="240" w:lineRule="auto"/>
              <w:ind/>
              <w:rPr>
                <w:color w:val="000000" w:themeColor="text1"/>
              </w:rPr>
            </w:pPr>
            <w:r>
              <w:rPr>
                <w:rFonts w:ascii="Arial" w:hAnsi="Arial" w:eastAsia="Arial" w:cs="Arial"/>
                <w:color w:val="000000" w:themeColor="text1"/>
                <w:sz w:val="21"/>
              </w:rPr>
              <w:t xml:space="preserve">QWK, MAE/RMSE over ordinal labels</w:t>
            </w:r>
            <w:r>
              <w:rPr>
                <w:color w:val="000000" w:themeColor="text1"/>
              </w:rPr>
            </w:r>
            <w:r>
              <w:rPr>
                <w:color w:val="000000" w:themeColor="text1"/>
              </w:rPr>
            </w:r>
          </w:p>
        </w:tc>
        <w:tc>
          <w:tcPr>
            <w:tcBorders/>
            <w:tcW w:w="2160" w:type="dxa"/>
            <w:textDirection w:val="lrTb"/>
            <w:noWrap w:val="false"/>
          </w:tcPr>
          <w:p w14:paraId="5A6DDE57">
            <w:pPr>
              <w:pBdr/>
              <w:spacing w:after="0" w:before="0" w:line="240" w:lineRule="auto"/>
              <w:ind/>
              <w:rPr>
                <w:color w:val="000000" w:themeColor="text1"/>
              </w:rPr>
            </w:pPr>
            <w:r>
              <w:rPr>
                <w:rFonts w:ascii="Arial" w:hAnsi="Arial" w:eastAsia="Arial" w:cs="Arial"/>
                <w:color w:val="000000" w:themeColor="text1"/>
                <w:sz w:val="21"/>
              </w:rPr>
              <w:t xml:space="preserve">Severity grading behavior</w:t>
            </w:r>
            <w:r>
              <w:rPr>
                <w:color w:val="000000" w:themeColor="text1"/>
              </w:rPr>
            </w:r>
            <w:r>
              <w:rPr>
                <w:color w:val="000000" w:themeColor="text1"/>
              </w:rPr>
            </w:r>
          </w:p>
        </w:tc>
        <w:tc>
          <w:tcPr>
            <w:tcBorders/>
            <w:tcW w:w="2160" w:type="dxa"/>
            <w:textDirection w:val="lrTb"/>
            <w:noWrap w:val="false"/>
          </w:tcPr>
          <w:p w14:paraId="0D279F57">
            <w:pPr>
              <w:pBdr/>
              <w:spacing w:after="0" w:before="0" w:line="240" w:lineRule="auto"/>
              <w:ind/>
              <w:rPr>
                <w:color w:val="000000" w:themeColor="text1"/>
              </w:rPr>
            </w:pPr>
            <w:r>
              <w:rPr>
                <w:rFonts w:ascii="Arial" w:hAnsi="Arial" w:eastAsia="Arial" w:cs="Arial"/>
                <w:color w:val="000000" w:themeColor="text1"/>
                <w:sz w:val="21"/>
              </w:rPr>
              <w:t xml:space="preserve">Not reported consistently across papers</w:t>
            </w:r>
            <w:r>
              <w:rPr>
                <w:color w:val="000000" w:themeColor="text1"/>
              </w:rPr>
            </w:r>
            <w:r>
              <w:rPr>
                <w:color w:val="000000" w:themeColor="text1"/>
              </w:rPr>
            </w:r>
          </w:p>
        </w:tc>
      </w:tr>
      <w:tr>
        <w:trPr/>
        <w:tc>
          <w:tcPr>
            <w:tcBorders/>
            <w:tcW w:w="2160" w:type="dxa"/>
            <w:textDirection w:val="lrTb"/>
            <w:noWrap w:val="false"/>
          </w:tcPr>
          <w:p w14:paraId="7BB3420C">
            <w:pPr>
              <w:pBdr/>
              <w:spacing w:after="0" w:before="0" w:line="240" w:lineRule="auto"/>
              <w:ind/>
              <w:rPr>
                <w:color w:val="000000" w:themeColor="text1"/>
              </w:rPr>
            </w:pPr>
            <w:r>
              <w:rPr>
                <w:rFonts w:ascii="Arial" w:hAnsi="Arial" w:eastAsia="Arial" w:cs="Arial"/>
                <w:color w:val="000000" w:themeColor="text1"/>
                <w:sz w:val="21"/>
              </w:rPr>
              <w:t xml:space="preserve">Calibration/uncertainty</w:t>
            </w:r>
            <w:r>
              <w:rPr>
                <w:color w:val="000000" w:themeColor="text1"/>
              </w:rPr>
            </w:r>
            <w:r>
              <w:rPr>
                <w:color w:val="000000" w:themeColor="text1"/>
              </w:rPr>
            </w:r>
          </w:p>
        </w:tc>
        <w:tc>
          <w:tcPr>
            <w:tcBorders/>
            <w:tcW w:w="2160" w:type="dxa"/>
            <w:textDirection w:val="lrTb"/>
            <w:noWrap w:val="false"/>
          </w:tcPr>
          <w:p w14:paraId="0DF28921">
            <w:pPr>
              <w:pBdr/>
              <w:spacing w:after="0" w:before="0" w:line="240" w:lineRule="auto"/>
              <w:ind/>
              <w:rPr>
                <w:color w:val="000000" w:themeColor="text1"/>
              </w:rPr>
            </w:pPr>
            <w:r>
              <w:rPr>
                <w:rFonts w:ascii="Arial" w:hAnsi="Arial" w:eastAsia="Arial" w:cs="Arial"/>
                <w:color w:val="000000" w:themeColor="text1"/>
                <w:sz w:val="21"/>
              </w:rPr>
              <w:t xml:space="preserve">ECE, reliability slices</w:t>
            </w:r>
            <w:r>
              <w:rPr>
                <w:color w:val="000000" w:themeColor="text1"/>
              </w:rPr>
            </w:r>
            <w:r>
              <w:rPr>
                <w:color w:val="000000" w:themeColor="text1"/>
              </w:rPr>
            </w:r>
          </w:p>
        </w:tc>
        <w:tc>
          <w:tcPr>
            <w:tcBorders/>
            <w:tcW w:w="2160" w:type="dxa"/>
            <w:textDirection w:val="lrTb"/>
            <w:noWrap w:val="false"/>
          </w:tcPr>
          <w:p w14:paraId="7DF74719">
            <w:pPr>
              <w:pBdr/>
              <w:spacing w:after="0" w:before="0" w:line="240" w:lineRule="auto"/>
              <w:ind/>
              <w:rPr>
                <w:color w:val="000000" w:themeColor="text1"/>
              </w:rPr>
            </w:pPr>
            <w:r>
              <w:rPr>
                <w:rFonts w:ascii="Arial" w:hAnsi="Arial" w:eastAsia="Arial" w:cs="Arial"/>
                <w:color w:val="000000" w:themeColor="text1"/>
                <w:sz w:val="21"/>
              </w:rPr>
              <w:t xml:space="preserve">Risk-aware deployment analysis</w:t>
            </w:r>
            <w:r>
              <w:rPr>
                <w:color w:val="000000" w:themeColor="text1"/>
              </w:rPr>
            </w:r>
            <w:r>
              <w:rPr>
                <w:color w:val="000000" w:themeColor="text1"/>
              </w:rPr>
            </w:r>
          </w:p>
        </w:tc>
        <w:tc>
          <w:tcPr>
            <w:tcBorders/>
            <w:tcW w:w="2160" w:type="dxa"/>
            <w:textDirection w:val="lrTb"/>
            <w:noWrap w:val="false"/>
          </w:tcPr>
          <w:p w14:paraId="17570E7B">
            <w:pPr>
              <w:pBdr/>
              <w:spacing w:after="0" w:before="0" w:line="240" w:lineRule="auto"/>
              <w:ind/>
              <w:rPr>
                <w:color w:val="000000" w:themeColor="text1"/>
              </w:rPr>
            </w:pPr>
            <w:r>
              <w:rPr>
                <w:rFonts w:ascii="Arial" w:hAnsi="Arial" w:eastAsia="Arial" w:cs="Arial"/>
                <w:color w:val="000000" w:themeColor="text1"/>
                <w:sz w:val="21"/>
              </w:rPr>
              <w:t xml:space="preserve">Still rare in MedVQA reporting</w:t>
            </w:r>
            <w:r>
              <w:rPr>
                <w:color w:val="000000" w:themeColor="text1"/>
              </w:rPr>
            </w:r>
            <w:r>
              <w:rPr>
                <w:color w:val="000000" w:themeColor="text1"/>
              </w:rPr>
            </w:r>
          </w:p>
        </w:tc>
      </w:tr>
      <w:tr>
        <w:trPr/>
        <w:tc>
          <w:tcPr>
            <w:tcBorders/>
            <w:tcW w:w="2160" w:type="dxa"/>
            <w:textDirection w:val="lrTb"/>
            <w:noWrap w:val="false"/>
          </w:tcPr>
          <w:p w14:paraId="5AFED250">
            <w:pPr>
              <w:pBdr/>
              <w:spacing w:after="0" w:before="0" w:line="240" w:lineRule="auto"/>
              <w:ind/>
              <w:rPr>
                <w:color w:val="000000" w:themeColor="text1"/>
              </w:rPr>
            </w:pPr>
            <w:r>
              <w:rPr>
                <w:rFonts w:ascii="Arial" w:hAnsi="Arial" w:eastAsia="Arial" w:cs="Arial"/>
                <w:color w:val="000000" w:themeColor="text1"/>
                <w:sz w:val="21"/>
              </w:rPr>
              <w:t xml:space="preserve">Statistical robustness</w:t>
            </w:r>
            <w:r>
              <w:rPr>
                <w:color w:val="000000" w:themeColor="text1"/>
              </w:rPr>
            </w:r>
            <w:r>
              <w:rPr>
                <w:color w:val="000000" w:themeColor="text1"/>
              </w:rPr>
            </w:r>
          </w:p>
        </w:tc>
        <w:tc>
          <w:tcPr>
            <w:tcBorders/>
            <w:tcW w:w="2160" w:type="dxa"/>
            <w:textDirection w:val="lrTb"/>
            <w:noWrap w:val="false"/>
          </w:tcPr>
          <w:p w14:paraId="693ACD02">
            <w:pPr>
              <w:pBdr/>
              <w:spacing w:after="0" w:before="0" w:line="240" w:lineRule="auto"/>
              <w:ind/>
              <w:rPr>
                <w:color w:val="000000" w:themeColor="text1"/>
              </w:rPr>
            </w:pPr>
            <w:r>
              <w:rPr>
                <w:rFonts w:ascii="Arial" w:hAnsi="Arial" w:eastAsia="Arial" w:cs="Arial"/>
                <w:color w:val="000000" w:themeColor="text1"/>
                <w:sz w:val="21"/>
              </w:rPr>
              <w:t xml:space="preserve">CIs, McNemar/paired tests</w:t>
            </w:r>
            <w:r>
              <w:rPr>
                <w:color w:val="000000" w:themeColor="text1"/>
              </w:rPr>
            </w:r>
            <w:r>
              <w:rPr>
                <w:color w:val="000000" w:themeColor="text1"/>
              </w:rPr>
            </w:r>
          </w:p>
        </w:tc>
        <w:tc>
          <w:tcPr>
            <w:tcBorders/>
            <w:tcW w:w="2160" w:type="dxa"/>
            <w:textDirection w:val="lrTb"/>
            <w:noWrap w:val="false"/>
          </w:tcPr>
          <w:p w14:paraId="53540D89">
            <w:pPr>
              <w:pBdr/>
              <w:spacing w:after="0" w:before="0" w:line="240" w:lineRule="auto"/>
              <w:ind/>
              <w:rPr>
                <w:color w:val="000000" w:themeColor="text1"/>
              </w:rPr>
            </w:pPr>
            <w:r>
              <w:rPr>
                <w:rFonts w:ascii="Arial" w:hAnsi="Arial" w:eastAsia="Arial" w:cs="Arial"/>
                <w:color w:val="000000" w:themeColor="text1"/>
                <w:sz w:val="21"/>
              </w:rPr>
              <w:t xml:space="preserve">Claim stability and significance</w:t>
            </w:r>
            <w:r>
              <w:rPr>
                <w:color w:val="000000" w:themeColor="text1"/>
              </w:rPr>
            </w:r>
            <w:r>
              <w:rPr>
                <w:color w:val="000000" w:themeColor="text1"/>
              </w:rPr>
            </w:r>
          </w:p>
        </w:tc>
        <w:tc>
          <w:tcPr>
            <w:tcBorders/>
            <w:tcW w:w="2160" w:type="dxa"/>
            <w:textDirection w:val="lrTb"/>
            <w:noWrap w:val="false"/>
          </w:tcPr>
          <w:p w14:paraId="256B9F7B">
            <w:pPr>
              <w:pBdr/>
              <w:spacing w:after="0" w:before="0" w:line="240" w:lineRule="auto"/>
              <w:ind/>
              <w:rPr>
                <w:color w:val="000000" w:themeColor="text1"/>
              </w:rPr>
            </w:pPr>
            <w:r>
              <w:rPr>
                <w:rFonts w:ascii="Arial" w:hAnsi="Arial" w:eastAsia="Arial" w:cs="Arial"/>
                <w:color w:val="000000" w:themeColor="text1"/>
                <w:sz w:val="21"/>
              </w:rPr>
              <w:t xml:space="preserve">Frequently missing in benchmark papers</w:t>
            </w:r>
            <w:r>
              <w:rPr>
                <w:color w:val="000000" w:themeColor="text1"/>
              </w:rPr>
            </w:r>
            <w:r>
              <w:rPr>
                <w:color w:val="000000" w:themeColor="text1"/>
              </w:rPr>
            </w:r>
          </w:p>
        </w:tc>
      </w:tr>
      <w:tr>
        <w:trPr/>
        <w:tc>
          <w:tcPr>
            <w:tcBorders/>
            <w:tcW w:w="2160" w:type="dxa"/>
            <w:textDirection w:val="lrTb"/>
            <w:noWrap w:val="false"/>
          </w:tcPr>
          <w:p w14:paraId="38907ECB">
            <w:pPr>
              <w:pBdr/>
              <w:spacing w:after="0" w:before="0" w:line="240" w:lineRule="auto"/>
              <w:ind/>
              <w:rPr>
                <w:color w:val="000000" w:themeColor="text1"/>
              </w:rPr>
            </w:pPr>
            <w:r>
              <w:rPr>
                <w:rFonts w:ascii="Arial" w:hAnsi="Arial" w:eastAsia="Arial" w:cs="Arial"/>
                <w:color w:val="000000" w:themeColor="text1"/>
                <w:sz w:val="21"/>
              </w:rPr>
              <w:t xml:space="preserve">Expert review / explainability</w:t>
            </w:r>
            <w:r>
              <w:rPr>
                <w:color w:val="000000" w:themeColor="text1"/>
              </w:rPr>
            </w:r>
            <w:r>
              <w:rPr>
                <w:color w:val="000000" w:themeColor="text1"/>
              </w:rPr>
            </w:r>
          </w:p>
        </w:tc>
        <w:tc>
          <w:tcPr>
            <w:tcBorders/>
            <w:tcW w:w="2160" w:type="dxa"/>
            <w:textDirection w:val="lrTb"/>
            <w:noWrap w:val="false"/>
          </w:tcPr>
          <w:p w14:paraId="13BCC17B">
            <w:pPr>
              <w:pBdr/>
              <w:spacing w:after="0" w:before="0" w:line="240" w:lineRule="auto"/>
              <w:ind/>
              <w:rPr>
                <w:color w:val="000000" w:themeColor="text1"/>
              </w:rPr>
            </w:pPr>
            <w:r>
              <w:rPr>
                <w:rFonts w:ascii="Arial" w:hAnsi="Arial" w:eastAsia="Arial" w:cs="Arial"/>
                <w:color w:val="000000" w:themeColor="text1"/>
                <w:sz w:val="21"/>
              </w:rPr>
              <w:t xml:space="preserve">Clinician relevance ratings, grounding checks</w:t>
            </w:r>
            <w:r>
              <w:rPr>
                <w:color w:val="000000" w:themeColor="text1"/>
              </w:rPr>
            </w:r>
            <w:r>
              <w:rPr>
                <w:color w:val="000000" w:themeColor="text1"/>
              </w:rPr>
            </w:r>
          </w:p>
        </w:tc>
        <w:tc>
          <w:tcPr>
            <w:tcBorders/>
            <w:tcW w:w="2160" w:type="dxa"/>
            <w:textDirection w:val="lrTb"/>
            <w:noWrap w:val="false"/>
          </w:tcPr>
          <w:p w14:paraId="79474FD0">
            <w:pPr>
              <w:pBdr/>
              <w:spacing w:after="0" w:before="0" w:line="240" w:lineRule="auto"/>
              <w:ind/>
              <w:rPr>
                <w:color w:val="000000" w:themeColor="text1"/>
              </w:rPr>
            </w:pPr>
            <w:r>
              <w:rPr>
                <w:rFonts w:ascii="Arial" w:hAnsi="Arial" w:eastAsia="Arial" w:cs="Arial"/>
                <w:color w:val="000000" w:themeColor="text1"/>
                <w:sz w:val="21"/>
              </w:rPr>
              <w:t xml:space="preserve">Clinical usability and trust</w:t>
            </w:r>
            <w:r>
              <w:rPr>
                <w:color w:val="000000" w:themeColor="text1"/>
              </w:rPr>
            </w:r>
            <w:r>
              <w:rPr>
                <w:color w:val="000000" w:themeColor="text1"/>
              </w:rPr>
            </w:r>
          </w:p>
        </w:tc>
        <w:tc>
          <w:tcPr>
            <w:tcBorders/>
            <w:tcW w:w="2160" w:type="dxa"/>
            <w:textDirection w:val="lrTb"/>
            <w:noWrap w:val="false"/>
          </w:tcPr>
          <w:p w14:paraId="290A133C">
            <w:pPr>
              <w:pBdr/>
              <w:spacing w:after="0" w:before="0" w:line="240" w:lineRule="auto"/>
              <w:ind/>
              <w:rPr>
                <w:color w:val="000000" w:themeColor="text1"/>
              </w:rPr>
            </w:pPr>
            <w:r>
              <w:rPr>
                <w:rFonts w:ascii="Arial" w:hAnsi="Arial" w:eastAsia="Arial" w:cs="Arial"/>
                <w:color w:val="000000" w:themeColor="text1"/>
                <w:sz w:val="21"/>
              </w:rPr>
              <w:t xml:space="preserve">Higher annotation effort, protocol variability</w:t>
            </w:r>
            <w:r>
              <w:rPr>
                <w:color w:val="000000" w:themeColor="text1"/>
              </w:rPr>
            </w:r>
            <w:r>
              <w:rPr>
                <w:color w:val="000000" w:themeColor="text1"/>
              </w:rPr>
            </w:r>
          </w:p>
        </w:tc>
      </w:tr>
    </w:tbl>
    <w:p w14:paraId="2FB4A3C9">
      <w:pPr>
        <w:pStyle w:val="1128"/>
        <w:suppressLineNumbers w:val="false"/>
        <w:pBdr/>
        <w:spacing w:after="240" w:afterAutospacing="0" w:before="240" w:beforeAutospacing="0" w:line="300" w:lineRule="auto"/>
        <w:ind w:right="0" w:firstLine="810" w:left="0"/>
        <w:rPr>
          <w:b/>
          <w:bCs/>
          <w:sz w:val="28"/>
          <w:szCs w:val="28"/>
          <w:highlight w:val="none"/>
        </w:rPr>
      </w:pPr>
      <w:r>
        <w:rPr>
          <w:rFonts w:ascii="Arial" w:hAnsi="Arial" w:eastAsia="Arial" w:cs="Arial"/>
          <w:b/>
          <w:bCs/>
          <w:i w:val="0"/>
          <w:caps w:val="0"/>
          <w:smallCaps w:val="0"/>
          <w:color w:val="000000" w:themeColor="text1" w:themeTint="FF" w:themeShade="FF"/>
          <w:sz w:val="28"/>
          <w:szCs w:val="28"/>
          <w:highlight w:val="none"/>
        </w:rPr>
      </w:r>
      <w:r>
        <mc:AlternateContent>
          <mc:Choice Requires="wpg">
            <w:drawing>
              <wp:inline xmlns:wp="http://schemas.openxmlformats.org/drawingml/2006/wordprocessingDrawing" distT="0" distB="0" distL="0" distR="0">
                <wp:extent cx="4324350" cy="7019925"/>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097797" name=""/>
                        <pic:cNvPicPr>
                          <a:picLocks noChangeAspect="1"/>
                        </pic:cNvPicPr>
                        <pic:nvPr/>
                      </pic:nvPicPr>
                      <pic:blipFill rotWithShape="1">
                        <a:blip r:embed="rId14"/>
                        <a:stretch/>
                      </pic:blipFill>
                      <pic:spPr bwMode="auto">
                        <a:xfrm>
                          <a:off x="0" y="0"/>
                          <a:ext cx="4324349" cy="70199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340.50pt;height:552.75pt;mso-wrap-distance-left:0.00pt;mso-wrap-distance-top:0.00pt;mso-wrap-distance-right:0.00pt;mso-wrap-distance-bottom:0.00pt;z-index:1;" stroked="false">
                <v:imagedata r:id="rId14" o:title=""/>
                <o:lock v:ext="edit" rotation="t"/>
              </v:shape>
            </w:pict>
          </mc:Fallback>
        </mc:AlternateContent>
      </w:r>
      <w:r>
        <w:rPr>
          <w:b/>
          <w:bCs/>
          <w:sz w:val="28"/>
          <w:szCs w:val="28"/>
          <w:highlight w:val="none"/>
        </w:rPr>
      </w:r>
      <w:r>
        <w:rPr>
          <w:b/>
          <w:bCs/>
          <w:sz w:val="28"/>
          <w:szCs w:val="28"/>
          <w:highlight w:val="none"/>
        </w:rPr>
      </w:r>
    </w:p>
    <w:p w14:paraId="492ED957">
      <w:pPr>
        <w:pStyle w:val="1128"/>
        <w:suppressLineNumbers w:val="false"/>
        <w:pBdr/>
        <w:spacing w:after="240" w:afterAutospacing="0" w:before="240" w:beforeAutospacing="0" w:line="300" w:lineRule="auto"/>
        <w:ind w:firstLine="0"/>
        <w:rPr>
          <w:b w:val="0"/>
          <w:bCs/>
          <w:i/>
          <w:sz w:val="22"/>
          <w:szCs w:val="22"/>
        </w:rPr>
      </w:pPr>
      <w:r>
        <w:rPr>
          <w:b w:val="0"/>
          <w:bCs w:val="0"/>
          <w:i/>
          <w:iCs/>
          <w:sz w:val="22"/>
          <w:szCs w:val="22"/>
          <w:lang w:val="en-US"/>
        </w:rPr>
        <w:t xml:space="preserve"> </w:t>
        <w:tab/>
        <w:tab/>
      </w:r>
      <w:r>
        <w:rPr>
          <w:b w:val="0"/>
          <w:bCs w:val="0"/>
          <w:i/>
          <w:iCs/>
          <w:sz w:val="22"/>
          <w:szCs w:val="22"/>
          <w:lang w:val="en-US"/>
        </w:rPr>
        <w:t xml:space="preserve">Figure 2.1: Hybrid Decision Support Routing Diagram</w:t>
      </w:r>
      <w:r>
        <w:rPr>
          <w:b w:val="0"/>
          <w:bCs/>
          <w:i/>
          <w:sz w:val="22"/>
          <w:szCs w:val="22"/>
        </w:rPr>
      </w:r>
      <w:r>
        <w:rPr>
          <w:b w:val="0"/>
          <w:bCs/>
          <w:i/>
          <w:sz w:val="22"/>
          <w:szCs w:val="22"/>
        </w:rPr>
      </w:r>
    </w:p>
    <w:p w14:paraId="05315A0F">
      <w:pPr>
        <w:pStyle w:val="1128"/>
        <w:suppressLineNumbers w:val="false"/>
        <w:pBdr/>
        <w:spacing w:after="240" w:afterAutospacing="0" w:before="240" w:beforeAutospacing="0" w:line="300" w:lineRule="auto"/>
        <w:ind w:firstLine="0"/>
        <w:rPr>
          <w:b/>
          <w:bCs/>
          <w:sz w:val="28"/>
          <w:szCs w:val="28"/>
        </w:rPr>
      </w:pPr>
      <w:r>
        <w:rPr>
          <w:b/>
          <w:bCs/>
          <w:sz w:val="28"/>
          <w:szCs w:val="28"/>
        </w:rPr>
      </w:r>
      <w:r>
        <w:rPr>
          <w:b/>
          <w:bCs/>
          <w:sz w:val="28"/>
          <w:szCs w:val="28"/>
        </w:rPr>
      </w:r>
      <w:r>
        <w:rPr>
          <w:b/>
          <w:bCs/>
          <w:sz w:val="28"/>
          <w:szCs w:val="28"/>
        </w:rPr>
      </w:r>
    </w:p>
    <w:p w14:paraId="4BE9E4EC">
      <w:pPr>
        <w:pStyle w:val="1128"/>
        <w:suppressLineNumbers w:val="false"/>
        <w:pBdr/>
        <w:spacing w:after="240" w:afterAutospacing="0" w:before="240" w:beforeAutospacing="0" w:line="300" w:lineRule="auto"/>
        <w:ind w:firstLine="0"/>
        <w:rPr>
          <w:b/>
          <w:bCs/>
          <w:sz w:val="28"/>
          <w:szCs w:val="28"/>
        </w:rPr>
      </w:pPr>
      <w:r>
        <w:rPr>
          <w:b/>
          <w:bCs/>
          <w:sz w:val="28"/>
          <w:szCs w:val="28"/>
          <w:highlight w:val="none"/>
        </w:rPr>
      </w:r>
      <w:r>
        <w:rPr>
          <w:b/>
          <w:bCs/>
          <w:sz w:val="28"/>
          <w:szCs w:val="28"/>
        </w:rPr>
      </w:r>
      <w:r>
        <w:rPr>
          <w:b/>
          <w:bCs/>
          <w:sz w:val="28"/>
          <w:szCs w:val="28"/>
        </w:rPr>
      </w:r>
    </w:p>
    <w:p w14:paraId="320AB516">
      <w:pPr>
        <w:pStyle w:val="1128"/>
        <w:suppressLineNumbers w:val="false"/>
        <w:pBdr/>
        <w:spacing w:after="240" w:afterAutospacing="0" w:before="240" w:beforeAutospacing="0" w:line="300" w:lineRule="auto"/>
        <w:ind w:firstLine="0"/>
        <w:rPr>
          <w:rFonts w:ascii="Arial" w:hAnsi="Arial" w:eastAsia="Arial" w:cs="Arial"/>
          <w:b/>
          <w:bCs w:val="0"/>
          <w:i w:val="0"/>
          <w:caps w:val="0"/>
          <w:smallCaps w:val="0"/>
          <w:color w:val="000000" w:themeColor="text1" w:themeTint="FF" w:themeShade="FF"/>
          <w:sz w:val="28"/>
          <w:szCs w:val="28"/>
          <w:highlight w:val="none"/>
        </w:rPr>
      </w:pPr>
      <w:r>
        <w:rPr>
          <w:rFonts w:ascii="Arial" w:hAnsi="Arial" w:eastAsia="Arial" w:cs="Arial"/>
          <w:b/>
          <w:bCs/>
          <w:i w:val="0"/>
          <w:caps w:val="0"/>
          <w:smallCaps w:val="0"/>
          <w:color w:val="000000" w:themeColor="text1" w:themeTint="FF" w:themeShade="FF"/>
          <w:sz w:val="28"/>
          <w:szCs w:val="28"/>
        </w:rPr>
        <w:t xml:space="preserve">2.7 Scenario-Oriented Technique Suitability for Colonoscopy</w:t>
      </w:r>
      <w:r>
        <w:rPr>
          <w:rFonts w:ascii="Arial" w:hAnsi="Arial" w:eastAsia="Arial" w:cs="Arial"/>
          <w:b/>
          <w:bCs w:val="0"/>
          <w:i w:val="0"/>
          <w:caps w:val="0"/>
          <w:smallCaps w:val="0"/>
          <w:color w:val="000000" w:themeColor="text1" w:themeTint="FF" w:themeShade="FF"/>
          <w:sz w:val="28"/>
          <w:szCs w:val="28"/>
          <w:highlight w:val="none"/>
        </w:rPr>
      </w:r>
      <w:r>
        <w:rPr>
          <w:rFonts w:ascii="Arial" w:hAnsi="Arial" w:eastAsia="Arial" w:cs="Arial"/>
          <w:b/>
          <w:bCs w:val="0"/>
          <w:i w:val="0"/>
          <w:caps w:val="0"/>
          <w:smallCaps w:val="0"/>
          <w:color w:val="000000" w:themeColor="text1" w:themeTint="FF" w:themeShade="FF"/>
          <w:sz w:val="28"/>
          <w:szCs w:val="28"/>
          <w:highlight w:val="none"/>
        </w:rPr>
      </w:r>
    </w:p>
    <w:p w14:paraId="16EE40D0">
      <w:pPr>
        <w:pStyle w:val="1128"/>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highlight w:val="none"/>
        </w:rPr>
      </w:pPr>
      <w:r>
        <w:rPr>
          <w:rFonts w:ascii="Arial" w:hAnsi="Arial" w:eastAsia="Arial" w:cs="Arial"/>
          <w:b w:val="0"/>
          <w:bCs w:val="0"/>
          <w:i w:val="0"/>
          <w:caps w:val="0"/>
          <w:smallCaps w:val="0"/>
          <w:color w:val="000000" w:themeColor="text1" w:themeTint="FF" w:themeShade="FF"/>
          <w:sz w:val="22"/>
          <w:szCs w:val="22"/>
        </w:rPr>
        <w:t xml:space="preserve">A clinically useful survey should map model families to concrete clinical scenarios.</w:t>
      </w:r>
      <w:r>
        <w:rPr>
          <w:rFonts w:ascii="Arial" w:hAnsi="Arial" w:eastAsia="Arial" w:cs="Arial"/>
          <w:b w:val="0"/>
          <w:bCs w:val="0"/>
          <w:i w:val="0"/>
          <w:caps w:val="0"/>
          <w:smallCaps w:val="0"/>
          <w:color w:val="000000" w:themeColor="text1" w:themeTint="FF" w:themeShade="FF"/>
          <w:sz w:val="22"/>
          <w:szCs w:val="22"/>
          <w:highlight w:val="none"/>
        </w:rPr>
      </w:r>
      <w:r>
        <w:rPr>
          <w:rFonts w:ascii="Arial" w:hAnsi="Arial" w:eastAsia="Arial" w:cs="Arial"/>
          <w:b w:val="0"/>
          <w:bCs w:val="0"/>
          <w:i w:val="0"/>
          <w:caps w:val="0"/>
          <w:smallCaps w:val="0"/>
          <w:color w:val="000000" w:themeColor="text1" w:themeTint="FF" w:themeShade="FF"/>
          <w:sz w:val="22"/>
          <w:szCs w:val="22"/>
          <w:highlight w:val="none"/>
        </w:rPr>
      </w:r>
    </w:p>
    <w:tbl>
      <w:tblPr>
        <w:tblStyle w:val="1185"/>
        <w:tblW w:w="0" w:type="auto"/>
        <w:tblBorders/>
        <w:tblLook w:val="04A0" w:firstRow="1" w:lastRow="0" w:firstColumn="1" w:lastColumn="0" w:noHBand="0" w:noVBand="1"/>
      </w:tblPr>
      <w:tblGrid>
        <w:gridCol w:w="2160"/>
        <w:gridCol w:w="2160"/>
        <w:gridCol w:w="2160"/>
        <w:gridCol w:w="2160"/>
      </w:tblGrid>
      <w:tr>
        <w:trPr/>
        <w:tc>
          <w:tcPr>
            <w:tcBorders/>
            <w:tcW w:w="2160" w:type="dxa"/>
            <w:textDirection w:val="lrTb"/>
            <w:noWrap w:val="false"/>
          </w:tcPr>
          <w:p w14:paraId="70BE7839">
            <w:pPr>
              <w:pBdr/>
              <w:spacing w:after="0" w:before="0" w:line="240" w:lineRule="auto"/>
              <w:ind/>
              <w:rPr>
                <w:color w:val="000000" w:themeColor="text1"/>
              </w:rPr>
            </w:pPr>
            <w:r>
              <w:rPr>
                <w:rFonts w:ascii="Arial" w:hAnsi="Arial" w:eastAsia="Arial" w:cs="Arial"/>
                <w:b/>
                <w:color w:val="000000" w:themeColor="text1"/>
                <w:sz w:val="21"/>
              </w:rPr>
              <w:t xml:space="preserve">Colonoscopy scenario</w:t>
            </w:r>
            <w:r>
              <w:rPr>
                <w:color w:val="000000" w:themeColor="text1"/>
              </w:rPr>
            </w:r>
            <w:r>
              <w:rPr>
                <w:color w:val="000000" w:themeColor="text1"/>
              </w:rPr>
            </w:r>
          </w:p>
        </w:tc>
        <w:tc>
          <w:tcPr>
            <w:tcBorders/>
            <w:tcW w:w="2160" w:type="dxa"/>
            <w:textDirection w:val="lrTb"/>
            <w:noWrap w:val="false"/>
          </w:tcPr>
          <w:p w14:paraId="43EADFE2">
            <w:pPr>
              <w:pBdr/>
              <w:spacing w:after="0" w:before="0" w:line="240" w:lineRule="auto"/>
              <w:ind/>
              <w:rPr>
                <w:color w:val="000000" w:themeColor="text1"/>
              </w:rPr>
            </w:pPr>
            <w:r>
              <w:rPr>
                <w:rFonts w:ascii="Arial" w:hAnsi="Arial" w:eastAsia="Arial" w:cs="Arial"/>
                <w:b/>
                <w:color w:val="000000" w:themeColor="text1"/>
                <w:sz w:val="21"/>
              </w:rPr>
              <w:t xml:space="preserve">Dominant question type</w:t>
            </w:r>
            <w:r>
              <w:rPr>
                <w:color w:val="000000" w:themeColor="text1"/>
              </w:rPr>
            </w:r>
            <w:r>
              <w:rPr>
                <w:color w:val="000000" w:themeColor="text1"/>
              </w:rPr>
            </w:r>
          </w:p>
        </w:tc>
        <w:tc>
          <w:tcPr>
            <w:tcBorders/>
            <w:tcW w:w="2160" w:type="dxa"/>
            <w:textDirection w:val="lrTb"/>
            <w:noWrap w:val="false"/>
          </w:tcPr>
          <w:p w14:paraId="4007C733">
            <w:pPr>
              <w:pBdr/>
              <w:spacing w:after="0" w:before="0" w:line="240" w:lineRule="auto"/>
              <w:ind/>
              <w:rPr>
                <w:color w:val="000000" w:themeColor="text1"/>
              </w:rPr>
            </w:pPr>
            <w:r>
              <w:rPr>
                <w:rFonts w:ascii="Arial" w:hAnsi="Arial" w:eastAsia="Arial" w:cs="Arial"/>
                <w:b/>
                <w:color w:val="000000" w:themeColor="text1"/>
                <w:sz w:val="21"/>
              </w:rPr>
              <w:t xml:space="preserve">Preferred method profile</w:t>
            </w:r>
            <w:r>
              <w:rPr>
                <w:color w:val="000000" w:themeColor="text1"/>
              </w:rPr>
            </w:r>
            <w:r>
              <w:rPr>
                <w:color w:val="000000" w:themeColor="text1"/>
              </w:rPr>
            </w:r>
          </w:p>
        </w:tc>
        <w:tc>
          <w:tcPr>
            <w:tcBorders/>
            <w:tcW w:w="2160" w:type="dxa"/>
            <w:textDirection w:val="lrTb"/>
            <w:noWrap w:val="false"/>
          </w:tcPr>
          <w:p w14:paraId="39B2A421">
            <w:pPr>
              <w:pBdr/>
              <w:spacing w:after="0" w:before="0" w:line="240" w:lineRule="auto"/>
              <w:ind/>
              <w:rPr>
                <w:color w:val="000000" w:themeColor="text1"/>
              </w:rPr>
            </w:pPr>
            <w:r>
              <w:rPr>
                <w:rFonts w:ascii="Arial" w:hAnsi="Arial" w:eastAsia="Arial" w:cs="Arial"/>
                <w:b/>
                <w:color w:val="000000" w:themeColor="text1"/>
                <w:sz w:val="21"/>
              </w:rPr>
              <w:t xml:space="preserve">Reason</w:t>
            </w:r>
            <w:r>
              <w:rPr>
                <w:color w:val="000000" w:themeColor="text1"/>
              </w:rPr>
            </w:r>
            <w:r>
              <w:rPr>
                <w:color w:val="000000" w:themeColor="text1"/>
              </w:rPr>
            </w:r>
          </w:p>
        </w:tc>
      </w:tr>
      <w:tr>
        <w:trPr/>
        <w:tc>
          <w:tcPr>
            <w:tcBorders/>
            <w:tcW w:w="2160" w:type="dxa"/>
            <w:textDirection w:val="lrTb"/>
            <w:noWrap w:val="false"/>
          </w:tcPr>
          <w:p w14:paraId="0C8AD04D">
            <w:pPr>
              <w:pBdr/>
              <w:spacing w:after="0" w:before="0" w:line="240" w:lineRule="auto"/>
              <w:ind/>
              <w:rPr>
                <w:color w:val="000000" w:themeColor="text1"/>
              </w:rPr>
            </w:pPr>
            <w:r>
              <w:rPr>
                <w:rFonts w:ascii="Arial" w:hAnsi="Arial" w:eastAsia="Arial" w:cs="Arial"/>
                <w:color w:val="000000" w:themeColor="text1"/>
                <w:sz w:val="21"/>
              </w:rPr>
              <w:t xml:space="preserve">Finding presence/absence</w:t>
            </w:r>
            <w:r>
              <w:rPr>
                <w:color w:val="000000" w:themeColor="text1"/>
              </w:rPr>
            </w:r>
            <w:r>
              <w:rPr>
                <w:color w:val="000000" w:themeColor="text1"/>
              </w:rPr>
            </w:r>
          </w:p>
        </w:tc>
        <w:tc>
          <w:tcPr>
            <w:tcBorders/>
            <w:tcW w:w="2160" w:type="dxa"/>
            <w:textDirection w:val="lrTb"/>
            <w:noWrap w:val="false"/>
          </w:tcPr>
          <w:p w14:paraId="220F3AA5">
            <w:pPr>
              <w:pBdr/>
              <w:spacing w:after="0" w:before="0" w:line="240" w:lineRule="auto"/>
              <w:ind/>
              <w:rPr>
                <w:color w:val="000000" w:themeColor="text1"/>
              </w:rPr>
            </w:pPr>
            <w:r>
              <w:rPr>
                <w:rFonts w:ascii="Arial" w:hAnsi="Arial" w:eastAsia="Arial" w:cs="Arial"/>
                <w:color w:val="000000" w:themeColor="text1"/>
                <w:sz w:val="21"/>
              </w:rPr>
              <w:t xml:space="preserve">Binary</w:t>
            </w:r>
            <w:r>
              <w:rPr>
                <w:color w:val="000000" w:themeColor="text1"/>
              </w:rPr>
            </w:r>
            <w:r>
              <w:rPr>
                <w:color w:val="000000" w:themeColor="text1"/>
              </w:rPr>
            </w:r>
          </w:p>
        </w:tc>
        <w:tc>
          <w:tcPr>
            <w:tcBorders/>
            <w:tcW w:w="2160" w:type="dxa"/>
            <w:textDirection w:val="lrTb"/>
            <w:noWrap w:val="false"/>
          </w:tcPr>
          <w:p w14:paraId="3C0A61DD">
            <w:pPr>
              <w:pBdr/>
              <w:spacing w:after="0" w:before="0" w:line="240" w:lineRule="auto"/>
              <w:ind/>
              <w:rPr>
                <w:color w:val="000000" w:themeColor="text1"/>
              </w:rPr>
            </w:pPr>
            <w:r>
              <w:rPr>
                <w:rFonts w:ascii="Arial" w:hAnsi="Arial" w:eastAsia="Arial" w:cs="Arial"/>
                <w:color w:val="000000" w:themeColor="text1"/>
                <w:sz w:val="21"/>
              </w:rPr>
              <w:t xml:space="preserve">Constrained discriminative or transformer classifier</w:t>
            </w:r>
            <w:r>
              <w:rPr>
                <w:color w:val="000000" w:themeColor="text1"/>
              </w:rPr>
            </w:r>
            <w:r>
              <w:rPr>
                <w:color w:val="000000" w:themeColor="text1"/>
              </w:rPr>
            </w:r>
          </w:p>
        </w:tc>
        <w:tc>
          <w:tcPr>
            <w:tcBorders/>
            <w:tcW w:w="2160" w:type="dxa"/>
            <w:textDirection w:val="lrTb"/>
            <w:noWrap w:val="false"/>
          </w:tcPr>
          <w:p w14:paraId="326A4C48">
            <w:pPr>
              <w:pBdr/>
              <w:spacing w:after="0" w:before="0" w:line="240" w:lineRule="auto"/>
              <w:ind/>
              <w:rPr>
                <w:color w:val="000000" w:themeColor="text1"/>
              </w:rPr>
            </w:pPr>
            <w:r>
              <w:rPr>
                <w:rFonts w:ascii="Arial" w:hAnsi="Arial" w:eastAsia="Arial" w:cs="Arial"/>
                <w:color w:val="000000" w:themeColor="text1"/>
                <w:sz w:val="21"/>
              </w:rPr>
              <w:t xml:space="preserve">Stable labels, high reliability requirements</w:t>
            </w:r>
            <w:r>
              <w:rPr>
                <w:color w:val="000000" w:themeColor="text1"/>
              </w:rPr>
            </w:r>
            <w:r>
              <w:rPr>
                <w:color w:val="000000" w:themeColor="text1"/>
              </w:rPr>
            </w:r>
          </w:p>
        </w:tc>
      </w:tr>
      <w:tr>
        <w:trPr/>
        <w:tc>
          <w:tcPr>
            <w:tcBorders/>
            <w:tcW w:w="2160" w:type="dxa"/>
            <w:textDirection w:val="lrTb"/>
            <w:noWrap w:val="false"/>
          </w:tcPr>
          <w:p w14:paraId="6FA8346F">
            <w:pPr>
              <w:pBdr/>
              <w:spacing w:after="0" w:before="0" w:line="240" w:lineRule="auto"/>
              <w:ind/>
              <w:rPr>
                <w:color w:val="000000" w:themeColor="text1"/>
              </w:rPr>
            </w:pPr>
            <w:r>
              <w:rPr>
                <w:rFonts w:ascii="Arial" w:hAnsi="Arial" w:eastAsia="Arial" w:cs="Arial"/>
                <w:color w:val="000000" w:themeColor="text1"/>
                <w:sz w:val="21"/>
              </w:rPr>
              <w:t xml:space="preserve">Counting findings/instruments</w:t>
            </w:r>
            <w:r>
              <w:rPr>
                <w:color w:val="000000" w:themeColor="text1"/>
              </w:rPr>
            </w:r>
            <w:r>
              <w:rPr>
                <w:color w:val="000000" w:themeColor="text1"/>
              </w:rPr>
            </w:r>
          </w:p>
        </w:tc>
        <w:tc>
          <w:tcPr>
            <w:tcBorders/>
            <w:tcW w:w="2160" w:type="dxa"/>
            <w:textDirection w:val="lrTb"/>
            <w:noWrap w:val="false"/>
          </w:tcPr>
          <w:p w14:paraId="57BE367B">
            <w:pPr>
              <w:pBdr/>
              <w:spacing w:after="0" w:before="0" w:line="240" w:lineRule="auto"/>
              <w:ind/>
              <w:rPr>
                <w:color w:val="000000" w:themeColor="text1"/>
              </w:rPr>
            </w:pPr>
            <w:r>
              <w:rPr>
                <w:rFonts w:ascii="Arial" w:hAnsi="Arial" w:eastAsia="Arial" w:cs="Arial"/>
                <w:color w:val="000000" w:themeColor="text1"/>
                <w:sz w:val="21"/>
              </w:rPr>
              <w:t xml:space="preserve">Count + structured category</w:t>
            </w:r>
            <w:r>
              <w:rPr>
                <w:color w:val="000000" w:themeColor="text1"/>
              </w:rPr>
            </w:r>
            <w:r>
              <w:rPr>
                <w:color w:val="000000" w:themeColor="text1"/>
              </w:rPr>
            </w:r>
          </w:p>
        </w:tc>
        <w:tc>
          <w:tcPr>
            <w:tcBorders/>
            <w:tcW w:w="2160" w:type="dxa"/>
            <w:textDirection w:val="lrTb"/>
            <w:noWrap w:val="false"/>
          </w:tcPr>
          <w:p w14:paraId="6EFCB403">
            <w:pPr>
              <w:pBdr/>
              <w:spacing w:after="0" w:before="0" w:line="240" w:lineRule="auto"/>
              <w:ind/>
              <w:rPr>
                <w:color w:val="000000" w:themeColor="text1"/>
              </w:rPr>
            </w:pPr>
            <w:r>
              <w:rPr>
                <w:rFonts w:ascii="Arial" w:hAnsi="Arial" w:eastAsia="Arial" w:cs="Arial"/>
                <w:color w:val="000000" w:themeColor="text1"/>
                <w:sz w:val="21"/>
              </w:rPr>
              <w:t xml:space="preserve">Transformer with constrained decoding</w:t>
            </w:r>
            <w:r>
              <w:rPr>
                <w:color w:val="000000" w:themeColor="text1"/>
              </w:rPr>
            </w:r>
            <w:r>
              <w:rPr>
                <w:color w:val="000000" w:themeColor="text1"/>
              </w:rPr>
            </w:r>
          </w:p>
        </w:tc>
        <w:tc>
          <w:tcPr>
            <w:tcBorders/>
            <w:tcW w:w="2160" w:type="dxa"/>
            <w:textDirection w:val="lrTb"/>
            <w:noWrap w:val="false"/>
          </w:tcPr>
          <w:p w14:paraId="0C473FD4">
            <w:pPr>
              <w:pBdr/>
              <w:spacing w:after="0" w:before="0" w:line="240" w:lineRule="auto"/>
              <w:ind/>
              <w:rPr>
                <w:color w:val="000000" w:themeColor="text1"/>
              </w:rPr>
            </w:pPr>
            <w:r>
              <w:rPr>
                <w:rFonts w:ascii="Arial" w:hAnsi="Arial" w:eastAsia="Arial" w:cs="Arial"/>
                <w:color w:val="000000" w:themeColor="text1"/>
                <w:sz w:val="21"/>
              </w:rPr>
              <w:t xml:space="preserve">Better visual alignment than shallow fusion</w:t>
            </w:r>
            <w:r>
              <w:rPr>
                <w:color w:val="000000" w:themeColor="text1"/>
              </w:rPr>
            </w:r>
            <w:r>
              <w:rPr>
                <w:color w:val="000000" w:themeColor="text1"/>
              </w:rPr>
            </w:r>
          </w:p>
        </w:tc>
      </w:tr>
      <w:tr>
        <w:trPr/>
        <w:tc>
          <w:tcPr>
            <w:tcBorders/>
            <w:tcW w:w="2160" w:type="dxa"/>
            <w:textDirection w:val="lrTb"/>
            <w:noWrap w:val="false"/>
          </w:tcPr>
          <w:p w14:paraId="6D53ED7E">
            <w:pPr>
              <w:pBdr/>
              <w:spacing w:after="0" w:before="0" w:line="240" w:lineRule="auto"/>
              <w:ind/>
              <w:rPr>
                <w:color w:val="000000" w:themeColor="text1"/>
              </w:rPr>
            </w:pPr>
            <w:r>
              <w:rPr>
                <w:rFonts w:ascii="Arial" w:hAnsi="Arial" w:eastAsia="Arial" w:cs="Arial"/>
                <w:color w:val="000000" w:themeColor="text1"/>
                <w:sz w:val="21"/>
              </w:rPr>
              <w:t xml:space="preserve">Lesion location description</w:t>
            </w:r>
            <w:r>
              <w:rPr>
                <w:color w:val="000000" w:themeColor="text1"/>
              </w:rPr>
            </w:r>
            <w:r>
              <w:rPr>
                <w:color w:val="000000" w:themeColor="text1"/>
              </w:rPr>
            </w:r>
          </w:p>
        </w:tc>
        <w:tc>
          <w:tcPr>
            <w:tcBorders/>
            <w:tcW w:w="2160" w:type="dxa"/>
            <w:textDirection w:val="lrTb"/>
            <w:noWrap w:val="false"/>
          </w:tcPr>
          <w:p w14:paraId="4EAC14A6">
            <w:pPr>
              <w:pBdr/>
              <w:spacing w:after="0" w:before="0" w:line="240" w:lineRule="auto"/>
              <w:ind/>
              <w:rPr>
                <w:color w:val="000000" w:themeColor="text1"/>
              </w:rPr>
            </w:pPr>
            <w:r>
              <w:rPr>
                <w:rFonts w:ascii="Arial" w:hAnsi="Arial" w:eastAsia="Arial" w:cs="Arial"/>
                <w:color w:val="000000" w:themeColor="text1"/>
                <w:sz w:val="21"/>
              </w:rPr>
              <w:t xml:space="preserve">Spatial text/category</w:t>
            </w:r>
            <w:r>
              <w:rPr>
                <w:color w:val="000000" w:themeColor="text1"/>
              </w:rPr>
            </w:r>
            <w:r>
              <w:rPr>
                <w:color w:val="000000" w:themeColor="text1"/>
              </w:rPr>
            </w:r>
          </w:p>
        </w:tc>
        <w:tc>
          <w:tcPr>
            <w:tcBorders/>
            <w:tcW w:w="2160" w:type="dxa"/>
            <w:textDirection w:val="lrTb"/>
            <w:noWrap w:val="false"/>
          </w:tcPr>
          <w:p w14:paraId="34413069">
            <w:pPr>
              <w:pBdr/>
              <w:spacing w:after="0" w:before="0" w:line="240" w:lineRule="auto"/>
              <w:ind/>
              <w:rPr>
                <w:color w:val="000000" w:themeColor="text1"/>
              </w:rPr>
            </w:pPr>
            <w:r>
              <w:rPr>
                <w:rFonts w:ascii="Arial" w:hAnsi="Arial" w:eastAsia="Arial" w:cs="Arial"/>
                <w:color w:val="000000" w:themeColor="text1"/>
                <w:sz w:val="21"/>
              </w:rPr>
              <w:t xml:space="preserve">Transformer + localization-aware head</w:t>
            </w:r>
            <w:r>
              <w:rPr>
                <w:color w:val="000000" w:themeColor="text1"/>
              </w:rPr>
            </w:r>
            <w:r>
              <w:rPr>
                <w:color w:val="000000" w:themeColor="text1"/>
              </w:rPr>
            </w:r>
          </w:p>
        </w:tc>
        <w:tc>
          <w:tcPr>
            <w:tcBorders/>
            <w:tcW w:w="2160" w:type="dxa"/>
            <w:textDirection w:val="lrTb"/>
            <w:noWrap w:val="false"/>
          </w:tcPr>
          <w:p w14:paraId="686E89A1">
            <w:pPr>
              <w:pBdr/>
              <w:spacing w:after="0" w:before="0" w:line="240" w:lineRule="auto"/>
              <w:ind/>
              <w:rPr>
                <w:color w:val="000000" w:themeColor="text1"/>
              </w:rPr>
            </w:pPr>
            <w:r>
              <w:rPr>
                <w:rFonts w:ascii="Arial" w:hAnsi="Arial" w:eastAsia="Arial" w:cs="Arial"/>
                <w:color w:val="000000" w:themeColor="text1"/>
                <w:sz w:val="21"/>
              </w:rPr>
              <w:t xml:space="preserve">Requires spatial grounding consistency</w:t>
            </w:r>
            <w:r>
              <w:rPr>
                <w:color w:val="000000" w:themeColor="text1"/>
              </w:rPr>
            </w:r>
            <w:r>
              <w:rPr>
                <w:color w:val="000000" w:themeColor="text1"/>
              </w:rPr>
            </w:r>
          </w:p>
        </w:tc>
      </w:tr>
      <w:tr>
        <w:trPr/>
        <w:tc>
          <w:tcPr>
            <w:tcBorders/>
            <w:tcW w:w="2160" w:type="dxa"/>
            <w:textDirection w:val="lrTb"/>
            <w:noWrap w:val="false"/>
          </w:tcPr>
          <w:p w14:paraId="2A131031">
            <w:pPr>
              <w:pBdr/>
              <w:spacing w:after="0" w:before="0" w:line="240" w:lineRule="auto"/>
              <w:ind/>
              <w:rPr>
                <w:color w:val="000000" w:themeColor="text1"/>
              </w:rPr>
            </w:pPr>
            <w:r>
              <w:rPr>
                <w:rFonts w:ascii="Arial" w:hAnsi="Arial" w:eastAsia="Arial" w:cs="Arial"/>
                <w:color w:val="000000" w:themeColor="text1"/>
                <w:sz w:val="21"/>
              </w:rPr>
              <w:t xml:space="preserve">UC severity grading</w:t>
            </w:r>
            <w:r>
              <w:rPr>
                <w:color w:val="000000" w:themeColor="text1"/>
              </w:rPr>
            </w:r>
            <w:r>
              <w:rPr>
                <w:color w:val="000000" w:themeColor="text1"/>
              </w:rPr>
            </w:r>
          </w:p>
        </w:tc>
        <w:tc>
          <w:tcPr>
            <w:tcBorders/>
            <w:tcW w:w="2160" w:type="dxa"/>
            <w:textDirection w:val="lrTb"/>
            <w:noWrap w:val="false"/>
          </w:tcPr>
          <w:p w14:paraId="4D8085A7">
            <w:pPr>
              <w:pBdr/>
              <w:spacing w:after="0" w:before="0" w:line="240" w:lineRule="auto"/>
              <w:ind/>
              <w:rPr>
                <w:color w:val="000000" w:themeColor="text1"/>
              </w:rPr>
            </w:pPr>
            <w:r>
              <w:rPr>
                <w:rFonts w:ascii="Arial" w:hAnsi="Arial" w:eastAsia="Arial" w:cs="Arial"/>
                <w:color w:val="000000" w:themeColor="text1"/>
                <w:sz w:val="21"/>
              </w:rPr>
              <w:t xml:space="preserve">Ordinal category</w:t>
            </w:r>
            <w:r>
              <w:rPr>
                <w:color w:val="000000" w:themeColor="text1"/>
              </w:rPr>
            </w:r>
            <w:r>
              <w:rPr>
                <w:color w:val="000000" w:themeColor="text1"/>
              </w:rPr>
            </w:r>
          </w:p>
        </w:tc>
        <w:tc>
          <w:tcPr>
            <w:tcBorders/>
            <w:tcW w:w="2160" w:type="dxa"/>
            <w:textDirection w:val="lrTb"/>
            <w:noWrap w:val="false"/>
          </w:tcPr>
          <w:p w14:paraId="4B2E3DE7">
            <w:pPr>
              <w:pBdr/>
              <w:spacing w:after="0" w:before="0" w:line="240" w:lineRule="auto"/>
              <w:ind/>
              <w:rPr>
                <w:color w:val="000000" w:themeColor="text1"/>
              </w:rPr>
            </w:pPr>
            <w:r>
              <w:rPr>
                <w:rFonts w:ascii="Arial" w:hAnsi="Arial" w:eastAsia="Arial" w:cs="Arial"/>
                <w:color w:val="000000" w:themeColor="text1"/>
                <w:sz w:val="21"/>
              </w:rPr>
              <w:t xml:space="preserve">Fine-tuned visual backbone + constrained QA interface</w:t>
            </w:r>
            <w:r>
              <w:rPr>
                <w:color w:val="000000" w:themeColor="text1"/>
              </w:rPr>
            </w:r>
            <w:r>
              <w:rPr>
                <w:color w:val="000000" w:themeColor="text1"/>
              </w:rPr>
            </w:r>
          </w:p>
        </w:tc>
        <w:tc>
          <w:tcPr>
            <w:tcBorders/>
            <w:tcW w:w="2160" w:type="dxa"/>
            <w:textDirection w:val="lrTb"/>
            <w:noWrap w:val="false"/>
          </w:tcPr>
          <w:p w14:paraId="1C6071C5">
            <w:pPr>
              <w:pBdr/>
              <w:spacing w:after="0" w:before="0" w:line="240" w:lineRule="auto"/>
              <w:ind/>
              <w:rPr>
                <w:color w:val="000000" w:themeColor="text1"/>
              </w:rPr>
            </w:pPr>
            <w:r>
              <w:rPr>
                <w:rFonts w:ascii="Arial" w:hAnsi="Arial" w:eastAsia="Arial" w:cs="Arial"/>
                <w:color w:val="000000" w:themeColor="text1"/>
                <w:sz w:val="21"/>
              </w:rPr>
              <w:t xml:space="preserve">Ordinal robustness and severe-class control</w:t>
            </w:r>
            <w:r>
              <w:rPr>
                <w:color w:val="000000" w:themeColor="text1"/>
              </w:rPr>
            </w:r>
            <w:r>
              <w:rPr>
                <w:color w:val="000000" w:themeColor="text1"/>
              </w:rPr>
            </w:r>
          </w:p>
        </w:tc>
      </w:tr>
      <w:tr>
        <w:trPr/>
        <w:tc>
          <w:tcPr>
            <w:tcBorders/>
            <w:tcW w:w="2160" w:type="dxa"/>
            <w:textDirection w:val="lrTb"/>
            <w:noWrap w:val="false"/>
          </w:tcPr>
          <w:p w14:paraId="636DB0FA">
            <w:pPr>
              <w:pBdr/>
              <w:spacing w:after="0" w:before="0" w:line="240" w:lineRule="auto"/>
              <w:ind/>
              <w:rPr>
                <w:color w:val="000000" w:themeColor="text1"/>
              </w:rPr>
            </w:pPr>
            <w:r>
              <w:rPr>
                <w:rFonts w:ascii="Arial" w:hAnsi="Arial" w:eastAsia="Arial" w:cs="Arial"/>
                <w:color w:val="000000" w:themeColor="text1"/>
                <w:sz w:val="21"/>
              </w:rPr>
              <w:t xml:space="preserve">Narrative explanation for clinician</w:t>
            </w:r>
            <w:r>
              <w:rPr>
                <w:color w:val="000000" w:themeColor="text1"/>
              </w:rPr>
            </w:r>
            <w:r>
              <w:rPr>
                <w:color w:val="000000" w:themeColor="text1"/>
              </w:rPr>
            </w:r>
          </w:p>
        </w:tc>
        <w:tc>
          <w:tcPr>
            <w:tcBorders/>
            <w:tcW w:w="2160" w:type="dxa"/>
            <w:textDirection w:val="lrTb"/>
            <w:noWrap w:val="false"/>
          </w:tcPr>
          <w:p w14:paraId="56B2AB92">
            <w:pPr>
              <w:pBdr/>
              <w:spacing w:after="0" w:before="0" w:line="240" w:lineRule="auto"/>
              <w:ind/>
              <w:rPr>
                <w:color w:val="000000" w:themeColor="text1"/>
              </w:rPr>
            </w:pPr>
            <w:r>
              <w:rPr>
                <w:rFonts w:ascii="Arial" w:hAnsi="Arial" w:eastAsia="Arial" w:cs="Arial"/>
                <w:color w:val="000000" w:themeColor="text1"/>
                <w:sz w:val="21"/>
              </w:rPr>
              <w:t xml:space="preserve">Open text</w:t>
            </w:r>
            <w:r>
              <w:rPr>
                <w:color w:val="000000" w:themeColor="text1"/>
              </w:rPr>
            </w:r>
            <w:r>
              <w:rPr>
                <w:color w:val="000000" w:themeColor="text1"/>
              </w:rPr>
            </w:r>
          </w:p>
        </w:tc>
        <w:tc>
          <w:tcPr>
            <w:tcBorders/>
            <w:tcW w:w="2160" w:type="dxa"/>
            <w:textDirection w:val="lrTb"/>
            <w:noWrap w:val="false"/>
          </w:tcPr>
          <w:p w14:paraId="6CE9D064">
            <w:pPr>
              <w:pBdr/>
              <w:spacing w:after="0" w:before="0" w:line="240" w:lineRule="auto"/>
              <w:ind/>
              <w:rPr>
                <w:color w:val="000000" w:themeColor="text1"/>
              </w:rPr>
            </w:pPr>
            <w:r>
              <w:rPr>
                <w:rFonts w:ascii="Arial" w:hAnsi="Arial" w:eastAsia="Arial" w:cs="Arial"/>
                <w:color w:val="000000" w:themeColor="text1"/>
                <w:sz w:val="21"/>
              </w:rPr>
              <w:t xml:space="preserve">Generative MLLM with grounding checks</w:t>
            </w:r>
            <w:r>
              <w:rPr>
                <w:color w:val="000000" w:themeColor="text1"/>
              </w:rPr>
            </w:r>
            <w:r>
              <w:rPr>
                <w:color w:val="000000" w:themeColor="text1"/>
              </w:rPr>
            </w:r>
          </w:p>
        </w:tc>
        <w:tc>
          <w:tcPr>
            <w:tcBorders/>
            <w:tcW w:w="2160" w:type="dxa"/>
            <w:textDirection w:val="lrTb"/>
            <w:noWrap w:val="false"/>
          </w:tcPr>
          <w:p w14:paraId="7ADFDE73">
            <w:pPr>
              <w:pBdr/>
              <w:spacing w:after="0" w:before="0" w:line="240" w:lineRule="auto"/>
              <w:ind/>
              <w:rPr>
                <w:color w:val="000000" w:themeColor="text1"/>
              </w:rPr>
            </w:pPr>
            <w:r>
              <w:rPr>
                <w:rFonts w:ascii="Arial" w:hAnsi="Arial" w:eastAsia="Arial" w:cs="Arial"/>
                <w:color w:val="000000" w:themeColor="text1"/>
                <w:sz w:val="21"/>
              </w:rPr>
              <w:t xml:space="preserve">Better usability, but must be constrained</w:t>
            </w:r>
            <w:r>
              <w:rPr>
                <w:color w:val="000000" w:themeColor="text1"/>
              </w:rPr>
            </w:r>
            <w:r>
              <w:rPr>
                <w:color w:val="000000" w:themeColor="text1"/>
              </w:rPr>
            </w:r>
          </w:p>
        </w:tc>
      </w:tr>
      <w:tr>
        <w:trPr/>
        <w:tc>
          <w:tcPr>
            <w:tcBorders/>
            <w:tcW w:w="2160" w:type="dxa"/>
            <w:textDirection w:val="lrTb"/>
            <w:noWrap w:val="false"/>
          </w:tcPr>
          <w:p w14:paraId="2E97B688">
            <w:pPr>
              <w:pBdr/>
              <w:spacing w:after="0" w:before="0" w:line="240" w:lineRule="auto"/>
              <w:ind/>
              <w:rPr>
                <w:color w:val="000000" w:themeColor="text1"/>
              </w:rPr>
            </w:pPr>
            <w:r>
              <w:rPr>
                <w:rFonts w:ascii="Arial" w:hAnsi="Arial" w:eastAsia="Arial" w:cs="Arial"/>
                <w:color w:val="000000" w:themeColor="text1"/>
                <w:sz w:val="21"/>
              </w:rPr>
              <w:t xml:space="preserve">Evidence-linked management query</w:t>
            </w:r>
            <w:r>
              <w:rPr>
                <w:color w:val="000000" w:themeColor="text1"/>
              </w:rPr>
            </w:r>
            <w:r>
              <w:rPr>
                <w:color w:val="000000" w:themeColor="text1"/>
              </w:rPr>
            </w:r>
          </w:p>
        </w:tc>
        <w:tc>
          <w:tcPr>
            <w:tcBorders/>
            <w:tcW w:w="2160" w:type="dxa"/>
            <w:textDirection w:val="lrTb"/>
            <w:noWrap w:val="false"/>
          </w:tcPr>
          <w:p w14:paraId="6C05A3D2">
            <w:pPr>
              <w:pBdr/>
              <w:spacing w:after="0" w:before="0" w:line="240" w:lineRule="auto"/>
              <w:ind/>
              <w:rPr>
                <w:color w:val="000000" w:themeColor="text1"/>
              </w:rPr>
            </w:pPr>
            <w:r>
              <w:rPr>
                <w:rFonts w:ascii="Arial" w:hAnsi="Arial" w:eastAsia="Arial" w:cs="Arial"/>
                <w:color w:val="000000" w:themeColor="text1"/>
                <w:sz w:val="21"/>
              </w:rPr>
              <w:t xml:space="preserve">Open text + evidence</w:t>
            </w:r>
            <w:r>
              <w:rPr>
                <w:color w:val="000000" w:themeColor="text1"/>
              </w:rPr>
            </w:r>
            <w:r>
              <w:rPr>
                <w:color w:val="000000" w:themeColor="text1"/>
              </w:rPr>
            </w:r>
          </w:p>
        </w:tc>
        <w:tc>
          <w:tcPr>
            <w:tcBorders/>
            <w:tcW w:w="2160" w:type="dxa"/>
            <w:textDirection w:val="lrTb"/>
            <w:noWrap w:val="false"/>
          </w:tcPr>
          <w:p w14:paraId="303A9E0B">
            <w:pPr>
              <w:pBdr/>
              <w:spacing w:after="0" w:before="0" w:line="240" w:lineRule="auto"/>
              <w:ind/>
              <w:rPr>
                <w:color w:val="000000" w:themeColor="text1"/>
              </w:rPr>
            </w:pPr>
            <w:r>
              <w:rPr>
                <w:rFonts w:ascii="Arial" w:hAnsi="Arial" w:eastAsia="Arial" w:cs="Arial"/>
                <w:color w:val="000000" w:themeColor="text1"/>
                <w:sz w:val="21"/>
              </w:rPr>
              <w:t xml:space="preserve">Conditional retrieval-augmented generation</w:t>
            </w:r>
            <w:r>
              <w:rPr>
                <w:color w:val="000000" w:themeColor="text1"/>
              </w:rPr>
            </w:r>
            <w:r>
              <w:rPr>
                <w:color w:val="000000" w:themeColor="text1"/>
              </w:rPr>
            </w:r>
          </w:p>
        </w:tc>
        <w:tc>
          <w:tcPr>
            <w:tcBorders/>
            <w:tcW w:w="2160" w:type="dxa"/>
            <w:textDirection w:val="lrTb"/>
            <w:noWrap w:val="false"/>
          </w:tcPr>
          <w:p w14:paraId="53586723">
            <w:pPr>
              <w:pBdr/>
              <w:spacing w:after="0" w:before="0" w:line="240" w:lineRule="auto"/>
              <w:ind/>
              <w:rPr>
                <w:color w:val="000000" w:themeColor="text1"/>
              </w:rPr>
            </w:pPr>
            <w:r>
              <w:rPr>
                <w:rFonts w:ascii="Arial" w:hAnsi="Arial" w:eastAsia="Arial" w:cs="Arial"/>
                <w:color w:val="000000" w:themeColor="text1"/>
                <w:sz w:val="21"/>
              </w:rPr>
              <w:t xml:space="preserve">Useful only when core visual answer is reliable</w:t>
            </w:r>
            <w:r>
              <w:rPr>
                <w:color w:val="000000" w:themeColor="text1"/>
              </w:rPr>
            </w:r>
            <w:r>
              <w:rPr>
                <w:color w:val="000000" w:themeColor="text1"/>
              </w:rPr>
            </w:r>
          </w:p>
        </w:tc>
      </w:tr>
    </w:tbl>
    <w:p w14:paraId="3C813162">
      <w:pPr>
        <w:pStyle w:val="1128"/>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caps w:val="0"/>
          <w:smallCaps w:val="0"/>
          <w:color w:val="000000" w:themeColor="text1" w:themeTint="FF" w:themeShade="FF"/>
          <w:sz w:val="22"/>
          <w:szCs w:val="22"/>
          <w:highlight w:val="none"/>
        </w:rPr>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014E5259">
      <w:pPr>
        <w:pStyle w:val="1128"/>
        <w:suppressLineNumbers w:val="false"/>
        <w:pBdr/>
        <w:spacing w:after="240" w:afterAutospacing="0" w:before="240" w:beforeAutospacing="0" w:line="300" w:lineRule="auto"/>
        <w:ind w:firstLine="0"/>
        <w:rPr>
          <w:b/>
          <w:bCs/>
          <w:sz w:val="28"/>
          <w:szCs w:val="28"/>
        </w:rPr>
      </w:pPr>
      <w:r>
        <w:rPr>
          <w:rFonts w:ascii="Arial" w:hAnsi="Arial" w:eastAsia="Arial" w:cs="Arial"/>
          <w:b/>
          <w:bCs/>
          <w:i w:val="0"/>
          <w:caps w:val="0"/>
          <w:smallCaps w:val="0"/>
          <w:color w:val="000000" w:themeColor="text1" w:themeTint="FF" w:themeShade="FF"/>
          <w:sz w:val="28"/>
          <w:szCs w:val="28"/>
        </w:rPr>
        <w:t xml:space="preserve">2.8 2024-2026 Trends in MedVQA Research</w:t>
      </w:r>
      <w:r>
        <w:rPr>
          <w:b/>
          <w:bCs/>
          <w:sz w:val="28"/>
          <w:szCs w:val="28"/>
        </w:rPr>
      </w:r>
      <w:r>
        <w:rPr>
          <w:b/>
          <w:bCs/>
          <w:sz w:val="28"/>
          <w:szCs w:val="28"/>
        </w:rPr>
      </w:r>
    </w:p>
    <w:p w14:paraId="5CE47346">
      <w:pPr>
        <w:pStyle w:val="112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Recent literature indicates several important shifts.</w:t>
      </w:r>
      <w:r>
        <w:rPr>
          <w:rFonts w:ascii="Arial" w:hAnsi="Arial" w:eastAsia="Arial" w:cs="Arial"/>
          <w:b w:val="0"/>
          <w:bCs w:val="0"/>
          <w:i w:val="0"/>
          <w:caps w:val="0"/>
          <w:smallCaps w:val="0"/>
          <w:color w:val="000000" w:themeColor="text1" w:themeTint="FF" w:themeShade="FF"/>
          <w:sz w:val="22"/>
          <w:szCs w:val="22"/>
        </w:rPr>
      </w:r>
      <w:r/>
    </w:p>
    <w:p w14:paraId="47E90F30">
      <w:pPr>
        <w:pStyle w:val="1128"/>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themeTint="FF" w:themeShade="FF"/>
          <w:sz w:val="22"/>
          <w:szCs w:val="22"/>
        </w:rPr>
        <w:t xml:space="preserve">2.8.1 From Single-Image QA to Multi-Image Reasoning</w:t>
      </w:r>
      <w:r>
        <w:rPr>
          <w:b/>
          <w:bCs/>
        </w:rPr>
      </w:r>
      <w:r>
        <w:rPr>
          <w:b/>
          <w:bCs/>
        </w:rPr>
      </w:r>
    </w:p>
    <w:p w14:paraId="67782F47">
      <w:pPr>
        <w:pStyle w:val="112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MedFrameQA shows that multi-image clinical reasoning remains difficult for current MLLMs and exposes a gap between benchmark fluency and longitudinal diagnostic reasoning; notably, the benchmark received an updated arXiv revision in February 2026 [10].</w:t>
      </w:r>
      <w:r>
        <w:rPr>
          <w:rFonts w:ascii="Arial" w:hAnsi="Arial" w:eastAsia="Arial" w:cs="Arial"/>
          <w:b w:val="0"/>
          <w:bCs w:val="0"/>
          <w:i w:val="0"/>
          <w:caps w:val="0"/>
          <w:smallCaps w:val="0"/>
          <w:color w:val="000000" w:themeColor="text1" w:themeTint="FF" w:themeShade="FF"/>
          <w:sz w:val="22"/>
          <w:szCs w:val="22"/>
        </w:rPr>
      </w:r>
      <w:r/>
    </w:p>
    <w:p w14:paraId="32AEA805">
      <w:pPr>
        <w:pStyle w:val="1128"/>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themeTint="FF" w:themeShade="FF"/>
          <w:sz w:val="22"/>
          <w:szCs w:val="22"/>
        </w:rPr>
        <w:t xml:space="preserve">2.8.2 From Benchmark Accuracy to Reliability Stress Testing</w:t>
      </w:r>
      <w:r>
        <w:rPr>
          <w:b/>
          <w:bCs/>
        </w:rPr>
      </w:r>
      <w:r>
        <w:rPr>
          <w:b/>
          <w:bCs/>
        </w:rPr>
      </w:r>
    </w:p>
    <w:p w14:paraId="70990B2A">
      <w:pPr>
        <w:pStyle w:val="112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ProbMed-style probing demonstrates that high benchmark scores can hide brittle behavior under controlled perturbations [11]. SMMILE similarly highlights fragility in multimodal in-context learning [12].</w:t>
      </w:r>
      <w:r>
        <w:rPr>
          <w:rFonts w:ascii="Arial" w:hAnsi="Arial" w:eastAsia="Arial" w:cs="Arial"/>
          <w:b w:val="0"/>
          <w:bCs w:val="0"/>
          <w:i w:val="0"/>
          <w:caps w:val="0"/>
          <w:smallCaps w:val="0"/>
          <w:color w:val="000000" w:themeColor="text1" w:themeTint="FF" w:themeShade="FF"/>
          <w:sz w:val="22"/>
          <w:szCs w:val="22"/>
        </w:rPr>
      </w:r>
      <w:r/>
    </w:p>
    <w:p w14:paraId="32582EF2">
      <w:pPr>
        <w:pStyle w:val="1128"/>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themeTint="FF" w:themeShade="FF"/>
          <w:sz w:val="22"/>
          <w:szCs w:val="22"/>
        </w:rPr>
        <w:t xml:space="preserve">2.8.3 Data-Centric Expansion and Synthetic Pipelines</w:t>
      </w:r>
      <w:r>
        <w:rPr>
          <w:b/>
          <w:bCs/>
        </w:rPr>
      </w:r>
      <w:r>
        <w:rPr>
          <w:b/>
          <w:bCs/>
        </w:rPr>
      </w:r>
    </w:p>
    <w:p w14:paraId="34F47E7A">
      <w:pPr>
        <w:pStyle w:val="112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New resources increasingly use automated or semi-automated pipelines to scale MedVQA data. This is seen in MedVLSynther-like generator-verifier approaches [13] and challenge tracks that explicitly integrate synthetic data [25].</w:t>
      </w:r>
      <w:r>
        <w:rPr>
          <w:rFonts w:ascii="Arial" w:hAnsi="Arial" w:eastAsia="Arial" w:cs="Arial"/>
          <w:b w:val="0"/>
          <w:bCs w:val="0"/>
          <w:i w:val="0"/>
          <w:caps w:val="0"/>
          <w:smallCaps w:val="0"/>
          <w:color w:val="000000" w:themeColor="text1" w:themeTint="FF" w:themeShade="FF"/>
          <w:sz w:val="22"/>
          <w:szCs w:val="22"/>
        </w:rPr>
      </w:r>
      <w:r/>
    </w:p>
    <w:p w14:paraId="2163B0FB">
      <w:pPr>
        <w:pStyle w:val="1128"/>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themeTint="FF" w:themeShade="FF"/>
          <w:sz w:val="22"/>
          <w:szCs w:val="22"/>
        </w:rPr>
        <w:t xml:space="preserve">2.8.4 Scaling Unified Medical VLMs</w:t>
      </w:r>
      <w:r>
        <w:rPr>
          <w:b/>
          <w:bCs/>
        </w:rPr>
      </w:r>
      <w:r>
        <w:rPr>
          <w:b/>
          <w:bCs/>
        </w:rPr>
      </w:r>
    </w:p>
    <w:p w14:paraId="137344B4">
      <w:pPr>
        <w:pStyle w:val="112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OmniV-Med and related work aim at unified multimodal medical understanding across 2D/3D/video settings [14]. These models are promising for broad capability, but consistent clinical robustness on specialized GI QA remains an open question.</w:t>
      </w:r>
      <w:r>
        <w:rPr>
          <w:rFonts w:ascii="Arial" w:hAnsi="Arial" w:eastAsia="Arial" w:cs="Arial"/>
          <w:b w:val="0"/>
          <w:bCs w:val="0"/>
          <w:i w:val="0"/>
          <w:caps w:val="0"/>
          <w:smallCaps w:val="0"/>
          <w:color w:val="000000" w:themeColor="text1" w:themeTint="FF" w:themeShade="FF"/>
          <w:sz w:val="22"/>
          <w:szCs w:val="22"/>
        </w:rPr>
      </w:r>
      <w:r/>
    </w:p>
    <w:p w14:paraId="342CD601">
      <w:pPr>
        <w:pStyle w:val="1128"/>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themeTint="FF" w:themeShade="FF"/>
          <w:sz w:val="22"/>
          <w:szCs w:val="22"/>
        </w:rPr>
        <w:t xml:space="preserve">2.8.5 Explainability as a First-Class Objective</w:t>
      </w:r>
      <w:r>
        <w:rPr>
          <w:b/>
          <w:bCs/>
        </w:rPr>
      </w:r>
      <w:r>
        <w:rPr>
          <w:b/>
          <w:bCs/>
        </w:rPr>
      </w:r>
    </w:p>
    <w:p w14:paraId="0D167F3D">
      <w:pPr>
        <w:pStyle w:val="112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GI challenge design in 2025 formalized explanation quality and clinical relevance as evaluation targets, not optional analysis </w:t>
      </w:r>
      <w:r>
        <w:rPr>
          <w:rFonts w:ascii="Arial" w:hAnsi="Arial" w:eastAsia="Arial" w:cs="Arial"/>
          <w:b w:val="0"/>
          <w:bCs w:val="0"/>
          <w:i w:val="0"/>
          <w:caps w:val="0"/>
          <w:smallCaps w:val="0"/>
          <w:color w:val="000000" w:themeColor="text1" w:themeTint="FF" w:themeShade="FF"/>
          <w:sz w:val="22"/>
          <w:szCs w:val="22"/>
          <w:lang w:val="en-US"/>
        </w:rPr>
        <w:t xml:space="preserve">[</w:t>
      </w:r>
      <w:r>
        <w:rPr>
          <w:rFonts w:ascii="Arial" w:hAnsi="Arial" w:eastAsia="Arial" w:cs="Arial"/>
          <w:b w:val="0"/>
          <w:bCs w:val="0"/>
          <w:i w:val="0"/>
          <w:caps w:val="0"/>
          <w:smallCaps w:val="0"/>
          <w:color w:val="000000" w:themeColor="text1" w:themeTint="FF" w:themeShade="FF"/>
          <w:sz w:val="22"/>
          <w:szCs w:val="22"/>
          <w:lang w:val="en-US"/>
        </w:rPr>
        <w:t xml:space="preserve">2</w:t>
      </w:r>
      <w:r>
        <w:rPr>
          <w:rFonts w:ascii="Arial" w:hAnsi="Arial" w:eastAsia="Arial" w:cs="Arial"/>
          <w:b w:val="0"/>
          <w:bCs w:val="0"/>
          <w:i w:val="0"/>
          <w:caps w:val="0"/>
          <w:smallCaps w:val="0"/>
          <w:color w:val="000000" w:themeColor="text1" w:themeTint="FF" w:themeShade="FF"/>
          <w:sz w:val="22"/>
          <w:szCs w:val="22"/>
        </w:rPr>
        <w:t xml:space="preserve">6], [27]. This marks a practical shift toward clinician-facing trust criteria.</w:t>
      </w:r>
      <w:r>
        <w:rPr>
          <w:rFonts w:ascii="Arial" w:hAnsi="Arial" w:eastAsia="Arial" w:cs="Arial"/>
          <w:b w:val="0"/>
          <w:bCs w:val="0"/>
          <w:i w:val="0"/>
          <w:caps w:val="0"/>
          <w:smallCaps w:val="0"/>
          <w:color w:val="000000" w:themeColor="text1" w:themeTint="FF" w:themeShade="FF"/>
          <w:sz w:val="22"/>
          <w:szCs w:val="22"/>
        </w:rPr>
      </w:r>
      <w:r/>
    </w:p>
    <w:p w14:paraId="1440D9B2">
      <w:pPr>
        <w:pStyle w:val="1128"/>
        <w:suppressLineNumbers w:val="false"/>
        <w:pBdr/>
        <w:spacing w:after="240" w:afterAutospacing="0" w:before="240" w:beforeAutospacing="0" w:line="300" w:lineRule="auto"/>
        <w:ind w:firstLine="0"/>
        <w:rPr>
          <w:b/>
          <w:bCs/>
          <w:sz w:val="28"/>
          <w:szCs w:val="28"/>
        </w:rPr>
      </w:pPr>
      <w:r>
        <w:rPr>
          <w:rFonts w:ascii="Arial" w:hAnsi="Arial" w:eastAsia="Arial" w:cs="Arial"/>
          <w:b/>
          <w:bCs/>
          <w:i w:val="0"/>
          <w:caps w:val="0"/>
          <w:smallCaps w:val="0"/>
          <w:color w:val="000000" w:themeColor="text1" w:themeTint="FF" w:themeShade="FF"/>
          <w:sz w:val="28"/>
          <w:szCs w:val="28"/>
        </w:rPr>
        <w:t xml:space="preserve">2.9 Evidence Triangulation with Repository Results</w:t>
      </w:r>
      <w:r>
        <w:rPr>
          <w:b/>
          <w:bCs/>
          <w:sz w:val="28"/>
          <w:szCs w:val="28"/>
        </w:rPr>
      </w:r>
      <w:r>
        <w:rPr>
          <w:b/>
          <w:bCs/>
          <w:sz w:val="28"/>
          <w:szCs w:val="28"/>
        </w:rPr>
      </w:r>
    </w:p>
    <w:p w14:paraId="13C8F58F">
      <w:pPr>
        <w:pStyle w:val="112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To avoid a purely narrative survey, this section triangulates literature findings with local persisted artifacts.</w:t>
      </w:r>
      <w:r/>
    </w:p>
    <w:tbl>
      <w:tblPr>
        <w:tblStyle w:val="1185"/>
        <w:tblW w:w="0" w:type="auto"/>
        <w:tblBorders/>
        <w:tblLook w:val="04A0" w:firstRow="1" w:lastRow="0" w:firstColumn="1" w:lastColumn="0" w:noHBand="0" w:noVBand="1"/>
      </w:tblPr>
      <w:tblGrid>
        <w:gridCol w:w="2880"/>
        <w:gridCol w:w="2880"/>
        <w:gridCol w:w="2880"/>
      </w:tblGrid>
      <w:tr>
        <w:trPr/>
        <w:tc>
          <w:tcPr>
            <w:tcBorders/>
            <w:tcW w:w="2880" w:type="dxa"/>
            <w:textDirection w:val="lrTb"/>
            <w:noWrap w:val="false"/>
          </w:tcPr>
          <w:p w14:paraId="6BA113AD">
            <w:pPr>
              <w:pBdr/>
              <w:spacing w:after="0" w:before="0" w:line="240" w:lineRule="auto"/>
              <w:ind/>
              <w:rPr>
                <w:color w:val="000000" w:themeColor="text1"/>
              </w:rPr>
            </w:pPr>
            <w:r>
              <w:rPr>
                <w:rFonts w:ascii="Arial" w:hAnsi="Arial" w:eastAsia="Arial" w:cs="Arial"/>
                <w:b/>
                <w:color w:val="000000" w:themeColor="text1"/>
                <w:sz w:val="21"/>
              </w:rPr>
              <w:t xml:space="preserve">Dataset/task (local report)</w:t>
            </w:r>
            <w:r>
              <w:rPr>
                <w:color w:val="000000" w:themeColor="text1"/>
              </w:rPr>
            </w:r>
            <w:r>
              <w:rPr>
                <w:color w:val="000000" w:themeColor="text1"/>
              </w:rPr>
            </w:r>
          </w:p>
        </w:tc>
        <w:tc>
          <w:tcPr>
            <w:tcBorders/>
            <w:tcW w:w="2880" w:type="dxa"/>
            <w:textDirection w:val="lrTb"/>
            <w:noWrap w:val="false"/>
          </w:tcPr>
          <w:p w14:paraId="6DFE6D1F">
            <w:pPr>
              <w:pBdr/>
              <w:spacing w:after="0" w:before="0" w:line="240" w:lineRule="auto"/>
              <w:ind/>
              <w:rPr>
                <w:color w:val="000000" w:themeColor="text1"/>
              </w:rPr>
            </w:pPr>
            <w:r>
              <w:rPr>
                <w:rFonts w:ascii="Arial" w:hAnsi="Arial" w:eastAsia="Arial" w:cs="Arial"/>
                <w:b/>
                <w:color w:val="000000" w:themeColor="text1"/>
                <w:sz w:val="21"/>
              </w:rPr>
              <w:t xml:space="preserve">Representative local signal</w:t>
            </w:r>
            <w:r>
              <w:rPr>
                <w:color w:val="000000" w:themeColor="text1"/>
              </w:rPr>
            </w:r>
            <w:r>
              <w:rPr>
                <w:color w:val="000000" w:themeColor="text1"/>
              </w:rPr>
            </w:r>
          </w:p>
        </w:tc>
        <w:tc>
          <w:tcPr>
            <w:tcBorders/>
            <w:tcW w:w="2880" w:type="dxa"/>
            <w:textDirection w:val="lrTb"/>
            <w:noWrap w:val="false"/>
          </w:tcPr>
          <w:p w14:paraId="57DFACB7">
            <w:pPr>
              <w:pBdr/>
              <w:spacing w:after="0" w:before="0" w:line="240" w:lineRule="auto"/>
              <w:ind/>
              <w:rPr>
                <w:color w:val="000000" w:themeColor="text1"/>
              </w:rPr>
            </w:pPr>
            <w:r>
              <w:rPr>
                <w:rFonts w:ascii="Arial" w:hAnsi="Arial" w:eastAsia="Arial" w:cs="Arial"/>
                <w:b/>
                <w:color w:val="000000" w:themeColor="text1"/>
                <w:sz w:val="21"/>
              </w:rPr>
              <w:t xml:space="preserve">Method implication</w:t>
            </w:r>
            <w:r>
              <w:rPr>
                <w:color w:val="000000" w:themeColor="text1"/>
              </w:rPr>
            </w:r>
            <w:r>
              <w:rPr>
                <w:color w:val="000000" w:themeColor="text1"/>
              </w:rPr>
            </w:r>
          </w:p>
        </w:tc>
      </w:tr>
      <w:tr>
        <w:trPr/>
        <w:tc>
          <w:tcPr>
            <w:tcBorders/>
            <w:tcW w:w="2880" w:type="dxa"/>
            <w:textDirection w:val="lrTb"/>
            <w:noWrap w:val="false"/>
          </w:tcPr>
          <w:p w14:paraId="542604F6">
            <w:pPr>
              <w:pBdr/>
              <w:spacing w:after="0" w:before="0" w:line="240" w:lineRule="auto"/>
              <w:ind/>
              <w:rPr>
                <w:color w:val="000000" w:themeColor="text1"/>
              </w:rPr>
            </w:pPr>
            <w:r>
              <w:rPr>
                <w:rFonts w:ascii="Arial" w:hAnsi="Arial" w:eastAsia="Arial" w:cs="Arial"/>
                <w:color w:val="000000" w:themeColor="text1"/>
                <w:sz w:val="21"/>
              </w:rPr>
              <w:t xml:space="preserve">ImageCLEF MEDVQA-GI 2023 </w:t>
            </w:r>
            <w:r>
              <w:rPr>
                <w:color w:val="000000" w:themeColor="text1"/>
              </w:rPr>
            </w:r>
            <w:r>
              <w:rPr>
                <w:color w:val="000000" w:themeColor="text1"/>
              </w:rPr>
            </w:r>
          </w:p>
        </w:tc>
        <w:tc>
          <w:tcPr>
            <w:tcBorders/>
            <w:tcW w:w="2880" w:type="dxa"/>
            <w:textDirection w:val="lrTb"/>
            <w:noWrap w:val="false"/>
          </w:tcPr>
          <w:p w14:paraId="3B140E70">
            <w:pPr>
              <w:pBdr/>
              <w:spacing w:after="0" w:before="0" w:line="240" w:lineRule="auto"/>
              <w:ind/>
              <w:rPr>
                <w:color w:val="000000" w:themeColor="text1"/>
              </w:rPr>
            </w:pPr>
            <w:r>
              <w:rPr>
                <w:rFonts w:ascii="Arial" w:hAnsi="Arial" w:eastAsia="Arial" w:cs="Arial"/>
                <w:color w:val="000000" w:themeColor="text1"/>
                <w:sz w:val="21"/>
              </w:rPr>
              <w:t xml:space="preserve">ViLT fine-tune val accuracy 0.9089, macro-F1 0.5823; zero-shot Qwen raw near-zero accuracy</w:t>
            </w:r>
            <w:r>
              <w:rPr>
                <w:color w:val="000000" w:themeColor="text1"/>
              </w:rPr>
            </w:r>
            <w:r>
              <w:rPr>
                <w:color w:val="000000" w:themeColor="text1"/>
              </w:rPr>
            </w:r>
          </w:p>
        </w:tc>
        <w:tc>
          <w:tcPr>
            <w:tcBorders/>
            <w:tcW w:w="2880" w:type="dxa"/>
            <w:textDirection w:val="lrTb"/>
            <w:noWrap w:val="false"/>
          </w:tcPr>
          <w:p w14:paraId="5D93638D">
            <w:pPr>
              <w:pBdr/>
              <w:spacing w:after="0" w:before="0" w:line="240" w:lineRule="auto"/>
              <w:ind/>
              <w:rPr>
                <w:color w:val="000000" w:themeColor="text1"/>
              </w:rPr>
            </w:pPr>
            <w:r>
              <w:rPr>
                <w:rFonts w:ascii="Arial" w:hAnsi="Arial" w:eastAsia="Arial" w:cs="Arial"/>
                <w:color w:val="000000" w:themeColor="text1"/>
                <w:sz w:val="21"/>
              </w:rPr>
              <w:t xml:space="preserve">Closed-set tuned models remain stronger than raw zero-shot generation in this setting</w:t>
            </w:r>
            <w:r>
              <w:rPr>
                <w:color w:val="000000" w:themeColor="text1"/>
              </w:rPr>
            </w:r>
            <w:r>
              <w:rPr>
                <w:color w:val="000000" w:themeColor="text1"/>
              </w:rPr>
            </w:r>
          </w:p>
        </w:tc>
      </w:tr>
      <w:tr>
        <w:trPr/>
        <w:tc>
          <w:tcPr>
            <w:tcBorders/>
            <w:tcW w:w="2880" w:type="dxa"/>
            <w:textDirection w:val="lrTb"/>
            <w:noWrap w:val="false"/>
          </w:tcPr>
          <w:p w14:paraId="5BE04B67">
            <w:pPr>
              <w:pBdr/>
              <w:spacing w:after="0" w:before="0" w:line="240" w:lineRule="auto"/>
              <w:ind/>
              <w:rPr>
                <w:color w:val="000000" w:themeColor="text1"/>
              </w:rPr>
            </w:pPr>
            <w:r>
              <w:rPr>
                <w:rFonts w:ascii="Arial" w:hAnsi="Arial" w:eastAsia="Arial" w:cs="Arial"/>
                <w:color w:val="000000" w:themeColor="text1"/>
                <w:sz w:val="21"/>
              </w:rPr>
              <w:t xml:space="preserve">HyperKvasir 23-class </w:t>
            </w:r>
            <w:r>
              <w:rPr>
                <w:color w:val="000000" w:themeColor="text1"/>
              </w:rPr>
            </w:r>
            <w:r>
              <w:rPr>
                <w:color w:val="000000" w:themeColor="text1"/>
              </w:rPr>
            </w:r>
          </w:p>
        </w:tc>
        <w:tc>
          <w:tcPr>
            <w:tcBorders/>
            <w:tcW w:w="2880" w:type="dxa"/>
            <w:textDirection w:val="lrTb"/>
            <w:noWrap w:val="false"/>
          </w:tcPr>
          <w:p w14:paraId="3D35F28A">
            <w:pPr>
              <w:pBdr/>
              <w:spacing w:after="0" w:before="0" w:line="240" w:lineRule="auto"/>
              <w:ind/>
              <w:rPr>
                <w:color w:val="000000" w:themeColor="text1"/>
              </w:rPr>
            </w:pPr>
            <w:r>
              <w:rPr>
                <w:rFonts w:ascii="Arial" w:hAnsi="Arial" w:eastAsia="Arial" w:cs="Arial"/>
                <w:color w:val="000000" w:themeColor="text1"/>
                <w:sz w:val="21"/>
              </w:rPr>
              <w:t xml:space="preserve">ResNet50 supervised outperforms saved zero-shot generative baseline by large margin</w:t>
            </w:r>
            <w:r>
              <w:rPr>
                <w:color w:val="000000" w:themeColor="text1"/>
              </w:rPr>
            </w:r>
            <w:r>
              <w:rPr>
                <w:color w:val="000000" w:themeColor="text1"/>
              </w:rPr>
            </w:r>
          </w:p>
        </w:tc>
        <w:tc>
          <w:tcPr>
            <w:tcBorders/>
            <w:tcW w:w="2880" w:type="dxa"/>
            <w:textDirection w:val="lrTb"/>
            <w:noWrap w:val="false"/>
          </w:tcPr>
          <w:p w14:paraId="04298FF7">
            <w:pPr>
              <w:pBdr/>
              <w:spacing w:after="0" w:before="0" w:line="240" w:lineRule="auto"/>
              <w:ind/>
              <w:rPr>
                <w:color w:val="000000" w:themeColor="text1"/>
              </w:rPr>
            </w:pPr>
            <w:r>
              <w:rPr>
                <w:rFonts w:ascii="Arial" w:hAnsi="Arial" w:eastAsia="Arial" w:cs="Arial"/>
                <w:color w:val="000000" w:themeColor="text1"/>
                <w:sz w:val="21"/>
              </w:rPr>
              <w:t xml:space="preserve">Robust supervised visual encoders remain critical for GI grounding</w:t>
            </w:r>
            <w:r>
              <w:rPr>
                <w:color w:val="000000" w:themeColor="text1"/>
              </w:rPr>
            </w:r>
            <w:r>
              <w:rPr>
                <w:color w:val="000000" w:themeColor="text1"/>
              </w:rPr>
            </w:r>
          </w:p>
        </w:tc>
      </w:tr>
      <w:tr>
        <w:trPr/>
        <w:tc>
          <w:tcPr>
            <w:tcBorders/>
            <w:tcW w:w="2880" w:type="dxa"/>
            <w:textDirection w:val="lrTb"/>
            <w:noWrap w:val="false"/>
          </w:tcPr>
          <w:p w14:paraId="5FFC5727">
            <w:pPr>
              <w:pBdr/>
              <w:spacing w:after="0" w:before="0" w:line="240" w:lineRule="auto"/>
              <w:ind/>
              <w:rPr>
                <w:color w:val="000000" w:themeColor="text1"/>
              </w:rPr>
            </w:pPr>
            <w:r>
              <w:rPr>
                <w:rFonts w:ascii="Arial" w:hAnsi="Arial" w:eastAsia="Arial" w:cs="Arial"/>
                <w:color w:val="000000" w:themeColor="text1"/>
                <w:sz w:val="21"/>
              </w:rPr>
              <w:t xml:space="preserve">Kvasir-VQA </w:t>
            </w:r>
            <w:r>
              <w:rPr>
                <w:color w:val="000000" w:themeColor="text1"/>
              </w:rPr>
            </w:r>
            <w:r>
              <w:rPr>
                <w:color w:val="000000" w:themeColor="text1"/>
              </w:rPr>
            </w:r>
          </w:p>
        </w:tc>
        <w:tc>
          <w:tcPr>
            <w:tcBorders/>
            <w:tcW w:w="2880" w:type="dxa"/>
            <w:textDirection w:val="lrTb"/>
            <w:noWrap w:val="false"/>
          </w:tcPr>
          <w:p w14:paraId="51D58709">
            <w:pPr>
              <w:pBdr/>
              <w:spacing w:after="0" w:before="0" w:line="240" w:lineRule="auto"/>
              <w:ind/>
              <w:rPr>
                <w:color w:val="000000" w:themeColor="text1"/>
              </w:rPr>
            </w:pPr>
            <w:r>
              <w:rPr>
                <w:rFonts w:ascii="Arial" w:hAnsi="Arial" w:eastAsia="Arial" w:cs="Arial"/>
                <w:color w:val="000000" w:themeColor="text1"/>
                <w:sz w:val="21"/>
              </w:rPr>
              <w:t xml:space="preserve">ResNet+GRU yes/no subset reaches high reliability; free generation runs can collapse to unknown outputs</w:t>
            </w:r>
            <w:r>
              <w:rPr>
                <w:color w:val="000000" w:themeColor="text1"/>
              </w:rPr>
            </w:r>
            <w:r>
              <w:rPr>
                <w:color w:val="000000" w:themeColor="text1"/>
              </w:rPr>
            </w:r>
          </w:p>
        </w:tc>
        <w:tc>
          <w:tcPr>
            <w:tcBorders/>
            <w:tcW w:w="2880" w:type="dxa"/>
            <w:textDirection w:val="lrTb"/>
            <w:noWrap w:val="false"/>
          </w:tcPr>
          <w:p w14:paraId="45F660E5">
            <w:pPr>
              <w:pBdr/>
              <w:spacing w:after="0" w:before="0" w:line="240" w:lineRule="auto"/>
              <w:ind/>
              <w:rPr>
                <w:color w:val="000000" w:themeColor="text1"/>
              </w:rPr>
            </w:pPr>
            <w:r>
              <w:rPr>
                <w:rFonts w:ascii="Arial" w:hAnsi="Arial" w:eastAsia="Arial" w:cs="Arial"/>
                <w:color w:val="000000" w:themeColor="text1"/>
                <w:sz w:val="21"/>
              </w:rPr>
              <w:t xml:space="preserve">Constrained answer spaces remain highly effective for deterministic clinical sub-questions</w:t>
            </w:r>
            <w:r>
              <w:rPr>
                <w:color w:val="000000" w:themeColor="text1"/>
              </w:rPr>
            </w:r>
            <w:r>
              <w:rPr>
                <w:color w:val="000000" w:themeColor="text1"/>
              </w:rPr>
            </w:r>
          </w:p>
        </w:tc>
      </w:tr>
      <w:tr>
        <w:trPr/>
        <w:tc>
          <w:tcPr>
            <w:tcBorders/>
            <w:tcW w:w="2880" w:type="dxa"/>
            <w:textDirection w:val="lrTb"/>
            <w:noWrap w:val="false"/>
          </w:tcPr>
          <w:p w14:paraId="13C4E16E">
            <w:pPr>
              <w:pBdr/>
              <w:spacing w:after="0" w:before="0" w:line="240" w:lineRule="auto"/>
              <w:ind/>
              <w:rPr>
                <w:color w:val="000000" w:themeColor="text1"/>
              </w:rPr>
            </w:pPr>
            <w:r>
              <w:rPr>
                <w:rFonts w:ascii="Arial" w:hAnsi="Arial" w:eastAsia="Arial" w:cs="Arial"/>
                <w:color w:val="000000" w:themeColor="text1"/>
                <w:sz w:val="21"/>
              </w:rPr>
              <w:t xml:space="preserve">Kvasir-VQA-x1 </w:t>
            </w:r>
            <w:r>
              <w:rPr>
                <w:color w:val="000000" w:themeColor="text1"/>
              </w:rPr>
            </w:r>
            <w:r>
              <w:rPr>
                <w:color w:val="000000" w:themeColor="text1"/>
              </w:rPr>
            </w:r>
          </w:p>
        </w:tc>
        <w:tc>
          <w:tcPr>
            <w:tcBorders/>
            <w:tcW w:w="2880" w:type="dxa"/>
            <w:textDirection w:val="lrTb"/>
            <w:noWrap w:val="false"/>
          </w:tcPr>
          <w:p w14:paraId="54B34E26">
            <w:pPr>
              <w:pBdr/>
              <w:spacing w:after="0" w:before="0" w:line="240" w:lineRule="auto"/>
              <w:ind/>
              <w:rPr>
                <w:color w:val="000000" w:themeColor="text1"/>
              </w:rPr>
            </w:pPr>
            <w:r>
              <w:rPr>
                <w:rFonts w:ascii="Arial" w:hAnsi="Arial" w:eastAsia="Arial" w:cs="Arial"/>
                <w:color w:val="000000" w:themeColor="text1"/>
                <w:sz w:val="21"/>
              </w:rPr>
              <w:t xml:space="preserve">LoRA improves token-level generative metrics; exact-match remains challenging</w:t>
            </w:r>
            <w:r>
              <w:rPr>
                <w:color w:val="000000" w:themeColor="text1"/>
              </w:rPr>
            </w:r>
            <w:r>
              <w:rPr>
                <w:color w:val="000000" w:themeColor="text1"/>
              </w:rPr>
            </w:r>
          </w:p>
        </w:tc>
        <w:tc>
          <w:tcPr>
            <w:tcBorders/>
            <w:tcW w:w="2880" w:type="dxa"/>
            <w:textDirection w:val="lrTb"/>
            <w:noWrap w:val="false"/>
          </w:tcPr>
          <w:p w14:paraId="1E686707">
            <w:pPr>
              <w:pBdr/>
              <w:spacing w:after="0" w:before="0" w:line="240" w:lineRule="auto"/>
              <w:ind/>
              <w:rPr>
                <w:color w:val="000000" w:themeColor="text1"/>
              </w:rPr>
            </w:pPr>
            <w:r>
              <w:rPr>
                <w:rFonts w:ascii="Arial" w:hAnsi="Arial" w:eastAsia="Arial" w:cs="Arial"/>
                <w:color w:val="000000" w:themeColor="text1"/>
                <w:sz w:val="21"/>
              </w:rPr>
              <w:t xml:space="preserve">Reasoning-rich QA increases complexity; output normalization and grounding are central</w:t>
            </w:r>
            <w:r>
              <w:rPr>
                <w:color w:val="000000" w:themeColor="text1"/>
              </w:rPr>
            </w:r>
            <w:r>
              <w:rPr>
                <w:color w:val="000000" w:themeColor="text1"/>
              </w:rPr>
            </w:r>
          </w:p>
        </w:tc>
      </w:tr>
      <w:tr>
        <w:trPr/>
        <w:tc>
          <w:tcPr>
            <w:tcBorders/>
            <w:tcW w:w="2880" w:type="dxa"/>
            <w:textDirection w:val="lrTb"/>
            <w:noWrap w:val="false"/>
          </w:tcPr>
          <w:p w14:paraId="467BFADC">
            <w:pPr>
              <w:pBdr/>
              <w:spacing w:after="0" w:before="0" w:line="240" w:lineRule="auto"/>
              <w:ind/>
              <w:rPr>
                <w:color w:val="000000" w:themeColor="text1"/>
              </w:rPr>
            </w:pPr>
            <w:r>
              <w:rPr>
                <w:rFonts w:ascii="Arial" w:hAnsi="Arial" w:eastAsia="Arial" w:cs="Arial"/>
                <w:color w:val="000000" w:themeColor="text1"/>
                <w:sz w:val="21"/>
              </w:rPr>
              <w:t xml:space="preserve">LIMUC severity </w:t>
            </w:r>
            <w:r>
              <w:rPr>
                <w:color w:val="000000" w:themeColor="text1"/>
              </w:rPr>
            </w:r>
            <w:r>
              <w:rPr>
                <w:color w:val="000000" w:themeColor="text1"/>
              </w:rPr>
            </w:r>
          </w:p>
        </w:tc>
        <w:tc>
          <w:tcPr>
            <w:tcBorders/>
            <w:tcW w:w="2880" w:type="dxa"/>
            <w:textDirection w:val="lrTb"/>
            <w:noWrap w:val="false"/>
          </w:tcPr>
          <w:p w14:paraId="3E42BFC8">
            <w:pPr>
              <w:pBdr/>
              <w:spacing w:after="0" w:before="0" w:line="240" w:lineRule="auto"/>
              <w:ind/>
              <w:rPr>
                <w:color w:val="000000" w:themeColor="text1"/>
              </w:rPr>
            </w:pPr>
            <w:r>
              <w:rPr>
                <w:rFonts w:ascii="Arial" w:hAnsi="Arial" w:eastAsia="Arial" w:cs="Arial"/>
                <w:color w:val="000000" w:themeColor="text1"/>
                <w:sz w:val="21"/>
              </w:rPr>
              <w:t xml:space="preserve">Fine-tuned ResNet50 leads macro-F1 and QWK; zero-shot VLM underperforms severe-class reliability</w:t>
            </w:r>
            <w:r>
              <w:rPr>
                <w:color w:val="000000" w:themeColor="text1"/>
              </w:rPr>
            </w:r>
            <w:r>
              <w:rPr>
                <w:color w:val="000000" w:themeColor="text1"/>
              </w:rPr>
            </w:r>
          </w:p>
        </w:tc>
        <w:tc>
          <w:tcPr>
            <w:tcBorders/>
            <w:tcW w:w="2880" w:type="dxa"/>
            <w:textDirection w:val="lrTb"/>
            <w:noWrap w:val="false"/>
          </w:tcPr>
          <w:p w14:paraId="7A08B005">
            <w:pPr>
              <w:pBdr/>
              <w:spacing w:after="0" w:before="0" w:line="240" w:lineRule="auto"/>
              <w:ind/>
              <w:rPr>
                <w:color w:val="000000" w:themeColor="text1"/>
              </w:rPr>
            </w:pPr>
            <w:r>
              <w:rPr>
                <w:rFonts w:ascii="Arial" w:hAnsi="Arial" w:eastAsia="Arial" w:cs="Arial"/>
                <w:color w:val="000000" w:themeColor="text1"/>
                <w:sz w:val="21"/>
              </w:rPr>
              <w:t xml:space="preserve">UC severity tasks favor domain-tuned supervised pipelines with ordinal-aware evaluation</w:t>
            </w:r>
            <w:r>
              <w:rPr>
                <w:color w:val="000000" w:themeColor="text1"/>
              </w:rPr>
            </w:r>
            <w:r>
              <w:rPr>
                <w:color w:val="000000" w:themeColor="text1"/>
              </w:rPr>
            </w:r>
          </w:p>
        </w:tc>
      </w:tr>
    </w:tbl>
    <w:p w14:paraId="7E82BEBE">
      <w:pPr>
        <w:pStyle w:val="1128"/>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highlight w:val="none"/>
        </w:rPr>
      </w:pP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tab/>
      </w:r>
      <w:r>
        <w:rPr>
          <w:rFonts w:ascii="Arial" w:hAnsi="Arial" w:eastAsia="Arial" w:cs="Arial"/>
          <w:b w:val="0"/>
          <w:bCs w:val="0"/>
          <w:i w:val="0"/>
          <w:caps w:val="0"/>
          <w:smallCaps w:val="0"/>
          <w:color w:val="000000" w:themeColor="text1" w:themeTint="FF" w:themeShade="FF"/>
          <w:sz w:val="22"/>
          <w:szCs w:val="22"/>
        </w:rPr>
        <w:t xml:space="preserve">Table 2.9. Repository Evidence Snapshot and Method Implications</w:t>
      </w:r>
      <w:r>
        <w:rPr>
          <w:rFonts w:ascii="Arial" w:hAnsi="Arial" w:eastAsia="Arial" w:cs="Arial"/>
          <w:b w:val="0"/>
          <w:bCs w:val="0"/>
          <w:i w:val="0"/>
          <w:caps w:val="0"/>
          <w:smallCaps w:val="0"/>
          <w:color w:val="000000" w:themeColor="text1" w:themeTint="FF" w:themeShade="FF"/>
          <w:sz w:val="22"/>
          <w:szCs w:val="22"/>
          <w:highlight w:val="none"/>
        </w:rPr>
      </w:r>
      <w:r>
        <w:rPr>
          <w:rFonts w:ascii="Arial" w:hAnsi="Arial" w:eastAsia="Arial" w:cs="Arial"/>
          <w:b w:val="0"/>
          <w:bCs w:val="0"/>
          <w:i w:val="0"/>
          <w:caps w:val="0"/>
          <w:smallCaps w:val="0"/>
          <w:color w:val="000000" w:themeColor="text1" w:themeTint="FF" w:themeShade="FF"/>
          <w:sz w:val="22"/>
          <w:szCs w:val="22"/>
          <w:highlight w:val="none"/>
        </w:rPr>
      </w:r>
    </w:p>
    <w:p w14:paraId="0851EB46">
      <w:pPr>
        <w:pStyle w:val="1128"/>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themeTint="FF" w:themeShade="FF"/>
          <w:sz w:val="22"/>
          <w:szCs w:val="22"/>
        </w:rPr>
        <w:t xml:space="preserve">2.9.2 Interpretation</w:t>
      </w:r>
      <w:r>
        <w:rPr>
          <w:b/>
          <w:bCs/>
        </w:rPr>
      </w:r>
      <w:r>
        <w:rPr>
          <w:b/>
          <w:bCs/>
        </w:rPr>
      </w:r>
    </w:p>
    <w:p w14:paraId="1ECA3693">
      <w:pPr>
        <w:pStyle w:val="112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The local results align with broader literature:</w:t>
      </w:r>
      <w:r>
        <w:rPr>
          <w:rFonts w:ascii="Arial" w:hAnsi="Arial" w:eastAsia="Arial" w:cs="Arial"/>
          <w:b w:val="0"/>
          <w:bCs w:val="0"/>
          <w:i w:val="0"/>
          <w:caps w:val="0"/>
          <w:smallCaps w:val="0"/>
          <w:color w:val="000000" w:themeColor="text1" w:themeTint="FF" w:themeShade="FF"/>
          <w:sz w:val="22"/>
          <w:szCs w:val="22"/>
        </w:rPr>
      </w:r>
      <w:r/>
    </w:p>
    <w:p w14:paraId="7CB992DC">
      <w:pPr>
        <w:pStyle w:val="1128"/>
        <w:numPr>
          <w:ilvl w:val="0"/>
          <w:numId w:val="33"/>
        </w:numPr>
        <w:suppressLineNumbers w:val="false"/>
        <w:pBdr/>
        <w:spacing w:after="240" w:afterAutospacing="0" w:before="240" w:beforeAutospacing="0" w:line="240" w:lineRule="auto"/>
        <w:ind/>
        <w:rPr/>
      </w:pPr>
      <w:r>
        <w:rPr>
          <w:rFonts w:ascii="Arial" w:hAnsi="Arial" w:eastAsia="Arial" w:cs="Arial"/>
          <w:b w:val="0"/>
          <w:bCs w:val="0"/>
          <w:i w:val="0"/>
          <w:caps w:val="0"/>
          <w:smallCaps w:val="0"/>
          <w:color w:val="000000" w:themeColor="text1" w:themeTint="FF" w:themeShade="FF"/>
          <w:sz w:val="22"/>
          <w:szCs w:val="22"/>
        </w:rPr>
        <w:t xml:space="preserve">constrained/fine-tuned pipelines are still the reliability baseline in GI tasks;</w:t>
      </w:r>
      <w:r/>
    </w:p>
    <w:p w14:paraId="4EF1847C">
      <w:pPr>
        <w:pStyle w:val="1128"/>
        <w:numPr>
          <w:ilvl w:val="0"/>
          <w:numId w:val="33"/>
        </w:numPr>
        <w:suppressLineNumbers w:val="false"/>
        <w:pBdr/>
        <w:spacing w:after="240" w:afterAutospacing="0" w:before="240" w:beforeAutospacing="0" w:line="240" w:lineRule="auto"/>
        <w:ind/>
        <w:rPr/>
      </w:pPr>
      <w:r>
        <w:rPr>
          <w:rFonts w:ascii="Arial" w:hAnsi="Arial" w:eastAsia="Arial" w:cs="Arial"/>
          <w:b w:val="0"/>
          <w:bCs w:val="0"/>
          <w:i w:val="0"/>
          <w:caps w:val="0"/>
          <w:smallCaps w:val="0"/>
          <w:color w:val="000000" w:themeColor="text1" w:themeTint="FF" w:themeShade="FF"/>
          <w:sz w:val="22"/>
          <w:szCs w:val="22"/>
        </w:rPr>
        <w:t xml:space="preserve">generative models provide flexibility but require strict controls;</w:t>
      </w:r>
      <w:r/>
    </w:p>
    <w:p w14:paraId="26F1D129">
      <w:pPr>
        <w:pStyle w:val="1128"/>
        <w:numPr>
          <w:ilvl w:val="0"/>
          <w:numId w:val="33"/>
        </w:numPr>
        <w:suppressLineNumbers w:val="false"/>
        <w:pBdr/>
        <w:spacing w:after="240" w:afterAutospacing="0" w:before="240" w:beforeAutospacing="0" w:line="240" w:lineRule="auto"/>
        <w:ind/>
        <w:rPr/>
      </w:pPr>
      <w:r>
        <w:rPr>
          <w:rFonts w:ascii="Arial" w:hAnsi="Arial" w:eastAsia="Arial" w:cs="Arial"/>
          <w:b w:val="0"/>
          <w:bCs w:val="0"/>
          <w:i w:val="0"/>
          <w:caps w:val="0"/>
          <w:smallCaps w:val="0"/>
          <w:color w:val="000000" w:themeColor="text1" w:themeTint="FF" w:themeShade="FF"/>
          <w:sz w:val="22"/>
          <w:szCs w:val="22"/>
        </w:rPr>
        <w:t xml:space="preserve">evaluation must emphasize classwise and severity-aware behavior, not only aggregate scores.</w:t>
      </w:r>
      <w:r/>
    </w:p>
    <w:p w14:paraId="2F6E378E">
      <w:pPr>
        <w:pStyle w:val="1128"/>
        <w:suppressLineNumbers w:val="false"/>
        <w:pBdr/>
        <w:spacing w:after="240" w:afterAutospacing="0" w:before="240" w:beforeAutospacing="0" w:line="300" w:lineRule="auto"/>
        <w:ind w:firstLine="0"/>
        <w:rPr>
          <w:b/>
          <w:bCs/>
          <w:sz w:val="28"/>
          <w:szCs w:val="28"/>
        </w:rPr>
      </w:pPr>
      <w:r>
        <w:rPr>
          <w:rFonts w:ascii="Arial" w:hAnsi="Arial" w:eastAsia="Arial" w:cs="Arial"/>
          <w:b/>
          <w:bCs/>
          <w:i w:val="0"/>
          <w:caps w:val="0"/>
          <w:smallCaps w:val="0"/>
          <w:color w:val="000000" w:themeColor="text1" w:themeTint="FF" w:themeShade="FF"/>
          <w:sz w:val="28"/>
          <w:szCs w:val="28"/>
        </w:rPr>
        <w:t xml:space="preserve">2.10 Key Gaps and Open Problems</w:t>
      </w:r>
      <w:r>
        <w:rPr>
          <w:b/>
          <w:bCs/>
          <w:sz w:val="28"/>
          <w:szCs w:val="28"/>
        </w:rPr>
      </w:r>
      <w:r>
        <w:rPr>
          <w:b/>
          <w:bCs/>
          <w:sz w:val="28"/>
          <w:szCs w:val="28"/>
        </w:rPr>
      </w:r>
    </w:p>
    <w:p w14:paraId="165A343F">
      <w:pPr>
        <w:pStyle w:val="1128"/>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themeTint="FF" w:themeShade="FF"/>
          <w:sz w:val="22"/>
          <w:szCs w:val="22"/>
        </w:rPr>
        <w:t xml:space="preserve">2.10.1 Data and Annotation Gaps</w:t>
      </w:r>
      <w:r>
        <w:rPr>
          <w:b/>
          <w:bCs/>
        </w:rPr>
      </w:r>
      <w:r>
        <w:rPr>
          <w:b/>
          <w:bCs/>
        </w:rPr>
      </w:r>
    </w:p>
    <w:p w14:paraId="736F5294">
      <w:pPr>
        <w:pStyle w:val="1128"/>
        <w:numPr>
          <w:ilvl w:val="0"/>
          <w:numId w:val="34"/>
        </w:numPr>
        <w:suppressLineNumbers w:val="false"/>
        <w:pBdr/>
        <w:spacing w:after="240" w:afterAutospacing="0" w:before="240" w:beforeAutospacing="0" w:line="120" w:lineRule="auto"/>
        <w:ind/>
        <w:rPr/>
      </w:pPr>
      <w:r>
        <w:rPr>
          <w:rFonts w:ascii="Arial" w:hAnsi="Arial" w:eastAsia="Arial" w:cs="Arial"/>
          <w:b w:val="0"/>
          <w:bCs w:val="0"/>
          <w:i w:val="0"/>
          <w:caps w:val="0"/>
          <w:smallCaps w:val="0"/>
          <w:color w:val="000000" w:themeColor="text1" w:themeTint="FF" w:themeShade="FF"/>
          <w:sz w:val="22"/>
          <w:szCs w:val="22"/>
        </w:rPr>
        <w:t xml:space="preserve">Severe-class and rare-finding imbalance remains substantial.</w:t>
      </w:r>
      <w:r/>
    </w:p>
    <w:p w14:paraId="007DEECA">
      <w:pPr>
        <w:pStyle w:val="1128"/>
        <w:numPr>
          <w:ilvl w:val="0"/>
          <w:numId w:val="34"/>
        </w:numPr>
        <w:suppressLineNumbers w:val="false"/>
        <w:pBdr/>
        <w:spacing w:after="240" w:afterAutospacing="0" w:before="240" w:beforeAutospacing="0" w:line="120" w:lineRule="auto"/>
        <w:ind/>
        <w:rPr/>
      </w:pPr>
      <w:r>
        <w:rPr>
          <w:rFonts w:ascii="Arial" w:hAnsi="Arial" w:eastAsia="Arial" w:cs="Arial"/>
          <w:b w:val="0"/>
          <w:bCs w:val="0"/>
          <w:i w:val="0"/>
          <w:caps w:val="0"/>
          <w:smallCaps w:val="0"/>
          <w:color w:val="000000" w:themeColor="text1" w:themeTint="FF" w:themeShade="FF"/>
          <w:sz w:val="22"/>
          <w:szCs w:val="22"/>
        </w:rPr>
        <w:t xml:space="preserve">Cross-center, cross-device robustness evidence is still limited for GI VQA.</w:t>
      </w:r>
      <w:r/>
    </w:p>
    <w:p w14:paraId="359BBA8D">
      <w:pPr>
        <w:pStyle w:val="1128"/>
        <w:numPr>
          <w:ilvl w:val="0"/>
          <w:numId w:val="34"/>
        </w:numPr>
        <w:suppressLineNumbers w:val="false"/>
        <w:pBdr/>
        <w:spacing w:after="240" w:afterAutospacing="0" w:before="240" w:beforeAutospacing="0" w:line="120" w:lineRule="auto"/>
        <w:ind/>
        <w:rPr/>
      </w:pPr>
      <w:r>
        <w:rPr>
          <w:rFonts w:ascii="Arial" w:hAnsi="Arial" w:eastAsia="Arial" w:cs="Arial"/>
          <w:b w:val="0"/>
          <w:bCs w:val="0"/>
          <w:i w:val="0"/>
          <w:caps w:val="0"/>
          <w:smallCaps w:val="0"/>
          <w:color w:val="000000" w:themeColor="text1" w:themeTint="FF" w:themeShade="FF"/>
          <w:sz w:val="22"/>
          <w:szCs w:val="22"/>
        </w:rPr>
        <w:t xml:space="preserve">Multi-image/video QA is growing but still comparatively immature.</w:t>
      </w:r>
      <w:r/>
    </w:p>
    <w:p w14:paraId="275BD225">
      <w:pPr>
        <w:pStyle w:val="1128"/>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themeTint="FF" w:themeShade="FF"/>
          <w:sz w:val="22"/>
          <w:szCs w:val="22"/>
        </w:rPr>
        <w:t xml:space="preserve">2.10.2 Model and Grounding Gaps</w:t>
      </w:r>
      <w:r>
        <w:rPr>
          <w:b/>
          <w:bCs/>
        </w:rPr>
      </w:r>
      <w:r>
        <w:rPr>
          <w:b/>
          <w:bCs/>
        </w:rPr>
      </w:r>
    </w:p>
    <w:p w14:paraId="02D2C820">
      <w:pPr>
        <w:pStyle w:val="1128"/>
        <w:numPr>
          <w:ilvl w:val="0"/>
          <w:numId w:val="35"/>
        </w:numPr>
        <w:suppressLineNumbers w:val="false"/>
        <w:pBdr/>
        <w:spacing w:after="240" w:afterAutospacing="0" w:before="240" w:beforeAutospacing="0" w:line="120" w:lineRule="auto"/>
        <w:ind/>
        <w:rPr/>
      </w:pPr>
      <w:r>
        <w:rPr>
          <w:rFonts w:ascii="Arial" w:hAnsi="Arial" w:eastAsia="Arial" w:cs="Arial"/>
          <w:b w:val="0"/>
          <w:bCs w:val="0"/>
          <w:i w:val="0"/>
          <w:caps w:val="0"/>
          <w:smallCaps w:val="0"/>
          <w:color w:val="000000" w:themeColor="text1" w:themeTint="FF" w:themeShade="FF"/>
          <w:sz w:val="22"/>
          <w:szCs w:val="22"/>
        </w:rPr>
        <w:t xml:space="preserve">Open-ended outputs often outpace grounding reliability.</w:t>
      </w:r>
      <w:r/>
    </w:p>
    <w:p w14:paraId="5462D4E3">
      <w:pPr>
        <w:pStyle w:val="1128"/>
        <w:numPr>
          <w:ilvl w:val="0"/>
          <w:numId w:val="35"/>
        </w:numPr>
        <w:suppressLineNumbers w:val="false"/>
        <w:pBdr/>
        <w:spacing w:after="240" w:afterAutospacing="0" w:before="240" w:beforeAutospacing="0" w:line="240" w:lineRule="auto"/>
        <w:ind/>
        <w:rPr/>
      </w:pPr>
      <w:r>
        <w:rPr>
          <w:rFonts w:ascii="Arial" w:hAnsi="Arial" w:eastAsia="Arial" w:cs="Arial"/>
          <w:b w:val="0"/>
          <w:bCs w:val="0"/>
          <w:i w:val="0"/>
          <w:caps w:val="0"/>
          <w:smallCaps w:val="0"/>
          <w:color w:val="000000" w:themeColor="text1" w:themeTint="FF" w:themeShade="FF"/>
          <w:sz w:val="22"/>
          <w:szCs w:val="22"/>
        </w:rPr>
        <w:t xml:space="preserve">General-domain zero-shot transfer remains unstable for specialized GI semantics.</w:t>
      </w:r>
      <w:r/>
    </w:p>
    <w:p w14:paraId="604F3B6D">
      <w:pPr>
        <w:pStyle w:val="1128"/>
        <w:numPr>
          <w:ilvl w:val="0"/>
          <w:numId w:val="35"/>
        </w:numPr>
        <w:suppressLineNumbers w:val="false"/>
        <w:pBdr/>
        <w:spacing w:after="240" w:afterAutospacing="0" w:before="240" w:beforeAutospacing="0" w:line="120" w:lineRule="auto"/>
        <w:ind/>
        <w:rPr/>
      </w:pPr>
      <w:r>
        <w:rPr>
          <w:rFonts w:ascii="Arial" w:hAnsi="Arial" w:eastAsia="Arial" w:cs="Arial"/>
          <w:b w:val="0"/>
          <w:bCs w:val="0"/>
          <w:i w:val="0"/>
          <w:caps w:val="0"/>
          <w:smallCaps w:val="0"/>
          <w:color w:val="000000" w:themeColor="text1" w:themeTint="FF" w:themeShade="FF"/>
          <w:sz w:val="22"/>
          <w:szCs w:val="22"/>
        </w:rPr>
        <w:t xml:space="preserve">Explainability outputs are not yet standardized across benchmarks.</w:t>
      </w:r>
      <w:r/>
    </w:p>
    <w:p w14:paraId="2E4EAA34">
      <w:pPr>
        <w:pStyle w:val="1128"/>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themeTint="FF" w:themeShade="FF"/>
          <w:sz w:val="22"/>
          <w:szCs w:val="22"/>
        </w:rPr>
        <w:t xml:space="preserve">2.10.3 Evaluation and Reproducibility Gaps</w:t>
      </w:r>
      <w:r>
        <w:rPr>
          <w:b/>
          <w:bCs/>
        </w:rPr>
      </w:r>
      <w:r>
        <w:rPr>
          <w:b/>
          <w:bCs/>
        </w:rPr>
      </w:r>
    </w:p>
    <w:p w14:paraId="21F7ACDF">
      <w:pPr>
        <w:pStyle w:val="1128"/>
        <w:numPr>
          <w:ilvl w:val="0"/>
          <w:numId w:val="36"/>
        </w:numPr>
        <w:suppressLineNumbers w:val="false"/>
        <w:pBdr/>
        <w:spacing w:after="240" w:afterAutospacing="0" w:before="240" w:beforeAutospacing="0" w:line="120" w:lineRule="auto"/>
        <w:ind/>
        <w:rPr/>
      </w:pPr>
      <w:r>
        <w:rPr>
          <w:rFonts w:ascii="Arial" w:hAnsi="Arial" w:eastAsia="Arial" w:cs="Arial"/>
          <w:b w:val="0"/>
          <w:bCs w:val="0"/>
          <w:i w:val="0"/>
          <w:caps w:val="0"/>
          <w:smallCaps w:val="0"/>
          <w:color w:val="000000" w:themeColor="text1" w:themeTint="FF" w:themeShade="FF"/>
          <w:sz w:val="22"/>
          <w:szCs w:val="22"/>
        </w:rPr>
        <w:t xml:space="preserve">Metric heterogeneity hinders fair cross-study comparison.</w:t>
      </w:r>
      <w:r/>
    </w:p>
    <w:p w14:paraId="3F8EFE60">
      <w:pPr>
        <w:pStyle w:val="1128"/>
        <w:numPr>
          <w:ilvl w:val="0"/>
          <w:numId w:val="36"/>
        </w:numPr>
        <w:suppressLineNumbers w:val="false"/>
        <w:pBdr/>
        <w:spacing w:after="240" w:afterAutospacing="0" w:before="240" w:beforeAutospacing="0" w:line="120" w:lineRule="auto"/>
        <w:ind/>
        <w:rPr/>
      </w:pPr>
      <w:r>
        <w:rPr>
          <w:rFonts w:ascii="Arial" w:hAnsi="Arial" w:eastAsia="Arial" w:cs="Arial"/>
          <w:b w:val="0"/>
          <w:bCs w:val="0"/>
          <w:i w:val="0"/>
          <w:caps w:val="0"/>
          <w:smallCaps w:val="0"/>
          <w:color w:val="000000" w:themeColor="text1" w:themeTint="FF" w:themeShade="FF"/>
          <w:sz w:val="22"/>
          <w:szCs w:val="22"/>
        </w:rPr>
        <w:t xml:space="preserve">Many studies still lack calibration and statistical confidence reporting.</w:t>
      </w:r>
      <w:r/>
    </w:p>
    <w:p w14:paraId="4ACECCA9">
      <w:pPr>
        <w:pStyle w:val="1128"/>
        <w:numPr>
          <w:ilvl w:val="0"/>
          <w:numId w:val="36"/>
        </w:numPr>
        <w:suppressLineNumbers w:val="false"/>
        <w:pBdr/>
        <w:spacing w:after="240" w:afterAutospacing="0" w:before="240" w:beforeAutospacing="0" w:line="120" w:lineRule="auto"/>
        <w:ind/>
        <w:rPr/>
      </w:pPr>
      <w:r>
        <w:rPr>
          <w:rFonts w:ascii="Arial" w:hAnsi="Arial" w:eastAsia="Arial" w:cs="Arial"/>
          <w:b w:val="0"/>
          <w:bCs w:val="0"/>
          <w:i w:val="0"/>
          <w:caps w:val="0"/>
          <w:smallCaps w:val="0"/>
          <w:color w:val="000000" w:themeColor="text1" w:themeTint="FF" w:themeShade="FF"/>
          <w:sz w:val="22"/>
          <w:szCs w:val="22"/>
        </w:rPr>
        <w:t xml:space="preserve">Clinical utility is often inferred indirectly from generic NLP overlap metrics.</w:t>
      </w:r>
      <w:r/>
    </w:p>
    <w:p w14:paraId="49E9E979">
      <w:pPr>
        <w:pStyle w:val="1128"/>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themeTint="FF" w:themeShade="FF"/>
          <w:sz w:val="22"/>
          <w:szCs w:val="22"/>
        </w:rPr>
        <w:t xml:space="preserve">2.10.4 Translational Gaps</w:t>
      </w:r>
      <w:r>
        <w:rPr>
          <w:b/>
          <w:bCs/>
        </w:rPr>
      </w:r>
      <w:r>
        <w:rPr>
          <w:b/>
          <w:bCs/>
        </w:rPr>
      </w:r>
    </w:p>
    <w:p w14:paraId="056EF50C">
      <w:pPr>
        <w:pStyle w:val="1128"/>
        <w:numPr>
          <w:ilvl w:val="0"/>
          <w:numId w:val="37"/>
        </w:numPr>
        <w:suppressLineNumbers w:val="false"/>
        <w:pBdr/>
        <w:spacing w:after="240" w:afterAutospacing="0" w:before="240" w:beforeAutospacing="0" w:line="120" w:lineRule="auto"/>
        <w:ind/>
        <w:rPr/>
      </w:pPr>
      <w:r>
        <w:rPr>
          <w:rFonts w:ascii="Arial" w:hAnsi="Arial" w:eastAsia="Arial" w:cs="Arial"/>
          <w:b w:val="0"/>
          <w:bCs w:val="0"/>
          <w:i w:val="0"/>
          <w:caps w:val="0"/>
          <w:smallCaps w:val="0"/>
          <w:color w:val="000000" w:themeColor="text1" w:themeTint="FF" w:themeShade="FF"/>
          <w:sz w:val="22"/>
          <w:szCs w:val="22"/>
        </w:rPr>
        <w:t xml:space="preserve">Few studies evaluate full clinician-in-the-loop workflows.</w:t>
      </w:r>
      <w:r/>
    </w:p>
    <w:p w14:paraId="58C61128">
      <w:pPr>
        <w:pStyle w:val="1128"/>
        <w:numPr>
          <w:ilvl w:val="0"/>
          <w:numId w:val="37"/>
        </w:numPr>
        <w:suppressLineNumbers w:val="false"/>
        <w:pBdr/>
        <w:spacing w:after="240" w:afterAutospacing="0" w:before="240" w:beforeAutospacing="0" w:line="120" w:lineRule="auto"/>
        <w:ind/>
        <w:rPr/>
      </w:pPr>
      <w:r>
        <w:rPr>
          <w:rFonts w:ascii="Arial" w:hAnsi="Arial" w:eastAsia="Arial" w:cs="Arial"/>
          <w:b w:val="0"/>
          <w:bCs w:val="0"/>
          <w:i w:val="0"/>
          <w:caps w:val="0"/>
          <w:smallCaps w:val="0"/>
          <w:color w:val="000000" w:themeColor="text1" w:themeTint="FF" w:themeShade="FF"/>
          <w:sz w:val="22"/>
          <w:szCs w:val="22"/>
        </w:rPr>
        <w:t xml:space="preserve">Escalation policies for uncertain/high-risk outputs are seldom formalized.</w:t>
      </w:r>
      <w:r/>
    </w:p>
    <w:p w14:paraId="45C18330">
      <w:pPr>
        <w:pStyle w:val="1128"/>
        <w:numPr>
          <w:ilvl w:val="0"/>
          <w:numId w:val="37"/>
        </w:numPr>
        <w:suppressLineNumbers w:val="false"/>
        <w:pBdr/>
        <w:spacing w:after="240" w:afterAutospacing="0" w:before="240" w:beforeAutospacing="0" w:line="120" w:lineRule="auto"/>
        <w:ind/>
        <w:rPr/>
      </w:pPr>
      <w:r>
        <w:rPr>
          <w:rFonts w:ascii="Arial" w:hAnsi="Arial" w:eastAsia="Arial" w:cs="Arial"/>
          <w:b w:val="0"/>
          <w:bCs w:val="0"/>
          <w:i w:val="0"/>
          <w:caps w:val="0"/>
          <w:smallCaps w:val="0"/>
          <w:color w:val="000000" w:themeColor="text1" w:themeTint="FF" w:themeShade="FF"/>
          <w:sz w:val="22"/>
          <w:szCs w:val="22"/>
        </w:rPr>
        <w:t xml:space="preserve">Evidence-aware QA in GI remains promising but early-stage.</w:t>
      </w:r>
      <w:r/>
    </w:p>
    <w:p w14:paraId="422A64BE">
      <w:pPr>
        <w:pStyle w:val="1128"/>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themeTint="FF" w:themeShade="FF"/>
          <w:sz w:val="22"/>
          <w:szCs w:val="22"/>
        </w:rPr>
        <w:t xml:space="preserve">2.10.5 Threats to Validity (for This Survey and Downstream Design)</w:t>
      </w:r>
      <w:r>
        <w:rPr>
          <w:b/>
          <w:bCs/>
        </w:rPr>
      </w:r>
      <w:r>
        <w:rPr>
          <w:b/>
          <w:bCs/>
        </w:rPr>
      </w:r>
    </w:p>
    <w:p w14:paraId="72CE43EA">
      <w:pPr>
        <w:pStyle w:val="1128"/>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highlight w:val="none"/>
        </w:rPr>
      </w:pPr>
      <w:r>
        <w:rPr>
          <w:rFonts w:ascii="Arial" w:hAnsi="Arial" w:eastAsia="Arial" w:cs="Arial"/>
          <w:b w:val="0"/>
          <w:bCs w:val="0"/>
          <w:i w:val="0"/>
          <w:caps w:val="0"/>
          <w:smallCaps w:val="0"/>
          <w:color w:val="000000" w:themeColor="text1" w:themeTint="FF" w:themeShade="FF"/>
          <w:sz w:val="22"/>
          <w:szCs w:val="22"/>
        </w:rPr>
        <w:t xml:space="preserve">T</w:t>
      </w:r>
      <w:r>
        <w:rPr>
          <w:rFonts w:ascii="Arial" w:hAnsi="Arial" w:eastAsia="Arial" w:cs="Arial"/>
          <w:b w:val="0"/>
          <w:bCs w:val="0"/>
          <w:i w:val="0"/>
          <w:caps w:val="0"/>
          <w:smallCaps w:val="0"/>
          <w:color w:val="000000" w:themeColor="text1" w:themeTint="FF" w:themeShade="FF"/>
          <w:sz w:val="22"/>
          <w:szCs w:val="22"/>
        </w:rPr>
        <w:t xml:space="preserve">he main validity threats relevant to this chapter are: (1) dataset shift across devices/centers and acquisition protocols, (2) annotation variability in endoscopic severity labels, (3) question ambiguity and answer-space normalization effects in generative</w:t>
      </w:r>
      <w:r>
        <w:rPr>
          <w:rFonts w:ascii="Arial" w:hAnsi="Arial" w:eastAsia="Arial" w:cs="Arial"/>
          <w:b w:val="0"/>
          <w:bCs w:val="0"/>
          <w:i w:val="0"/>
          <w:caps w:val="0"/>
          <w:smallCaps w:val="0"/>
          <w:color w:val="000000" w:themeColor="text1" w:themeTint="FF" w:themeShade="FF"/>
          <w:sz w:val="22"/>
          <w:szCs w:val="22"/>
        </w:rPr>
        <w:t xml:space="preserve"> </w:t>
      </w:r>
      <w:r>
        <w:rPr>
          <w:rFonts w:ascii="Arial" w:hAnsi="Arial" w:eastAsia="Arial" w:cs="Arial"/>
          <w:b w:val="0"/>
          <w:bCs w:val="0"/>
          <w:i w:val="0"/>
          <w:caps w:val="0"/>
          <w:smallCaps w:val="0"/>
          <w:color w:val="000000" w:themeColor="text1" w:themeTint="FF" w:themeShade="FF"/>
          <w:sz w:val="22"/>
          <w:szCs w:val="22"/>
        </w:rPr>
        <w:t xml:space="preserve">settings, and (4) metric mismatch, where linguistic overlap does not guarantee clinical correctness. These threats are explicitly carried into the empirical design in later chapters through split-aware evaluation, classwise analysis, and scenario-level acc</w:t>
      </w:r>
      <w:r>
        <w:rPr>
          <w:rFonts w:ascii="Arial" w:hAnsi="Arial" w:eastAsia="Arial" w:cs="Arial"/>
          <w:b w:val="0"/>
          <w:bCs w:val="0"/>
          <w:i w:val="0"/>
          <w:caps w:val="0"/>
          <w:smallCaps w:val="0"/>
          <w:color w:val="000000" w:themeColor="text1" w:themeTint="FF" w:themeShade="FF"/>
          <w:sz w:val="22"/>
          <w:szCs w:val="22"/>
        </w:rPr>
        <w:t xml:space="preserve">eptance checks.</w:t>
      </w:r>
      <w:r>
        <w:rPr>
          <w:rFonts w:ascii="Arial" w:hAnsi="Arial" w:eastAsia="Arial" w:cs="Arial"/>
          <w:b w:val="0"/>
          <w:bCs w:val="0"/>
          <w:i w:val="0"/>
          <w:caps w:val="0"/>
          <w:smallCaps w:val="0"/>
          <w:color w:val="000000" w:themeColor="text1" w:themeTint="FF" w:themeShade="FF"/>
          <w:sz w:val="22"/>
          <w:szCs w:val="22"/>
          <w:highlight w:val="none"/>
        </w:rPr>
      </w:r>
      <w:r>
        <w:rPr>
          <w:rFonts w:ascii="Arial" w:hAnsi="Arial" w:eastAsia="Arial" w:cs="Arial"/>
          <w:b w:val="0"/>
          <w:bCs w:val="0"/>
          <w:i w:val="0"/>
          <w:caps w:val="0"/>
          <w:smallCaps w:val="0"/>
          <w:color w:val="000000" w:themeColor="text1" w:themeTint="FF" w:themeShade="FF"/>
          <w:sz w:val="22"/>
          <w:szCs w:val="22"/>
          <w:highlight w:val="none"/>
        </w:rPr>
      </w:r>
    </w:p>
    <w:p w14:paraId="16D49ED8">
      <w:pPr>
        <w:pStyle w:val="1128"/>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tbl>
      <w:tblPr>
        <w:tblStyle w:val="1185"/>
        <w:tblW w:w="0" w:type="auto"/>
        <w:tblBorders/>
        <w:tblLayout w:type="fixed"/>
        <w:tblLook w:val="04A0" w:firstRow="1" w:lastRow="0" w:firstColumn="1" w:lastColumn="0" w:noHBand="0" w:noVBand="1"/>
      </w:tblPr>
      <w:tblGrid>
        <w:gridCol w:w="2880"/>
        <w:gridCol w:w="5383"/>
      </w:tblGrid>
      <w:tr>
        <w:trPr/>
        <w:tc>
          <w:tcPr>
            <w:tcBorders/>
            <w:tcW w:w="2880" w:type="dxa"/>
            <w:textDirection w:val="lrTb"/>
            <w:noWrap w:val="false"/>
          </w:tcPr>
          <w:p w14:paraId="69C80FCB">
            <w:pPr>
              <w:pBdr/>
              <w:spacing w:after="0" w:before="0" w:line="240" w:lineRule="auto"/>
              <w:ind/>
              <w:rPr>
                <w:color w:val="000000" w:themeColor="text1"/>
              </w:rPr>
            </w:pPr>
            <w:r>
              <w:rPr>
                <w:rFonts w:ascii="Arial" w:hAnsi="Arial" w:eastAsia="Arial" w:cs="Arial"/>
                <w:b/>
                <w:color w:val="000000" w:themeColor="text1"/>
                <w:sz w:val="21"/>
              </w:rPr>
              <w:t xml:space="preserve">Observed gap</w:t>
            </w:r>
            <w:r>
              <w:rPr>
                <w:color w:val="000000" w:themeColor="text1"/>
              </w:rPr>
            </w:r>
            <w:r>
              <w:rPr>
                <w:color w:val="000000" w:themeColor="text1"/>
              </w:rPr>
            </w:r>
          </w:p>
        </w:tc>
        <w:tc>
          <w:tcPr>
            <w:tcBorders/>
            <w:tcW w:w="5383" w:type="dxa"/>
            <w:textDirection w:val="lrTb"/>
            <w:noWrap w:val="false"/>
          </w:tcPr>
          <w:p w14:paraId="28A62CF4">
            <w:pPr>
              <w:pBdr/>
              <w:spacing w:after="0" w:before="0" w:line="240" w:lineRule="auto"/>
              <w:ind/>
              <w:rPr>
                <w:color w:val="000000" w:themeColor="text1"/>
              </w:rPr>
            </w:pPr>
            <w:r>
              <w:rPr>
                <w:rFonts w:ascii="Arial" w:hAnsi="Arial" w:eastAsia="Arial" w:cs="Arial"/>
                <w:b/>
                <w:color w:val="000000" w:themeColor="text1"/>
                <w:sz w:val="21"/>
              </w:rPr>
              <w:t xml:space="preserve">Mitigation in this dissertation</w:t>
            </w:r>
            <w:r>
              <w:rPr>
                <w:color w:val="000000" w:themeColor="text1"/>
              </w:rPr>
            </w:r>
            <w:r>
              <w:rPr>
                <w:color w:val="000000" w:themeColor="text1"/>
              </w:rPr>
            </w:r>
          </w:p>
        </w:tc>
      </w:tr>
      <w:tr>
        <w:trPr/>
        <w:tc>
          <w:tcPr>
            <w:tcBorders/>
            <w:tcW w:w="2880" w:type="dxa"/>
            <w:textDirection w:val="lrTb"/>
            <w:noWrap w:val="false"/>
          </w:tcPr>
          <w:p w14:paraId="268E40AF">
            <w:pPr>
              <w:pBdr/>
              <w:spacing w:after="0" w:before="0" w:line="240" w:lineRule="auto"/>
              <w:ind/>
              <w:rPr>
                <w:color w:val="000000" w:themeColor="text1"/>
              </w:rPr>
            </w:pPr>
            <w:r>
              <w:rPr>
                <w:rFonts w:ascii="Arial" w:hAnsi="Arial" w:eastAsia="Arial" w:cs="Arial"/>
                <w:color w:val="000000" w:themeColor="text1"/>
                <w:sz w:val="21"/>
              </w:rPr>
              <w:t xml:space="preserve">Long-tail severe-class weakness</w:t>
            </w:r>
            <w:r>
              <w:rPr>
                <w:color w:val="000000" w:themeColor="text1"/>
              </w:rPr>
            </w:r>
            <w:r>
              <w:rPr>
                <w:color w:val="000000" w:themeColor="text1"/>
              </w:rPr>
            </w:r>
          </w:p>
        </w:tc>
        <w:tc>
          <w:tcPr>
            <w:tcBorders/>
            <w:tcW w:w="5383" w:type="dxa"/>
            <w:textDirection w:val="lrTb"/>
            <w:noWrap w:val="false"/>
          </w:tcPr>
          <w:p w14:paraId="638AB2E8">
            <w:pPr>
              <w:pBdr/>
              <w:spacing w:after="0" w:before="0" w:line="240" w:lineRule="auto"/>
              <w:ind/>
              <w:rPr>
                <w:color w:val="000000" w:themeColor="text1"/>
              </w:rPr>
            </w:pPr>
            <w:r>
              <w:rPr>
                <w:rFonts w:ascii="Arial" w:hAnsi="Arial" w:eastAsia="Arial" w:cs="Arial"/>
                <w:color w:val="000000" w:themeColor="text1"/>
                <w:sz w:val="21"/>
              </w:rPr>
              <w:t xml:space="preserve">Class-aware and severity-aware evaluation slices (Chapter 3, Chapter 4)</w:t>
            </w:r>
            <w:r>
              <w:rPr>
                <w:color w:val="000000" w:themeColor="text1"/>
              </w:rPr>
            </w:r>
            <w:r>
              <w:rPr>
                <w:color w:val="000000" w:themeColor="text1"/>
              </w:rPr>
            </w:r>
          </w:p>
        </w:tc>
      </w:tr>
      <w:tr>
        <w:trPr/>
        <w:tc>
          <w:tcPr>
            <w:tcBorders/>
            <w:tcW w:w="2880" w:type="dxa"/>
            <w:textDirection w:val="lrTb"/>
            <w:noWrap w:val="false"/>
          </w:tcPr>
          <w:p w14:paraId="55988CCD">
            <w:pPr>
              <w:pBdr/>
              <w:spacing w:after="0" w:before="0" w:line="240" w:lineRule="auto"/>
              <w:ind/>
              <w:rPr>
                <w:color w:val="000000" w:themeColor="text1"/>
              </w:rPr>
            </w:pPr>
            <w:r>
              <w:rPr>
                <w:rFonts w:ascii="Arial" w:hAnsi="Arial" w:eastAsia="Arial" w:cs="Arial"/>
                <w:color w:val="000000" w:themeColor="text1"/>
                <w:sz w:val="21"/>
              </w:rPr>
              <w:t xml:space="preserve">Zero-shot instability in GI</w:t>
            </w:r>
            <w:r>
              <w:rPr>
                <w:color w:val="000000" w:themeColor="text1"/>
              </w:rPr>
            </w:r>
            <w:r>
              <w:rPr>
                <w:color w:val="000000" w:themeColor="text1"/>
              </w:rPr>
            </w:r>
          </w:p>
        </w:tc>
        <w:tc>
          <w:tcPr>
            <w:tcBorders/>
            <w:tcW w:w="5383" w:type="dxa"/>
            <w:textDirection w:val="lrTb"/>
            <w:noWrap w:val="false"/>
          </w:tcPr>
          <w:p w14:paraId="70F9ABCB">
            <w:pPr>
              <w:pBdr/>
              <w:spacing w:after="0" w:before="0" w:line="240" w:lineRule="auto"/>
              <w:ind/>
              <w:rPr>
                <w:color w:val="000000" w:themeColor="text1"/>
              </w:rPr>
            </w:pPr>
            <w:r>
              <w:rPr>
                <w:rFonts w:ascii="Arial" w:hAnsi="Arial" w:eastAsia="Arial" w:cs="Arial"/>
                <w:color w:val="000000" w:themeColor="text1"/>
                <w:sz w:val="21"/>
              </w:rPr>
              <w:t xml:space="preserve">Strong supervised and constrained baselines before open generation extensions</w:t>
            </w:r>
            <w:r>
              <w:rPr>
                <w:color w:val="000000" w:themeColor="text1"/>
              </w:rPr>
            </w:r>
            <w:r>
              <w:rPr>
                <w:color w:val="000000" w:themeColor="text1"/>
              </w:rPr>
            </w:r>
          </w:p>
        </w:tc>
      </w:tr>
      <w:tr>
        <w:trPr/>
        <w:tc>
          <w:tcPr>
            <w:tcBorders/>
            <w:tcW w:w="2880" w:type="dxa"/>
            <w:textDirection w:val="lrTb"/>
            <w:noWrap w:val="false"/>
          </w:tcPr>
          <w:p w14:paraId="5A4ACED5">
            <w:pPr>
              <w:pBdr/>
              <w:spacing w:after="0" w:before="0" w:line="240" w:lineRule="auto"/>
              <w:ind/>
              <w:rPr>
                <w:color w:val="000000" w:themeColor="text1"/>
              </w:rPr>
            </w:pPr>
            <w:r>
              <w:rPr>
                <w:rFonts w:ascii="Arial" w:hAnsi="Arial" w:eastAsia="Arial" w:cs="Arial"/>
                <w:color w:val="000000" w:themeColor="text1"/>
                <w:sz w:val="21"/>
              </w:rPr>
              <w:t xml:space="preserve">Metric mismatch with clinical risk</w:t>
            </w:r>
            <w:r>
              <w:rPr>
                <w:color w:val="000000" w:themeColor="text1"/>
              </w:rPr>
            </w:r>
            <w:r>
              <w:rPr>
                <w:color w:val="000000" w:themeColor="text1"/>
              </w:rPr>
            </w:r>
          </w:p>
        </w:tc>
        <w:tc>
          <w:tcPr>
            <w:tcBorders/>
            <w:tcW w:w="5383" w:type="dxa"/>
            <w:textDirection w:val="lrTb"/>
            <w:noWrap w:val="false"/>
          </w:tcPr>
          <w:p w14:paraId="57B83473">
            <w:pPr>
              <w:pBdr/>
              <w:spacing w:after="0" w:before="0" w:line="240" w:lineRule="auto"/>
              <w:ind/>
              <w:rPr>
                <w:color w:val="000000" w:themeColor="text1"/>
              </w:rPr>
            </w:pPr>
            <w:r>
              <w:rPr>
                <w:rFonts w:ascii="Arial" w:hAnsi="Arial" w:eastAsia="Arial" w:cs="Arial"/>
                <w:color w:val="000000" w:themeColor="text1"/>
                <w:sz w:val="21"/>
              </w:rPr>
              <w:t xml:space="preserve">Multi-layer evaluation protocol with ordinal and imbalance-aware metrics</w:t>
            </w:r>
            <w:r>
              <w:rPr>
                <w:color w:val="000000" w:themeColor="text1"/>
              </w:rPr>
            </w:r>
            <w:r>
              <w:rPr>
                <w:color w:val="000000" w:themeColor="text1"/>
              </w:rPr>
            </w:r>
          </w:p>
        </w:tc>
      </w:tr>
      <w:tr>
        <w:trPr/>
        <w:tc>
          <w:tcPr>
            <w:tcBorders/>
            <w:tcW w:w="2880" w:type="dxa"/>
            <w:textDirection w:val="lrTb"/>
            <w:noWrap w:val="false"/>
          </w:tcPr>
          <w:p w14:paraId="510211C7">
            <w:pPr>
              <w:pBdr/>
              <w:spacing w:after="0" w:before="0" w:line="240" w:lineRule="auto"/>
              <w:ind/>
              <w:rPr>
                <w:color w:val="000000" w:themeColor="text1"/>
              </w:rPr>
            </w:pPr>
            <w:r>
              <w:rPr>
                <w:rFonts w:ascii="Arial" w:hAnsi="Arial" w:eastAsia="Arial" w:cs="Arial"/>
                <w:color w:val="000000" w:themeColor="text1"/>
                <w:sz w:val="21"/>
              </w:rPr>
              <w:t xml:space="preserve">Explainability without standard criteria</w:t>
            </w:r>
            <w:r>
              <w:rPr>
                <w:color w:val="000000" w:themeColor="text1"/>
              </w:rPr>
            </w:r>
            <w:r>
              <w:rPr>
                <w:color w:val="000000" w:themeColor="text1"/>
              </w:rPr>
            </w:r>
          </w:p>
        </w:tc>
        <w:tc>
          <w:tcPr>
            <w:tcBorders/>
            <w:tcW w:w="5383" w:type="dxa"/>
            <w:textDirection w:val="lrTb"/>
            <w:noWrap w:val="false"/>
          </w:tcPr>
          <w:p w14:paraId="36E19839">
            <w:pPr>
              <w:pBdr/>
              <w:spacing w:after="0" w:before="0" w:line="240" w:lineRule="auto"/>
              <w:ind/>
              <w:rPr>
                <w:color w:val="000000" w:themeColor="text1"/>
              </w:rPr>
            </w:pPr>
            <w:r>
              <w:rPr>
                <w:rFonts w:ascii="Arial" w:hAnsi="Arial" w:eastAsia="Arial" w:cs="Arial"/>
                <w:color w:val="000000" w:themeColor="text1"/>
                <w:sz w:val="21"/>
              </w:rPr>
              <w:t xml:space="preserve">Scenario-specific explanation requirements and clinician-oriented quality checks</w:t>
            </w:r>
            <w:r>
              <w:rPr>
                <w:color w:val="000000" w:themeColor="text1"/>
              </w:rPr>
            </w:r>
            <w:r>
              <w:rPr>
                <w:color w:val="000000" w:themeColor="text1"/>
              </w:rPr>
            </w:r>
          </w:p>
        </w:tc>
      </w:tr>
      <w:tr>
        <w:trPr/>
        <w:tc>
          <w:tcPr>
            <w:tcBorders/>
            <w:tcW w:w="2880" w:type="dxa"/>
            <w:textDirection w:val="lrTb"/>
            <w:noWrap w:val="false"/>
          </w:tcPr>
          <w:p w14:paraId="50C1AF2A">
            <w:pPr>
              <w:pBdr/>
              <w:spacing w:after="0" w:before="0" w:line="240" w:lineRule="auto"/>
              <w:ind/>
              <w:rPr>
                <w:color w:val="000000" w:themeColor="text1"/>
              </w:rPr>
            </w:pPr>
            <w:r>
              <w:rPr>
                <w:rFonts w:ascii="Arial" w:hAnsi="Arial" w:eastAsia="Arial" w:cs="Arial"/>
                <w:color w:val="000000" w:themeColor="text1"/>
                <w:sz w:val="21"/>
              </w:rPr>
              <w:t xml:space="preserve">Weak evidence linkage</w:t>
            </w:r>
            <w:r>
              <w:rPr>
                <w:color w:val="000000" w:themeColor="text1"/>
              </w:rPr>
            </w:r>
            <w:r>
              <w:rPr>
                <w:color w:val="000000" w:themeColor="text1"/>
              </w:rPr>
            </w:r>
          </w:p>
        </w:tc>
        <w:tc>
          <w:tcPr>
            <w:tcBorders/>
            <w:tcW w:w="5383" w:type="dxa"/>
            <w:textDirection w:val="lrTb"/>
            <w:noWrap w:val="false"/>
          </w:tcPr>
          <w:p w14:paraId="20A17AA6">
            <w:pPr>
              <w:pBdr/>
              <w:spacing w:after="0" w:before="0" w:line="240" w:lineRule="auto"/>
              <w:ind/>
              <w:rPr>
                <w:color w:val="000000" w:themeColor="text1"/>
              </w:rPr>
            </w:pPr>
            <w:r>
              <w:rPr>
                <w:rFonts w:ascii="Arial" w:hAnsi="Arial" w:eastAsia="Arial" w:cs="Arial"/>
                <w:color w:val="000000" w:themeColor="text1"/>
                <w:sz w:val="21"/>
              </w:rPr>
              <w:t xml:space="preserve">Conditional retrieval-augmented extension with guardrails</w:t>
            </w:r>
            <w:r>
              <w:rPr>
                <w:color w:val="000000" w:themeColor="text1"/>
              </w:rPr>
            </w:r>
            <w:r>
              <w:rPr>
                <w:color w:val="000000" w:themeColor="text1"/>
              </w:rPr>
            </w:r>
          </w:p>
        </w:tc>
      </w:tr>
    </w:tbl>
    <w:p w14:paraId="6DFFAD4F">
      <w:pPr>
        <w:pStyle w:val="1128"/>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caps w:val="0"/>
          <w:smallCaps w:val="0"/>
          <w:color w:val="000000" w:themeColor="text1" w:themeTint="FF" w:themeShade="FF"/>
          <w:sz w:val="22"/>
          <w:szCs w:val="22"/>
          <w:highlight w:val="none"/>
        </w:rPr>
      </w:r>
      <w:r>
        <w:rPr>
          <w:rFonts w:ascii="Arial" w:hAnsi="Arial" w:eastAsia="Arial" w:cs="Arial"/>
          <w:b w:val="0"/>
          <w:bCs w:val="0"/>
          <w:i w:val="0"/>
          <w:caps w:val="0"/>
          <w:smallCaps w:val="0"/>
          <w:color w:val="000000" w:themeColor="text1" w:themeTint="FF" w:themeShade="FF"/>
          <w:sz w:val="22"/>
          <w:szCs w:val="22"/>
          <w:highlight w:val="none"/>
        </w:rPr>
        <w:tab/>
        <w:tab/>
        <w:tab/>
      </w:r>
      <w:r>
        <w:rPr>
          <w:rFonts w:ascii="Arial" w:hAnsi="Arial" w:eastAsia="Arial" w:cs="Arial"/>
          <w:b w:val="0"/>
          <w:bCs w:val="0"/>
          <w:i w:val="0"/>
          <w:caps w:val="0"/>
          <w:smallCaps w:val="0"/>
          <w:color w:val="000000" w:themeColor="text1" w:themeTint="FF" w:themeShade="FF"/>
          <w:sz w:val="22"/>
          <w:szCs w:val="22"/>
          <w:highlight w:val="none"/>
        </w:rPr>
        <w:t xml:space="preserve">Table 2.10. Gap-to-Thesis Mitigation Map</w:t>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68F87AB6">
      <w:pPr>
        <w:pStyle w:val="1128"/>
        <w:suppressLineNumbers w:val="false"/>
        <w:pBdr/>
        <w:spacing w:after="240" w:afterAutospacing="0" w:before="240" w:beforeAutospacing="0" w:line="300" w:lineRule="auto"/>
        <w:ind w:firstLine="0"/>
        <w:rPr>
          <w:rFonts w:ascii="Arial" w:hAnsi="Arial" w:eastAsia="Arial" w:cs="Arial"/>
          <w:b/>
          <w:bCs w:val="0"/>
          <w:i w:val="0"/>
          <w:caps w:val="0"/>
          <w:smallCaps w:val="0"/>
          <w:color w:val="000000" w:themeColor="text1" w:themeTint="FF" w:themeShade="FF"/>
          <w:sz w:val="28"/>
          <w:szCs w:val="28"/>
          <w:highlight w:val="none"/>
        </w:rPr>
      </w:pPr>
      <w:r>
        <w:rPr>
          <w:rFonts w:ascii="Arial" w:hAnsi="Arial" w:eastAsia="Arial" w:cs="Arial"/>
          <w:b/>
          <w:bCs/>
          <w:i w:val="0"/>
          <w:caps w:val="0"/>
          <w:smallCaps w:val="0"/>
          <w:color w:val="000000" w:themeColor="text1" w:themeTint="FF" w:themeShade="FF"/>
          <w:sz w:val="28"/>
          <w:szCs w:val="28"/>
        </w:rPr>
        <w:t xml:space="preserve">2.11 Chapter Summary and Transition</w:t>
      </w:r>
      <w:r>
        <w:rPr>
          <w:rFonts w:ascii="Arial" w:hAnsi="Arial" w:eastAsia="Arial" w:cs="Arial"/>
          <w:b/>
          <w:bCs w:val="0"/>
          <w:i w:val="0"/>
          <w:caps w:val="0"/>
          <w:smallCaps w:val="0"/>
          <w:color w:val="000000" w:themeColor="text1" w:themeTint="FF" w:themeShade="FF"/>
          <w:sz w:val="28"/>
          <w:szCs w:val="28"/>
          <w:highlight w:val="none"/>
        </w:rPr>
      </w:r>
      <w:r>
        <w:rPr>
          <w:rFonts w:ascii="Arial" w:hAnsi="Arial" w:eastAsia="Arial" w:cs="Arial"/>
          <w:b/>
          <w:bCs w:val="0"/>
          <w:i w:val="0"/>
          <w:caps w:val="0"/>
          <w:smallCaps w:val="0"/>
          <w:color w:val="000000" w:themeColor="text1" w:themeTint="FF" w:themeShade="FF"/>
          <w:sz w:val="28"/>
          <w:szCs w:val="28"/>
          <w:highlight w:val="none"/>
        </w:rPr>
      </w:r>
    </w:p>
    <w:p w14:paraId="7BB0A700">
      <w:pPr>
        <w:pStyle w:val="112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This chapter surveyed MedVQA techniques with a colonoscopy-oriented lens and synthesized evidence from both external literature and local repository artifacts.</w:t>
      </w:r>
      <w:r>
        <w:rPr>
          <w:rFonts w:ascii="Arial" w:hAnsi="Arial" w:eastAsia="Arial" w:cs="Arial"/>
          <w:b w:val="0"/>
          <w:bCs w:val="0"/>
          <w:i w:val="0"/>
          <w:caps w:val="0"/>
          <w:smallCaps w:val="0"/>
          <w:color w:val="000000" w:themeColor="text1" w:themeTint="FF" w:themeShade="FF"/>
          <w:sz w:val="22"/>
          <w:szCs w:val="22"/>
        </w:rPr>
      </w:r>
      <w:r/>
    </w:p>
    <w:p w14:paraId="03930055">
      <w:pPr>
        <w:pStyle w:val="112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The main conclusions are:</w:t>
      </w:r>
      <w:r>
        <w:rPr>
          <w:rFonts w:ascii="Arial" w:hAnsi="Arial" w:eastAsia="Arial" w:cs="Arial"/>
          <w:b w:val="0"/>
          <w:bCs w:val="0"/>
          <w:i w:val="0"/>
          <w:caps w:val="0"/>
          <w:smallCaps w:val="0"/>
          <w:color w:val="000000" w:themeColor="text1" w:themeTint="FF" w:themeShade="FF"/>
          <w:sz w:val="22"/>
          <w:szCs w:val="22"/>
        </w:rPr>
      </w:r>
      <w:r/>
    </w:p>
    <w:p w14:paraId="56228F2C">
      <w:pPr>
        <w:pStyle w:val="1128"/>
        <w:numPr>
          <w:ilvl w:val="0"/>
          <w:numId w:val="39"/>
        </w:numPr>
        <w:suppressLineNumbers w:val="false"/>
        <w:pBdr/>
        <w:spacing w:after="240" w:afterAutospacing="0" w:before="240" w:beforeAutospacing="0" w:line="240" w:lineRule="auto"/>
        <w:ind/>
        <w:rPr/>
      </w:pPr>
      <w:r>
        <w:rPr>
          <w:rFonts w:ascii="Arial" w:hAnsi="Arial" w:eastAsia="Arial" w:cs="Arial"/>
          <w:b w:val="0"/>
          <w:bCs w:val="0"/>
          <w:i w:val="0"/>
          <w:caps w:val="0"/>
          <w:smallCaps w:val="0"/>
          <w:color w:val="000000" w:themeColor="text1" w:themeTint="FF" w:themeShade="FF"/>
          <w:sz w:val="22"/>
          <w:szCs w:val="22"/>
        </w:rPr>
        <w:t xml:space="preserve">MedVQA has moved from fixed-label discriminative models toward generative and explainability-aware multimodal systems.</w:t>
      </w:r>
      <w:r/>
    </w:p>
    <w:p w14:paraId="0E005737">
      <w:pPr>
        <w:pStyle w:val="1128"/>
        <w:numPr>
          <w:ilvl w:val="0"/>
          <w:numId w:val="39"/>
        </w:numPr>
        <w:suppressLineNumbers w:val="false"/>
        <w:pBdr/>
        <w:spacing w:after="240" w:afterAutospacing="0" w:before="240" w:beforeAutospacing="0" w:line="240" w:lineRule="auto"/>
        <w:ind/>
        <w:rPr/>
      </w:pPr>
      <w:r>
        <w:rPr>
          <w:rFonts w:ascii="Arial" w:hAnsi="Arial" w:eastAsia="Arial" w:cs="Arial"/>
          <w:b w:val="0"/>
          <w:bCs w:val="0"/>
          <w:i w:val="0"/>
          <w:caps w:val="0"/>
          <w:smallCaps w:val="0"/>
          <w:color w:val="000000" w:themeColor="text1" w:themeTint="FF" w:themeShade="FF"/>
          <w:sz w:val="22"/>
          <w:szCs w:val="22"/>
        </w:rPr>
        <w:t xml:space="preserve">GI benchmark resources have matured rapidly from 2023 onward, enabling more realistic evaluation.</w:t>
      </w:r>
      <w:r/>
    </w:p>
    <w:p w14:paraId="5B80C107">
      <w:pPr>
        <w:pStyle w:val="1128"/>
        <w:numPr>
          <w:ilvl w:val="0"/>
          <w:numId w:val="39"/>
        </w:numPr>
        <w:suppressLineNumbers w:val="false"/>
        <w:pBdr/>
        <w:spacing w:after="240" w:afterAutospacing="0" w:before="240" w:beforeAutospacing="0" w:line="240" w:lineRule="auto"/>
        <w:ind/>
        <w:rPr/>
      </w:pPr>
      <w:r>
        <w:rPr>
          <w:rFonts w:ascii="Arial" w:hAnsi="Arial" w:eastAsia="Arial" w:cs="Arial"/>
          <w:b w:val="0"/>
          <w:bCs w:val="0"/>
          <w:i w:val="0"/>
          <w:caps w:val="0"/>
          <w:smallCaps w:val="0"/>
          <w:color w:val="000000" w:themeColor="text1" w:themeTint="FF" w:themeShade="FF"/>
          <w:sz w:val="22"/>
          <w:szCs w:val="22"/>
        </w:rPr>
        <w:t xml:space="preserve">For high-risk colonoscopy scenarios, constrained and domain-tuned methods currently provide the most reliable core behavior.</w:t>
      </w:r>
      <w:r/>
    </w:p>
    <w:p w14:paraId="0F73E8B5">
      <w:pPr>
        <w:pStyle w:val="1128"/>
        <w:numPr>
          <w:ilvl w:val="0"/>
          <w:numId w:val="39"/>
        </w:numPr>
        <w:suppressLineNumbers w:val="false"/>
        <w:pBdr/>
        <w:spacing w:after="240" w:afterAutospacing="0" w:before="240" w:beforeAutospacing="0" w:line="240" w:lineRule="auto"/>
        <w:ind/>
        <w:rPr/>
      </w:pPr>
      <w:r>
        <w:rPr>
          <w:rFonts w:ascii="Arial" w:hAnsi="Arial" w:eastAsia="Arial" w:cs="Arial"/>
          <w:b w:val="0"/>
          <w:bCs w:val="0"/>
          <w:i w:val="0"/>
          <w:caps w:val="0"/>
          <w:smallCaps w:val="0"/>
          <w:color w:val="000000" w:themeColor="text1" w:themeTint="FF" w:themeShade="FF"/>
          <w:sz w:val="22"/>
          <w:szCs w:val="22"/>
        </w:rPr>
        <w:t xml:space="preserve">Generative and retrieval-enhanced methods are valuable extensions, but only when anchored by robust visual grounding and strict evaluation controls.</w:t>
      </w:r>
      <w:r/>
    </w:p>
    <w:p w14:paraId="0AA0E5BC">
      <w:pPr>
        <w:pStyle w:val="1128"/>
        <w:numPr>
          <w:ilvl w:val="0"/>
          <w:numId w:val="39"/>
        </w:numPr>
        <w:suppressLineNumbers w:val="false"/>
        <w:pBdr/>
        <w:spacing w:after="240" w:afterAutospacing="0" w:before="240" w:beforeAutospacing="0" w:line="240" w:lineRule="auto"/>
        <w:ind/>
        <w:rPr/>
      </w:pPr>
      <w:r>
        <w:rPr>
          <w:rFonts w:ascii="Arial" w:hAnsi="Arial" w:eastAsia="Arial" w:cs="Arial"/>
          <w:b w:val="0"/>
          <w:bCs w:val="0"/>
          <w:i w:val="0"/>
          <w:caps w:val="0"/>
          <w:smallCaps w:val="0"/>
          <w:color w:val="000000" w:themeColor="text1" w:themeTint="FF" w:themeShade="FF"/>
          <w:sz w:val="22"/>
          <w:szCs w:val="22"/>
        </w:rPr>
        <w:t xml:space="preserve">Scenario-driven, clinically aligned evaluation is essential for translational relevance.</w:t>
      </w:r>
      <w:r/>
    </w:p>
    <w:p w14:paraId="2B2A2702">
      <w:pPr>
        <w:pStyle w:val="1128"/>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caps w:val="0"/>
          <w:smallCaps w:val="0"/>
          <w:color w:val="000000" w:themeColor="text1" w:themeTint="FF" w:themeShade="FF"/>
          <w:sz w:val="22"/>
          <w:szCs w:val="22"/>
        </w:rPr>
        <w:t xml:space="preserve">These conclusions motivate Chapter 3, which shifts from literature synthesis to empirical investigation of existing model families using the datasets and persisted outputs available in this repository.</w:t>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00410D68">
      <w:pPr>
        <w:pStyle w:val="1128"/>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caps w:val="0"/>
          <w:smallCaps w:val="0"/>
          <w:color w:val="000000" w:themeColor="text1" w:themeTint="FF" w:themeShade="FF"/>
          <w:sz w:val="22"/>
          <w:szCs w:val="22"/>
          <w:highlight w:val="none"/>
        </w:rPr>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349C28EF">
      <w:pPr>
        <w:pStyle w:val="1128"/>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1E596078">
      <w:pPr>
        <w:pStyle w:val="1128"/>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42E945D0">
      <w:pPr>
        <w:pStyle w:val="1128"/>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5F519A07">
      <w:pPr>
        <w:pStyle w:val="1128"/>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55FDAC90">
      <w:pPr>
        <w:pStyle w:val="1128"/>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19B7DF26">
      <w:pPr>
        <w:pStyle w:val="1128"/>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60DF1259">
      <w:pPr>
        <w:pStyle w:val="1128"/>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679F432F">
      <w:pPr>
        <w:pStyle w:val="1128"/>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iCs w:val="0"/>
          <w:caps w:val="0"/>
          <w:smallCaps w:val="0"/>
          <w:color w:val="000000" w:themeColor="text1" w:themeTint="FF" w:themeShade="FF"/>
          <w:sz w:val="22"/>
          <w:szCs w:val="22"/>
          <w:highlight w:val="none"/>
          <w:lang w:val="en-CA"/>
        </w:rPr>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76EE41FF" w14:textId="531B8834">
      <w:pPr>
        <w:pStyle w:val="1115"/>
        <w:suppressLineNumbers w:val="false"/>
        <w:pBdr/>
        <w:spacing w:line="300" w:lineRule="auto"/>
        <w:ind/>
        <w:rPr/>
      </w:pPr>
      <w:r>
        <w:br/>
      </w:r>
      <w:r>
        <w:br/>
      </w:r>
      <w:r>
        <w:t xml:space="preserve">Investigating Existing VQA Techniques Across GI-Endoscopy Datasets</w:t>
      </w:r>
      <w:r/>
    </w:p>
    <w:p w14:paraId="62020F09">
      <w:pPr>
        <w:pStyle w:val="1116"/>
        <w:numPr>
          <w:ilvl w:val="0"/>
          <w:numId w:val="0"/>
        </w:numPr>
        <w:pBdr>
          <w:top w:val="none" w:color="000000" w:sz="4" w:space="0"/>
          <w:left w:val="none" w:color="000000" w:sz="4" w:space="0"/>
          <w:bottom w:val="single" w:color="ffffff" w:sz="6" w:space="0"/>
          <w:right w:val="none" w:color="000000" w:sz="4" w:space="0"/>
        </w:pBdr>
        <w:spacing w:after="240" w:before="360" w:line="300" w:lineRule="auto"/>
        <w:ind w:right="0" w:firstLine="0" w:left="0"/>
        <w:rPr>
          <w:color w:val="000000" w:themeColor="text1"/>
          <w:sz w:val="28"/>
          <w:szCs w:val="28"/>
        </w:rPr>
      </w:pPr>
      <w:r>
        <w:rPr>
          <w:rFonts w:ascii="Arial" w:hAnsi="Arial" w:eastAsia="Arial" w:cs="Arial"/>
          <w:b/>
          <w:color w:val="000000" w:themeColor="text1"/>
          <w:sz w:val="28"/>
          <w:szCs w:val="28"/>
        </w:rPr>
        <w:t xml:space="preserve">3.1 Chapter Overview and Evaluation Goal</w:t>
      </w:r>
      <w:r>
        <w:rPr>
          <w:color w:val="000000" w:themeColor="text1"/>
          <w:sz w:val="28"/>
          <w:szCs w:val="28"/>
        </w:rPr>
      </w:r>
      <w:r>
        <w:rPr>
          <w:color w:val="000000" w:themeColor="text1"/>
          <w:sz w:val="28"/>
          <w:szCs w:val="28"/>
        </w:rPr>
      </w:r>
    </w:p>
    <w:p w14:paraId="29A8F49D">
      <w:pPr>
        <w:pStyle w:val="1128"/>
        <w:suppressLineNumbers w:val="false"/>
        <w:pBdr/>
        <w:spacing w:line="300" w:lineRule="auto"/>
        <w:ind/>
        <w:rPr/>
      </w:pPr>
      <w:r>
        <w:rPr>
          <w:lang w:val="en-CA"/>
        </w:rPr>
        <w:t xml:space="preserve">C</w:t>
      </w:r>
      <w:r>
        <w:rPr>
          <w:lang w:val="en-CA"/>
        </w:rPr>
        <w:t xml:space="preserve">hapter 2 surveyed medical VQA technique families and highlighted a central translational gap for GI endoscopy: strong benchmark scores do not automatically imply clinically reliable behavior, especially under class imbalance, domain shift, and high-consequ</w:t>
      </w:r>
      <w:r>
        <w:rPr>
          <w:lang w:val="en-CA"/>
        </w:rPr>
        <w:t xml:space="preserve">e</w:t>
      </w:r>
      <w:r>
        <w:rPr>
          <w:lang w:val="en-CA"/>
        </w:rPr>
        <w:t xml:space="preserve">nce failure modes</w:t>
      </w:r>
      <w:r>
        <w:rPr>
          <w:lang w:val="en-US"/>
        </w:rPr>
        <w:t xml:space="preserve">[56], [57]</w:t>
      </w:r>
      <w:r>
        <w:rPr>
          <w:lang w:val="en-CA"/>
        </w:rPr>
        <w:t xml:space="preserve">. Chapter 3 addresses that gap empirically by auditing persisted experimental artifacts available in this thesis repository and summarizing how model families behave under the dataset constraints that currently exist for colonoscopy-orient</w:t>
      </w:r>
      <w:r>
        <w:rPr>
          <w:lang w:val="en-CA"/>
        </w:rPr>
        <w:t xml:space="preserve">ed MedVQA.</w:t>
      </w:r>
      <w:r>
        <w:rPr>
          <w:lang w:val="en-CA"/>
        </w:rPr>
      </w:r>
      <w:r/>
    </w:p>
    <w:p w14:paraId="2E3BE1AB">
      <w:pPr>
        <w:pStyle w:val="1128"/>
        <w:suppressLineNumbers w:val="false"/>
        <w:pBdr/>
        <w:spacing w:line="300" w:lineRule="auto"/>
        <w:ind/>
        <w:rPr/>
      </w:pPr>
      <w:r>
        <w:rPr>
          <w:lang w:val="en-CA"/>
        </w:rPr>
        <w:t xml:space="preserve">T</w:t>
      </w:r>
      <w:r>
        <w:rPr>
          <w:lang w:val="en-CA"/>
        </w:rPr>
        <w:t xml:space="preserve">his chapter is designed as the empirical turning point of the dissertation. The guiding question is not only which model achieves higher aggregate scores, but which model behaviors remain reliable enough to be considered as building blocks for clinician-fa</w:t>
      </w:r>
      <w:r>
        <w:rPr>
          <w:lang w:val="en-CA"/>
        </w:rPr>
        <w:t xml:space="preserve">cing decision support. To answer that question, this chapter evaluates reliability across heterogeneous task regimes that occur in GI MedVQA: (i) closed-label prediction, (ii) open-ended generation, and (iii) ordinal severity assessment.</w:t>
      </w:r>
      <w:r/>
    </w:p>
    <w:p w14:paraId="5FA2EAAD">
      <w:pPr>
        <w:pStyle w:val="1128"/>
        <w:suppressLineNumbers w:val="false"/>
        <w:pBdr/>
        <w:spacing w:line="300" w:lineRule="auto"/>
        <w:ind w:firstLine="0"/>
        <w:rPr>
          <w:b/>
          <w:bCs/>
        </w:rPr>
      </w:pPr>
      <w:r>
        <w:rPr>
          <w:b/>
          <w:bCs/>
          <w:lang w:val="en-CA"/>
        </w:rPr>
        <w:t xml:space="preserve">Chapter 3 </w:t>
      </w:r>
      <w:r>
        <w:rPr>
          <w:b/>
          <w:bCs/>
          <w:lang w:val="en-US"/>
        </w:rPr>
        <w:t xml:space="preserve">overview</w:t>
      </w:r>
      <w:r>
        <w:rPr>
          <w:b/>
          <w:bCs/>
          <w:lang w:val="en-CA"/>
        </w:rPr>
        <w:t xml:space="preserve"> (reader preview)</w:t>
      </w:r>
      <w:r>
        <w:rPr>
          <w:b/>
          <w:bCs/>
        </w:rPr>
      </w:r>
      <w:r>
        <w:rPr>
          <w:b/>
          <w:bCs/>
        </w:rPr>
      </w:r>
    </w:p>
    <w:p w14:paraId="48BF6074">
      <w:pPr>
        <w:pStyle w:val="1128"/>
        <w:suppressLineNumbers w:val="false"/>
        <w:pBdr/>
        <w:spacing w:line="300" w:lineRule="auto"/>
        <w:ind/>
        <w:rPr/>
      </w:pPr>
      <w:r>
        <w:rPr>
          <w:lang w:val="en-CA"/>
        </w:rPr>
        <w:t xml:space="preserve">Across the datasets in this repository, the chapter provides a reproducible comparison of:</w:t>
      </w:r>
      <w:r/>
    </w:p>
    <w:p w14:paraId="5565F7B0">
      <w:pPr>
        <w:pStyle w:val="1128"/>
        <w:numPr>
          <w:ilvl w:val="0"/>
          <w:numId w:val="52"/>
        </w:numPr>
        <w:suppressLineNumbers w:val="false"/>
        <w:pBdr/>
        <w:spacing w:line="300" w:lineRule="auto"/>
        <w:ind/>
        <w:rPr/>
      </w:pPr>
      <w:r>
        <w:rPr>
          <w:lang w:val="en-CA"/>
        </w:rPr>
        <w:t xml:space="preserve">constrained or supervised pipelines vs. raw zero-shot generative outputs,</w:t>
      </w:r>
      <w:r/>
    </w:p>
    <w:p w14:paraId="270C981C">
      <w:pPr>
        <w:pStyle w:val="1128"/>
        <w:numPr>
          <w:ilvl w:val="0"/>
          <w:numId w:val="52"/>
        </w:numPr>
        <w:suppressLineNumbers w:val="false"/>
        <w:pBdr/>
        <w:spacing w:line="300" w:lineRule="auto"/>
        <w:ind/>
        <w:rPr/>
      </w:pPr>
      <w:r>
        <w:rPr>
          <w:lang w:val="en-CA"/>
        </w:rPr>
        <w:t xml:space="preserve">dataset- and question-family-specific failure modes (imbalance, format drift, mapping fragility), and</w:t>
      </w:r>
      <w:r/>
    </w:p>
    <w:p w14:paraId="7398088B">
      <w:pPr>
        <w:pStyle w:val="1128"/>
        <w:numPr>
          <w:ilvl w:val="0"/>
          <w:numId w:val="52"/>
        </w:numPr>
        <w:suppressLineNumbers w:val="false"/>
        <w:pBdr/>
        <w:spacing w:line="300" w:lineRule="auto"/>
        <w:ind/>
        <w:rPr/>
      </w:pPr>
      <w:r>
        <w:rPr>
          <w:lang w:val="en-CA"/>
        </w:rPr>
        <w:t xml:space="preserve">severity-oriented reliability under ordinal and clinically meaningful slices (e.g., remission vs. non-remission).</w:t>
      </w:r>
      <w:r/>
    </w:p>
    <w:p w14:paraId="2CE33C9C">
      <w:pPr>
        <w:pStyle w:val="1128"/>
        <w:suppressLineNumbers w:val="false"/>
        <w:pBdr/>
        <w:spacing w:line="300" w:lineRule="auto"/>
        <w:ind/>
        <w:rPr/>
      </w:pPr>
      <w:r>
        <w:rPr>
          <w:lang w:val="en-CA"/>
        </w:rPr>
        <w:t xml:space="preserve">I</w:t>
      </w:r>
      <w:r>
        <w:rPr>
          <w:lang w:val="en-CA"/>
        </w:rPr>
        <w:t xml:space="preserve">mportantly, Chapter 3 is reproducibility-first: it reports outcomes only where persisted artifacts exist. Where only configuration or status files are present (e.g., scenario YAML definitions), the chapter reports configuration only and does not claim scen</w:t>
      </w:r>
      <w:r>
        <w:rPr>
          <w:lang w:val="en-CA"/>
        </w:rPr>
        <w:t xml:space="preserve">ario-level performance</w:t>
      </w:r>
      <w:r>
        <w:rPr>
          <w:lang w:val="en-US"/>
        </w:rPr>
        <w:t xml:space="preserve">[72]</w:t>
      </w:r>
      <w:r>
        <w:rPr>
          <w:lang w:val="en-CA"/>
        </w:rPr>
        <w:t xml:space="preserve">.</w:t>
      </w:r>
      <w:r/>
    </w:p>
    <w:p w14:paraId="06469AB2">
      <w:pPr>
        <w:pStyle w:val="1128"/>
        <w:suppressLineNumbers w:val="false"/>
        <w:pBdr/>
        <w:spacing w:line="300" w:lineRule="auto"/>
        <w:ind/>
        <w:rPr/>
      </w:pPr>
      <w:r>
        <w:rPr>
          <w:lang w:val="en-CA"/>
        </w:rPr>
      </w:r>
      <w:r/>
    </w:p>
    <w:p w14:paraId="63B94992">
      <w:pPr>
        <w:pStyle w:val="1128"/>
        <w:suppressLineNumbers w:val="false"/>
        <w:pBdr/>
        <w:spacing w:line="300" w:lineRule="auto"/>
        <w:ind/>
        <w:rPr/>
      </w:pPr>
      <w:r>
        <w:rPr>
          <w:lang w:val="en-CA"/>
        </w:rPr>
        <w:t xml:space="preserve">Concretely, the objective is to determine, with traceable local evidence, how existing model families behave across:</w:t>
      </w:r>
      <w:r>
        <w:rPr>
          <w:lang w:val="en-CA"/>
        </w:rPr>
      </w:r>
      <w:r/>
    </w:p>
    <w:p w14:paraId="09DA30E9">
      <w:pPr>
        <w:pStyle w:val="1128"/>
        <w:numPr>
          <w:ilvl w:val="0"/>
          <w:numId w:val="53"/>
        </w:numPr>
        <w:suppressLineNumbers w:val="false"/>
        <w:pBdr/>
        <w:spacing w:line="120" w:lineRule="auto"/>
        <w:ind/>
        <w:rPr/>
      </w:pPr>
      <w:r>
        <w:rPr>
          <w:lang w:val="en-CA"/>
        </w:rPr>
        <w:t xml:space="preserve">closed-set and binary clinical question answering,</w:t>
      </w:r>
      <w:r>
        <w:rPr>
          <w:lang w:val="en-CA"/>
        </w:rPr>
      </w:r>
      <w:r/>
    </w:p>
    <w:p w14:paraId="512B1169">
      <w:pPr>
        <w:pStyle w:val="1128"/>
        <w:numPr>
          <w:ilvl w:val="0"/>
          <w:numId w:val="53"/>
        </w:numPr>
        <w:suppressLineNumbers w:val="false"/>
        <w:pBdr/>
        <w:spacing w:line="120" w:lineRule="auto"/>
        <w:ind/>
        <w:rPr/>
      </w:pPr>
      <w:r>
        <w:rPr>
          <w:lang w:val="en-CA"/>
        </w:rPr>
        <w:t xml:space="preserve">open-ended generative answering,</w:t>
      </w:r>
      <w:r>
        <w:rPr>
          <w:lang w:val="en-CA"/>
        </w:rPr>
      </w:r>
      <w:r/>
    </w:p>
    <w:p w14:paraId="3DAD708F">
      <w:pPr>
        <w:pStyle w:val="1128"/>
        <w:numPr>
          <w:ilvl w:val="0"/>
          <w:numId w:val="53"/>
        </w:numPr>
        <w:suppressLineNumbers w:val="false"/>
        <w:pBdr/>
        <w:spacing w:line="120" w:lineRule="auto"/>
        <w:ind/>
        <w:rPr/>
      </w:pPr>
      <w:r>
        <w:rPr>
          <w:lang w:val="en-CA"/>
        </w:rPr>
        <w:t xml:space="preserve">severity-oriented ordinal assessment,</w:t>
      </w:r>
      <w:r>
        <w:rPr>
          <w:lang w:val="en-CA"/>
        </w:rPr>
      </w:r>
      <w:r/>
    </w:p>
    <w:p w14:paraId="75B256FB">
      <w:pPr>
        <w:pStyle w:val="1128"/>
        <w:numPr>
          <w:ilvl w:val="0"/>
          <w:numId w:val="53"/>
        </w:numPr>
        <w:suppressLineNumbers w:val="false"/>
        <w:pBdr/>
        <w:spacing w:line="120" w:lineRule="auto"/>
        <w:ind/>
        <w:rPr/>
      </w:pPr>
      <w:r>
        <w:rPr>
          <w:lang w:val="en-CA"/>
        </w:rPr>
        <w:t xml:space="preserve">class-imbalance stress conditions, and</w:t>
      </w:r>
      <w:r>
        <w:rPr>
          <w:lang w:val="en-CA"/>
        </w:rPr>
      </w:r>
      <w:r/>
    </w:p>
    <w:p w14:paraId="6A4AB6F8">
      <w:pPr>
        <w:pStyle w:val="1128"/>
        <w:numPr>
          <w:ilvl w:val="0"/>
          <w:numId w:val="53"/>
        </w:numPr>
        <w:suppressLineNumbers w:val="false"/>
        <w:pBdr/>
        <w:spacing w:line="120" w:lineRule="auto"/>
        <w:ind/>
        <w:rPr/>
      </w:pPr>
      <w:r>
        <w:rPr>
          <w:lang w:val="en-CA"/>
        </w:rPr>
        <w:t xml:space="preserve">scenario-level stress-test protocol definitions for clinically relevant failure probing.</w:t>
      </w:r>
      <w:r>
        <w:rPr>
          <w:lang w:val="en-CA"/>
        </w:rPr>
      </w:r>
      <w:r/>
    </w:p>
    <w:p w14:paraId="2745FC6E">
      <w:pPr>
        <w:pStyle w:val="1128"/>
        <w:suppressLineNumbers w:val="false"/>
        <w:pBdr/>
        <w:spacing w:line="300" w:lineRule="auto"/>
        <w:ind/>
        <w:rPr/>
      </w:pPr>
      <w:r>
        <w:rPr>
          <w:lang w:val="en-CA"/>
        </w:rPr>
        <w:t xml:space="preserve">U</w:t>
      </w:r>
      <w:r>
        <w:rPr>
          <w:lang w:val="en-CA"/>
        </w:rPr>
        <w:t xml:space="preserve">nlike Chapter 2 (literature synthesis), Chapter 3 is artifact-driven: all results are compiled from saved outputs in the repository, not from newly run training or undocumented reruns</w:t>
      </w:r>
      <w:r>
        <w:rPr>
          <w:lang w:val="en-US"/>
        </w:rPr>
        <w:t xml:space="preserve">[66] - [73]</w:t>
      </w:r>
      <w:r>
        <w:rPr>
          <w:lang w:val="en-CA"/>
        </w:rPr>
        <w:t xml:space="preserve">. Where a metric requires predictions that are not persisted, the metric </w:t>
      </w:r>
      <w:r>
        <w:rPr>
          <w:lang w:val="en-CA"/>
        </w:rPr>
        <w:t xml:space="preserve">is not reported.</w:t>
      </w:r>
      <w:r>
        <w:rPr>
          <w:lang w:val="en-CA"/>
        </w:rPr>
      </w:r>
      <w:r/>
    </w:p>
    <w:p w14:paraId="1D416CB2">
      <w:pPr>
        <w:pStyle w:val="1128"/>
        <w:suppressLineNumbers w:val="false"/>
        <w:pBdr/>
        <w:spacing w:line="300" w:lineRule="auto"/>
        <w:ind/>
        <w:rPr/>
      </w:pPr>
      <w:r>
        <w:rPr>
          <w:lang w:val="en-CA"/>
        </w:rPr>
        <w:t xml:space="preserve">This chapter serves three thesis-level functions:</w:t>
      </w:r>
      <w:r/>
    </w:p>
    <w:p w14:paraId="551E486B">
      <w:pPr>
        <w:pStyle w:val="1128"/>
        <w:numPr>
          <w:ilvl w:val="0"/>
          <w:numId w:val="54"/>
        </w:numPr>
        <w:suppressLineNumbers w:val="false"/>
        <w:pBdr/>
        <w:spacing w:line="300" w:lineRule="auto"/>
        <w:ind/>
        <w:rPr/>
      </w:pPr>
      <w:r>
        <w:rPr>
          <w:lang w:val="en-CA"/>
        </w:rPr>
        <w:t xml:space="preserve">Establish a reproducible baseline of current GI MedVQA behavior before introducing new methods.</w:t>
      </w:r>
      <w:r/>
    </w:p>
    <w:p w14:paraId="195ECAA5">
      <w:pPr>
        <w:pStyle w:val="1128"/>
        <w:numPr>
          <w:ilvl w:val="0"/>
          <w:numId w:val="54"/>
        </w:numPr>
        <w:suppressLineNumbers w:val="false"/>
        <w:pBdr/>
        <w:spacing w:line="300" w:lineRule="auto"/>
        <w:ind/>
        <w:rPr/>
      </w:pPr>
      <w:r>
        <w:rPr>
          <w:lang w:val="en-CA"/>
        </w:rPr>
        <w:t xml:space="preserve">Identify practical reliability bottlenecks (imbalance sensitivity, answer-format instability, lexical/OOV mapping fragility, and clinical threshold failures).</w:t>
      </w:r>
      <w:r/>
    </w:p>
    <w:p w14:paraId="3F6A3371">
      <w:pPr>
        <w:pStyle w:val="1128"/>
        <w:numPr>
          <w:ilvl w:val="0"/>
          <w:numId w:val="54"/>
        </w:numPr>
        <w:suppressLineNumbers w:val="false"/>
        <w:pBdr/>
        <w:spacing w:line="300" w:lineRule="auto"/>
        <w:ind/>
        <w:rPr/>
      </w:pPr>
      <w:r>
        <w:rPr>
          <w:lang w:val="en-CA"/>
        </w:rPr>
        <w:t xml:space="preserve">Provide a defensible empirical bridge to Chapter 4, where controlled generative approaches are developed for clinically grounded UC severity rating and later extended toward evidence-aware answering.</w:t>
      </w:r>
      <w:r>
        <w:rPr>
          <w:lang w:val="en-CA"/>
        </w:rPr>
      </w:r>
      <w:r/>
    </w:p>
    <w:p w14:paraId="4BD0CAC8" w14:textId="6F4B7348">
      <w:pPr>
        <w:pStyle w:val="1128"/>
        <w:suppressLineNumbers w:val="false"/>
        <w:pBdr/>
        <w:spacing w:line="300" w:lineRule="auto"/>
        <w:ind/>
        <w:rPr>
          <w:lang w:val="en-CA"/>
        </w:rPr>
      </w:pPr>
      <w:r>
        <w:rPr>
          <w:lang w:val="en-CA"/>
        </w:rPr>
        <w:t xml:space="preserve">S</w:t>
      </w:r>
      <w:r>
        <w:rPr>
          <w:lang w:val="en-CA"/>
        </w:rPr>
        <w:t xml:space="preserve">tructurally, Section 3.1 defines evidence boundaries and research coverage, Section 3.2 formalizes datasets and model regimes, Section 3.3 specifies evaluation metrics and caveats, Section 3.4 presents dataset-wise results, and Section 3.5 synthesizes cros</w:t>
      </w:r>
      <w:r>
        <w:rPr>
          <w:lang w:val="en-CA"/>
        </w:rPr>
        <w:t xml:space="preserve">s-dataset findings into thesis-level conclusions.</w:t>
      </w:r>
      <w:r>
        <w:rPr>
          <w:lang w:val="en-CA"/>
        </w:rPr>
      </w:r>
      <w:r>
        <w:rPr>
          <w:lang w:val="en-CA"/>
        </w:rPr>
      </w:r>
    </w:p>
    <w:p w14:paraId="1F17CEC8">
      <w:pPr>
        <w:pStyle w:val="1128"/>
        <w:suppressLineNumbers w:val="false"/>
        <w:pBdr/>
        <w:spacing w:line="300" w:lineRule="auto"/>
        <w:ind w:firstLine="0"/>
        <w:rPr/>
      </w:pPr>
      <w:r>
        <w:rPr>
          <w:b/>
          <w:bCs/>
          <w:sz w:val="28"/>
          <w:szCs w:val="28"/>
          <w:highlight w:val="none"/>
        </w:rPr>
      </w:r>
      <w:r>
        <w:rPr>
          <w:b/>
          <w:bCs/>
          <w:sz w:val="28"/>
          <w:szCs w:val="28"/>
          <w:highlight w:val="none"/>
        </w:rPr>
      </w:r>
      <w:r/>
    </w:p>
    <w:p w14:paraId="03C3260E">
      <w:pPr>
        <w:pStyle w:val="1128"/>
        <w:suppressLineNumbers w:val="false"/>
        <w:pBdr/>
        <w:spacing w:line="300" w:lineRule="auto"/>
        <w:ind w:firstLine="0"/>
        <w:rPr>
          <w:highlight w:val="none"/>
        </w:rPr>
      </w:pPr>
      <w:r>
        <w:rPr>
          <w:lang w:val="en-CA"/>
        </w:rPr>
      </w:r>
      <w:r>
        <w:rPr>
          <w:b/>
          <w:bCs/>
          <w:sz w:val="28"/>
          <w:szCs w:val="28"/>
        </w:rPr>
        <w:t xml:space="preserve">3.1.1 Evidence Boundary and Reproduc</w:t>
      </w:r>
      <w:r>
        <w:rPr>
          <w:b/>
          <w:bCs/>
          <w:sz w:val="28"/>
          <w:szCs w:val="28"/>
          <w:lang w:val="en-US"/>
        </w:rPr>
        <w:t xml:space="preserve">i</w:t>
      </w:r>
      <w:r>
        <w:rPr>
          <w:b/>
          <w:bCs/>
          <w:sz w:val="28"/>
          <w:szCs w:val="28"/>
        </w:rPr>
        <w:t xml:space="preserve">bility Scope</w:t>
      </w:r>
      <w:r>
        <w:rPr>
          <w:highlight w:val="none"/>
        </w:rPr>
      </w:r>
      <w:r>
        <w:rPr>
          <w:highlight w:val="none"/>
        </w:rPr>
      </w:r>
    </w:p>
    <w:p w14:paraId="6B58DC25">
      <w:pPr>
        <w:pStyle w:val="1128"/>
        <w:suppressLineNumbers w:val="false"/>
        <w:pBdr/>
        <w:spacing w:line="300" w:lineRule="auto"/>
        <w:ind/>
        <w:rPr>
          <w:lang w:val="en-CA"/>
        </w:rPr>
      </w:pPr>
      <w:r>
        <w:rPr>
          <w:lang w:val="en-CA"/>
        </w:rPr>
      </w:r>
      <w:r>
        <w:t xml:space="preserve">Table 3.1 documents the provenance of all primary evidence used in this chapter. For each dataset block, the chapter’s results are compiled from the corresponding report file under the Prototyping_reformat/ tree and the associated persisted outputs referen</w:t>
      </w:r>
      <w:r>
        <w:t xml:space="preserve">ced by that report</w:t>
      </w:r>
      <w:r>
        <w:rPr>
          <w:lang w:val="en-US"/>
        </w:rPr>
        <w:t xml:space="preserve">[66] - [73]</w:t>
      </w:r>
      <w:r>
        <w:t xml:space="preserve">.</w:t>
      </w:r>
      <w:r>
        <w:rPr>
          <w:lang w:val="en-CA"/>
        </w:rPr>
      </w:r>
      <w:r>
        <w:rPr>
          <w:lang w:val="en-CA"/>
        </w:rPr>
      </w:r>
    </w:p>
    <w:p w14:paraId="37D50FCD">
      <w:pPr>
        <w:pStyle w:val="1128"/>
        <w:suppressLineNumbers w:val="false"/>
        <w:pBdr/>
        <w:spacing w:line="300" w:lineRule="auto"/>
        <w:ind w:firstLine="0"/>
        <w:rPr>
          <w:b/>
          <w:bCs/>
          <w:sz w:val="28"/>
          <w:szCs w:val="28"/>
          <w:highlight w:val="none"/>
        </w:rPr>
      </w:pPr>
      <w:r>
        <w:rPr>
          <w:b/>
          <w:bCs/>
          <w:sz w:val="28"/>
          <w:szCs w:val="28"/>
          <w:highlight w:val="none"/>
        </w:rPr>
      </w:r>
      <w:r>
        <w:rPr>
          <w:b/>
          <w:bCs/>
          <w:sz w:val="28"/>
          <w:szCs w:val="28"/>
          <w:highlight w:val="none"/>
        </w:rPr>
      </w:r>
      <w:r>
        <w:rPr>
          <w:b/>
          <w:bCs/>
          <w:sz w:val="28"/>
          <w:szCs w:val="28"/>
          <w:highlight w:val="none"/>
        </w:rPr>
      </w:r>
    </w:p>
    <w:p w14:paraId="4E44EAA5">
      <w:pPr>
        <w:pStyle w:val="1128"/>
        <w:suppressLineNumbers w:val="false"/>
        <w:pBdr/>
        <w:spacing w:line="300" w:lineRule="auto"/>
        <w:ind w:firstLine="0"/>
        <w:rPr>
          <w:b/>
          <w:bCs/>
          <w:sz w:val="28"/>
          <w:szCs w:val="28"/>
          <w:highlight w:val="none"/>
        </w:rPr>
      </w:pPr>
      <w:r>
        <w:rPr>
          <w:highlight w:val="none"/>
        </w:rPr>
      </w:r>
      <w:r>
        <w:rPr>
          <w:b/>
          <w:bCs/>
          <w:sz w:val="28"/>
          <w:szCs w:val="28"/>
          <w:highlight w:val="none"/>
        </w:rPr>
      </w:r>
      <w:r>
        <w:rPr>
          <w:b/>
          <w:bCs/>
          <w:sz w:val="28"/>
          <w:szCs w:val="28"/>
          <w:highlight w:val="none"/>
        </w:rPr>
      </w:r>
    </w:p>
    <w:p w14:paraId="7C666E0E">
      <w:pPr>
        <w:pStyle w:val="1128"/>
        <w:suppressLineNumbers w:val="false"/>
        <w:pBdr/>
        <w:spacing w:line="300" w:lineRule="auto"/>
        <w:ind w:firstLine="0"/>
        <w:rPr>
          <w:b/>
          <w:bCs/>
          <w:sz w:val="28"/>
          <w:szCs w:val="28"/>
          <w:highlight w:val="none"/>
        </w:rPr>
      </w:pPr>
      <w:r>
        <w:rPr>
          <w:b/>
          <w:bCs/>
          <w:sz w:val="28"/>
          <w:szCs w:val="28"/>
          <w:highlight w:val="none"/>
        </w:rPr>
      </w:r>
      <w:r>
        <w:rPr>
          <w:b/>
          <w:bCs/>
          <w:sz w:val="28"/>
          <w:szCs w:val="28"/>
          <w:highlight w:val="none"/>
        </w:rPr>
      </w:r>
      <w:r>
        <w:rPr>
          <w:b/>
          <w:bCs/>
          <w:sz w:val="28"/>
          <w:szCs w:val="28"/>
          <w:highlight w:val="none"/>
        </w:rPr>
      </w:r>
    </w:p>
    <w:tbl>
      <w:tblPr>
        <w:tblStyle w:val="1185"/>
        <w:tblInd w:w="-666" w:type="dxa"/>
        <w:tblW w:w="0" w:type="auto"/>
        <w:tblBorders/>
        <w:tblLayout w:type="fixed"/>
        <w:tblLook w:val="04A0" w:firstRow="1" w:lastRow="0" w:firstColumn="1" w:lastColumn="0" w:noHBand="0" w:noVBand="1"/>
      </w:tblPr>
      <w:tblGrid>
        <w:gridCol w:w="1417"/>
        <w:gridCol w:w="3260"/>
        <w:gridCol w:w="3260"/>
        <w:gridCol w:w="2126"/>
      </w:tblGrid>
      <w:tr>
        <w:trPr/>
        <w:tc>
          <w:tcPr>
            <w:tcBorders/>
            <w:tcW w:w="1417" w:type="dxa"/>
            <w:textDirection w:val="lrTb"/>
            <w:noWrap w:val="false"/>
          </w:tcPr>
          <w:p w14:paraId="638F6120">
            <w:pPr>
              <w:pBdr/>
              <w:spacing w:after="0" w:before="0" w:line="240" w:lineRule="auto"/>
              <w:ind/>
              <w:rPr>
                <w:rFonts w:ascii="Arial" w:hAnsi="Arial" w:cs="Arial"/>
                <w:color w:val="000000" w:themeColor="text1"/>
              </w:rPr>
            </w:pPr>
            <w:r>
              <w:rPr>
                <w:rFonts w:ascii="Arial" w:hAnsi="Arial" w:eastAsia="Arial" w:cs="Arial"/>
                <w:b/>
                <w:color w:val="000000" w:themeColor="text1"/>
                <w:sz w:val="21"/>
              </w:rPr>
              <w:t xml:space="preserve">Dataset / analysis block</w:t>
            </w:r>
            <w:r>
              <w:rPr>
                <w:rFonts w:ascii="Arial" w:hAnsi="Arial" w:cs="Arial"/>
                <w:color w:val="000000" w:themeColor="text1"/>
              </w:rPr>
            </w:r>
            <w:r>
              <w:rPr>
                <w:rFonts w:ascii="Arial" w:hAnsi="Arial" w:cs="Arial"/>
                <w:color w:val="000000" w:themeColor="text1"/>
              </w:rPr>
            </w:r>
          </w:p>
        </w:tc>
        <w:tc>
          <w:tcPr>
            <w:tcBorders/>
            <w:tcW w:w="3260" w:type="dxa"/>
            <w:textDirection w:val="lrTb"/>
            <w:noWrap w:val="false"/>
          </w:tcPr>
          <w:p w14:paraId="3E7652CA">
            <w:pPr>
              <w:pBdr/>
              <w:spacing w:after="0" w:before="0" w:line="240" w:lineRule="auto"/>
              <w:ind/>
              <w:rPr>
                <w:rFonts w:ascii="Arial" w:hAnsi="Arial" w:cs="Arial"/>
                <w:color w:val="000000" w:themeColor="text1"/>
              </w:rPr>
            </w:pPr>
            <w:r>
              <w:rPr>
                <w:rFonts w:ascii="Arial" w:hAnsi="Arial" w:eastAsia="Arial" w:cs="Arial"/>
                <w:b/>
                <w:color w:val="000000" w:themeColor="text1"/>
                <w:sz w:val="21"/>
              </w:rPr>
              <w:t xml:space="preserve">Primary report file</w:t>
            </w:r>
            <w:r>
              <w:rPr>
                <w:rFonts w:ascii="Arial" w:hAnsi="Arial" w:cs="Arial"/>
                <w:color w:val="000000" w:themeColor="text1"/>
              </w:rPr>
            </w:r>
            <w:r>
              <w:rPr>
                <w:rFonts w:ascii="Arial" w:hAnsi="Arial" w:cs="Arial"/>
                <w:color w:val="000000" w:themeColor="text1"/>
              </w:rPr>
            </w:r>
          </w:p>
        </w:tc>
        <w:tc>
          <w:tcPr>
            <w:tcBorders/>
            <w:tcW w:w="3260" w:type="dxa"/>
            <w:textDirection w:val="lrTb"/>
            <w:noWrap w:val="false"/>
          </w:tcPr>
          <w:p w14:paraId="5F2BFEEA">
            <w:pPr>
              <w:pBdr/>
              <w:spacing w:after="0" w:before="0" w:line="240" w:lineRule="auto"/>
              <w:ind/>
              <w:rPr>
                <w:rFonts w:ascii="Arial" w:hAnsi="Arial" w:cs="Arial"/>
                <w:color w:val="000000" w:themeColor="text1"/>
              </w:rPr>
            </w:pPr>
            <w:r>
              <w:rPr>
                <w:rFonts w:ascii="Arial" w:hAnsi="Arial" w:eastAsia="Arial" w:cs="Arial"/>
                <w:b/>
                <w:color w:val="000000" w:themeColor="text1"/>
                <w:sz w:val="21"/>
              </w:rPr>
              <w:t xml:space="preserve">Persisted artifact roots</w:t>
            </w:r>
            <w:r>
              <w:rPr>
                <w:rFonts w:ascii="Arial" w:hAnsi="Arial" w:cs="Arial"/>
                <w:color w:val="000000" w:themeColor="text1"/>
              </w:rPr>
            </w:r>
            <w:r>
              <w:rPr>
                <w:rFonts w:ascii="Arial" w:hAnsi="Arial" w:cs="Arial"/>
                <w:color w:val="000000" w:themeColor="text1"/>
              </w:rPr>
            </w:r>
          </w:p>
        </w:tc>
        <w:tc>
          <w:tcPr>
            <w:tcBorders/>
            <w:tcW w:w="2126" w:type="dxa"/>
            <w:textDirection w:val="lrTb"/>
            <w:noWrap w:val="false"/>
          </w:tcPr>
          <w:p w14:paraId="7F81F58A">
            <w:pPr>
              <w:pBdr/>
              <w:spacing w:after="0" w:before="0" w:line="240" w:lineRule="auto"/>
              <w:ind/>
              <w:rPr>
                <w:rFonts w:ascii="Arial" w:hAnsi="Arial" w:cs="Arial"/>
                <w:color w:val="000000" w:themeColor="text1"/>
              </w:rPr>
            </w:pPr>
            <w:r>
              <w:rPr>
                <w:rFonts w:ascii="Arial" w:hAnsi="Arial" w:eastAsia="Arial" w:cs="Arial"/>
                <w:b/>
                <w:color w:val="000000" w:themeColor="text1"/>
                <w:sz w:val="21"/>
              </w:rPr>
              <w:t xml:space="preserve">Primary task style</w:t>
            </w:r>
            <w:r>
              <w:rPr>
                <w:rFonts w:ascii="Arial" w:hAnsi="Arial" w:cs="Arial"/>
                <w:color w:val="000000" w:themeColor="text1"/>
              </w:rPr>
            </w:r>
            <w:r>
              <w:rPr>
                <w:rFonts w:ascii="Arial" w:hAnsi="Arial" w:cs="Arial"/>
                <w:color w:val="000000" w:themeColor="text1"/>
              </w:rPr>
            </w:r>
          </w:p>
        </w:tc>
      </w:tr>
      <w:tr>
        <w:trPr/>
        <w:tc>
          <w:tcPr>
            <w:tcBorders/>
            <w:tcW w:w="1417" w:type="dxa"/>
            <w:textDirection w:val="lrTb"/>
            <w:noWrap w:val="false"/>
          </w:tcPr>
          <w:p w14:paraId="39B57A82">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HyperKvasir</w:t>
            </w:r>
            <w:r>
              <w:rPr>
                <w:rFonts w:ascii="Arial" w:hAnsi="Arial" w:cs="Arial"/>
                <w:color w:val="000000" w:themeColor="text1"/>
              </w:rPr>
            </w:r>
            <w:r>
              <w:rPr>
                <w:rFonts w:ascii="Arial" w:hAnsi="Arial" w:cs="Arial"/>
                <w:color w:val="000000" w:themeColor="text1"/>
              </w:rPr>
            </w:r>
          </w:p>
        </w:tc>
        <w:tc>
          <w:tcPr>
            <w:tcBorders/>
            <w:tcW w:w="3260" w:type="dxa"/>
            <w:textDirection w:val="lrTb"/>
            <w:noWrap w:val="false"/>
          </w:tcPr>
          <w:p w14:paraId="444EE83C">
            <w:pPr>
              <w:pBdr/>
              <w:spacing w:after="0" w:before="0" w:line="240" w:lineRule="auto"/>
              <w:ind/>
              <w:rPr>
                <w:rFonts w:ascii="Arial" w:hAnsi="Arial" w:cs="Arial"/>
                <w:color w:val="000000" w:themeColor="text1"/>
                <w:sz w:val="20"/>
                <w:szCs w:val="20"/>
              </w:rPr>
            </w:pPr>
            <w:r>
              <w:rPr>
                <w:rFonts w:ascii="Arial" w:hAnsi="Arial" w:eastAsia="Arial" w:cs="Arial"/>
                <w:color w:val="000000" w:themeColor="text1"/>
                <w:sz w:val="20"/>
                <w:szCs w:val="20"/>
                <w:highlight w:val="white"/>
              </w:rPr>
              <w:t xml:space="preserve">Prototyping_reformat/DatasetAnalysis/HyperKvasir/HyperKvasir.md</w:t>
            </w:r>
            <w:r>
              <w:rPr>
                <w:rFonts w:ascii="Arial" w:hAnsi="Arial" w:cs="Arial"/>
                <w:color w:val="000000" w:themeColor="text1"/>
                <w:sz w:val="20"/>
                <w:szCs w:val="20"/>
              </w:rPr>
            </w:r>
            <w:r>
              <w:rPr>
                <w:rFonts w:ascii="Arial" w:hAnsi="Arial" w:cs="Arial"/>
                <w:color w:val="000000" w:themeColor="text1"/>
                <w:sz w:val="20"/>
                <w:szCs w:val="20"/>
              </w:rPr>
            </w:r>
          </w:p>
        </w:tc>
        <w:tc>
          <w:tcPr>
            <w:tcBorders/>
            <w:tcW w:w="3260" w:type="dxa"/>
            <w:textDirection w:val="lrTb"/>
            <w:noWrap w:val="false"/>
          </w:tcPr>
          <w:p w14:paraId="4D482767">
            <w:pPr>
              <w:pBdr/>
              <w:spacing w:after="0" w:before="0" w:line="240" w:lineRule="auto"/>
              <w:ind/>
              <w:rPr>
                <w:rFonts w:ascii="Arial" w:hAnsi="Arial" w:cs="Arial"/>
                <w:color w:val="000000" w:themeColor="text1"/>
                <w:sz w:val="20"/>
                <w:szCs w:val="20"/>
              </w:rPr>
            </w:pPr>
            <w:r>
              <w:rPr>
                <w:rFonts w:ascii="Arial" w:hAnsi="Arial" w:eastAsia="Arial" w:cs="Arial"/>
                <w:color w:val="000000" w:themeColor="text1"/>
                <w:sz w:val="20"/>
                <w:szCs w:val="20"/>
                <w:highlight w:val="white"/>
              </w:rPr>
              <w:t xml:space="preserve">Prototyping_reformat/DatasetAnalysis/HyperKvasir/**/out</w:t>
            </w:r>
            <w:r>
              <w:rPr>
                <w:rFonts w:ascii="Arial" w:hAnsi="Arial" w:cs="Arial"/>
                <w:color w:val="000000" w:themeColor="text1"/>
                <w:sz w:val="20"/>
                <w:szCs w:val="20"/>
              </w:rPr>
            </w:r>
            <w:r>
              <w:rPr>
                <w:rFonts w:ascii="Arial" w:hAnsi="Arial" w:cs="Arial"/>
                <w:color w:val="000000" w:themeColor="text1"/>
                <w:sz w:val="20"/>
                <w:szCs w:val="20"/>
              </w:rPr>
            </w:r>
          </w:p>
        </w:tc>
        <w:tc>
          <w:tcPr>
            <w:tcBorders/>
            <w:tcW w:w="2126" w:type="dxa"/>
            <w:textDirection w:val="lrTb"/>
            <w:noWrap w:val="false"/>
          </w:tcPr>
          <w:p w14:paraId="2DE0EA56">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23-class visual classification</w:t>
            </w:r>
            <w:r>
              <w:rPr>
                <w:rFonts w:ascii="Arial" w:hAnsi="Arial" w:cs="Arial"/>
                <w:color w:val="000000" w:themeColor="text1"/>
              </w:rPr>
            </w:r>
            <w:r>
              <w:rPr>
                <w:rFonts w:ascii="Arial" w:hAnsi="Arial" w:cs="Arial"/>
                <w:color w:val="000000" w:themeColor="text1"/>
              </w:rPr>
            </w:r>
          </w:p>
        </w:tc>
      </w:tr>
      <w:tr>
        <w:trPr/>
        <w:tc>
          <w:tcPr>
            <w:tcBorders/>
            <w:tcW w:w="1417" w:type="dxa"/>
            <w:textDirection w:val="lrTb"/>
            <w:noWrap w:val="false"/>
          </w:tcPr>
          <w:p w14:paraId="7348A8C7">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ImageCLEF MEDVQA-GI 2023</w:t>
            </w:r>
            <w:r>
              <w:rPr>
                <w:rFonts w:ascii="Arial" w:hAnsi="Arial" w:cs="Arial"/>
                <w:color w:val="000000" w:themeColor="text1"/>
              </w:rPr>
            </w:r>
            <w:r>
              <w:rPr>
                <w:rFonts w:ascii="Arial" w:hAnsi="Arial" w:cs="Arial"/>
                <w:color w:val="000000" w:themeColor="text1"/>
              </w:rPr>
            </w:r>
          </w:p>
        </w:tc>
        <w:tc>
          <w:tcPr>
            <w:tcBorders/>
            <w:tcW w:w="3260" w:type="dxa"/>
            <w:textDirection w:val="lrTb"/>
            <w:noWrap w:val="false"/>
          </w:tcPr>
          <w:p w14:paraId="71FE9487">
            <w:pPr>
              <w:pBdr/>
              <w:spacing w:after="0" w:before="0" w:line="240" w:lineRule="auto"/>
              <w:ind/>
              <w:rPr>
                <w:rFonts w:ascii="Arial" w:hAnsi="Arial" w:cs="Arial"/>
                <w:color w:val="000000" w:themeColor="text1"/>
                <w:sz w:val="20"/>
                <w:szCs w:val="20"/>
              </w:rPr>
            </w:pPr>
            <w:r>
              <w:rPr>
                <w:rFonts w:ascii="Arial" w:hAnsi="Arial" w:eastAsia="Arial" w:cs="Arial"/>
                <w:color w:val="000000" w:themeColor="text1"/>
                <w:sz w:val="20"/>
                <w:szCs w:val="20"/>
                <w:highlight w:val="white"/>
              </w:rPr>
              <w:t xml:space="preserve">Prototyping_reformat/DatasetAnalysis/ImageCLEF_MEDVQA_GI_2023/ImageCLEF_MEDVQA_GI_2023.md</w:t>
            </w:r>
            <w:r>
              <w:rPr>
                <w:rFonts w:ascii="Arial" w:hAnsi="Arial" w:cs="Arial"/>
                <w:color w:val="000000" w:themeColor="text1"/>
                <w:sz w:val="20"/>
                <w:szCs w:val="20"/>
              </w:rPr>
            </w:r>
            <w:r>
              <w:rPr>
                <w:rFonts w:ascii="Arial" w:hAnsi="Arial" w:cs="Arial"/>
                <w:color w:val="000000" w:themeColor="text1"/>
                <w:sz w:val="20"/>
                <w:szCs w:val="20"/>
              </w:rPr>
            </w:r>
          </w:p>
        </w:tc>
        <w:tc>
          <w:tcPr>
            <w:tcBorders/>
            <w:tcW w:w="3260" w:type="dxa"/>
            <w:textDirection w:val="lrTb"/>
            <w:noWrap w:val="false"/>
          </w:tcPr>
          <w:p w14:paraId="07A0F5F5">
            <w:pPr>
              <w:pBdr/>
              <w:spacing w:after="0" w:before="0" w:line="240" w:lineRule="auto"/>
              <w:ind/>
              <w:rPr>
                <w:rFonts w:ascii="Arial" w:hAnsi="Arial" w:cs="Arial"/>
                <w:color w:val="000000" w:themeColor="text1"/>
                <w:sz w:val="20"/>
                <w:szCs w:val="20"/>
              </w:rPr>
            </w:pPr>
            <w:r>
              <w:rPr>
                <w:rFonts w:ascii="Arial" w:hAnsi="Arial" w:eastAsia="Arial" w:cs="Arial"/>
                <w:color w:val="000000" w:themeColor="text1"/>
                <w:sz w:val="20"/>
                <w:szCs w:val="20"/>
                <w:highlight w:val="white"/>
              </w:rPr>
              <w:t xml:space="preserve">Prototyping_reformat/DatasetAnalysis/ImageCLEF_MEDVQA_GI_2023/**/results</w:t>
            </w:r>
            <w:r>
              <w:rPr>
                <w:rFonts w:ascii="Arial" w:hAnsi="Arial" w:cs="Arial"/>
                <w:color w:val="000000" w:themeColor="text1"/>
                <w:sz w:val="20"/>
                <w:szCs w:val="20"/>
              </w:rPr>
            </w:r>
            <w:r>
              <w:rPr>
                <w:rFonts w:ascii="Arial" w:hAnsi="Arial" w:cs="Arial"/>
                <w:color w:val="000000" w:themeColor="text1"/>
                <w:sz w:val="20"/>
                <w:szCs w:val="20"/>
              </w:rPr>
            </w:r>
          </w:p>
        </w:tc>
        <w:tc>
          <w:tcPr>
            <w:tcBorders/>
            <w:tcW w:w="2126" w:type="dxa"/>
            <w:textDirection w:val="lrTb"/>
            <w:noWrap w:val="false"/>
          </w:tcPr>
          <w:p w14:paraId="20BBD5F0">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closed-label GI VQA</w:t>
            </w:r>
            <w:r>
              <w:rPr>
                <w:rFonts w:ascii="Arial" w:hAnsi="Arial" w:cs="Arial"/>
                <w:color w:val="000000" w:themeColor="text1"/>
              </w:rPr>
            </w:r>
            <w:r>
              <w:rPr>
                <w:rFonts w:ascii="Arial" w:hAnsi="Arial" w:cs="Arial"/>
                <w:color w:val="000000" w:themeColor="text1"/>
              </w:rPr>
            </w:r>
          </w:p>
        </w:tc>
      </w:tr>
      <w:tr>
        <w:trPr/>
        <w:tc>
          <w:tcPr>
            <w:tcBorders/>
            <w:tcW w:w="1417" w:type="dxa"/>
            <w:textDirection w:val="lrTb"/>
            <w:noWrap w:val="false"/>
          </w:tcPr>
          <w:p w14:paraId="7E5424CE">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Kvasir-VQA</w:t>
            </w:r>
            <w:r>
              <w:rPr>
                <w:rFonts w:ascii="Arial" w:hAnsi="Arial" w:cs="Arial"/>
                <w:color w:val="000000" w:themeColor="text1"/>
              </w:rPr>
            </w:r>
            <w:r>
              <w:rPr>
                <w:rFonts w:ascii="Arial" w:hAnsi="Arial" w:cs="Arial"/>
                <w:color w:val="000000" w:themeColor="text1"/>
              </w:rPr>
            </w:r>
          </w:p>
        </w:tc>
        <w:tc>
          <w:tcPr>
            <w:tcBorders/>
            <w:tcW w:w="3260" w:type="dxa"/>
            <w:textDirection w:val="lrTb"/>
            <w:noWrap w:val="false"/>
          </w:tcPr>
          <w:p w14:paraId="010607D8">
            <w:pPr>
              <w:pBdr/>
              <w:spacing w:after="0" w:before="0" w:line="240" w:lineRule="auto"/>
              <w:ind/>
              <w:rPr>
                <w:rFonts w:ascii="Arial" w:hAnsi="Arial" w:cs="Arial"/>
                <w:color w:val="000000" w:themeColor="text1"/>
                <w:sz w:val="20"/>
                <w:szCs w:val="20"/>
              </w:rPr>
            </w:pPr>
            <w:r>
              <w:rPr>
                <w:rFonts w:ascii="Arial" w:hAnsi="Arial" w:eastAsia="Arial" w:cs="Arial"/>
                <w:color w:val="000000" w:themeColor="text1"/>
                <w:sz w:val="20"/>
                <w:szCs w:val="20"/>
                <w:highlight w:val="white"/>
              </w:rPr>
              <w:t xml:space="preserve">Prototyping_reformat/DatasetAnalysis/Kvasir_VQA/Kvasir_VQA.md</w:t>
            </w:r>
            <w:r>
              <w:rPr>
                <w:rFonts w:ascii="Arial" w:hAnsi="Arial" w:cs="Arial"/>
                <w:color w:val="000000" w:themeColor="text1"/>
                <w:sz w:val="20"/>
                <w:szCs w:val="20"/>
              </w:rPr>
            </w:r>
            <w:r>
              <w:rPr>
                <w:rFonts w:ascii="Arial" w:hAnsi="Arial" w:cs="Arial"/>
                <w:color w:val="000000" w:themeColor="text1"/>
                <w:sz w:val="20"/>
                <w:szCs w:val="20"/>
              </w:rPr>
            </w:r>
          </w:p>
        </w:tc>
        <w:tc>
          <w:tcPr>
            <w:tcBorders/>
            <w:tcW w:w="3260" w:type="dxa"/>
            <w:textDirection w:val="lrTb"/>
            <w:noWrap w:val="false"/>
          </w:tcPr>
          <w:p w14:paraId="56D72E7A">
            <w:pPr>
              <w:pBdr/>
              <w:spacing w:after="0" w:before="0" w:line="240" w:lineRule="auto"/>
              <w:ind/>
              <w:rPr>
                <w:rFonts w:ascii="Arial" w:hAnsi="Arial" w:cs="Arial"/>
                <w:color w:val="000000" w:themeColor="text1"/>
                <w:sz w:val="20"/>
                <w:szCs w:val="20"/>
              </w:rPr>
            </w:pPr>
            <w:r>
              <w:rPr>
                <w:rFonts w:ascii="Arial" w:hAnsi="Arial" w:eastAsia="Arial" w:cs="Arial"/>
                <w:color w:val="000000" w:themeColor="text1"/>
                <w:sz w:val="20"/>
                <w:szCs w:val="20"/>
                <w:highlight w:val="white"/>
              </w:rPr>
              <w:t xml:space="preserve">Prototyping_reformat/DatasetAnalysis/Kvasir_VQA/**/out</w:t>
            </w:r>
            <w:r>
              <w:rPr>
                <w:rFonts w:ascii="Arial" w:hAnsi="Arial" w:cs="Arial"/>
                <w:color w:val="000000" w:themeColor="text1"/>
                <w:sz w:val="20"/>
                <w:szCs w:val="20"/>
              </w:rPr>
            </w:r>
            <w:r>
              <w:rPr>
                <w:rFonts w:ascii="Arial" w:hAnsi="Arial" w:cs="Arial"/>
                <w:color w:val="000000" w:themeColor="text1"/>
                <w:sz w:val="20"/>
                <w:szCs w:val="20"/>
              </w:rPr>
            </w:r>
          </w:p>
        </w:tc>
        <w:tc>
          <w:tcPr>
            <w:tcBorders/>
            <w:tcW w:w="2126" w:type="dxa"/>
            <w:textDirection w:val="lrTb"/>
            <w:noWrap w:val="false"/>
          </w:tcPr>
          <w:p w14:paraId="6F3BBC73">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yes/no and attribute subsets</w:t>
            </w:r>
            <w:r>
              <w:rPr>
                <w:rFonts w:ascii="Arial" w:hAnsi="Arial" w:cs="Arial"/>
                <w:color w:val="000000" w:themeColor="text1"/>
              </w:rPr>
            </w:r>
            <w:r>
              <w:rPr>
                <w:rFonts w:ascii="Arial" w:hAnsi="Arial" w:cs="Arial"/>
                <w:color w:val="000000" w:themeColor="text1"/>
              </w:rPr>
            </w:r>
          </w:p>
        </w:tc>
      </w:tr>
      <w:tr>
        <w:trPr/>
        <w:tc>
          <w:tcPr>
            <w:tcBorders/>
            <w:tcW w:w="1417" w:type="dxa"/>
            <w:textDirection w:val="lrTb"/>
            <w:noWrap w:val="false"/>
          </w:tcPr>
          <w:p w14:paraId="3FF9D335">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Kvasir-VQA-x1</w:t>
            </w:r>
            <w:r>
              <w:rPr>
                <w:rFonts w:ascii="Arial" w:hAnsi="Arial" w:cs="Arial"/>
                <w:color w:val="000000" w:themeColor="text1"/>
              </w:rPr>
            </w:r>
            <w:r>
              <w:rPr>
                <w:rFonts w:ascii="Arial" w:hAnsi="Arial" w:cs="Arial"/>
                <w:color w:val="000000" w:themeColor="text1"/>
              </w:rPr>
            </w:r>
          </w:p>
        </w:tc>
        <w:tc>
          <w:tcPr>
            <w:tcBorders/>
            <w:tcW w:w="3260" w:type="dxa"/>
            <w:textDirection w:val="lrTb"/>
            <w:noWrap w:val="false"/>
          </w:tcPr>
          <w:p w14:paraId="248C10D5">
            <w:pPr>
              <w:pBdr/>
              <w:spacing w:after="0" w:before="0" w:line="240" w:lineRule="auto"/>
              <w:ind/>
              <w:rPr>
                <w:rFonts w:ascii="Arial" w:hAnsi="Arial" w:cs="Arial"/>
                <w:color w:val="000000" w:themeColor="text1"/>
                <w:sz w:val="20"/>
                <w:szCs w:val="20"/>
              </w:rPr>
            </w:pPr>
            <w:r>
              <w:rPr>
                <w:rFonts w:ascii="Arial" w:hAnsi="Arial" w:eastAsia="Arial" w:cs="Arial"/>
                <w:color w:val="000000" w:themeColor="text1"/>
                <w:sz w:val="20"/>
                <w:szCs w:val="20"/>
                <w:highlight w:val="white"/>
              </w:rPr>
              <w:t xml:space="preserve">Prototyping_reformat/DatasetAnalysis/Kvasir_VQA_x1/Kvasir_VQA_x1.md</w:t>
            </w:r>
            <w:r>
              <w:rPr>
                <w:rFonts w:ascii="Arial" w:hAnsi="Arial" w:cs="Arial"/>
                <w:color w:val="000000" w:themeColor="text1"/>
                <w:sz w:val="20"/>
                <w:szCs w:val="20"/>
              </w:rPr>
            </w:r>
            <w:r>
              <w:rPr>
                <w:rFonts w:ascii="Arial" w:hAnsi="Arial" w:cs="Arial"/>
                <w:color w:val="000000" w:themeColor="text1"/>
                <w:sz w:val="20"/>
                <w:szCs w:val="20"/>
              </w:rPr>
            </w:r>
          </w:p>
        </w:tc>
        <w:tc>
          <w:tcPr>
            <w:tcBorders/>
            <w:tcW w:w="3260" w:type="dxa"/>
            <w:textDirection w:val="lrTb"/>
            <w:noWrap w:val="false"/>
          </w:tcPr>
          <w:p w14:paraId="0D425BCF">
            <w:pPr>
              <w:pBdr/>
              <w:spacing w:after="0" w:before="0" w:line="240" w:lineRule="auto"/>
              <w:ind/>
              <w:rPr>
                <w:rFonts w:ascii="Arial" w:hAnsi="Arial" w:cs="Arial"/>
                <w:color w:val="000000" w:themeColor="text1"/>
                <w:sz w:val="20"/>
                <w:szCs w:val="20"/>
              </w:rPr>
            </w:pPr>
            <w:r>
              <w:rPr>
                <w:rFonts w:ascii="Arial" w:hAnsi="Arial" w:eastAsia="Arial" w:cs="Arial"/>
                <w:color w:val="000000" w:themeColor="text1"/>
                <w:sz w:val="20"/>
                <w:szCs w:val="20"/>
                <w:highlight w:val="white"/>
              </w:rPr>
              <w:t xml:space="preserve">Prototyping_reformat/DatasetAnalysis/Kvasir_VQA_x1/**/results</w:t>
            </w:r>
            <w:r>
              <w:rPr>
                <w:rFonts w:ascii="Arial" w:hAnsi="Arial" w:cs="Arial"/>
                <w:color w:val="000000" w:themeColor="text1"/>
                <w:sz w:val="20"/>
                <w:szCs w:val="20"/>
              </w:rPr>
            </w:r>
            <w:r>
              <w:rPr>
                <w:rFonts w:ascii="Arial" w:hAnsi="Arial" w:cs="Arial"/>
                <w:color w:val="000000" w:themeColor="text1"/>
                <w:sz w:val="20"/>
                <w:szCs w:val="20"/>
              </w:rPr>
            </w:r>
          </w:p>
        </w:tc>
        <w:tc>
          <w:tcPr>
            <w:tcBorders/>
            <w:tcW w:w="2126" w:type="dxa"/>
            <w:textDirection w:val="lrTb"/>
            <w:noWrap w:val="false"/>
          </w:tcPr>
          <w:p w14:paraId="50DDDA91">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large-scale generative + mapped closed-set</w:t>
            </w:r>
            <w:r>
              <w:rPr>
                <w:rFonts w:ascii="Arial" w:hAnsi="Arial" w:cs="Arial"/>
                <w:color w:val="000000" w:themeColor="text1"/>
              </w:rPr>
            </w:r>
            <w:r>
              <w:rPr>
                <w:rFonts w:ascii="Arial" w:hAnsi="Arial" w:cs="Arial"/>
                <w:color w:val="000000" w:themeColor="text1"/>
              </w:rPr>
            </w:r>
          </w:p>
        </w:tc>
      </w:tr>
      <w:tr>
        <w:trPr/>
        <w:tc>
          <w:tcPr>
            <w:tcBorders/>
            <w:tcW w:w="1417" w:type="dxa"/>
            <w:textDirection w:val="lrTb"/>
            <w:noWrap w:val="false"/>
          </w:tcPr>
          <w:p w14:paraId="14F5B43D">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LIMUC</w:t>
            </w:r>
            <w:r>
              <w:rPr>
                <w:rFonts w:ascii="Arial" w:hAnsi="Arial" w:cs="Arial"/>
                <w:color w:val="000000" w:themeColor="text1"/>
              </w:rPr>
            </w:r>
            <w:r>
              <w:rPr>
                <w:rFonts w:ascii="Arial" w:hAnsi="Arial" w:cs="Arial"/>
                <w:color w:val="000000" w:themeColor="text1"/>
              </w:rPr>
            </w:r>
          </w:p>
        </w:tc>
        <w:tc>
          <w:tcPr>
            <w:tcBorders/>
            <w:tcW w:w="3260" w:type="dxa"/>
            <w:textDirection w:val="lrTb"/>
            <w:noWrap w:val="false"/>
          </w:tcPr>
          <w:p w14:paraId="623EF968">
            <w:pPr>
              <w:pBdr/>
              <w:spacing w:after="0" w:before="0" w:line="240" w:lineRule="auto"/>
              <w:ind/>
              <w:rPr>
                <w:rFonts w:ascii="Arial" w:hAnsi="Arial" w:cs="Arial"/>
                <w:color w:val="000000" w:themeColor="text1"/>
                <w:sz w:val="20"/>
                <w:szCs w:val="20"/>
              </w:rPr>
            </w:pPr>
            <w:r>
              <w:rPr>
                <w:rFonts w:ascii="Arial" w:hAnsi="Arial" w:eastAsia="Arial" w:cs="Arial"/>
                <w:color w:val="000000" w:themeColor="text1"/>
                <w:sz w:val="20"/>
                <w:szCs w:val="20"/>
                <w:highlight w:val="white"/>
              </w:rPr>
              <w:t xml:space="preserve">Prototyping_reformat/DatasetAnalysis/LIMUC/LIMUC.md</w:t>
            </w:r>
            <w:r>
              <w:rPr>
                <w:rFonts w:ascii="Arial" w:hAnsi="Arial" w:cs="Arial"/>
                <w:color w:val="000000" w:themeColor="text1"/>
                <w:sz w:val="20"/>
                <w:szCs w:val="20"/>
              </w:rPr>
            </w:r>
            <w:r>
              <w:rPr>
                <w:rFonts w:ascii="Arial" w:hAnsi="Arial" w:cs="Arial"/>
                <w:color w:val="000000" w:themeColor="text1"/>
                <w:sz w:val="20"/>
                <w:szCs w:val="20"/>
              </w:rPr>
            </w:r>
          </w:p>
        </w:tc>
        <w:tc>
          <w:tcPr>
            <w:tcBorders/>
            <w:tcW w:w="3260" w:type="dxa"/>
            <w:textDirection w:val="lrTb"/>
            <w:noWrap w:val="false"/>
          </w:tcPr>
          <w:p w14:paraId="188CAFF3">
            <w:pPr>
              <w:pBdr/>
              <w:spacing w:after="0" w:before="0" w:line="240" w:lineRule="auto"/>
              <w:ind/>
              <w:rPr>
                <w:rFonts w:ascii="Arial" w:hAnsi="Arial" w:cs="Arial"/>
                <w:color w:val="000000" w:themeColor="text1"/>
                <w:sz w:val="20"/>
                <w:szCs w:val="20"/>
              </w:rPr>
            </w:pPr>
            <w:r>
              <w:rPr>
                <w:rFonts w:ascii="Arial" w:hAnsi="Arial" w:eastAsia="Arial" w:cs="Arial"/>
                <w:color w:val="000000" w:themeColor="text1"/>
                <w:sz w:val="20"/>
                <w:szCs w:val="20"/>
                <w:highlight w:val="white"/>
              </w:rPr>
              <w:t xml:space="preserve">Prototyping_reformat/DatasetAnalysis/LIMUC/**/out</w:t>
            </w:r>
            <w:r>
              <w:rPr>
                <w:rFonts w:ascii="Arial" w:hAnsi="Arial" w:cs="Arial"/>
                <w:color w:val="000000" w:themeColor="text1"/>
                <w:sz w:val="20"/>
                <w:szCs w:val="20"/>
              </w:rPr>
            </w:r>
            <w:r>
              <w:rPr>
                <w:rFonts w:ascii="Arial" w:hAnsi="Arial" w:cs="Arial"/>
                <w:color w:val="000000" w:themeColor="text1"/>
                <w:sz w:val="20"/>
                <w:szCs w:val="20"/>
              </w:rPr>
            </w:r>
          </w:p>
        </w:tc>
        <w:tc>
          <w:tcPr>
            <w:tcBorders/>
            <w:tcW w:w="2126" w:type="dxa"/>
            <w:textDirection w:val="lrTb"/>
            <w:noWrap w:val="false"/>
          </w:tcPr>
          <w:p w14:paraId="541E4FA5">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Mayo severity (ordinal 0-3)</w:t>
            </w:r>
            <w:r>
              <w:rPr>
                <w:rFonts w:ascii="Arial" w:hAnsi="Arial" w:cs="Arial"/>
                <w:color w:val="000000" w:themeColor="text1"/>
              </w:rPr>
            </w:r>
            <w:r>
              <w:rPr>
                <w:rFonts w:ascii="Arial" w:hAnsi="Arial" w:cs="Arial"/>
                <w:color w:val="000000" w:themeColor="text1"/>
              </w:rPr>
            </w:r>
          </w:p>
        </w:tc>
      </w:tr>
      <w:tr>
        <w:trPr/>
        <w:tc>
          <w:tcPr>
            <w:tcBorders/>
            <w:tcW w:w="1417" w:type="dxa"/>
            <w:textDirection w:val="lrTb"/>
            <w:noWrap w:val="false"/>
          </w:tcPr>
          <w:p w14:paraId="2FA30929">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Kvasir-SEG (supporting)</w:t>
            </w:r>
            <w:r>
              <w:rPr>
                <w:rFonts w:ascii="Arial" w:hAnsi="Arial" w:cs="Arial"/>
                <w:color w:val="000000" w:themeColor="text1"/>
              </w:rPr>
            </w:r>
            <w:r>
              <w:rPr>
                <w:rFonts w:ascii="Arial" w:hAnsi="Arial" w:cs="Arial"/>
                <w:color w:val="000000" w:themeColor="text1"/>
              </w:rPr>
            </w:r>
          </w:p>
        </w:tc>
        <w:tc>
          <w:tcPr>
            <w:tcBorders/>
            <w:tcW w:w="3260" w:type="dxa"/>
            <w:textDirection w:val="lrTb"/>
            <w:noWrap w:val="false"/>
          </w:tcPr>
          <w:p w14:paraId="7F0913FC">
            <w:pPr>
              <w:pBdr/>
              <w:spacing w:after="0" w:before="0" w:line="240" w:lineRule="auto"/>
              <w:ind/>
              <w:rPr>
                <w:rFonts w:ascii="Arial" w:hAnsi="Arial" w:cs="Arial"/>
                <w:color w:val="000000" w:themeColor="text1"/>
                <w:sz w:val="20"/>
                <w:szCs w:val="20"/>
              </w:rPr>
            </w:pPr>
            <w:r>
              <w:rPr>
                <w:rFonts w:ascii="Arial" w:hAnsi="Arial" w:eastAsia="Arial" w:cs="Arial"/>
                <w:color w:val="000000" w:themeColor="text1"/>
                <w:sz w:val="20"/>
                <w:szCs w:val="20"/>
                <w:highlight w:val="white"/>
              </w:rPr>
              <w:t xml:space="preserve">Prototyping_reformat/DatasetAnalysis/Kvasir_SEG/Kvasir_SEG.md</w:t>
            </w:r>
            <w:r>
              <w:rPr>
                <w:rFonts w:ascii="Arial" w:hAnsi="Arial" w:cs="Arial"/>
                <w:color w:val="000000" w:themeColor="text1"/>
                <w:sz w:val="20"/>
                <w:szCs w:val="20"/>
              </w:rPr>
            </w:r>
            <w:r>
              <w:rPr>
                <w:rFonts w:ascii="Arial" w:hAnsi="Arial" w:cs="Arial"/>
                <w:color w:val="000000" w:themeColor="text1"/>
                <w:sz w:val="20"/>
                <w:szCs w:val="20"/>
              </w:rPr>
            </w:r>
          </w:p>
        </w:tc>
        <w:tc>
          <w:tcPr>
            <w:tcBorders/>
            <w:tcW w:w="3260" w:type="dxa"/>
            <w:textDirection w:val="lrTb"/>
            <w:noWrap w:val="false"/>
          </w:tcPr>
          <w:p w14:paraId="7DFDE210">
            <w:pPr>
              <w:pBdr/>
              <w:spacing w:after="0" w:before="0" w:line="240" w:lineRule="auto"/>
              <w:ind/>
              <w:rPr>
                <w:rFonts w:ascii="Arial" w:hAnsi="Arial" w:cs="Arial"/>
                <w:color w:val="000000" w:themeColor="text1"/>
                <w:sz w:val="20"/>
                <w:szCs w:val="20"/>
              </w:rPr>
            </w:pPr>
            <w:r>
              <w:rPr>
                <w:rFonts w:ascii="Arial" w:hAnsi="Arial" w:eastAsia="Arial" w:cs="Arial"/>
                <w:color w:val="000000" w:themeColor="text1"/>
                <w:sz w:val="20"/>
                <w:szCs w:val="20"/>
                <w:highlight w:val="white"/>
              </w:rPr>
              <w:t xml:space="preserve">Prototyping_reformat/DatasetAnalysis/Kvasir_SEG/0_dataset_prep/**</w:t>
            </w:r>
            <w:r>
              <w:rPr>
                <w:rFonts w:ascii="Arial" w:hAnsi="Arial" w:cs="Arial"/>
                <w:color w:val="000000" w:themeColor="text1"/>
                <w:sz w:val="20"/>
                <w:szCs w:val="20"/>
              </w:rPr>
            </w:r>
            <w:r>
              <w:rPr>
                <w:rFonts w:ascii="Arial" w:hAnsi="Arial" w:cs="Arial"/>
                <w:color w:val="000000" w:themeColor="text1"/>
                <w:sz w:val="20"/>
                <w:szCs w:val="20"/>
              </w:rPr>
            </w:r>
          </w:p>
        </w:tc>
        <w:tc>
          <w:tcPr>
            <w:tcBorders/>
            <w:tcW w:w="2126" w:type="dxa"/>
            <w:textDirection w:val="lrTb"/>
            <w:noWrap w:val="false"/>
          </w:tcPr>
          <w:p w14:paraId="61AF01D7">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morphology and mask statistics</w:t>
            </w:r>
            <w:r>
              <w:rPr>
                <w:rFonts w:ascii="Arial" w:hAnsi="Arial" w:cs="Arial"/>
                <w:color w:val="000000" w:themeColor="text1"/>
              </w:rPr>
            </w:r>
            <w:r>
              <w:rPr>
                <w:rFonts w:ascii="Arial" w:hAnsi="Arial" w:cs="Arial"/>
                <w:color w:val="000000" w:themeColor="text1"/>
              </w:rPr>
            </w:r>
          </w:p>
        </w:tc>
      </w:tr>
      <w:tr>
        <w:trPr>
          <w:trHeight w:val="1135"/>
        </w:trPr>
        <w:tc>
          <w:tcPr>
            <w:tcBorders/>
            <w:tcW w:w="1417" w:type="dxa"/>
            <w:textDirection w:val="lrTb"/>
            <w:noWrap w:val="false"/>
          </w:tcPr>
          <w:p w14:paraId="4DEFC6C2">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Scenario protocol configuration</w:t>
            </w:r>
            <w:r>
              <w:rPr>
                <w:rFonts w:ascii="Arial" w:hAnsi="Arial" w:cs="Arial"/>
                <w:color w:val="000000" w:themeColor="text1"/>
              </w:rPr>
            </w:r>
            <w:r>
              <w:rPr>
                <w:rFonts w:ascii="Arial" w:hAnsi="Arial" w:cs="Arial"/>
                <w:color w:val="000000" w:themeColor="text1"/>
              </w:rPr>
            </w:r>
          </w:p>
        </w:tc>
        <w:tc>
          <w:tcPr>
            <w:tcBorders/>
            <w:tcW w:w="3260" w:type="dxa"/>
            <w:textDirection w:val="lrTb"/>
            <w:noWrap w:val="false"/>
          </w:tcPr>
          <w:p w14:paraId="59C70649">
            <w:pPr>
              <w:pBdr/>
              <w:spacing w:after="0" w:before="0" w:line="240" w:lineRule="auto"/>
              <w:ind/>
              <w:rPr>
                <w:rFonts w:ascii="Arial" w:hAnsi="Arial" w:cs="Arial"/>
                <w:color w:val="000000" w:themeColor="text1"/>
                <w:sz w:val="20"/>
                <w:szCs w:val="20"/>
              </w:rPr>
            </w:pPr>
            <w:r>
              <w:rPr>
                <w:rFonts w:ascii="Arial" w:hAnsi="Arial" w:eastAsia="Arial" w:cs="Arial"/>
                <w:color w:val="000000" w:themeColor="text1"/>
                <w:sz w:val="20"/>
                <w:szCs w:val="20"/>
                <w:highlight w:val="white"/>
              </w:rPr>
              <w:t xml:space="preserve">Prototyping_reformat/DatasetAnalysis/Kvasir_VQA/evaluation_comparison/scenarios/scenarios.yaml</w:t>
            </w:r>
            <w:r>
              <w:rPr>
                <w:rFonts w:ascii="Arial" w:hAnsi="Arial" w:cs="Arial"/>
                <w:color w:val="000000" w:themeColor="text1"/>
                <w:sz w:val="20"/>
                <w:szCs w:val="20"/>
              </w:rPr>
            </w:r>
            <w:r>
              <w:rPr>
                <w:rFonts w:ascii="Arial" w:hAnsi="Arial" w:cs="Arial"/>
                <w:color w:val="000000" w:themeColor="text1"/>
                <w:sz w:val="20"/>
                <w:szCs w:val="20"/>
              </w:rPr>
            </w:r>
          </w:p>
        </w:tc>
        <w:tc>
          <w:tcPr>
            <w:tcBorders/>
            <w:tcW w:w="3260" w:type="dxa"/>
            <w:textDirection w:val="lrTb"/>
            <w:noWrap w:val="false"/>
          </w:tcPr>
          <w:p w14:paraId="2BB7F17D">
            <w:pPr>
              <w:pBdr/>
              <w:spacing w:after="0" w:before="0" w:line="240" w:lineRule="auto"/>
              <w:ind/>
              <w:rPr>
                <w:rFonts w:ascii="Arial" w:hAnsi="Arial" w:cs="Arial"/>
                <w:color w:val="000000" w:themeColor="text1"/>
                <w:sz w:val="20"/>
                <w:szCs w:val="20"/>
              </w:rPr>
            </w:pPr>
            <w:r>
              <w:rPr>
                <w:rFonts w:ascii="Arial" w:hAnsi="Arial" w:eastAsia="Arial" w:cs="Arial"/>
                <w:color w:val="000000" w:themeColor="text1"/>
                <w:sz w:val="20"/>
                <w:szCs w:val="20"/>
                <w:highlight w:val="white"/>
              </w:rPr>
              <w:t xml:space="preserve">Prototyping_reformat/DatasetAnalysis/Kvasir_VQA/evaluation_comparison/scenarios/</w:t>
            </w:r>
            <w:r>
              <w:rPr>
                <w:rFonts w:ascii="Arial" w:hAnsi="Arial" w:cs="Arial"/>
                <w:color w:val="000000" w:themeColor="text1"/>
                <w:sz w:val="20"/>
                <w:szCs w:val="20"/>
              </w:rPr>
            </w:r>
            <w:r>
              <w:rPr>
                <w:rFonts w:ascii="Arial" w:hAnsi="Arial" w:cs="Arial"/>
                <w:color w:val="000000" w:themeColor="text1"/>
                <w:sz w:val="20"/>
                <w:szCs w:val="20"/>
              </w:rPr>
            </w:r>
          </w:p>
        </w:tc>
        <w:tc>
          <w:tcPr>
            <w:tcBorders/>
            <w:tcW w:w="2126" w:type="dxa"/>
            <w:textDirection w:val="lrTb"/>
            <w:noWrap w:val="false"/>
          </w:tcPr>
          <w:p w14:paraId="20F5AC66">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micro-scenario stress-test definition (configuration only)</w:t>
            </w:r>
            <w:r>
              <w:rPr>
                <w:rFonts w:ascii="Arial" w:hAnsi="Arial" w:cs="Arial"/>
                <w:color w:val="000000" w:themeColor="text1"/>
              </w:rPr>
            </w:r>
            <w:r>
              <w:rPr>
                <w:rFonts w:ascii="Arial" w:hAnsi="Arial" w:cs="Arial"/>
                <w:color w:val="000000" w:themeColor="text1"/>
              </w:rPr>
            </w:r>
          </w:p>
        </w:tc>
      </w:tr>
      <w:tr>
        <w:trPr/>
        <w:tc>
          <w:tcPr>
            <w:tcBorders/>
            <w:tcW w:w="1417" w:type="dxa"/>
            <w:textDirection w:val="lrTb"/>
            <w:noWrap w:val="false"/>
          </w:tcPr>
          <w:p w14:paraId="14BEFE34">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Legacy UC generative runtime snapshot (reformatted)</w:t>
            </w:r>
            <w:r>
              <w:rPr>
                <w:rFonts w:ascii="Arial" w:hAnsi="Arial" w:cs="Arial"/>
                <w:color w:val="000000" w:themeColor="text1"/>
              </w:rPr>
            </w:r>
            <w:r>
              <w:rPr>
                <w:rFonts w:ascii="Arial" w:hAnsi="Arial" w:cs="Arial"/>
                <w:color w:val="000000" w:themeColor="text1"/>
              </w:rPr>
            </w:r>
          </w:p>
        </w:tc>
        <w:tc>
          <w:tcPr>
            <w:tcBorders/>
            <w:tcW w:w="3260" w:type="dxa"/>
            <w:textDirection w:val="lrTb"/>
            <w:noWrap w:val="false"/>
          </w:tcPr>
          <w:p w14:paraId="20832CE0">
            <w:pPr>
              <w:pBdr/>
              <w:spacing w:after="0" w:before="0" w:line="240" w:lineRule="auto"/>
              <w:ind/>
              <w:rPr>
                <w:rFonts w:ascii="Arial" w:hAnsi="Arial" w:cs="Arial"/>
                <w:color w:val="000000" w:themeColor="text1"/>
                <w:sz w:val="20"/>
                <w:szCs w:val="20"/>
              </w:rPr>
            </w:pPr>
            <w:r>
              <w:rPr>
                <w:rFonts w:ascii="Arial" w:hAnsi="Arial" w:eastAsia="Arial" w:cs="Arial"/>
                <w:color w:val="000000" w:themeColor="text1"/>
                <w:sz w:val="20"/>
                <w:szCs w:val="20"/>
                <w:highlight w:val="white"/>
              </w:rPr>
              <w:t xml:space="preserve">Prototyping_reformat/DatasetAnalysis/Kvasir_VQA/evaluation_comparison/phase3_results/summary_uc_phase3.csv</w:t>
            </w:r>
            <w:r>
              <w:rPr>
                <w:rFonts w:ascii="Arial" w:hAnsi="Arial" w:cs="Arial"/>
                <w:color w:val="000000" w:themeColor="text1"/>
                <w:sz w:val="20"/>
                <w:szCs w:val="20"/>
              </w:rPr>
            </w:r>
            <w:r>
              <w:rPr>
                <w:rFonts w:ascii="Arial" w:hAnsi="Arial" w:cs="Arial"/>
                <w:color w:val="000000" w:themeColor="text1"/>
                <w:sz w:val="20"/>
                <w:szCs w:val="20"/>
              </w:rPr>
            </w:r>
          </w:p>
        </w:tc>
        <w:tc>
          <w:tcPr>
            <w:tcBorders/>
            <w:tcW w:w="3260" w:type="dxa"/>
            <w:textDirection w:val="lrTb"/>
            <w:noWrap w:val="false"/>
          </w:tcPr>
          <w:p w14:paraId="1726D6B6">
            <w:pPr>
              <w:pBdr/>
              <w:spacing w:after="0" w:before="0" w:line="240" w:lineRule="auto"/>
              <w:ind/>
              <w:rPr>
                <w:rFonts w:ascii="Arial" w:hAnsi="Arial" w:cs="Arial"/>
                <w:color w:val="000000" w:themeColor="text1"/>
                <w:sz w:val="20"/>
                <w:szCs w:val="20"/>
              </w:rPr>
            </w:pPr>
            <w:r>
              <w:rPr>
                <w:rFonts w:ascii="Arial" w:hAnsi="Arial" w:eastAsia="Arial" w:cs="Arial"/>
                <w:color w:val="000000" w:themeColor="text1"/>
                <w:sz w:val="20"/>
                <w:szCs w:val="20"/>
                <w:highlight w:val="white"/>
              </w:rPr>
              <w:t xml:space="preserve">Prototyping_reformat/DatasetAnalysis/Kvasir_VQA/evaluation_comparison/phase3_results/*.csv</w:t>
            </w:r>
            <w:r>
              <w:rPr>
                <w:rFonts w:ascii="Arial" w:hAnsi="Arial" w:cs="Arial"/>
                <w:color w:val="000000" w:themeColor="text1"/>
                <w:sz w:val="20"/>
                <w:szCs w:val="20"/>
              </w:rPr>
            </w:r>
            <w:r>
              <w:rPr>
                <w:rFonts w:ascii="Arial" w:hAnsi="Arial" w:cs="Arial"/>
                <w:color w:val="000000" w:themeColor="text1"/>
                <w:sz w:val="20"/>
                <w:szCs w:val="20"/>
              </w:rPr>
            </w:r>
          </w:p>
        </w:tc>
        <w:tc>
          <w:tcPr>
            <w:tcBorders/>
            <w:tcW w:w="2126" w:type="dxa"/>
            <w:textDirection w:val="lrTb"/>
            <w:noWrap w:val="false"/>
          </w:tcPr>
          <w:p w14:paraId="1768F2F9">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open-ended response artifact status</w:t>
            </w:r>
            <w:r>
              <w:rPr>
                <w:rFonts w:ascii="Arial" w:hAnsi="Arial" w:cs="Arial"/>
                <w:color w:val="000000" w:themeColor="text1"/>
              </w:rPr>
            </w:r>
            <w:r>
              <w:rPr>
                <w:rFonts w:ascii="Arial" w:hAnsi="Arial" w:cs="Arial"/>
                <w:color w:val="000000" w:themeColor="text1"/>
              </w:rPr>
            </w:r>
          </w:p>
        </w:tc>
      </w:tr>
    </w:tbl>
    <w:p w14:paraId="39A63E7B">
      <w:pPr>
        <w:pStyle w:val="1128"/>
        <w:suppressLineNumbers w:val="false"/>
        <w:pBdr/>
        <w:spacing w:line="300" w:lineRule="auto"/>
        <w:ind w:firstLine="720"/>
        <w:rPr>
          <w:bCs/>
          <w:i/>
        </w:rPr>
      </w:pPr>
      <w:r>
        <w:rPr>
          <w:i/>
          <w:iCs/>
          <w:lang w:val="en-US"/>
        </w:rPr>
        <w:t xml:space="preserve">        </w:t>
      </w:r>
      <w:r>
        <w:rPr>
          <w:i/>
          <w:iCs/>
        </w:rPr>
        <w:t xml:space="preserve">Table 3.1. Primary Evidence Sources Used in Chapter 3</w:t>
      </w:r>
      <w:r>
        <w:rPr>
          <w:bCs/>
          <w:i/>
        </w:rPr>
      </w:r>
      <w:r>
        <w:rPr>
          <w:bCs/>
          <w:i/>
        </w:rPr>
      </w:r>
    </w:p>
    <w:p w14:paraId="6EE6A2B9">
      <w:pPr>
        <w:pStyle w:val="1128"/>
        <w:suppressLineNumbers w:val="false"/>
        <w:pBdr/>
        <w:spacing w:line="300" w:lineRule="auto"/>
        <w:ind w:firstLine="0"/>
        <w:rPr/>
      </w:pPr>
      <w:r>
        <w:rPr>
          <w:highlight w:val="none"/>
        </w:rPr>
      </w:r>
      <w:r>
        <w:rPr>
          <w:highlight w:val="none"/>
        </w:rPr>
      </w:r>
      <w:r/>
    </w:p>
    <w:p w14:paraId="18A23A64">
      <w:pPr>
        <w:pStyle w:val="1128"/>
        <w:suppressLineNumbers w:val="false"/>
        <w:pBdr/>
        <w:spacing w:line="300" w:lineRule="auto"/>
        <w:ind w:firstLine="0"/>
        <w:rPr>
          <w:b/>
          <w:bCs/>
          <w:highlight w:val="none"/>
        </w:rPr>
      </w:pPr>
      <w:r>
        <w:rPr>
          <w:b/>
          <w:bCs/>
        </w:rPr>
        <w:t xml:space="preserve">Reproducibility rules used throughout Chapter 3</w:t>
      </w:r>
      <w:r>
        <w:rPr>
          <w:b/>
          <w:bCs/>
          <w:highlight w:val="none"/>
        </w:rPr>
      </w:r>
      <w:r>
        <w:rPr>
          <w:b/>
          <w:bCs/>
          <w:highlight w:val="none"/>
        </w:rPr>
      </w:r>
    </w:p>
    <w:p w14:paraId="5EEE92C3">
      <w:pPr>
        <w:pStyle w:val="1128"/>
        <w:numPr>
          <w:ilvl w:val="0"/>
          <w:numId w:val="55"/>
        </w:numPr>
        <w:suppressLineNumbers w:val="false"/>
        <w:pBdr/>
        <w:spacing w:line="300" w:lineRule="auto"/>
        <w:ind/>
        <w:rPr/>
      </w:pPr>
      <w:r>
        <w:t xml:space="preserve">No undocumented reruns: the chapter reports only what is present in persisted artifacts and their compiled report files.</w:t>
      </w:r>
      <w:r/>
    </w:p>
    <w:p w14:paraId="04A5442F">
      <w:pPr>
        <w:pStyle w:val="1128"/>
        <w:numPr>
          <w:ilvl w:val="0"/>
          <w:numId w:val="55"/>
        </w:numPr>
        <w:suppressLineNumbers w:val="false"/>
        <w:pBdr/>
        <w:spacing w:line="300" w:lineRule="auto"/>
        <w:ind/>
        <w:rPr/>
      </w:pPr>
      <w:r>
        <w:t xml:space="preserve">Report-first compilation: each dataset subsection in Section 3.4 is compiled from the dataset’s *.md report file first, then supported by any persisted visualizations or summary outputs referenced by that report.</w:t>
      </w:r>
      <w:r/>
    </w:p>
    <w:p w14:paraId="7B00204B">
      <w:pPr>
        <w:pStyle w:val="1128"/>
        <w:numPr>
          <w:ilvl w:val="0"/>
          <w:numId w:val="55"/>
        </w:numPr>
        <w:suppressLineNumbers w:val="false"/>
        <w:pBdr/>
        <w:spacing w:line="300" w:lineRule="auto"/>
        <w:ind/>
        <w:rPr/>
      </w:pPr>
      <w:r>
        <w:t xml:space="preserve">No fabricated comparisons: where a model’s predictions, labels, or scoring outputs are missing, the chapter does not infer or reconstruct results.</w:t>
      </w:r>
      <w:r/>
    </w:p>
    <w:p w14:paraId="7319DD82">
      <w:pPr>
        <w:pStyle w:val="1128"/>
        <w:numPr>
          <w:ilvl w:val="0"/>
          <w:numId w:val="55"/>
        </w:numPr>
        <w:suppressLineNumbers w:val="false"/>
        <w:pBdr/>
        <w:spacing w:line="300" w:lineRule="auto"/>
        <w:ind/>
        <w:rPr/>
      </w:pPr>
      <w:r>
        <w:t xml:space="preserve">Configuration-only evidence is treated as configuration: scenario YAML files are reported as protocol definitions, not as evaluated outcomes.</w:t>
      </w:r>
      <w:r/>
    </w:p>
    <w:p w14:paraId="670F2401">
      <w:pPr>
        <w:pStyle w:val="1128"/>
        <w:numPr>
          <w:ilvl w:val="0"/>
          <w:numId w:val="55"/>
        </w:numPr>
        <w:suppressLineNumbers w:val="false"/>
        <w:pBdr/>
        <w:spacing w:line="300" w:lineRule="auto"/>
        <w:ind/>
        <w:rPr/>
      </w:pPr>
      <w:r>
        <w:t xml:space="preserve">Local-report cardinalities: dataset sizes shown in this chapter reflect the counts recorded in the local report artifacts and may differ from official dataset descriptor totals due to subset selection, filtering, or split definitions.</w:t>
      </w:r>
      <w:r/>
    </w:p>
    <w:p w14:paraId="1A8182A1">
      <w:pPr>
        <w:pStyle w:val="1128"/>
        <w:suppressLineNumbers w:val="false"/>
        <w:pBdr/>
        <w:spacing w:line="300" w:lineRule="auto"/>
        <w:ind w:firstLine="0"/>
        <w:rPr>
          <w:b/>
          <w:bCs/>
        </w:rPr>
      </w:pPr>
      <w:r>
        <w:rPr>
          <w:b/>
          <w:bCs/>
        </w:rPr>
        <w:t xml:space="preserve">3.1.2 Research Questions Addressed in This Chapter</w:t>
      </w:r>
      <w:r>
        <w:rPr>
          <w:b/>
          <w:bCs/>
        </w:rPr>
      </w:r>
      <w:r>
        <w:rPr>
          <w:b/>
          <w:bCs/>
        </w:rPr>
      </w:r>
    </w:p>
    <w:p w14:paraId="357FD5AF">
      <w:pPr>
        <w:pStyle w:val="1128"/>
        <w:suppressLineNumbers w:val="false"/>
        <w:pBdr/>
        <w:spacing w:after="240" w:before="120" w:line="240" w:lineRule="auto"/>
        <w:ind/>
        <w:rPr/>
      </w:pPr>
      <w:r>
        <w:t xml:space="preserve">Chapter 3 provides empirical evidence relevant to the following research questions defined in Chapter 1:</w:t>
      </w:r>
      <w:r/>
    </w:p>
    <w:p w14:paraId="0006ED89">
      <w:pPr>
        <w:pStyle w:val="1128"/>
        <w:numPr>
          <w:ilvl w:val="0"/>
          <w:numId w:val="56"/>
        </w:numPr>
        <w:suppressLineNumbers w:val="false"/>
        <w:pBdr/>
        <w:spacing w:after="240" w:before="120" w:line="240" w:lineRule="auto"/>
        <w:ind/>
        <w:rPr/>
      </w:pPr>
      <w:r>
        <w:rPr>
          <w:b/>
          <w:bCs/>
        </w:rPr>
        <w:t xml:space="preserve">RQ2 (comparative reliability):</w:t>
      </w:r>
      <w:r>
        <w:t xml:space="preserve"> Do constrained/discriminative pipelines remain more reliable than raw zero-shot generative outputs for current GI MedVQA tasks?</w:t>
      </w:r>
      <w:r/>
    </w:p>
    <w:p w14:paraId="44A1FD67">
      <w:pPr>
        <w:pStyle w:val="1128"/>
        <w:numPr>
          <w:ilvl w:val="0"/>
          <w:numId w:val="56"/>
        </w:numPr>
        <w:suppressLineNumbers w:val="false"/>
        <w:pBdr/>
        <w:spacing w:after="240" w:before="120" w:line="240" w:lineRule="auto"/>
        <w:ind/>
        <w:rPr/>
      </w:pPr>
      <w:r>
        <w:rPr>
          <w:b/>
          <w:bCs/>
        </w:rPr>
        <w:t xml:space="preserve">RQ3 (failure modes):</w:t>
      </w:r>
      <w:r>
        <w:t xml:space="preserve"> Which failure modes dominate across datasets and task styles (e.g., imbalance collapse, lexical drift, mapping fragility, question-family brittleness)?</w:t>
      </w:r>
      <w:r/>
    </w:p>
    <w:p w14:paraId="1AC8A246">
      <w:pPr>
        <w:pStyle w:val="1128"/>
        <w:numPr>
          <w:ilvl w:val="0"/>
          <w:numId w:val="56"/>
        </w:numPr>
        <w:suppressLineNumbers w:val="false"/>
        <w:pBdr/>
        <w:spacing w:after="240" w:before="120" w:line="240" w:lineRule="auto"/>
        <w:ind/>
        <w:rPr/>
      </w:pPr>
      <w:r>
        <w:rPr>
          <w:b/>
          <w:bCs/>
        </w:rPr>
        <w:t xml:space="preserve">RQ4 (severity robustness):</w:t>
      </w:r>
      <w:r>
        <w:t xml:space="preserve"> How reliably can models support UC severity-oriented question answering under ordinal structure and severe-class imbalance?</w:t>
      </w:r>
      <w:r/>
    </w:p>
    <w:p w14:paraId="08A7AFC5">
      <w:pPr>
        <w:pStyle w:val="1128"/>
        <w:numPr>
          <w:ilvl w:val="0"/>
          <w:numId w:val="56"/>
        </w:numPr>
        <w:suppressLineNumbers w:val="false"/>
        <w:pBdr/>
        <w:spacing w:after="240" w:before="120" w:line="240" w:lineRule="auto"/>
        <w:ind/>
        <w:rPr/>
      </w:pPr>
      <w:r>
        <w:rPr>
          <w:b/>
          <w:bCs/>
        </w:rPr>
        <w:t xml:space="preserve">RQ5 (clinical output format)</w:t>
      </w:r>
      <w:r>
        <w:t xml:space="preserve"> – protocol support only: Chapter 3 includes scenario protocol definitions that inform later clinician-facing evaluation logic, but it does not report scenario outcome metrics unless scored predictions are persisted.</w:t>
      </w:r>
      <w:r/>
    </w:p>
    <w:p w14:paraId="2BABE7BE">
      <w:pPr>
        <w:pStyle w:val="1128"/>
        <w:suppressLineNumbers w:val="false"/>
        <w:pBdr/>
        <w:spacing w:after="240" w:before="120" w:line="240" w:lineRule="auto"/>
        <w:ind w:firstLine="720" w:left="0"/>
        <w:rPr/>
      </w:pPr>
      <w:r>
        <w:t xml:space="preserve">To keep the evidence boundary explicit, scenario-level conclusions are deferred when only scenario configuration is present.</w:t>
      </w:r>
      <w:r/>
    </w:p>
    <w:p w14:paraId="120850EE">
      <w:pPr>
        <w:pStyle w:val="1128"/>
        <w:suppressLineNumbers w:val="false"/>
        <w:pBdr/>
        <w:spacing w:line="300" w:lineRule="auto"/>
        <w:ind w:firstLine="0"/>
        <w:rPr/>
      </w:pPr>
      <w:r>
        <w:rPr>
          <w:highlight w:val="none"/>
        </w:rPr>
      </w:r>
      <w:r>
        <w:rPr>
          <w:highlight w:val="none"/>
        </w:rPr>
      </w:r>
      <w:r/>
    </w:p>
    <w:p w14:paraId="68CC8585">
      <w:pPr>
        <w:pStyle w:val="1128"/>
        <w:suppressLineNumbers w:val="false"/>
        <w:pBdr/>
        <w:spacing w:line="300" w:lineRule="auto"/>
        <w:ind w:firstLine="720"/>
        <w:rPr>
          <w:highlight w:val="none"/>
        </w:rPr>
      </w:pPr>
      <w:r>
        <w:t xml:space="preserve">C</w:t>
      </w:r>
      <w:r>
        <w:t xml:space="preserve">hapter 2 established the technique landscape (discriminative fusion models, transformer-based multimodal encoders, generative multimodal models, and retrieval-augmented directions) and emphasized that evaluation must be aligned with clinical risk</w:t>
      </w:r>
      <w:r>
        <w:rPr>
          <w:lang w:val="en-US"/>
        </w:rPr>
        <w:t xml:space="preserve">[57], [58], [59]</w:t>
      </w:r>
      <w:r>
        <w:t xml:space="preserve">. Chapter </w:t>
      </w:r>
      <w:r>
        <w:t xml:space="preserve">3</w:t>
      </w:r>
      <w:r>
        <w:t xml:space="preserve"> operationalizes that principle by evaluating model families using the datasets and artifact outputs available in this repository. The chapter therefore functions as the thesis’s empirical “reality check”: it identifies what is currently reliable under GI-</w:t>
      </w:r>
      <w:r>
        <w:t xml:space="preserve">specific constraints and what failure patterns must be addressed before introducing controlled generative and evidence-aware extensions in subsequent chapters.</w:t>
      </w:r>
      <w:r>
        <w:rPr>
          <w:highlight w:val="none"/>
        </w:rPr>
      </w:r>
      <w:r>
        <w:rPr>
          <w:highlight w:val="none"/>
        </w:rPr>
      </w:r>
    </w:p>
    <w:p w14:paraId="05ABBC3F">
      <w:pPr>
        <w:pStyle w:val="1128"/>
        <w:suppressLineNumbers w:val="false"/>
        <w:pBdr/>
        <w:spacing w:line="300" w:lineRule="auto"/>
        <w:ind w:firstLine="720"/>
        <w:rPr>
          <w:highlight w:val="none"/>
        </w:rPr>
      </w:pPr>
      <w:r>
        <w:rPr>
          <w:highlight w:val="none"/>
        </w:rPr>
      </w:r>
      <w:r>
        <w:rPr>
          <w:highlight w:val="none"/>
        </w:rPr>
      </w:r>
      <w:r>
        <w:rPr>
          <w:highlight w:val="none"/>
        </w:rPr>
      </w:r>
    </w:p>
    <w:p w14:paraId="15B1179A">
      <w:pPr>
        <w:pStyle w:val="1128"/>
        <w:suppressLineNumbers w:val="false"/>
        <w:pBdr/>
        <w:spacing w:line="300" w:lineRule="auto"/>
        <w:ind w:firstLine="0"/>
        <w:rPr>
          <w:highlight w:val="none"/>
        </w:rPr>
      </w:pPr>
      <w:r>
        <w:rPr>
          <w:lang w:val="en-CA"/>
        </w:rPr>
      </w:r>
      <w:r>
        <w:rPr>
          <w:b/>
          <w:bCs/>
          <w:sz w:val="28"/>
          <w:szCs w:val="28"/>
        </w:rPr>
        <w:t xml:space="preserve">3.</w:t>
      </w:r>
      <w:r>
        <w:rPr>
          <w:b/>
          <w:bCs/>
          <w:sz w:val="28"/>
          <w:szCs w:val="28"/>
          <w:lang w:val="en-US"/>
        </w:rPr>
        <w:t xml:space="preserve">2</w:t>
      </w:r>
      <w:r>
        <w:rPr>
          <w:b/>
          <w:bCs/>
          <w:sz w:val="28"/>
          <w:szCs w:val="28"/>
        </w:rPr>
        <w:t xml:space="preserve"> </w:t>
      </w:r>
      <w:r>
        <w:rPr>
          <w:b/>
          <w:bCs/>
          <w:sz w:val="28"/>
          <w:szCs w:val="28"/>
        </w:rPr>
        <w:t xml:space="preserve">Experimental Scenarios and Data Regimes</w:t>
      </w:r>
      <w:r>
        <w:rPr>
          <w:highlight w:val="none"/>
        </w:rPr>
      </w:r>
      <w:r>
        <w:rPr>
          <w:highlight w:val="none"/>
        </w:rPr>
      </w:r>
    </w:p>
    <w:p w14:paraId="4A9FCE10">
      <w:pPr>
        <w:pStyle w:val="1128"/>
        <w:suppressLineNumbers w:val="false"/>
        <w:pBdr/>
        <w:spacing w:line="300" w:lineRule="auto"/>
        <w:ind w:firstLine="720"/>
        <w:rPr>
          <w:highlight w:val="none"/>
        </w:rPr>
      </w:pPr>
      <w:r>
        <w:rPr>
          <w:highlight w:val="none"/>
        </w:rPr>
      </w:r>
      <w:r>
        <w:t xml:space="preserve">Section 3.2 defines the empirical scope: which datasets are evaluated, what task styles they represent, and which model families are compared. The aim is not to claim universal generalization across all GI settings, but to characterize reliability patterns</w:t>
      </w:r>
      <w:r>
        <w:t xml:space="preserve"> within the available artifact evidence and across diverse task regimes (closed-label, generative, ordinal).</w:t>
      </w:r>
      <w:r>
        <w:rPr>
          <w:highlight w:val="none"/>
        </w:rPr>
      </w:r>
      <w:r>
        <w:rPr>
          <w:highlight w:val="none"/>
        </w:rPr>
      </w:r>
    </w:p>
    <w:p w14:paraId="67978EC4">
      <w:pPr>
        <w:pStyle w:val="1116"/>
        <w:numPr>
          <w:ilvl w:val="0"/>
          <w:numId w:val="0"/>
        </w:numPr>
        <w:pBdr>
          <w:top w:val="none" w:color="000000" w:sz="4" w:space="0"/>
          <w:left w:val="none" w:color="000000" w:sz="4" w:space="0"/>
          <w:bottom w:val="single" w:color="ffffff" w:sz="6" w:space="0"/>
          <w:right w:val="none" w:color="000000" w:sz="4" w:space="0"/>
        </w:pBdr>
        <w:spacing w:after="240" w:before="360" w:line="300" w:lineRule="auto"/>
        <w:ind w:right="0" w:firstLine="0" w:left="0"/>
        <w:rPr>
          <w:color w:val="000000" w:themeColor="text1"/>
          <w:sz w:val="22"/>
          <w:szCs w:val="22"/>
        </w:rPr>
      </w:pPr>
      <w:r>
        <w:rPr>
          <w:rFonts w:ascii="Arial" w:hAnsi="Arial" w:eastAsia="Arial" w:cs="Arial"/>
          <w:b/>
          <w:color w:val="000000" w:themeColor="text1"/>
          <w:sz w:val="22"/>
          <w:szCs w:val="22"/>
        </w:rPr>
        <w:t xml:space="preserve">3.</w:t>
      </w:r>
      <w:r>
        <w:rPr>
          <w:rFonts w:ascii="Arial" w:hAnsi="Arial" w:eastAsia="Arial" w:cs="Arial"/>
          <w:b/>
          <w:color w:val="000000" w:themeColor="text1"/>
          <w:sz w:val="22"/>
          <w:szCs w:val="22"/>
          <w:lang w:val="en-US"/>
        </w:rPr>
        <w:t xml:space="preserve">2.</w:t>
      </w:r>
      <w:r>
        <w:rPr>
          <w:rFonts w:ascii="Arial" w:hAnsi="Arial" w:eastAsia="Arial" w:cs="Arial"/>
          <w:b/>
          <w:color w:val="000000" w:themeColor="text1"/>
          <w:sz w:val="22"/>
          <w:szCs w:val="22"/>
        </w:rPr>
        <w:t xml:space="preserve">1 </w:t>
      </w:r>
      <w:r>
        <w:rPr>
          <w:rFonts w:ascii="Arial" w:hAnsi="Arial" w:eastAsia="Arial" w:cs="Arial"/>
          <w:b/>
          <w:color w:val="000000" w:themeColor="text1"/>
          <w:sz w:val="22"/>
          <w:szCs w:val="22"/>
        </w:rPr>
        <w:t xml:space="preserve">Dataset-Task Matrix</w:t>
      </w:r>
      <w:r>
        <w:rPr>
          <w:color w:val="000000" w:themeColor="text1"/>
          <w:sz w:val="22"/>
          <w:szCs w:val="22"/>
        </w:rPr>
      </w:r>
      <w:r>
        <w:rPr>
          <w:color w:val="000000" w:themeColor="text1"/>
          <w:sz w:val="22"/>
          <w:szCs w:val="22"/>
        </w:rPr>
      </w:r>
    </w:p>
    <w:p w14:paraId="72558BFC">
      <w:pPr>
        <w:pStyle w:val="1128"/>
        <w:suppressLineNumbers w:val="false"/>
        <w:pBdr/>
        <w:spacing w:line="300" w:lineRule="auto"/>
        <w:ind w:firstLine="0"/>
        <w:rPr>
          <w:b w:val="0"/>
          <w:bCs w:val="0"/>
        </w:rPr>
      </w:pPr>
      <w:r>
        <w:rPr>
          <w:b w:val="0"/>
          <w:bCs w:val="0"/>
          <w:highlight w:val="none"/>
        </w:rPr>
      </w:r>
      <w:r>
        <w:rPr>
          <w:highlight w:val="none"/>
        </w:rPr>
        <w:t xml:space="preserve">Table 3.2 summarizes the datasets included in Chapter 3 and the primary role each dataset plays in the evaluation. The “cardinality” values reflect the counts recorded in the local report files used for this chapter</w:t>
      </w:r>
      <w:r>
        <w:rPr>
          <w:highlight w:val="none"/>
          <w:lang w:val="en-US"/>
        </w:rPr>
        <w:t xml:space="preserve">[66]-[70]</w:t>
      </w:r>
      <w:r>
        <w:rPr>
          <w:highlight w:val="none"/>
        </w:rPr>
        <w:t xml:space="preserve">.</w:t>
      </w:r>
      <w:r>
        <w:rPr>
          <w:b w:val="0"/>
          <w:bCs w:val="0"/>
        </w:rPr>
      </w:r>
      <w:r>
        <w:rPr>
          <w:b w:val="0"/>
          <w:bCs w:val="0"/>
        </w:rPr>
      </w:r>
    </w:p>
    <w:tbl>
      <w:tblPr>
        <w:tblStyle w:val="1185"/>
        <w:tblW w:w="0" w:type="auto"/>
        <w:tblBorders/>
        <w:tblLook w:val="04A0" w:firstRow="1" w:lastRow="0" w:firstColumn="1" w:lastColumn="0" w:noHBand="0" w:noVBand="1"/>
      </w:tblPr>
      <w:tblGrid>
        <w:gridCol w:w="1728"/>
        <w:gridCol w:w="1728"/>
        <w:gridCol w:w="1728"/>
        <w:gridCol w:w="1728"/>
        <w:gridCol w:w="1728"/>
      </w:tblGrid>
      <w:tr>
        <w:trPr/>
        <w:tc>
          <w:tcPr>
            <w:tcBorders/>
            <w:tcW w:w="1728" w:type="dxa"/>
            <w:textDirection w:val="lrTb"/>
            <w:noWrap w:val="false"/>
          </w:tcPr>
          <w:p w14:paraId="35C92282">
            <w:pPr>
              <w:pBdr/>
              <w:spacing w:after="0" w:before="0" w:line="240" w:lineRule="auto"/>
              <w:ind/>
              <w:rPr>
                <w:color w:val="000000" w:themeColor="text1"/>
              </w:rPr>
            </w:pPr>
            <w:r>
              <w:rPr>
                <w:rFonts w:ascii="Arial" w:hAnsi="Arial" w:eastAsia="Arial" w:cs="Arial"/>
                <w:b/>
                <w:color w:val="000000" w:themeColor="text1"/>
                <w:sz w:val="21"/>
              </w:rPr>
              <w:t xml:space="preserve">Dataset</w:t>
            </w:r>
            <w:r>
              <w:rPr>
                <w:color w:val="000000" w:themeColor="text1"/>
              </w:rPr>
            </w:r>
            <w:r>
              <w:rPr>
                <w:color w:val="000000" w:themeColor="text1"/>
              </w:rPr>
            </w:r>
          </w:p>
        </w:tc>
        <w:tc>
          <w:tcPr>
            <w:tcBorders/>
            <w:tcW w:w="1728" w:type="dxa"/>
            <w:textDirection w:val="lrTb"/>
            <w:noWrap w:val="false"/>
          </w:tcPr>
          <w:p w14:paraId="0BFB1AFF">
            <w:pPr>
              <w:pBdr/>
              <w:spacing w:after="0" w:before="0" w:line="240" w:lineRule="auto"/>
              <w:ind/>
              <w:jc w:val="right"/>
              <w:rPr>
                <w:color w:val="000000" w:themeColor="text1"/>
              </w:rPr>
            </w:pPr>
            <w:r>
              <w:rPr>
                <w:rFonts w:ascii="Arial" w:hAnsi="Arial" w:eastAsia="Arial" w:cs="Arial"/>
                <w:b/>
                <w:color w:val="000000" w:themeColor="text1"/>
                <w:sz w:val="21"/>
              </w:rPr>
              <w:t xml:space="preserve">Cardinality in local report</w:t>
            </w:r>
            <w:r>
              <w:rPr>
                <w:color w:val="000000" w:themeColor="text1"/>
              </w:rPr>
            </w:r>
            <w:r>
              <w:rPr>
                <w:color w:val="000000" w:themeColor="text1"/>
              </w:rPr>
            </w:r>
          </w:p>
        </w:tc>
        <w:tc>
          <w:tcPr>
            <w:tcBorders/>
            <w:tcW w:w="1728" w:type="dxa"/>
            <w:textDirection w:val="lrTb"/>
            <w:noWrap w:val="false"/>
          </w:tcPr>
          <w:p w14:paraId="48B77D1C">
            <w:pPr>
              <w:pBdr/>
              <w:spacing w:after="0" w:before="0" w:line="240" w:lineRule="auto"/>
              <w:ind/>
              <w:rPr>
                <w:color w:val="000000" w:themeColor="text1"/>
              </w:rPr>
            </w:pPr>
            <w:r>
              <w:rPr>
                <w:rFonts w:ascii="Arial" w:hAnsi="Arial" w:eastAsia="Arial" w:cs="Arial"/>
                <w:b/>
                <w:color w:val="000000" w:themeColor="text1"/>
                <w:sz w:val="21"/>
              </w:rPr>
              <w:t xml:space="preserve">Core outputs</w:t>
            </w:r>
            <w:r>
              <w:rPr>
                <w:color w:val="000000" w:themeColor="text1"/>
              </w:rPr>
            </w:r>
            <w:r>
              <w:rPr>
                <w:color w:val="000000" w:themeColor="text1"/>
              </w:rPr>
            </w:r>
          </w:p>
        </w:tc>
        <w:tc>
          <w:tcPr>
            <w:tcBorders/>
            <w:tcW w:w="1728" w:type="dxa"/>
            <w:textDirection w:val="lrTb"/>
            <w:noWrap w:val="false"/>
          </w:tcPr>
          <w:p w14:paraId="763910D0">
            <w:pPr>
              <w:pBdr/>
              <w:spacing w:after="0" w:before="0" w:line="240" w:lineRule="auto"/>
              <w:ind/>
              <w:rPr>
                <w:color w:val="000000" w:themeColor="text1"/>
              </w:rPr>
            </w:pPr>
            <w:r>
              <w:rPr>
                <w:rFonts w:ascii="Arial" w:hAnsi="Arial" w:eastAsia="Arial" w:cs="Arial"/>
                <w:b/>
                <w:color w:val="000000" w:themeColor="text1"/>
                <w:sz w:val="21"/>
              </w:rPr>
              <w:t xml:space="preserve">Main evaluation axis</w:t>
            </w:r>
            <w:r>
              <w:rPr>
                <w:color w:val="000000" w:themeColor="text1"/>
              </w:rPr>
            </w:r>
            <w:r>
              <w:rPr>
                <w:color w:val="000000" w:themeColor="text1"/>
              </w:rPr>
            </w:r>
          </w:p>
        </w:tc>
        <w:tc>
          <w:tcPr>
            <w:tcBorders/>
            <w:tcW w:w="1728" w:type="dxa"/>
            <w:textDirection w:val="lrTb"/>
            <w:noWrap w:val="false"/>
          </w:tcPr>
          <w:p w14:paraId="10FE9F15">
            <w:pPr>
              <w:pBdr/>
              <w:spacing w:after="0" w:before="0" w:line="240" w:lineRule="auto"/>
              <w:ind/>
              <w:rPr>
                <w:color w:val="000000" w:themeColor="text1"/>
              </w:rPr>
            </w:pPr>
            <w:r>
              <w:rPr>
                <w:rFonts w:ascii="Arial" w:hAnsi="Arial" w:eastAsia="Arial" w:cs="Arial"/>
                <w:b/>
                <w:color w:val="000000" w:themeColor="text1"/>
                <w:sz w:val="21"/>
              </w:rPr>
              <w:t xml:space="preserve">Clinical relevance</w:t>
            </w:r>
            <w:r>
              <w:rPr>
                <w:color w:val="000000" w:themeColor="text1"/>
              </w:rPr>
            </w:r>
            <w:r>
              <w:rPr>
                <w:color w:val="000000" w:themeColor="text1"/>
              </w:rPr>
            </w:r>
          </w:p>
        </w:tc>
      </w:tr>
      <w:tr>
        <w:trPr/>
        <w:tc>
          <w:tcPr>
            <w:tcBorders/>
            <w:tcW w:w="1728" w:type="dxa"/>
            <w:textDirection w:val="lrTb"/>
            <w:noWrap w:val="false"/>
          </w:tcPr>
          <w:p w14:paraId="3388AA29">
            <w:pPr>
              <w:pBdr/>
              <w:spacing w:after="0" w:before="0" w:line="240" w:lineRule="auto"/>
              <w:ind/>
              <w:rPr>
                <w:color w:val="000000" w:themeColor="text1"/>
              </w:rPr>
            </w:pPr>
            <w:r>
              <w:rPr>
                <w:rFonts w:ascii="Arial" w:hAnsi="Arial" w:eastAsia="Arial" w:cs="Arial"/>
                <w:color w:val="000000" w:themeColor="text1"/>
                <w:sz w:val="21"/>
              </w:rPr>
              <w:t xml:space="preserve">HyperKvasir</w:t>
            </w:r>
            <w:r>
              <w:rPr>
                <w:color w:val="000000" w:themeColor="text1"/>
              </w:rPr>
            </w:r>
            <w:r>
              <w:rPr>
                <w:color w:val="000000" w:themeColor="text1"/>
              </w:rPr>
            </w:r>
          </w:p>
        </w:tc>
        <w:tc>
          <w:tcPr>
            <w:tcBorders/>
            <w:tcW w:w="1728" w:type="dxa"/>
            <w:textDirection w:val="lrTb"/>
            <w:noWrap w:val="false"/>
          </w:tcPr>
          <w:p w14:paraId="38057AF4">
            <w:pPr>
              <w:pBdr/>
              <w:spacing w:after="0" w:before="0" w:line="240" w:lineRule="auto"/>
              <w:ind/>
              <w:jc w:val="right"/>
              <w:rPr>
                <w:color w:val="000000" w:themeColor="text1"/>
              </w:rPr>
            </w:pPr>
            <w:r>
              <w:rPr>
                <w:rFonts w:ascii="Arial" w:hAnsi="Arial" w:eastAsia="Arial" w:cs="Arial"/>
                <w:color w:val="000000" w:themeColor="text1"/>
                <w:sz w:val="21"/>
              </w:rPr>
              <w:t xml:space="preserve">10,662 images, 23 classes</w:t>
            </w:r>
            <w:r>
              <w:rPr>
                <w:color w:val="000000" w:themeColor="text1"/>
              </w:rPr>
            </w:r>
            <w:r>
              <w:rPr>
                <w:color w:val="000000" w:themeColor="text1"/>
              </w:rPr>
            </w:r>
          </w:p>
        </w:tc>
        <w:tc>
          <w:tcPr>
            <w:tcBorders/>
            <w:tcW w:w="1728" w:type="dxa"/>
            <w:textDirection w:val="lrTb"/>
            <w:noWrap w:val="false"/>
          </w:tcPr>
          <w:p w14:paraId="27E23BF3">
            <w:pPr>
              <w:pBdr/>
              <w:spacing w:after="0" w:before="0" w:line="240" w:lineRule="auto"/>
              <w:ind/>
              <w:rPr>
                <w:color w:val="000000" w:themeColor="text1"/>
              </w:rPr>
            </w:pPr>
            <w:r>
              <w:rPr>
                <w:rFonts w:ascii="Arial" w:hAnsi="Arial" w:eastAsia="Arial" w:cs="Arial"/>
                <w:color w:val="000000" w:themeColor="text1"/>
                <w:sz w:val="21"/>
              </w:rPr>
              <w:t xml:space="preserve">class labels</w:t>
            </w:r>
            <w:r>
              <w:rPr>
                <w:color w:val="000000" w:themeColor="text1"/>
              </w:rPr>
            </w:r>
            <w:r>
              <w:rPr>
                <w:color w:val="000000" w:themeColor="text1"/>
              </w:rPr>
            </w:r>
          </w:p>
        </w:tc>
        <w:tc>
          <w:tcPr>
            <w:tcBorders/>
            <w:tcW w:w="1728" w:type="dxa"/>
            <w:textDirection w:val="lrTb"/>
            <w:noWrap w:val="false"/>
          </w:tcPr>
          <w:p w14:paraId="1A53FC12">
            <w:pPr>
              <w:pBdr/>
              <w:spacing w:after="0" w:before="0" w:line="240" w:lineRule="auto"/>
              <w:ind/>
              <w:rPr>
                <w:color w:val="000000" w:themeColor="text1"/>
              </w:rPr>
            </w:pPr>
            <w:r>
              <w:rPr>
                <w:rFonts w:ascii="Arial" w:hAnsi="Arial" w:eastAsia="Arial" w:cs="Arial"/>
                <w:color w:val="000000" w:themeColor="text1"/>
                <w:sz w:val="21"/>
              </w:rPr>
              <w:t xml:space="preserve">multiclass reliability under imbalance</w:t>
            </w:r>
            <w:r>
              <w:rPr>
                <w:color w:val="000000" w:themeColor="text1"/>
              </w:rPr>
            </w:r>
            <w:r>
              <w:rPr>
                <w:color w:val="000000" w:themeColor="text1"/>
              </w:rPr>
            </w:r>
          </w:p>
        </w:tc>
        <w:tc>
          <w:tcPr>
            <w:tcBorders/>
            <w:tcW w:w="1728" w:type="dxa"/>
            <w:textDirection w:val="lrTb"/>
            <w:noWrap w:val="false"/>
          </w:tcPr>
          <w:p w14:paraId="14618D38">
            <w:pPr>
              <w:pBdr/>
              <w:spacing w:after="0" w:before="0" w:line="240" w:lineRule="auto"/>
              <w:ind/>
              <w:rPr>
                <w:color w:val="000000" w:themeColor="text1"/>
              </w:rPr>
            </w:pPr>
            <w:r>
              <w:rPr>
                <w:rFonts w:ascii="Arial" w:hAnsi="Arial" w:eastAsia="Arial" w:cs="Arial"/>
                <w:color w:val="000000" w:themeColor="text1"/>
                <w:sz w:val="21"/>
              </w:rPr>
              <w:t xml:space="preserve">broad GI visual grounding</w:t>
            </w:r>
            <w:r>
              <w:rPr>
                <w:color w:val="000000" w:themeColor="text1"/>
              </w:rPr>
            </w:r>
            <w:r>
              <w:rPr>
                <w:color w:val="000000" w:themeColor="text1"/>
              </w:rPr>
            </w:r>
          </w:p>
        </w:tc>
      </w:tr>
      <w:tr>
        <w:trPr/>
        <w:tc>
          <w:tcPr>
            <w:tcBorders/>
            <w:tcW w:w="1728" w:type="dxa"/>
            <w:textDirection w:val="lrTb"/>
            <w:noWrap w:val="false"/>
          </w:tcPr>
          <w:p w14:paraId="4597C240">
            <w:pPr>
              <w:pBdr/>
              <w:spacing w:after="0" w:before="0" w:line="240" w:lineRule="auto"/>
              <w:ind/>
              <w:rPr>
                <w:color w:val="000000" w:themeColor="text1"/>
              </w:rPr>
            </w:pPr>
            <w:r>
              <w:rPr>
                <w:rFonts w:ascii="Arial" w:hAnsi="Arial" w:eastAsia="Arial" w:cs="Arial"/>
                <w:color w:val="000000" w:themeColor="text1"/>
                <w:sz w:val="21"/>
              </w:rPr>
              <w:t xml:space="preserve">ImageCLEF MEDVQA-GI 2023</w:t>
            </w:r>
            <w:r>
              <w:rPr>
                <w:color w:val="000000" w:themeColor="text1"/>
              </w:rPr>
            </w:r>
            <w:r>
              <w:rPr>
                <w:color w:val="000000" w:themeColor="text1"/>
              </w:rPr>
            </w:r>
          </w:p>
        </w:tc>
        <w:tc>
          <w:tcPr>
            <w:tcBorders/>
            <w:tcW w:w="1728" w:type="dxa"/>
            <w:textDirection w:val="lrTb"/>
            <w:noWrap w:val="false"/>
          </w:tcPr>
          <w:p w14:paraId="3138B9F4">
            <w:pPr>
              <w:pBdr/>
              <w:spacing w:after="0" w:before="0" w:line="240" w:lineRule="auto"/>
              <w:ind/>
              <w:jc w:val="right"/>
              <w:rPr>
                <w:color w:val="000000" w:themeColor="text1"/>
              </w:rPr>
            </w:pPr>
            <w:r>
              <w:rPr>
                <w:rFonts w:ascii="Arial" w:hAnsi="Arial" w:eastAsia="Arial" w:cs="Arial"/>
                <w:color w:val="000000" w:themeColor="text1"/>
                <w:sz w:val="21"/>
              </w:rPr>
              <w:t xml:space="preserve">36,683 QA rows (29,351 train, 7,332 val)</w:t>
            </w:r>
            <w:r>
              <w:rPr>
                <w:color w:val="000000" w:themeColor="text1"/>
              </w:rPr>
            </w:r>
            <w:r>
              <w:rPr>
                <w:color w:val="000000" w:themeColor="text1"/>
              </w:rPr>
            </w:r>
          </w:p>
        </w:tc>
        <w:tc>
          <w:tcPr>
            <w:tcBorders/>
            <w:tcW w:w="1728" w:type="dxa"/>
            <w:textDirection w:val="lrTb"/>
            <w:noWrap w:val="false"/>
          </w:tcPr>
          <w:p w14:paraId="5E578420">
            <w:pPr>
              <w:pBdr/>
              <w:spacing w:after="0" w:before="0" w:line="240" w:lineRule="auto"/>
              <w:ind/>
              <w:rPr>
                <w:color w:val="000000" w:themeColor="text1"/>
              </w:rPr>
            </w:pPr>
            <w:r>
              <w:rPr>
                <w:rFonts w:ascii="Arial" w:hAnsi="Arial" w:eastAsia="Arial" w:cs="Arial"/>
                <w:color w:val="000000" w:themeColor="text1"/>
                <w:sz w:val="21"/>
              </w:rPr>
              <w:t xml:space="preserve">label IDs per question</w:t>
            </w:r>
            <w:r>
              <w:rPr>
                <w:color w:val="000000" w:themeColor="text1"/>
              </w:rPr>
            </w:r>
            <w:r>
              <w:rPr>
                <w:color w:val="000000" w:themeColor="text1"/>
              </w:rPr>
            </w:r>
          </w:p>
        </w:tc>
        <w:tc>
          <w:tcPr>
            <w:tcBorders/>
            <w:tcW w:w="1728" w:type="dxa"/>
            <w:textDirection w:val="lrTb"/>
            <w:noWrap w:val="false"/>
          </w:tcPr>
          <w:p w14:paraId="4EAD7FF8">
            <w:pPr>
              <w:pBdr/>
              <w:spacing w:after="0" w:before="0" w:line="240" w:lineRule="auto"/>
              <w:ind/>
              <w:rPr>
                <w:color w:val="000000" w:themeColor="text1"/>
              </w:rPr>
            </w:pPr>
            <w:r>
              <w:rPr>
                <w:rFonts w:ascii="Arial" w:hAnsi="Arial" w:eastAsia="Arial" w:cs="Arial"/>
                <w:color w:val="000000" w:themeColor="text1"/>
                <w:sz w:val="21"/>
              </w:rPr>
              <w:t xml:space="preserve">per-question closed-label VQA reliability</w:t>
            </w:r>
            <w:r>
              <w:rPr>
                <w:color w:val="000000" w:themeColor="text1"/>
              </w:rPr>
            </w:r>
            <w:r>
              <w:rPr>
                <w:color w:val="000000" w:themeColor="text1"/>
              </w:rPr>
            </w:r>
          </w:p>
        </w:tc>
        <w:tc>
          <w:tcPr>
            <w:tcBorders/>
            <w:tcW w:w="1728" w:type="dxa"/>
            <w:textDirection w:val="lrTb"/>
            <w:noWrap w:val="false"/>
          </w:tcPr>
          <w:p w14:paraId="1E10286F">
            <w:pPr>
              <w:pBdr/>
              <w:spacing w:after="0" w:before="0" w:line="240" w:lineRule="auto"/>
              <w:ind/>
              <w:rPr>
                <w:color w:val="000000" w:themeColor="text1"/>
              </w:rPr>
            </w:pPr>
            <w:r>
              <w:rPr>
                <w:rFonts w:ascii="Arial" w:hAnsi="Arial" w:eastAsia="Arial" w:cs="Arial"/>
                <w:color w:val="000000" w:themeColor="text1"/>
                <w:sz w:val="21"/>
              </w:rPr>
              <w:t xml:space="preserve">benchmarked GI QA consistency</w:t>
            </w:r>
            <w:r>
              <w:rPr>
                <w:color w:val="000000" w:themeColor="text1"/>
              </w:rPr>
            </w:r>
            <w:r>
              <w:rPr>
                <w:color w:val="000000" w:themeColor="text1"/>
              </w:rPr>
            </w:r>
          </w:p>
        </w:tc>
      </w:tr>
      <w:tr>
        <w:trPr/>
        <w:tc>
          <w:tcPr>
            <w:tcBorders/>
            <w:tcW w:w="1728" w:type="dxa"/>
            <w:textDirection w:val="lrTb"/>
            <w:noWrap w:val="false"/>
          </w:tcPr>
          <w:p w14:paraId="7964C8E5">
            <w:pPr>
              <w:pBdr/>
              <w:spacing w:after="0" w:before="0" w:line="240" w:lineRule="auto"/>
              <w:ind/>
              <w:rPr>
                <w:color w:val="000000" w:themeColor="text1"/>
              </w:rPr>
            </w:pPr>
            <w:r>
              <w:rPr>
                <w:rFonts w:ascii="Arial" w:hAnsi="Arial" w:eastAsia="Arial" w:cs="Arial"/>
                <w:color w:val="000000" w:themeColor="text1"/>
                <w:sz w:val="21"/>
              </w:rPr>
              <w:t xml:space="preserve">Kvasir-VQA</w:t>
            </w:r>
            <w:r>
              <w:rPr>
                <w:color w:val="000000" w:themeColor="text1"/>
              </w:rPr>
            </w:r>
            <w:r>
              <w:rPr>
                <w:color w:val="000000" w:themeColor="text1"/>
              </w:rPr>
            </w:r>
          </w:p>
        </w:tc>
        <w:tc>
          <w:tcPr>
            <w:tcBorders/>
            <w:tcW w:w="1728" w:type="dxa"/>
            <w:textDirection w:val="lrTb"/>
            <w:noWrap w:val="false"/>
          </w:tcPr>
          <w:p w14:paraId="212F71D2">
            <w:pPr>
              <w:pBdr/>
              <w:spacing w:after="0" w:before="0" w:line="240" w:lineRule="auto"/>
              <w:ind/>
              <w:jc w:val="right"/>
              <w:rPr>
                <w:color w:val="000000" w:themeColor="text1"/>
              </w:rPr>
            </w:pPr>
            <w:r>
              <w:rPr>
                <w:rFonts w:ascii="Arial" w:hAnsi="Arial" w:eastAsia="Arial" w:cs="Arial"/>
                <w:color w:val="000000" w:themeColor="text1"/>
                <w:sz w:val="21"/>
              </w:rPr>
              <w:t xml:space="preserve">58,849 QA rows, 6,500 images</w:t>
            </w:r>
            <w:r>
              <w:rPr>
                <w:color w:val="000000" w:themeColor="text1"/>
              </w:rPr>
            </w:r>
            <w:r>
              <w:rPr>
                <w:color w:val="000000" w:themeColor="text1"/>
              </w:rPr>
            </w:r>
          </w:p>
        </w:tc>
        <w:tc>
          <w:tcPr>
            <w:tcBorders/>
            <w:tcW w:w="1728" w:type="dxa"/>
            <w:textDirection w:val="lrTb"/>
            <w:noWrap w:val="false"/>
          </w:tcPr>
          <w:p w14:paraId="1DF7735D">
            <w:pPr>
              <w:pBdr/>
              <w:spacing w:after="0" w:before="0" w:line="240" w:lineRule="auto"/>
              <w:ind/>
              <w:rPr>
                <w:color w:val="000000" w:themeColor="text1"/>
              </w:rPr>
            </w:pPr>
            <w:r>
              <w:rPr>
                <w:rFonts w:ascii="Arial" w:hAnsi="Arial" w:eastAsia="Arial" w:cs="Arial"/>
                <w:color w:val="000000" w:themeColor="text1"/>
                <w:sz w:val="21"/>
              </w:rPr>
              <w:t xml:space="preserve">yes/no, attributes, free text</w:t>
            </w:r>
            <w:r>
              <w:rPr>
                <w:color w:val="000000" w:themeColor="text1"/>
              </w:rPr>
            </w:r>
            <w:r>
              <w:rPr>
                <w:color w:val="000000" w:themeColor="text1"/>
              </w:rPr>
            </w:r>
          </w:p>
        </w:tc>
        <w:tc>
          <w:tcPr>
            <w:tcBorders/>
            <w:tcW w:w="1728" w:type="dxa"/>
            <w:textDirection w:val="lrTb"/>
            <w:noWrap w:val="false"/>
          </w:tcPr>
          <w:p w14:paraId="75A867AE">
            <w:pPr>
              <w:pBdr/>
              <w:spacing w:after="0" w:before="0" w:line="240" w:lineRule="auto"/>
              <w:ind/>
              <w:rPr>
                <w:color w:val="000000" w:themeColor="text1"/>
              </w:rPr>
            </w:pPr>
            <w:r>
              <w:rPr>
                <w:rFonts w:ascii="Arial" w:hAnsi="Arial" w:eastAsia="Arial" w:cs="Arial"/>
                <w:color w:val="000000" w:themeColor="text1"/>
                <w:sz w:val="21"/>
              </w:rPr>
              <w:t xml:space="preserve">subset reliability and format stability</w:t>
            </w:r>
            <w:r>
              <w:rPr>
                <w:color w:val="000000" w:themeColor="text1"/>
              </w:rPr>
            </w:r>
            <w:r>
              <w:rPr>
                <w:color w:val="000000" w:themeColor="text1"/>
              </w:rPr>
            </w:r>
          </w:p>
        </w:tc>
        <w:tc>
          <w:tcPr>
            <w:tcBorders/>
            <w:tcW w:w="1728" w:type="dxa"/>
            <w:textDirection w:val="lrTb"/>
            <w:noWrap w:val="false"/>
          </w:tcPr>
          <w:p w14:paraId="201443BF">
            <w:pPr>
              <w:pBdr/>
              <w:spacing w:after="0" w:before="0" w:line="240" w:lineRule="auto"/>
              <w:ind/>
              <w:rPr>
                <w:color w:val="000000" w:themeColor="text1"/>
              </w:rPr>
            </w:pPr>
            <w:r>
              <w:rPr>
                <w:rFonts w:ascii="Arial" w:hAnsi="Arial" w:eastAsia="Arial" w:cs="Arial"/>
                <w:color w:val="000000" w:themeColor="text1"/>
                <w:sz w:val="21"/>
              </w:rPr>
              <w:t xml:space="preserve">colonoscopy QA behavior</w:t>
            </w:r>
            <w:r>
              <w:rPr>
                <w:color w:val="000000" w:themeColor="text1"/>
              </w:rPr>
            </w:r>
            <w:r>
              <w:rPr>
                <w:color w:val="000000" w:themeColor="text1"/>
              </w:rPr>
            </w:r>
          </w:p>
        </w:tc>
      </w:tr>
      <w:tr>
        <w:trPr/>
        <w:tc>
          <w:tcPr>
            <w:tcBorders/>
            <w:tcW w:w="1728" w:type="dxa"/>
            <w:textDirection w:val="lrTb"/>
            <w:noWrap w:val="false"/>
          </w:tcPr>
          <w:p w14:paraId="5FD6732B">
            <w:pPr>
              <w:pBdr/>
              <w:spacing w:after="0" w:before="0" w:line="240" w:lineRule="auto"/>
              <w:ind/>
              <w:rPr>
                <w:color w:val="000000" w:themeColor="text1"/>
              </w:rPr>
            </w:pPr>
            <w:r>
              <w:rPr>
                <w:rFonts w:ascii="Arial" w:hAnsi="Arial" w:eastAsia="Arial" w:cs="Arial"/>
                <w:color w:val="000000" w:themeColor="text1"/>
                <w:sz w:val="21"/>
              </w:rPr>
              <w:t xml:space="preserve">Kvasir-VQA-x1</w:t>
            </w:r>
            <w:r>
              <w:rPr>
                <w:color w:val="000000" w:themeColor="text1"/>
              </w:rPr>
            </w:r>
            <w:r>
              <w:rPr>
                <w:color w:val="000000" w:themeColor="text1"/>
              </w:rPr>
            </w:r>
          </w:p>
        </w:tc>
        <w:tc>
          <w:tcPr>
            <w:tcBorders/>
            <w:tcW w:w="1728" w:type="dxa"/>
            <w:textDirection w:val="lrTb"/>
            <w:noWrap w:val="false"/>
          </w:tcPr>
          <w:p w14:paraId="0871F6A8">
            <w:pPr>
              <w:pBdr/>
              <w:spacing w:after="0" w:before="0" w:line="240" w:lineRule="auto"/>
              <w:ind/>
              <w:jc w:val="right"/>
              <w:rPr>
                <w:color w:val="000000" w:themeColor="text1"/>
              </w:rPr>
            </w:pPr>
            <w:r>
              <w:rPr>
                <w:rFonts w:ascii="Arial" w:hAnsi="Arial" w:eastAsia="Arial" w:cs="Arial"/>
                <w:color w:val="000000" w:themeColor="text1"/>
                <w:sz w:val="21"/>
              </w:rPr>
              <w:t xml:space="preserve">159,549 QA rows, 6,449 images</w:t>
            </w:r>
            <w:r>
              <w:rPr>
                <w:color w:val="000000" w:themeColor="text1"/>
              </w:rPr>
            </w:r>
            <w:r>
              <w:rPr>
                <w:color w:val="000000" w:themeColor="text1"/>
              </w:rPr>
            </w:r>
          </w:p>
        </w:tc>
        <w:tc>
          <w:tcPr>
            <w:tcBorders/>
            <w:tcW w:w="1728" w:type="dxa"/>
            <w:textDirection w:val="lrTb"/>
            <w:noWrap w:val="false"/>
          </w:tcPr>
          <w:p w14:paraId="366D62BF">
            <w:pPr>
              <w:pBdr/>
              <w:spacing w:after="0" w:before="0" w:line="240" w:lineRule="auto"/>
              <w:ind/>
              <w:rPr>
                <w:color w:val="000000" w:themeColor="text1"/>
              </w:rPr>
            </w:pPr>
            <w:r>
              <w:rPr>
                <w:rFonts w:ascii="Arial" w:hAnsi="Arial" w:eastAsia="Arial" w:cs="Arial"/>
                <w:color w:val="000000" w:themeColor="text1"/>
                <w:sz w:val="21"/>
              </w:rPr>
              <w:t xml:space="preserve">free-text answers + mapped labels</w:t>
            </w:r>
            <w:r>
              <w:rPr>
                <w:color w:val="000000" w:themeColor="text1"/>
              </w:rPr>
            </w:r>
            <w:r>
              <w:rPr>
                <w:color w:val="000000" w:themeColor="text1"/>
              </w:rPr>
            </w:r>
          </w:p>
        </w:tc>
        <w:tc>
          <w:tcPr>
            <w:tcBorders/>
            <w:tcW w:w="1728" w:type="dxa"/>
            <w:textDirection w:val="lrTb"/>
            <w:noWrap w:val="false"/>
          </w:tcPr>
          <w:p w14:paraId="596C015B">
            <w:pPr>
              <w:pBdr/>
              <w:spacing w:after="0" w:before="0" w:line="240" w:lineRule="auto"/>
              <w:ind/>
              <w:rPr>
                <w:color w:val="000000" w:themeColor="text1"/>
              </w:rPr>
            </w:pPr>
            <w:r>
              <w:rPr>
                <w:rFonts w:ascii="Arial" w:hAnsi="Arial" w:eastAsia="Arial" w:cs="Arial"/>
                <w:color w:val="000000" w:themeColor="text1"/>
                <w:sz w:val="21"/>
              </w:rPr>
              <w:t xml:space="preserve">generative fidelity, complexity effects</w:t>
            </w:r>
            <w:r>
              <w:rPr>
                <w:color w:val="000000" w:themeColor="text1"/>
              </w:rPr>
            </w:r>
            <w:r>
              <w:rPr>
                <w:color w:val="000000" w:themeColor="text1"/>
              </w:rPr>
            </w:r>
          </w:p>
        </w:tc>
        <w:tc>
          <w:tcPr>
            <w:tcBorders/>
            <w:tcW w:w="1728" w:type="dxa"/>
            <w:textDirection w:val="lrTb"/>
            <w:noWrap w:val="false"/>
          </w:tcPr>
          <w:p w14:paraId="0664082E">
            <w:pPr>
              <w:pBdr/>
              <w:spacing w:after="0" w:before="0" w:line="240" w:lineRule="auto"/>
              <w:ind/>
              <w:rPr>
                <w:color w:val="000000" w:themeColor="text1"/>
              </w:rPr>
            </w:pPr>
            <w:r>
              <w:rPr>
                <w:rFonts w:ascii="Arial" w:hAnsi="Arial" w:eastAsia="Arial" w:cs="Arial"/>
                <w:color w:val="000000" w:themeColor="text1"/>
                <w:sz w:val="21"/>
              </w:rPr>
              <w:t xml:space="preserve">robust MedVQA reasoning stress</w:t>
            </w:r>
            <w:r>
              <w:rPr>
                <w:color w:val="000000" w:themeColor="text1"/>
              </w:rPr>
            </w:r>
            <w:r>
              <w:rPr>
                <w:color w:val="000000" w:themeColor="text1"/>
              </w:rPr>
            </w:r>
          </w:p>
        </w:tc>
      </w:tr>
      <w:tr>
        <w:trPr/>
        <w:tc>
          <w:tcPr>
            <w:tcBorders/>
            <w:tcW w:w="1728" w:type="dxa"/>
            <w:textDirection w:val="lrTb"/>
            <w:noWrap w:val="false"/>
          </w:tcPr>
          <w:p w14:paraId="3F08A184">
            <w:pPr>
              <w:pBdr/>
              <w:spacing w:after="0" w:before="0" w:line="240" w:lineRule="auto"/>
              <w:ind/>
              <w:rPr>
                <w:color w:val="000000" w:themeColor="text1"/>
              </w:rPr>
            </w:pPr>
            <w:r>
              <w:rPr>
                <w:rFonts w:ascii="Arial" w:hAnsi="Arial" w:eastAsia="Arial" w:cs="Arial"/>
                <w:color w:val="000000" w:themeColor="text1"/>
                <w:sz w:val="21"/>
              </w:rPr>
              <w:t xml:space="preserve">LIMUC</w:t>
            </w:r>
            <w:r>
              <w:rPr>
                <w:color w:val="000000" w:themeColor="text1"/>
              </w:rPr>
            </w:r>
            <w:r>
              <w:rPr>
                <w:color w:val="000000" w:themeColor="text1"/>
              </w:rPr>
            </w:r>
          </w:p>
        </w:tc>
        <w:tc>
          <w:tcPr>
            <w:tcBorders/>
            <w:tcW w:w="1728" w:type="dxa"/>
            <w:textDirection w:val="lrTb"/>
            <w:noWrap w:val="false"/>
          </w:tcPr>
          <w:p w14:paraId="5E74C3AC">
            <w:pPr>
              <w:pBdr/>
              <w:spacing w:after="0" w:before="0" w:line="240" w:lineRule="auto"/>
              <w:ind/>
              <w:jc w:val="right"/>
              <w:rPr>
                <w:color w:val="000000" w:themeColor="text1"/>
              </w:rPr>
            </w:pPr>
            <w:r>
              <w:rPr>
                <w:rFonts w:ascii="Arial" w:hAnsi="Arial" w:eastAsia="Arial" w:cs="Arial"/>
                <w:color w:val="000000" w:themeColor="text1"/>
                <w:sz w:val="21"/>
              </w:rPr>
              <w:t xml:space="preserve">11,276 images, Mayo 0-3</w:t>
            </w:r>
            <w:r>
              <w:rPr>
                <w:color w:val="000000" w:themeColor="text1"/>
              </w:rPr>
            </w:r>
            <w:r>
              <w:rPr>
                <w:color w:val="000000" w:themeColor="text1"/>
              </w:rPr>
            </w:r>
          </w:p>
        </w:tc>
        <w:tc>
          <w:tcPr>
            <w:tcBorders/>
            <w:tcW w:w="1728" w:type="dxa"/>
            <w:textDirection w:val="lrTb"/>
            <w:noWrap w:val="false"/>
          </w:tcPr>
          <w:p w14:paraId="0C8D90AE">
            <w:pPr>
              <w:pBdr/>
              <w:spacing w:after="0" w:before="0" w:line="240" w:lineRule="auto"/>
              <w:ind/>
              <w:rPr>
                <w:color w:val="000000" w:themeColor="text1"/>
              </w:rPr>
            </w:pPr>
            <w:r>
              <w:rPr>
                <w:rFonts w:ascii="Arial" w:hAnsi="Arial" w:eastAsia="Arial" w:cs="Arial"/>
                <w:color w:val="000000" w:themeColor="text1"/>
                <w:sz w:val="21"/>
              </w:rPr>
              <w:t xml:space="preserve">ordinal severity class</w:t>
            </w:r>
            <w:r>
              <w:rPr>
                <w:color w:val="000000" w:themeColor="text1"/>
              </w:rPr>
            </w:r>
            <w:r>
              <w:rPr>
                <w:color w:val="000000" w:themeColor="text1"/>
              </w:rPr>
            </w:r>
          </w:p>
        </w:tc>
        <w:tc>
          <w:tcPr>
            <w:tcBorders/>
            <w:tcW w:w="1728" w:type="dxa"/>
            <w:textDirection w:val="lrTb"/>
            <w:noWrap w:val="false"/>
          </w:tcPr>
          <w:p w14:paraId="043624C7">
            <w:pPr>
              <w:pBdr/>
              <w:spacing w:after="0" w:before="0" w:line="240" w:lineRule="auto"/>
              <w:ind/>
              <w:rPr>
                <w:color w:val="000000" w:themeColor="text1"/>
              </w:rPr>
            </w:pPr>
            <w:r>
              <w:rPr>
                <w:rFonts w:ascii="Arial" w:hAnsi="Arial" w:eastAsia="Arial" w:cs="Arial"/>
                <w:color w:val="000000" w:themeColor="text1"/>
                <w:sz w:val="21"/>
              </w:rPr>
              <w:t xml:space="preserve">macro-F1, QWK, remission slice</w:t>
            </w:r>
            <w:r>
              <w:rPr>
                <w:color w:val="000000" w:themeColor="text1"/>
              </w:rPr>
            </w:r>
            <w:r>
              <w:rPr>
                <w:color w:val="000000" w:themeColor="text1"/>
              </w:rPr>
            </w:r>
          </w:p>
        </w:tc>
        <w:tc>
          <w:tcPr>
            <w:tcBorders/>
            <w:tcW w:w="1728" w:type="dxa"/>
            <w:textDirection w:val="lrTb"/>
            <w:noWrap w:val="false"/>
          </w:tcPr>
          <w:p w14:paraId="6C1324D4">
            <w:pPr>
              <w:pBdr/>
              <w:spacing w:after="0" w:before="0" w:line="240" w:lineRule="auto"/>
              <w:ind/>
              <w:rPr>
                <w:color w:val="000000" w:themeColor="text1"/>
              </w:rPr>
            </w:pPr>
            <w:r>
              <w:rPr>
                <w:rFonts w:ascii="Arial" w:hAnsi="Arial" w:eastAsia="Arial" w:cs="Arial"/>
                <w:color w:val="000000" w:themeColor="text1"/>
                <w:sz w:val="21"/>
              </w:rPr>
              <w:t xml:space="preserve">UC treatment-aligned severity</w:t>
            </w:r>
            <w:r>
              <w:rPr>
                <w:color w:val="000000" w:themeColor="text1"/>
              </w:rPr>
            </w:r>
            <w:r>
              <w:rPr>
                <w:color w:val="000000" w:themeColor="text1"/>
              </w:rPr>
            </w:r>
          </w:p>
        </w:tc>
      </w:tr>
      <w:tr>
        <w:trPr/>
        <w:tc>
          <w:tcPr>
            <w:tcBorders/>
            <w:tcW w:w="1728" w:type="dxa"/>
            <w:textDirection w:val="lrTb"/>
            <w:noWrap w:val="false"/>
          </w:tcPr>
          <w:p w14:paraId="0E537636">
            <w:pPr>
              <w:pBdr/>
              <w:spacing w:after="0" w:before="0" w:line="240" w:lineRule="auto"/>
              <w:ind/>
              <w:rPr>
                <w:color w:val="000000" w:themeColor="text1"/>
              </w:rPr>
            </w:pPr>
            <w:r>
              <w:rPr>
                <w:rFonts w:ascii="Arial" w:hAnsi="Arial" w:eastAsia="Arial" w:cs="Arial"/>
                <w:color w:val="000000" w:themeColor="text1"/>
                <w:sz w:val="21"/>
              </w:rPr>
              <w:t xml:space="preserve">Kvasir-SEG</w:t>
            </w:r>
            <w:r>
              <w:rPr>
                <w:color w:val="000000" w:themeColor="text1"/>
              </w:rPr>
            </w:r>
            <w:r>
              <w:rPr>
                <w:color w:val="000000" w:themeColor="text1"/>
              </w:rPr>
            </w:r>
          </w:p>
        </w:tc>
        <w:tc>
          <w:tcPr>
            <w:tcBorders/>
            <w:tcW w:w="1728" w:type="dxa"/>
            <w:textDirection w:val="lrTb"/>
            <w:noWrap w:val="false"/>
          </w:tcPr>
          <w:p w14:paraId="3A573427">
            <w:pPr>
              <w:pBdr/>
              <w:spacing w:after="0" w:before="0" w:line="240" w:lineRule="auto"/>
              <w:ind/>
              <w:jc w:val="right"/>
              <w:rPr>
                <w:color w:val="000000" w:themeColor="text1"/>
              </w:rPr>
            </w:pPr>
            <w:r>
              <w:rPr>
                <w:rFonts w:ascii="Arial" w:hAnsi="Arial" w:eastAsia="Arial" w:cs="Arial"/>
                <w:color w:val="000000" w:themeColor="text1"/>
                <w:sz w:val="21"/>
              </w:rPr>
              <w:t xml:space="preserve">1,000 image-mask pairs</w:t>
            </w:r>
            <w:r>
              <w:rPr>
                <w:color w:val="000000" w:themeColor="text1"/>
              </w:rPr>
            </w:r>
            <w:r>
              <w:rPr>
                <w:color w:val="000000" w:themeColor="text1"/>
              </w:rPr>
            </w:r>
          </w:p>
        </w:tc>
        <w:tc>
          <w:tcPr>
            <w:tcBorders/>
            <w:tcW w:w="1728" w:type="dxa"/>
            <w:textDirection w:val="lrTb"/>
            <w:noWrap w:val="false"/>
          </w:tcPr>
          <w:p w14:paraId="581EC401">
            <w:pPr>
              <w:pBdr/>
              <w:spacing w:after="0" w:before="0" w:line="240" w:lineRule="auto"/>
              <w:ind/>
              <w:rPr>
                <w:color w:val="000000" w:themeColor="text1"/>
              </w:rPr>
            </w:pPr>
            <w:r>
              <w:rPr>
                <w:rFonts w:ascii="Arial" w:hAnsi="Arial" w:eastAsia="Arial" w:cs="Arial"/>
                <w:color w:val="000000" w:themeColor="text1"/>
                <w:sz w:val="21"/>
              </w:rPr>
              <w:t xml:space="preserve">mask morphology stats</w:t>
            </w:r>
            <w:r>
              <w:rPr>
                <w:color w:val="000000" w:themeColor="text1"/>
              </w:rPr>
            </w:r>
            <w:r>
              <w:rPr>
                <w:color w:val="000000" w:themeColor="text1"/>
              </w:rPr>
            </w:r>
          </w:p>
        </w:tc>
        <w:tc>
          <w:tcPr>
            <w:tcBorders/>
            <w:tcW w:w="1728" w:type="dxa"/>
            <w:textDirection w:val="lrTb"/>
            <w:noWrap w:val="false"/>
          </w:tcPr>
          <w:p w14:paraId="21AE0C33">
            <w:pPr>
              <w:pBdr/>
              <w:spacing w:after="0" w:before="0" w:line="240" w:lineRule="auto"/>
              <w:ind/>
              <w:rPr>
                <w:color w:val="000000" w:themeColor="text1"/>
              </w:rPr>
            </w:pPr>
            <w:r>
              <w:rPr>
                <w:rFonts w:ascii="Arial" w:hAnsi="Arial" w:eastAsia="Arial" w:cs="Arial"/>
                <w:color w:val="000000" w:themeColor="text1"/>
                <w:sz w:val="21"/>
              </w:rPr>
              <w:t xml:space="preserve">coverage/shape support metrics</w:t>
            </w:r>
            <w:r>
              <w:rPr>
                <w:color w:val="000000" w:themeColor="text1"/>
              </w:rPr>
            </w:r>
            <w:r>
              <w:rPr>
                <w:color w:val="000000" w:themeColor="text1"/>
              </w:rPr>
            </w:r>
          </w:p>
        </w:tc>
        <w:tc>
          <w:tcPr>
            <w:tcBorders/>
            <w:tcW w:w="1728" w:type="dxa"/>
            <w:textDirection w:val="lrTb"/>
            <w:noWrap w:val="false"/>
          </w:tcPr>
          <w:p w14:paraId="53F46FE4">
            <w:pPr>
              <w:pBdr/>
              <w:spacing w:after="0" w:before="0" w:line="240" w:lineRule="auto"/>
              <w:ind/>
              <w:rPr>
                <w:rFonts w:ascii="Arial" w:hAnsi="Arial" w:eastAsia="Arial" w:cs="Arial"/>
                <w:color w:val="000000" w:themeColor="text1"/>
                <w:sz w:val="21"/>
                <w:szCs w:val="21"/>
                <w:highlight w:val="none"/>
              </w:rPr>
            </w:pPr>
            <w:r>
              <w:rPr>
                <w:rFonts w:ascii="Arial" w:hAnsi="Arial" w:eastAsia="Arial" w:cs="Arial"/>
                <w:color w:val="000000" w:themeColor="text1"/>
                <w:sz w:val="21"/>
              </w:rPr>
              <w:t xml:space="preserve">future localization grounding</w:t>
            </w:r>
            <w:r>
              <w:rPr>
                <w:rFonts w:ascii="Arial" w:hAnsi="Arial" w:eastAsia="Arial" w:cs="Arial"/>
                <w:color w:val="000000" w:themeColor="text1"/>
                <w:sz w:val="21"/>
                <w:szCs w:val="21"/>
                <w:highlight w:val="none"/>
              </w:rPr>
            </w:r>
            <w:r>
              <w:rPr>
                <w:rFonts w:ascii="Arial" w:hAnsi="Arial" w:eastAsia="Arial" w:cs="Arial"/>
                <w:color w:val="000000" w:themeColor="text1"/>
                <w:sz w:val="21"/>
                <w:szCs w:val="21"/>
                <w:highlight w:val="none"/>
              </w:rPr>
            </w:r>
          </w:p>
        </w:tc>
      </w:tr>
    </w:tbl>
    <w:p w14:paraId="5F370719">
      <w:pPr>
        <w:pStyle w:val="1128"/>
        <w:suppressLineNumbers w:val="false"/>
        <w:pBdr/>
        <w:spacing w:line="300" w:lineRule="auto"/>
        <w:ind/>
        <w:rPr>
          <w:bCs/>
          <w:i/>
        </w:rPr>
      </w:pPr>
      <w:r>
        <w:rPr>
          <w:i/>
          <w:iCs/>
        </w:rPr>
      </w:r>
      <w:r>
        <w:rPr>
          <w:i/>
          <w:iCs/>
        </w:rPr>
        <w:t xml:space="preserve">Table 3.2. Dataset and Task Matrix for Chapter 3 Experiments</w:t>
      </w:r>
      <w:r>
        <w:rPr>
          <w:bCs/>
          <w:i/>
        </w:rPr>
      </w:r>
      <w:r>
        <w:rPr>
          <w:bCs/>
          <w:i/>
        </w:rPr>
      </w:r>
    </w:p>
    <w:p w14:paraId="0DEE43ED">
      <w:pPr>
        <w:pStyle w:val="1128"/>
        <w:suppressLineNumbers w:val="false"/>
        <w:pBdr/>
        <w:spacing w:line="300" w:lineRule="auto"/>
        <w:ind w:firstLine="0"/>
        <w:rPr>
          <w:b/>
          <w:bCs/>
        </w:rPr>
      </w:pPr>
      <w:r>
        <w:rPr>
          <w:b/>
          <w:bCs/>
        </w:rPr>
        <w:t xml:space="preserve">Why these datasets are included</w:t>
      </w:r>
      <w:r>
        <w:rPr>
          <w:b/>
          <w:bCs/>
        </w:rPr>
      </w:r>
      <w:r>
        <w:rPr>
          <w:b/>
          <w:bCs/>
        </w:rPr>
      </w:r>
    </w:p>
    <w:p w14:paraId="021FE8FD">
      <w:pPr>
        <w:pStyle w:val="1128"/>
        <w:numPr>
          <w:ilvl w:val="0"/>
          <w:numId w:val="57"/>
        </w:numPr>
        <w:suppressLineNumbers w:val="false"/>
        <w:pBdr/>
        <w:spacing w:line="300" w:lineRule="auto"/>
        <w:ind/>
        <w:rPr/>
      </w:pPr>
      <w:r>
        <w:rPr>
          <w:b/>
          <w:bCs/>
        </w:rPr>
        <w:t xml:space="preserve">Kvasir-VQA</w:t>
      </w:r>
      <w:r>
        <w:t xml:space="preserve"> provides the most direct colonoscopy-oriented VQA evidence and is used to examine subset reliability and answer-format stability under common question families</w:t>
      </w:r>
      <w:r>
        <w:rPr>
          <w:lang w:val="en-US"/>
        </w:rPr>
        <w:t xml:space="preserve">[52], [68]</w:t>
      </w:r>
      <w:r>
        <w:t xml:space="preserve">.</w:t>
      </w:r>
      <w:r/>
    </w:p>
    <w:p w14:paraId="47B5B3DF">
      <w:pPr>
        <w:pStyle w:val="1128"/>
        <w:numPr>
          <w:ilvl w:val="0"/>
          <w:numId w:val="57"/>
        </w:numPr>
        <w:suppressLineNumbers w:val="false"/>
        <w:pBdr/>
        <w:spacing w:line="300" w:lineRule="auto"/>
        <w:ind/>
        <w:rPr/>
      </w:pPr>
      <w:r>
        <w:rPr>
          <w:b/>
          <w:bCs/>
        </w:rPr>
        <w:t xml:space="preserve">ImageCLEF MEDVQA-GI 2023</w:t>
      </w:r>
      <w:r>
        <w:t xml:space="preserve"> provides a standardized closed-label GI VQA setting where fine-tuned VQA models can be compared to zero-shot generative outputs under label constraints</w:t>
      </w:r>
      <w:r>
        <w:rPr>
          <w:lang w:val="en-US"/>
        </w:rPr>
        <w:t xml:space="preserve">[54], [67]</w:t>
      </w:r>
      <w:r>
        <w:t xml:space="preserve">.</w:t>
      </w:r>
      <w:r/>
    </w:p>
    <w:p w14:paraId="6B9C8794">
      <w:pPr>
        <w:pStyle w:val="1128"/>
        <w:numPr>
          <w:ilvl w:val="0"/>
          <w:numId w:val="57"/>
        </w:numPr>
        <w:suppressLineNumbers w:val="false"/>
        <w:pBdr/>
        <w:spacing w:line="300" w:lineRule="auto"/>
        <w:ind/>
        <w:rPr/>
      </w:pPr>
      <w:r>
        <w:t xml:space="preserve">Kvasir-VQA-x1 provides a large-scale generative stress test, useful for studying overlap metrics, complexity effects, and label mapping fragility in free-text answers</w:t>
      </w:r>
      <w:r>
        <w:rPr>
          <w:lang w:val="en-US"/>
        </w:rPr>
        <w:t xml:space="preserve">[53], [69]</w:t>
      </w:r>
      <w:r>
        <w:t xml:space="preserve">.</w:t>
      </w:r>
      <w:r/>
    </w:p>
    <w:p w14:paraId="5F85A0A4">
      <w:pPr>
        <w:pStyle w:val="1128"/>
        <w:suppressLineNumbers w:val="false"/>
        <w:pBdr/>
        <w:spacing w:line="300" w:lineRule="auto"/>
        <w:ind/>
        <w:rPr/>
      </w:pPr>
      <w:r/>
      <w:r/>
    </w:p>
    <w:p w14:paraId="6E3C99E3">
      <w:pPr>
        <w:pStyle w:val="1128"/>
        <w:numPr>
          <w:ilvl w:val="0"/>
          <w:numId w:val="57"/>
        </w:numPr>
        <w:suppressLineNumbers w:val="false"/>
        <w:pBdr/>
        <w:spacing w:line="300" w:lineRule="auto"/>
        <w:ind/>
        <w:rPr/>
      </w:pPr>
      <w:r>
        <w:rPr>
          <w:b/>
          <w:bCs/>
        </w:rPr>
        <w:t xml:space="preserve">LIMUC </w:t>
      </w:r>
      <w:r>
        <w:t xml:space="preserve">anchors the thesis’s clinical flagship: UC severity, where ordinal structure and clinically meaningful slices (e.g., remission vs non-remission) are essential for interpretation</w:t>
      </w:r>
      <w:r>
        <w:rPr>
          <w:lang w:val="en-US"/>
        </w:rPr>
        <w:t xml:space="preserve">[55], [70]</w:t>
      </w:r>
      <w:r>
        <w:t xml:space="preserve">.</w:t>
      </w:r>
      <w:r/>
    </w:p>
    <w:p w14:paraId="359B321B">
      <w:pPr>
        <w:pStyle w:val="1128"/>
        <w:numPr>
          <w:ilvl w:val="0"/>
          <w:numId w:val="57"/>
        </w:numPr>
        <w:suppressLineNumbers w:val="false"/>
        <w:pBdr/>
        <w:spacing w:line="300" w:lineRule="auto"/>
        <w:ind/>
        <w:rPr/>
      </w:pPr>
      <w:r>
        <w:rPr>
          <w:b/>
          <w:bCs/>
        </w:rPr>
        <w:t xml:space="preserve">HyperKvasir </w:t>
      </w:r>
      <w:r>
        <w:t xml:space="preserve">provides broad GI visual grounding with strong long-tail imbalance, allowing analysis of head–tail recall asymmetry that can be hidden by aggregate accuracy</w:t>
      </w:r>
      <w:r>
        <w:rPr>
          <w:lang w:val="en-US"/>
        </w:rPr>
        <w:t xml:space="preserve">[51], [66]</w:t>
      </w:r>
      <w:r>
        <w:t xml:space="preserve">.</w:t>
      </w:r>
      <w:r/>
    </w:p>
    <w:p w14:paraId="33816274">
      <w:pPr>
        <w:pStyle w:val="1128"/>
        <w:numPr>
          <w:ilvl w:val="0"/>
          <w:numId w:val="57"/>
        </w:numPr>
        <w:suppressLineNumbers w:val="false"/>
        <w:pBdr/>
        <w:spacing w:line="300" w:lineRule="auto"/>
        <w:ind/>
        <w:rPr/>
      </w:pPr>
      <w:r>
        <w:rPr>
          <w:b/>
          <w:bCs/>
        </w:rPr>
        <w:t xml:space="preserve">Kvasir-SEG</w:t>
      </w:r>
      <w:r>
        <w:t xml:space="preserve"> is included as supporting evidence for morphology/localization-oriented statistics that later motivate grounding-aware directions; it is not treated as a primary VQA benchmark in this chapter</w:t>
      </w:r>
      <w:r>
        <w:rPr>
          <w:lang w:val="en-US"/>
        </w:rPr>
        <w:t xml:space="preserve">[71]</w:t>
      </w:r>
      <w:r>
        <w:t xml:space="preserve">.</w:t>
      </w:r>
      <w:r/>
    </w:p>
    <w:p w14:paraId="4AC9A423">
      <w:pPr>
        <w:pStyle w:val="1128"/>
        <w:suppressLineNumbers w:val="false"/>
        <w:pBdr/>
        <w:spacing w:line="300" w:lineRule="auto"/>
        <w:ind w:firstLine="0"/>
        <w:rPr>
          <w:b/>
          <w:bCs/>
          <w:highlight w:val="none"/>
        </w:rPr>
      </w:pPr>
      <w:r>
        <w:rPr>
          <w:b/>
          <w:bCs/>
        </w:rPr>
      </w:r>
      <w:r>
        <w:rPr>
          <w:b/>
          <w:bCs/>
        </w:rPr>
        <w:t xml:space="preserve">3.2.2 Model Families Compared</w:t>
      </w:r>
      <w:r>
        <w:rPr>
          <w:b/>
          <w:bCs/>
          <w:highlight w:val="none"/>
        </w:rPr>
      </w:r>
      <w:r>
        <w:rPr>
          <w:b/>
          <w:bCs/>
          <w:highlight w:val="none"/>
        </w:rPr>
      </w:r>
    </w:p>
    <w:p w14:paraId="6DE417C8">
      <w:pPr>
        <w:pStyle w:val="1128"/>
        <w:suppressLineNumbers w:val="false"/>
        <w:pBdr/>
        <w:spacing w:line="300" w:lineRule="auto"/>
        <w:ind w:firstLine="0"/>
        <w:rPr>
          <w:b/>
          <w:bCs/>
          <w:highlight w:val="none"/>
        </w:rPr>
      </w:pPr>
      <w:r>
        <w:rPr>
          <w:b/>
          <w:bCs/>
          <w:highlight w:val="none"/>
        </w:rPr>
      </w:r>
      <w:r>
        <w:t xml:space="preserve">The model comparisons in Chapter 3 reflect what is available as persisted artifacts rather than an exhaustive survey of all possible architectures. The goal is to compare representative families that span the major design choices relevant to clinical relia</w:t>
      </w:r>
      <w:r>
        <w:t xml:space="preserve">bility: supervised classification, constrained VQA, and open-ended generation.</w:t>
      </w:r>
      <w:r>
        <w:rPr>
          <w:b/>
          <w:bCs/>
          <w:highlight w:val="none"/>
        </w:rPr>
      </w:r>
      <w:r>
        <w:rPr>
          <w:b/>
          <w:bCs/>
          <w:highlight w:val="none"/>
        </w:rPr>
      </w:r>
    </w:p>
    <w:tbl>
      <w:tblPr>
        <w:tblStyle w:val="1185"/>
        <w:tblW w:w="0" w:type="auto"/>
        <w:tblBorders/>
        <w:tblLayout w:type="fixed"/>
        <w:tblLook w:val="04A0" w:firstRow="1" w:lastRow="0" w:firstColumn="1" w:lastColumn="0" w:noHBand="0" w:noVBand="1"/>
      </w:tblPr>
      <w:tblGrid>
        <w:gridCol w:w="2027"/>
        <w:gridCol w:w="4961"/>
        <w:gridCol w:w="1653"/>
      </w:tblGrid>
      <w:tr>
        <w:trPr/>
        <w:tc>
          <w:tcPr>
            <w:tcBorders/>
            <w:tcW w:w="2027" w:type="dxa"/>
            <w:textDirection w:val="lrTb"/>
            <w:noWrap w:val="false"/>
          </w:tcPr>
          <w:p w14:paraId="0042FDD3">
            <w:pPr>
              <w:pBdr/>
              <w:spacing w:after="0" w:before="0" w:line="240" w:lineRule="auto"/>
              <w:ind/>
              <w:rPr>
                <w:color w:val="000000" w:themeColor="text1"/>
              </w:rPr>
            </w:pPr>
            <w:r>
              <w:rPr>
                <w:rFonts w:ascii="Arial" w:hAnsi="Arial" w:eastAsia="Arial" w:cs="Arial"/>
                <w:b/>
                <w:color w:val="000000" w:themeColor="text1"/>
                <w:sz w:val="21"/>
              </w:rPr>
              <w:t xml:space="preserve">Family</w:t>
            </w:r>
            <w:r>
              <w:rPr>
                <w:color w:val="000000" w:themeColor="text1"/>
              </w:rPr>
            </w:r>
            <w:r>
              <w:rPr>
                <w:color w:val="000000" w:themeColor="text1"/>
              </w:rPr>
            </w:r>
          </w:p>
        </w:tc>
        <w:tc>
          <w:tcPr>
            <w:tcBorders/>
            <w:tcW w:w="4961" w:type="dxa"/>
            <w:textDirection w:val="lrTb"/>
            <w:noWrap w:val="false"/>
          </w:tcPr>
          <w:p w14:paraId="2465BF00">
            <w:pPr>
              <w:pBdr/>
              <w:spacing w:after="0" w:before="0" w:line="240" w:lineRule="auto"/>
              <w:ind/>
              <w:rPr>
                <w:color w:val="000000" w:themeColor="text1"/>
              </w:rPr>
            </w:pPr>
            <w:r>
              <w:rPr>
                <w:rFonts w:ascii="Arial" w:hAnsi="Arial" w:eastAsia="Arial" w:cs="Arial"/>
                <w:b/>
                <w:color w:val="000000" w:themeColor="text1"/>
                <w:sz w:val="21"/>
              </w:rPr>
              <w:t xml:space="preserve">Example persisted models</w:t>
            </w:r>
            <w:r>
              <w:rPr>
                <w:color w:val="000000" w:themeColor="text1"/>
              </w:rPr>
            </w:r>
            <w:r>
              <w:rPr>
                <w:color w:val="000000" w:themeColor="text1"/>
              </w:rPr>
            </w:r>
          </w:p>
        </w:tc>
        <w:tc>
          <w:tcPr>
            <w:tcBorders/>
            <w:tcW w:w="1653" w:type="dxa"/>
            <w:textDirection w:val="lrTb"/>
            <w:noWrap w:val="false"/>
          </w:tcPr>
          <w:p w14:paraId="45BFF394">
            <w:pPr>
              <w:pBdr/>
              <w:spacing w:after="0" w:before="0" w:line="240" w:lineRule="auto"/>
              <w:ind/>
              <w:rPr>
                <w:color w:val="000000" w:themeColor="text1"/>
              </w:rPr>
            </w:pPr>
            <w:r>
              <w:rPr>
                <w:rFonts w:ascii="Arial" w:hAnsi="Arial" w:eastAsia="Arial" w:cs="Arial"/>
                <w:b/>
                <w:color w:val="000000" w:themeColor="text1"/>
                <w:sz w:val="21"/>
              </w:rPr>
              <w:t xml:space="preserve">Typical answer mode</w:t>
            </w:r>
            <w:r>
              <w:rPr>
                <w:color w:val="000000" w:themeColor="text1"/>
              </w:rPr>
            </w:r>
            <w:r>
              <w:rPr>
                <w:color w:val="000000" w:themeColor="text1"/>
              </w:rPr>
            </w:r>
          </w:p>
        </w:tc>
      </w:tr>
      <w:tr>
        <w:trPr>
          <w:trHeight w:val="714"/>
        </w:trPr>
        <w:tc>
          <w:tcPr>
            <w:tcBorders/>
            <w:tcW w:w="2027" w:type="dxa"/>
            <w:textDirection w:val="lrTb"/>
            <w:noWrap w:val="false"/>
          </w:tcPr>
          <w:p w14:paraId="4EFAD93C">
            <w:pPr>
              <w:pBdr/>
              <w:spacing w:after="0" w:before="0" w:line="240" w:lineRule="auto"/>
              <w:ind/>
              <w:rPr>
                <w:color w:val="000000" w:themeColor="text1"/>
              </w:rPr>
            </w:pPr>
            <w:r>
              <w:rPr>
                <w:rFonts w:ascii="Arial" w:hAnsi="Arial" w:eastAsia="Arial" w:cs="Arial"/>
                <w:color w:val="000000" w:themeColor="text1"/>
                <w:sz w:val="21"/>
              </w:rPr>
              <w:t xml:space="preserve">Supervised CNN/ViT classifiers</w:t>
            </w:r>
            <w:r>
              <w:rPr>
                <w:color w:val="000000" w:themeColor="text1"/>
              </w:rPr>
            </w:r>
            <w:r>
              <w:rPr>
                <w:color w:val="000000" w:themeColor="text1"/>
              </w:rPr>
            </w:r>
          </w:p>
        </w:tc>
        <w:tc>
          <w:tcPr>
            <w:tcBorders/>
            <w:tcW w:w="4961" w:type="dxa"/>
            <w:textDirection w:val="lrTb"/>
            <w:noWrap w:val="false"/>
          </w:tcPr>
          <w:p w14:paraId="37ADF756">
            <w:pPr>
              <w:pBdr/>
              <w:spacing w:after="0" w:before="0" w:line="240" w:lineRule="auto"/>
              <w:ind/>
              <w:rPr>
                <w:rFonts w:ascii="Arial" w:hAnsi="Arial" w:cs="Arial"/>
                <w:color w:val="000000" w:themeColor="text1"/>
                <w:sz w:val="20"/>
                <w:szCs w:val="20"/>
              </w:rPr>
            </w:pPr>
            <w:r>
              <w:rPr>
                <w:rFonts w:ascii="Arial" w:hAnsi="Arial" w:eastAsia="Arial" w:cs="Arial"/>
                <w:color w:val="000000" w:themeColor="text1"/>
                <w:sz w:val="20"/>
                <w:szCs w:val="20"/>
                <w:highlight w:val="white"/>
              </w:rPr>
              <w:t xml:space="preserve">resnet50_supervised</w:t>
            </w:r>
            <w:r>
              <w:rPr>
                <w:rFonts w:ascii="Arial" w:hAnsi="Arial" w:eastAsia="Arial" w:cs="Arial"/>
                <w:color w:val="000000" w:themeColor="text1"/>
                <w:sz w:val="20"/>
                <w:szCs w:val="20"/>
              </w:rPr>
              <w:t xml:space="preserve">, </w:t>
            </w:r>
            <w:r>
              <w:rPr>
                <w:rFonts w:ascii="Arial" w:hAnsi="Arial" w:eastAsia="Arial" w:cs="Arial"/>
                <w:color w:val="000000" w:themeColor="text1"/>
                <w:sz w:val="20"/>
                <w:szCs w:val="20"/>
                <w:highlight w:val="white"/>
              </w:rPr>
              <w:t xml:space="preserve">vit_supervised</w:t>
            </w:r>
            <w:r>
              <w:rPr>
                <w:rFonts w:ascii="Arial" w:hAnsi="Arial" w:eastAsia="Arial" w:cs="Arial"/>
                <w:color w:val="000000" w:themeColor="text1"/>
                <w:sz w:val="20"/>
                <w:szCs w:val="20"/>
              </w:rPr>
              <w:t xml:space="preserve">, </w:t>
            </w:r>
            <w:r>
              <w:rPr>
                <w:rFonts w:ascii="Arial" w:hAnsi="Arial" w:eastAsia="Arial" w:cs="Arial"/>
                <w:color w:val="000000" w:themeColor="text1"/>
                <w:sz w:val="20"/>
                <w:szCs w:val="20"/>
                <w:highlight w:val="white"/>
              </w:rPr>
              <w:t xml:space="preserve">finetune_resnet50</w:t>
            </w:r>
            <w:r>
              <w:rPr>
                <w:rFonts w:ascii="Arial" w:hAnsi="Arial" w:cs="Arial"/>
                <w:color w:val="000000" w:themeColor="text1"/>
                <w:sz w:val="20"/>
                <w:szCs w:val="20"/>
              </w:rPr>
            </w:r>
            <w:r>
              <w:rPr>
                <w:rFonts w:ascii="Arial" w:hAnsi="Arial" w:cs="Arial"/>
                <w:color w:val="000000" w:themeColor="text1"/>
                <w:sz w:val="20"/>
                <w:szCs w:val="20"/>
              </w:rPr>
            </w:r>
          </w:p>
        </w:tc>
        <w:tc>
          <w:tcPr>
            <w:tcBorders/>
            <w:tcW w:w="1653" w:type="dxa"/>
            <w:textDirection w:val="lrTb"/>
            <w:noWrap w:val="false"/>
          </w:tcPr>
          <w:p w14:paraId="26C352CB">
            <w:pPr>
              <w:pBdr/>
              <w:spacing w:after="0" w:before="0" w:line="240" w:lineRule="auto"/>
              <w:ind/>
              <w:rPr>
                <w:color w:val="000000" w:themeColor="text1"/>
              </w:rPr>
            </w:pPr>
            <w:r>
              <w:rPr>
                <w:rFonts w:ascii="Arial" w:hAnsi="Arial" w:eastAsia="Arial" w:cs="Arial"/>
                <w:color w:val="000000" w:themeColor="text1"/>
                <w:sz w:val="21"/>
              </w:rPr>
              <w:t xml:space="preserve">closed label</w:t>
            </w:r>
            <w:r>
              <w:rPr>
                <w:color w:val="000000" w:themeColor="text1"/>
              </w:rPr>
            </w:r>
            <w:r>
              <w:rPr>
                <w:color w:val="000000" w:themeColor="text1"/>
              </w:rPr>
            </w:r>
          </w:p>
        </w:tc>
      </w:tr>
      <w:tr>
        <w:trPr/>
        <w:tc>
          <w:tcPr>
            <w:tcBorders/>
            <w:tcW w:w="2027" w:type="dxa"/>
            <w:textDirection w:val="lrTb"/>
            <w:noWrap w:val="false"/>
          </w:tcPr>
          <w:p w14:paraId="1459B0EC">
            <w:pPr>
              <w:pBdr/>
              <w:spacing w:after="0" w:before="0" w:line="240" w:lineRule="auto"/>
              <w:ind/>
              <w:rPr>
                <w:color w:val="000000" w:themeColor="text1"/>
              </w:rPr>
            </w:pPr>
            <w:r>
              <w:rPr>
                <w:rFonts w:ascii="Arial" w:hAnsi="Arial" w:eastAsia="Arial" w:cs="Arial"/>
                <w:color w:val="000000" w:themeColor="text1"/>
                <w:sz w:val="21"/>
              </w:rPr>
              <w:t xml:space="preserve">Frozen encoder + shallow classifier</w:t>
            </w:r>
            <w:r>
              <w:rPr>
                <w:color w:val="000000" w:themeColor="text1"/>
              </w:rPr>
            </w:r>
            <w:r>
              <w:rPr>
                <w:color w:val="000000" w:themeColor="text1"/>
              </w:rPr>
            </w:r>
          </w:p>
        </w:tc>
        <w:tc>
          <w:tcPr>
            <w:tcBorders/>
            <w:tcW w:w="4961" w:type="dxa"/>
            <w:textDirection w:val="lrTb"/>
            <w:noWrap w:val="false"/>
          </w:tcPr>
          <w:p w14:paraId="38527A9E">
            <w:pPr>
              <w:pBdr/>
              <w:spacing w:after="0" w:before="0" w:line="240" w:lineRule="auto"/>
              <w:ind/>
              <w:rPr>
                <w:rFonts w:ascii="Arial" w:hAnsi="Arial" w:cs="Arial"/>
                <w:color w:val="000000" w:themeColor="text1"/>
                <w:sz w:val="20"/>
                <w:szCs w:val="20"/>
              </w:rPr>
            </w:pPr>
            <w:r>
              <w:rPr>
                <w:rFonts w:ascii="Arial" w:hAnsi="Arial" w:eastAsia="Arial" w:cs="Arial"/>
                <w:color w:val="000000" w:themeColor="text1"/>
                <w:sz w:val="20"/>
                <w:szCs w:val="20"/>
                <w:highlight w:val="white"/>
              </w:rPr>
              <w:t xml:space="preserve">vit_frozen_logreg</w:t>
            </w:r>
            <w:r>
              <w:rPr>
                <w:rFonts w:ascii="Arial" w:hAnsi="Arial" w:eastAsia="Arial" w:cs="Arial"/>
                <w:color w:val="000000" w:themeColor="text1"/>
                <w:sz w:val="20"/>
                <w:szCs w:val="20"/>
              </w:rPr>
              <w:t xml:space="preserve">, </w:t>
            </w:r>
            <w:r>
              <w:rPr>
                <w:rFonts w:ascii="Arial" w:hAnsi="Arial" w:eastAsia="Arial" w:cs="Arial"/>
                <w:color w:val="000000" w:themeColor="text1"/>
                <w:sz w:val="20"/>
                <w:szCs w:val="20"/>
                <w:highlight w:val="white"/>
              </w:rPr>
              <w:t xml:space="preserve">clip_linear_baseline</w:t>
            </w:r>
            <w:r>
              <w:rPr>
                <w:rFonts w:ascii="Arial" w:hAnsi="Arial" w:eastAsia="Arial" w:cs="Arial"/>
                <w:color w:val="000000" w:themeColor="text1"/>
                <w:sz w:val="20"/>
                <w:szCs w:val="20"/>
              </w:rPr>
              <w:t xml:space="preserve">, </w:t>
            </w:r>
            <w:r>
              <w:rPr>
                <w:rFonts w:ascii="Arial" w:hAnsi="Arial" w:eastAsia="Arial" w:cs="Arial"/>
                <w:color w:val="000000" w:themeColor="text1"/>
                <w:sz w:val="20"/>
                <w:szCs w:val="20"/>
                <w:highlight w:val="white"/>
              </w:rPr>
              <w:t xml:space="preserve">resnet50_frozen_logreg</w:t>
            </w:r>
            <w:r>
              <w:rPr>
                <w:rFonts w:ascii="Arial" w:hAnsi="Arial" w:cs="Arial"/>
                <w:color w:val="000000" w:themeColor="text1"/>
                <w:sz w:val="20"/>
                <w:szCs w:val="20"/>
              </w:rPr>
            </w:r>
            <w:r>
              <w:rPr>
                <w:rFonts w:ascii="Arial" w:hAnsi="Arial" w:cs="Arial"/>
                <w:color w:val="000000" w:themeColor="text1"/>
                <w:sz w:val="20"/>
                <w:szCs w:val="20"/>
              </w:rPr>
            </w:r>
          </w:p>
        </w:tc>
        <w:tc>
          <w:tcPr>
            <w:tcBorders/>
            <w:tcW w:w="1653" w:type="dxa"/>
            <w:textDirection w:val="lrTb"/>
            <w:noWrap w:val="false"/>
          </w:tcPr>
          <w:p w14:paraId="6F891D68">
            <w:pPr>
              <w:pBdr/>
              <w:spacing w:after="0" w:before="0" w:line="240" w:lineRule="auto"/>
              <w:ind/>
              <w:rPr>
                <w:color w:val="000000" w:themeColor="text1"/>
              </w:rPr>
            </w:pPr>
            <w:r>
              <w:rPr>
                <w:rFonts w:ascii="Arial" w:hAnsi="Arial" w:eastAsia="Arial" w:cs="Arial"/>
                <w:color w:val="000000" w:themeColor="text1"/>
                <w:sz w:val="21"/>
              </w:rPr>
              <w:t xml:space="preserve">closed label</w:t>
            </w:r>
            <w:r>
              <w:rPr>
                <w:color w:val="000000" w:themeColor="text1"/>
              </w:rPr>
            </w:r>
            <w:r>
              <w:rPr>
                <w:color w:val="000000" w:themeColor="text1"/>
              </w:rPr>
            </w:r>
          </w:p>
        </w:tc>
      </w:tr>
      <w:tr>
        <w:trPr/>
        <w:tc>
          <w:tcPr>
            <w:tcBorders/>
            <w:tcW w:w="2027" w:type="dxa"/>
            <w:textDirection w:val="lrTb"/>
            <w:noWrap w:val="false"/>
          </w:tcPr>
          <w:p w14:paraId="52D124C9">
            <w:pPr>
              <w:pBdr/>
              <w:spacing w:after="0" w:before="0" w:line="240" w:lineRule="auto"/>
              <w:ind/>
              <w:rPr>
                <w:color w:val="000000" w:themeColor="text1"/>
              </w:rPr>
            </w:pPr>
            <w:r>
              <w:rPr>
                <w:rFonts w:ascii="Arial" w:hAnsi="Arial" w:eastAsia="Arial" w:cs="Arial"/>
                <w:color w:val="000000" w:themeColor="text1"/>
                <w:sz w:val="21"/>
              </w:rPr>
              <w:t xml:space="preserve">Classical multimodal fusion</w:t>
            </w:r>
            <w:r>
              <w:rPr>
                <w:color w:val="000000" w:themeColor="text1"/>
              </w:rPr>
            </w:r>
            <w:r>
              <w:rPr>
                <w:color w:val="000000" w:themeColor="text1"/>
              </w:rPr>
            </w:r>
          </w:p>
        </w:tc>
        <w:tc>
          <w:tcPr>
            <w:tcBorders/>
            <w:tcW w:w="4961" w:type="dxa"/>
            <w:textDirection w:val="lrTb"/>
            <w:noWrap w:val="false"/>
          </w:tcPr>
          <w:p w14:paraId="3E76C893">
            <w:pPr>
              <w:pBdr/>
              <w:spacing w:after="0" w:before="0" w:line="240" w:lineRule="auto"/>
              <w:ind/>
              <w:rPr>
                <w:rFonts w:ascii="Arial" w:hAnsi="Arial" w:cs="Arial"/>
                <w:color w:val="000000" w:themeColor="text1"/>
                <w:sz w:val="20"/>
                <w:szCs w:val="20"/>
              </w:rPr>
            </w:pPr>
            <w:r>
              <w:rPr>
                <w:rFonts w:ascii="Arial" w:hAnsi="Arial" w:eastAsia="Arial" w:cs="Arial"/>
                <w:color w:val="000000" w:themeColor="text1"/>
                <w:sz w:val="20"/>
                <w:szCs w:val="20"/>
                <w:highlight w:val="white"/>
              </w:rPr>
              <w:t xml:space="preserve">resnet_gru_m1_*</w:t>
            </w:r>
            <w:r>
              <w:rPr>
                <w:rFonts w:ascii="Arial" w:hAnsi="Arial" w:eastAsia="Arial" w:cs="Arial"/>
                <w:color w:val="000000" w:themeColor="text1"/>
                <w:sz w:val="20"/>
                <w:szCs w:val="20"/>
              </w:rPr>
              <w:t xml:space="preserve">, </w:t>
            </w:r>
            <w:r>
              <w:rPr>
                <w:rFonts w:ascii="Arial" w:hAnsi="Arial" w:eastAsia="Arial" w:cs="Arial"/>
                <w:color w:val="000000" w:themeColor="text1"/>
                <w:sz w:val="20"/>
                <w:szCs w:val="20"/>
                <w:highlight w:val="white"/>
              </w:rPr>
              <w:t xml:space="preserve">vit_bertlite_m2_*</w:t>
            </w:r>
            <w:r>
              <w:rPr>
                <w:rFonts w:ascii="Arial" w:hAnsi="Arial" w:cs="Arial"/>
                <w:color w:val="000000" w:themeColor="text1"/>
                <w:sz w:val="20"/>
                <w:szCs w:val="20"/>
              </w:rPr>
            </w:r>
            <w:r>
              <w:rPr>
                <w:rFonts w:ascii="Arial" w:hAnsi="Arial" w:cs="Arial"/>
                <w:color w:val="000000" w:themeColor="text1"/>
                <w:sz w:val="20"/>
                <w:szCs w:val="20"/>
              </w:rPr>
            </w:r>
          </w:p>
        </w:tc>
        <w:tc>
          <w:tcPr>
            <w:tcBorders/>
            <w:tcW w:w="1653" w:type="dxa"/>
            <w:textDirection w:val="lrTb"/>
            <w:noWrap w:val="false"/>
          </w:tcPr>
          <w:p w14:paraId="4A337617">
            <w:pPr>
              <w:pBdr/>
              <w:spacing w:after="0" w:before="0" w:line="240" w:lineRule="auto"/>
              <w:ind/>
              <w:rPr>
                <w:color w:val="000000" w:themeColor="text1"/>
              </w:rPr>
            </w:pPr>
            <w:r>
              <w:rPr>
                <w:rFonts w:ascii="Arial" w:hAnsi="Arial" w:eastAsia="Arial" w:cs="Arial"/>
                <w:color w:val="000000" w:themeColor="text1"/>
                <w:sz w:val="21"/>
              </w:rPr>
              <w:t xml:space="preserve">closed set</w:t>
            </w:r>
            <w:r>
              <w:rPr>
                <w:color w:val="000000" w:themeColor="text1"/>
              </w:rPr>
            </w:r>
            <w:r>
              <w:rPr>
                <w:color w:val="000000" w:themeColor="text1"/>
              </w:rPr>
            </w:r>
          </w:p>
        </w:tc>
      </w:tr>
      <w:tr>
        <w:trPr/>
        <w:tc>
          <w:tcPr>
            <w:tcBorders/>
            <w:tcW w:w="2027" w:type="dxa"/>
            <w:textDirection w:val="lrTb"/>
            <w:noWrap w:val="false"/>
          </w:tcPr>
          <w:p w14:paraId="70C361AC">
            <w:pPr>
              <w:pBdr/>
              <w:spacing w:after="0" w:before="0" w:line="240" w:lineRule="auto"/>
              <w:ind/>
              <w:rPr>
                <w:color w:val="000000" w:themeColor="text1"/>
              </w:rPr>
            </w:pPr>
            <w:r>
              <w:rPr>
                <w:rFonts w:ascii="Arial" w:hAnsi="Arial" w:eastAsia="Arial" w:cs="Arial"/>
                <w:color w:val="000000" w:themeColor="text1"/>
                <w:sz w:val="21"/>
              </w:rPr>
              <w:t xml:space="preserve">Transformer VQA fine-tuned</w:t>
            </w:r>
            <w:r>
              <w:rPr>
                <w:color w:val="000000" w:themeColor="text1"/>
              </w:rPr>
            </w:r>
            <w:r>
              <w:rPr>
                <w:color w:val="000000" w:themeColor="text1"/>
              </w:rPr>
            </w:r>
          </w:p>
        </w:tc>
        <w:tc>
          <w:tcPr>
            <w:tcBorders/>
            <w:tcW w:w="4961" w:type="dxa"/>
            <w:textDirection w:val="lrTb"/>
            <w:noWrap w:val="false"/>
          </w:tcPr>
          <w:p w14:paraId="7ED8617C">
            <w:pPr>
              <w:pBdr/>
              <w:spacing w:after="0" w:before="0" w:line="240" w:lineRule="auto"/>
              <w:ind/>
              <w:rPr>
                <w:rFonts w:ascii="Arial" w:hAnsi="Arial" w:cs="Arial"/>
                <w:color w:val="000000" w:themeColor="text1"/>
                <w:sz w:val="20"/>
                <w:szCs w:val="20"/>
              </w:rPr>
            </w:pPr>
            <w:r>
              <w:rPr>
                <w:rFonts w:ascii="Arial" w:hAnsi="Arial" w:eastAsia="Arial" w:cs="Arial"/>
                <w:color w:val="000000" w:themeColor="text1"/>
                <w:sz w:val="20"/>
                <w:szCs w:val="20"/>
                <w:highlight w:val="white"/>
              </w:rPr>
              <w:t xml:space="preserve">vilt_finetune</w:t>
            </w:r>
            <w:r>
              <w:rPr>
                <w:rFonts w:ascii="Arial" w:hAnsi="Arial" w:cs="Arial"/>
                <w:color w:val="000000" w:themeColor="text1"/>
                <w:sz w:val="20"/>
                <w:szCs w:val="20"/>
              </w:rPr>
            </w:r>
            <w:r>
              <w:rPr>
                <w:rFonts w:ascii="Arial" w:hAnsi="Arial" w:cs="Arial"/>
                <w:color w:val="000000" w:themeColor="text1"/>
                <w:sz w:val="20"/>
                <w:szCs w:val="20"/>
              </w:rPr>
            </w:r>
          </w:p>
        </w:tc>
        <w:tc>
          <w:tcPr>
            <w:tcBorders/>
            <w:tcW w:w="1653" w:type="dxa"/>
            <w:textDirection w:val="lrTb"/>
            <w:noWrap w:val="false"/>
          </w:tcPr>
          <w:p w14:paraId="5A17533D">
            <w:pPr>
              <w:pBdr/>
              <w:spacing w:after="0" w:before="0" w:line="240" w:lineRule="auto"/>
              <w:ind/>
              <w:rPr>
                <w:color w:val="000000" w:themeColor="text1"/>
              </w:rPr>
            </w:pPr>
            <w:r>
              <w:rPr>
                <w:rFonts w:ascii="Arial" w:hAnsi="Arial" w:eastAsia="Arial" w:cs="Arial"/>
                <w:color w:val="000000" w:themeColor="text1"/>
                <w:sz w:val="21"/>
              </w:rPr>
              <w:t xml:space="preserve">closed label per question</w:t>
            </w:r>
            <w:r>
              <w:rPr>
                <w:color w:val="000000" w:themeColor="text1"/>
              </w:rPr>
            </w:r>
            <w:r>
              <w:rPr>
                <w:color w:val="000000" w:themeColor="text1"/>
              </w:rPr>
            </w:r>
          </w:p>
        </w:tc>
      </w:tr>
      <w:tr>
        <w:trPr/>
        <w:tc>
          <w:tcPr>
            <w:tcBorders/>
            <w:tcW w:w="2027" w:type="dxa"/>
            <w:textDirection w:val="lrTb"/>
            <w:noWrap w:val="false"/>
          </w:tcPr>
          <w:p w14:paraId="2DD5EB14">
            <w:pPr>
              <w:pBdr/>
              <w:spacing w:after="0" w:before="0" w:line="240" w:lineRule="auto"/>
              <w:ind/>
              <w:rPr>
                <w:color w:val="000000" w:themeColor="text1"/>
              </w:rPr>
            </w:pPr>
            <w:r>
              <w:rPr>
                <w:rFonts w:ascii="Arial" w:hAnsi="Arial" w:eastAsia="Arial" w:cs="Arial"/>
                <w:color w:val="000000" w:themeColor="text1"/>
                <w:sz w:val="21"/>
              </w:rPr>
              <w:t xml:space="preserve">Zero-shot VLM/MLLM</w:t>
            </w:r>
            <w:r>
              <w:rPr>
                <w:color w:val="000000" w:themeColor="text1"/>
              </w:rPr>
            </w:r>
            <w:r>
              <w:rPr>
                <w:color w:val="000000" w:themeColor="text1"/>
              </w:rPr>
            </w:r>
          </w:p>
        </w:tc>
        <w:tc>
          <w:tcPr>
            <w:tcBorders/>
            <w:tcW w:w="4961" w:type="dxa"/>
            <w:textDirection w:val="lrTb"/>
            <w:noWrap w:val="false"/>
          </w:tcPr>
          <w:p w14:paraId="52501FCD">
            <w:pPr>
              <w:pBdr/>
              <w:spacing w:after="0" w:before="0" w:line="240" w:lineRule="auto"/>
              <w:ind/>
              <w:rPr>
                <w:rFonts w:ascii="Arial" w:hAnsi="Arial" w:cs="Arial"/>
                <w:color w:val="000000" w:themeColor="text1"/>
                <w:sz w:val="20"/>
                <w:szCs w:val="20"/>
              </w:rPr>
            </w:pPr>
            <w:r>
              <w:rPr>
                <w:rFonts w:ascii="Arial" w:hAnsi="Arial" w:eastAsia="Arial" w:cs="Arial"/>
                <w:color w:val="000000" w:themeColor="text1"/>
                <w:sz w:val="20"/>
                <w:szCs w:val="20"/>
                <w:highlight w:val="white"/>
              </w:rPr>
              <w:t xml:space="preserve">qwen2_5_vl_zeroshot</w:t>
            </w:r>
            <w:r>
              <w:rPr>
                <w:rFonts w:ascii="Arial" w:hAnsi="Arial" w:eastAsia="Arial" w:cs="Arial"/>
                <w:color w:val="000000" w:themeColor="text1"/>
                <w:sz w:val="20"/>
                <w:szCs w:val="20"/>
              </w:rPr>
              <w:t xml:space="preserve">, </w:t>
            </w:r>
            <w:r>
              <w:rPr>
                <w:rFonts w:ascii="Arial" w:hAnsi="Arial" w:eastAsia="Arial" w:cs="Arial"/>
                <w:color w:val="000000" w:themeColor="text1"/>
                <w:sz w:val="20"/>
                <w:szCs w:val="20"/>
                <w:highlight w:val="white"/>
              </w:rPr>
              <w:t xml:space="preserve">medgemma_zeroshot</w:t>
            </w:r>
            <w:r>
              <w:rPr>
                <w:rFonts w:ascii="Arial" w:hAnsi="Arial" w:eastAsia="Arial" w:cs="Arial"/>
                <w:color w:val="000000" w:themeColor="text1"/>
                <w:sz w:val="20"/>
                <w:szCs w:val="20"/>
              </w:rPr>
              <w:t xml:space="preserve">, </w:t>
            </w:r>
            <w:r>
              <w:rPr>
                <w:rFonts w:ascii="Arial" w:hAnsi="Arial" w:eastAsia="Arial" w:cs="Arial"/>
                <w:color w:val="000000" w:themeColor="text1"/>
                <w:sz w:val="20"/>
                <w:szCs w:val="20"/>
                <w:highlight w:val="white"/>
              </w:rPr>
              <w:t xml:space="preserve">blip2_zero_shot</w:t>
            </w:r>
            <w:r>
              <w:rPr>
                <w:rFonts w:ascii="Arial" w:hAnsi="Arial" w:cs="Arial"/>
                <w:color w:val="000000" w:themeColor="text1"/>
                <w:sz w:val="20"/>
                <w:szCs w:val="20"/>
              </w:rPr>
            </w:r>
            <w:r>
              <w:rPr>
                <w:rFonts w:ascii="Arial" w:hAnsi="Arial" w:cs="Arial"/>
                <w:color w:val="000000" w:themeColor="text1"/>
                <w:sz w:val="20"/>
                <w:szCs w:val="20"/>
              </w:rPr>
            </w:r>
          </w:p>
        </w:tc>
        <w:tc>
          <w:tcPr>
            <w:tcBorders/>
            <w:tcW w:w="1653" w:type="dxa"/>
            <w:textDirection w:val="lrTb"/>
            <w:noWrap w:val="false"/>
          </w:tcPr>
          <w:p w14:paraId="7D98ADDA">
            <w:pPr>
              <w:pBdr/>
              <w:spacing w:after="0" w:before="0" w:line="240" w:lineRule="auto"/>
              <w:ind/>
              <w:rPr>
                <w:color w:val="000000" w:themeColor="text1"/>
              </w:rPr>
            </w:pPr>
            <w:r>
              <w:rPr>
                <w:rFonts w:ascii="Arial" w:hAnsi="Arial" w:eastAsia="Arial" w:cs="Arial"/>
                <w:color w:val="000000" w:themeColor="text1"/>
                <w:sz w:val="21"/>
              </w:rPr>
              <w:t xml:space="preserve">free text (optionally projected)</w:t>
            </w:r>
            <w:r>
              <w:rPr>
                <w:color w:val="000000" w:themeColor="text1"/>
              </w:rPr>
            </w:r>
            <w:r>
              <w:rPr>
                <w:color w:val="000000" w:themeColor="text1"/>
              </w:rPr>
            </w:r>
          </w:p>
        </w:tc>
      </w:tr>
      <w:tr>
        <w:trPr/>
        <w:tc>
          <w:tcPr>
            <w:tcBorders/>
            <w:tcW w:w="2027" w:type="dxa"/>
            <w:textDirection w:val="lrTb"/>
            <w:noWrap w:val="false"/>
          </w:tcPr>
          <w:p w14:paraId="7BCB6C00">
            <w:pPr>
              <w:pBdr/>
              <w:spacing w:after="0" w:before="0" w:line="240" w:lineRule="auto"/>
              <w:ind/>
              <w:rPr>
                <w:color w:val="000000" w:themeColor="text1"/>
              </w:rPr>
            </w:pPr>
            <w:r>
              <w:rPr>
                <w:rFonts w:ascii="Arial" w:hAnsi="Arial" w:eastAsia="Arial" w:cs="Arial"/>
                <w:color w:val="000000" w:themeColor="text1"/>
                <w:sz w:val="21"/>
              </w:rPr>
              <w:t xml:space="preserve">Parameter-efficient adaptation</w:t>
            </w:r>
            <w:r>
              <w:rPr>
                <w:color w:val="000000" w:themeColor="text1"/>
              </w:rPr>
            </w:r>
            <w:r>
              <w:rPr>
                <w:color w:val="000000" w:themeColor="text1"/>
              </w:rPr>
            </w:r>
          </w:p>
        </w:tc>
        <w:tc>
          <w:tcPr>
            <w:tcBorders/>
            <w:tcW w:w="4961" w:type="dxa"/>
            <w:textDirection w:val="lrTb"/>
            <w:noWrap w:val="false"/>
          </w:tcPr>
          <w:p w14:paraId="4AE32EA2">
            <w:pPr>
              <w:pBdr/>
              <w:spacing w:after="0" w:before="0" w:line="240" w:lineRule="auto"/>
              <w:ind/>
              <w:rPr>
                <w:rFonts w:ascii="Arial" w:hAnsi="Arial" w:cs="Arial"/>
                <w:color w:val="000000" w:themeColor="text1"/>
                <w:sz w:val="20"/>
                <w:szCs w:val="20"/>
              </w:rPr>
            </w:pPr>
            <w:r>
              <w:rPr>
                <w:rFonts w:ascii="Arial" w:hAnsi="Arial" w:eastAsia="Arial" w:cs="Arial"/>
                <w:color w:val="000000" w:themeColor="text1"/>
                <w:sz w:val="20"/>
                <w:szCs w:val="20"/>
                <w:highlight w:val="white"/>
              </w:rPr>
              <w:t xml:space="preserve">medgemma_lora_original</w:t>
            </w:r>
            <w:r>
              <w:rPr>
                <w:rFonts w:ascii="Arial" w:hAnsi="Arial" w:eastAsia="Arial" w:cs="Arial"/>
                <w:color w:val="000000" w:themeColor="text1"/>
                <w:sz w:val="20"/>
                <w:szCs w:val="20"/>
              </w:rPr>
              <w:t xml:space="preserve">, </w:t>
            </w:r>
            <w:r>
              <w:rPr>
                <w:rFonts w:ascii="Arial" w:hAnsi="Arial" w:eastAsia="Arial" w:cs="Arial"/>
                <w:color w:val="000000" w:themeColor="text1"/>
                <w:sz w:val="20"/>
                <w:szCs w:val="20"/>
                <w:highlight w:val="white"/>
              </w:rPr>
              <w:t xml:space="preserve">qwen2_5_vl_lora_finetune</w:t>
            </w:r>
            <w:r>
              <w:rPr>
                <w:rFonts w:ascii="Arial" w:hAnsi="Arial" w:eastAsia="Arial" w:cs="Arial"/>
                <w:color w:val="000000" w:themeColor="text1"/>
                <w:sz w:val="20"/>
                <w:szCs w:val="20"/>
              </w:rPr>
              <w:t xml:space="preserve"> (logs persisted)</w:t>
            </w:r>
            <w:r>
              <w:rPr>
                <w:rFonts w:ascii="Arial" w:hAnsi="Arial" w:cs="Arial"/>
                <w:color w:val="000000" w:themeColor="text1"/>
                <w:sz w:val="20"/>
                <w:szCs w:val="20"/>
              </w:rPr>
            </w:r>
            <w:r>
              <w:rPr>
                <w:rFonts w:ascii="Arial" w:hAnsi="Arial" w:cs="Arial"/>
                <w:color w:val="000000" w:themeColor="text1"/>
                <w:sz w:val="20"/>
                <w:szCs w:val="20"/>
              </w:rPr>
            </w:r>
          </w:p>
        </w:tc>
        <w:tc>
          <w:tcPr>
            <w:tcBorders/>
            <w:tcW w:w="1653" w:type="dxa"/>
            <w:textDirection w:val="lrTb"/>
            <w:noWrap w:val="false"/>
          </w:tcPr>
          <w:p w14:paraId="73739B76">
            <w:pPr>
              <w:pBdr/>
              <w:spacing w:after="0" w:before="0" w:line="240" w:lineRule="auto"/>
              <w:ind/>
              <w:rPr>
                <w:color w:val="000000" w:themeColor="text1"/>
              </w:rPr>
            </w:pPr>
            <w:r>
              <w:rPr>
                <w:rFonts w:ascii="Arial" w:hAnsi="Arial" w:eastAsia="Arial" w:cs="Arial"/>
                <w:color w:val="000000" w:themeColor="text1"/>
                <w:sz w:val="21"/>
              </w:rPr>
              <w:t xml:space="preserve">free text</w:t>
            </w:r>
            <w:r>
              <w:rPr>
                <w:color w:val="000000" w:themeColor="text1"/>
              </w:rPr>
            </w:r>
            <w:r>
              <w:rPr>
                <w:color w:val="000000" w:themeColor="text1"/>
              </w:rPr>
            </w:r>
          </w:p>
        </w:tc>
      </w:tr>
    </w:tbl>
    <w:p w14:paraId="0C7CA214">
      <w:pPr>
        <w:pStyle w:val="1128"/>
        <w:suppressLineNumbers w:val="false"/>
        <w:pBdr/>
        <w:spacing w:line="300" w:lineRule="auto"/>
        <w:ind w:firstLine="0" w:left="709"/>
        <w:rPr>
          <w:b/>
          <w:bCs/>
          <w:i/>
        </w:rPr>
      </w:pPr>
      <w:r>
        <w:rPr>
          <w:b/>
          <w:bCs/>
          <w:i/>
          <w:iCs/>
          <w:highlight w:val="none"/>
        </w:rPr>
      </w:r>
      <w:r>
        <w:rPr>
          <w:i/>
          <w:iCs/>
        </w:rPr>
        <w:t xml:space="preserve">Table 3.3. Representative Model Families in Persisted Artifacts</w:t>
      </w:r>
      <w:r>
        <w:rPr>
          <w:b/>
          <w:bCs/>
          <w:i/>
        </w:rPr>
      </w:r>
      <w:r>
        <w:rPr>
          <w:b/>
          <w:bCs/>
          <w:i/>
        </w:rPr>
      </w:r>
    </w:p>
    <w:p w14:paraId="576FDC45">
      <w:pPr>
        <w:pStyle w:val="1128"/>
        <w:suppressLineNumbers w:val="false"/>
        <w:pBdr/>
        <w:spacing w:line="300" w:lineRule="auto"/>
        <w:ind w:firstLine="0"/>
        <w:jc w:val="both"/>
        <w:rPr>
          <w:b/>
          <w:bCs/>
        </w:rPr>
      </w:pPr>
      <w:r>
        <w:rPr>
          <w:b/>
          <w:bCs/>
          <w:highlight w:val="none"/>
        </w:rPr>
      </w:r>
      <w:r>
        <w:rPr>
          <w:b/>
          <w:bCs/>
        </w:rPr>
        <w:t xml:space="preserve">Interpretation guide</w:t>
      </w:r>
      <w:r>
        <w:rPr>
          <w:b/>
          <w:bCs/>
        </w:rPr>
      </w:r>
      <w:r>
        <w:rPr>
          <w:b/>
          <w:bCs/>
        </w:rPr>
      </w:r>
    </w:p>
    <w:p w14:paraId="46E78B81">
      <w:pPr>
        <w:pStyle w:val="1128"/>
        <w:numPr>
          <w:ilvl w:val="0"/>
          <w:numId w:val="59"/>
        </w:numPr>
        <w:suppressLineNumbers w:val="false"/>
        <w:pBdr/>
        <w:spacing w:line="300" w:lineRule="auto"/>
        <w:ind/>
        <w:jc w:val="both"/>
        <w:rPr/>
      </w:pPr>
      <w:r>
        <w:rPr>
          <w:b/>
          <w:bCs/>
        </w:rPr>
        <w:t xml:space="preserve">Closed-label families</w:t>
      </w:r>
      <w:r>
        <w:t xml:space="preserve"> (supervised or shallow classifiers) provide a reliability baseline where output space is controlled and evaluation is deterministic.</w:t>
      </w:r>
      <w:r/>
    </w:p>
    <w:p w14:paraId="19AAC3BE">
      <w:pPr>
        <w:pStyle w:val="1128"/>
        <w:numPr>
          <w:ilvl w:val="0"/>
          <w:numId w:val="59"/>
        </w:numPr>
        <w:suppressLineNumbers w:val="false"/>
        <w:pBdr/>
        <w:spacing w:line="300" w:lineRule="auto"/>
        <w:ind/>
        <w:jc w:val="both"/>
        <w:rPr/>
      </w:pPr>
      <w:r>
        <w:rPr>
          <w:b/>
          <w:bCs/>
        </w:rPr>
        <w:t xml:space="preserve">Classical fusion and transformer VQA models</w:t>
      </w:r>
      <w:r>
        <w:t xml:space="preserve"> represent structured MedVQA pipelines designed to combine image and question representations under a constrained output space.</w:t>
      </w:r>
      <w:r/>
    </w:p>
    <w:p w14:paraId="2769AD74">
      <w:pPr>
        <w:pStyle w:val="1128"/>
        <w:numPr>
          <w:ilvl w:val="0"/>
          <w:numId w:val="59"/>
        </w:numPr>
        <w:suppressLineNumbers w:val="false"/>
        <w:pBdr/>
        <w:spacing w:line="300" w:lineRule="auto"/>
        <w:ind/>
        <w:jc w:val="both"/>
        <w:rPr/>
      </w:pPr>
      <w:r>
        <w:rPr>
          <w:b/>
          <w:bCs/>
        </w:rPr>
        <w:t xml:space="preserve">Zero-shot VLM/MLLM models</w:t>
      </w:r>
      <w:r>
        <w:t xml:space="preserve"> represent open-ended generation, which may be more flexible but can be unstable in output format and lexical grounding.</w:t>
      </w:r>
      <w:r/>
    </w:p>
    <w:p w14:paraId="2B5FE4C6">
      <w:pPr>
        <w:pStyle w:val="1128"/>
        <w:numPr>
          <w:ilvl w:val="0"/>
          <w:numId w:val="59"/>
        </w:numPr>
        <w:suppressLineNumbers w:val="false"/>
        <w:pBdr/>
        <w:spacing w:line="300" w:lineRule="auto"/>
        <w:ind/>
        <w:jc w:val="both"/>
        <w:rPr/>
      </w:pPr>
      <w:r>
        <w:rPr>
          <w:b/>
          <w:bCs/>
        </w:rPr>
        <w:t xml:space="preserve">Parameter-efficient adaptation</w:t>
      </w:r>
      <w:r>
        <w:t xml:space="preserve"> captures whether lightweight fine-tuning improves generative fidelity without requiring full retraining.</w:t>
      </w:r>
      <w:r/>
    </w:p>
    <w:p w14:paraId="678596E6">
      <w:pPr>
        <w:pStyle w:val="1128"/>
        <w:suppressLineNumbers w:val="false"/>
        <w:pBdr/>
        <w:spacing w:line="300" w:lineRule="auto"/>
        <w:ind w:firstLine="0"/>
        <w:jc w:val="both"/>
        <w:rPr>
          <w:b/>
          <w:bCs/>
        </w:rPr>
      </w:pPr>
      <w:r>
        <w:t xml:space="preserve">Section 3.3 defines the metric bundles used to compare these families and clarifies how raw vs projected scoring is treated when free text must be mapped to a constrained answer space.</w:t>
      </w:r>
      <w:r>
        <w:rPr>
          <w:b/>
          <w:bCs/>
        </w:rPr>
      </w:r>
      <w:r>
        <w:rPr>
          <w:b/>
          <w:bCs/>
        </w:rPr>
      </w:r>
    </w:p>
    <w:p w14:paraId="6F7C253D">
      <w:pPr>
        <w:pStyle w:val="1128"/>
        <w:suppressLineNumbers w:val="false"/>
        <w:pBdr/>
        <w:spacing w:line="300" w:lineRule="auto"/>
        <w:ind w:firstLine="0"/>
        <w:jc w:val="both"/>
        <w:rPr>
          <w:b/>
          <w:bCs/>
          <w:highlight w:val="none"/>
        </w:rPr>
      </w:pPr>
      <w:r>
        <w:rPr>
          <w:b/>
          <w:bCs/>
        </w:rPr>
        <w:t xml:space="preserve">3.2.3 Data Profile Figures (Kvasir-VQA)</w:t>
      </w:r>
      <w:r>
        <w:rPr>
          <w:b/>
          <w:bCs/>
          <w:highlight w:val="none"/>
        </w:rPr>
      </w:r>
      <w:r>
        <w:rPr>
          <w:b/>
          <w:bCs/>
          <w:highlight w:val="none"/>
        </w:rPr>
      </w:r>
    </w:p>
    <w:p w14:paraId="5B1F1644">
      <w:pPr>
        <w:pStyle w:val="1128"/>
        <w:suppressLineNumbers w:val="false"/>
        <w:pBdr/>
        <w:spacing w:line="300" w:lineRule="auto"/>
        <w:ind w:firstLine="0"/>
        <w:rPr/>
      </w:pPr>
      <w:r>
        <w:t xml:space="preserve">Before presenting results, the chapter includes Kvasir-VQA profiling figures because they explain several behaviors observed later in Section 3.4, particularly the dominance of yes/no questions and the presence of template skew. These distributional proper</w:t>
      </w:r>
      <w:r>
        <w:t xml:space="preserve">ties can inflate superficial performance on majority question types while masking failure on rarer but clinically important categories</w:t>
      </w:r>
      <w:r>
        <w:t xml:space="preserve">[68], [74]-[76]</w:t>
      </w:r>
      <w:r>
        <w:t xml:space="preserve">.</w:t>
      </w:r>
      <w:r/>
    </w:p>
    <w:p w14:paraId="4F3CA40B">
      <w:pPr>
        <w:pStyle w:val="1128"/>
        <w:suppressLineNumbers w:val="false"/>
        <w:pBdr/>
        <w:spacing w:line="300" w:lineRule="auto"/>
        <w:ind w:firstLine="0"/>
        <w:rPr/>
      </w:pPr>
      <w:r>
        <mc:AlternateContent>
          <mc:Choice Requires="wpg">
            <w:drawing>
              <wp:inline xmlns:wp="http://schemas.openxmlformats.org/drawingml/2006/wordprocessingDrawing" distT="0" distB="0" distL="0" distR="0">
                <wp:extent cx="5486400" cy="3135086"/>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579967" name=""/>
                        <pic:cNvPicPr>
                          <a:picLocks noChangeAspect="1"/>
                        </pic:cNvPicPr>
                        <pic:nvPr/>
                      </pic:nvPicPr>
                      <pic:blipFill rotWithShape="1">
                        <a:blip r:embed="rId15"/>
                        <a:stretch/>
                      </pic:blipFill>
                      <pic:spPr bwMode="auto">
                        <a:xfrm>
                          <a:off x="0" y="0"/>
                          <a:ext cx="5486399" cy="313508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32.00pt;height:246.86pt;mso-wrap-distance-left:0.00pt;mso-wrap-distance-top:0.00pt;mso-wrap-distance-right:0.00pt;mso-wrap-distance-bottom:0.00pt;z-index:1;" stroked="false">
                <v:imagedata r:id="rId15" o:title=""/>
                <o:lock v:ext="edit" rotation="t"/>
              </v:shape>
            </w:pict>
          </mc:Fallback>
        </mc:AlternateContent>
      </w:r>
      <w:r/>
    </w:p>
    <w:p w14:paraId="1DF59A86">
      <w:pPr>
        <w:pStyle w:val="1128"/>
        <w:suppressLineNumbers w:val="false"/>
        <w:pBdr/>
        <w:spacing w:line="300" w:lineRule="auto"/>
        <w:ind w:left="1440"/>
        <w:rPr>
          <w:bCs/>
          <w:i/>
          <w:highlight w:val="none"/>
          <w:lang w:val="en-US"/>
        </w:rPr>
      </w:pPr>
      <w:r>
        <w:rPr>
          <w:i/>
          <w:iCs/>
          <w:lang w:val="en-US"/>
        </w:rPr>
        <w:t xml:space="preserve">Figure 3.1 QA count by source domain </w:t>
      </w:r>
      <w:r>
        <w:rPr>
          <w:bCs/>
          <w:i/>
          <w:highlight w:val="none"/>
          <w:lang w:val="en-US"/>
        </w:rPr>
      </w:r>
      <w:r>
        <w:rPr>
          <w:bCs/>
          <w:i/>
          <w:highlight w:val="none"/>
          <w:lang w:val="en-US"/>
        </w:rPr>
      </w:r>
    </w:p>
    <w:p w14:paraId="0A89629D">
      <w:pPr>
        <w:pStyle w:val="1128"/>
        <w:suppressLineNumbers w:val="false"/>
        <w:pBdr/>
        <w:spacing w:line="300" w:lineRule="auto"/>
        <w:ind w:firstLine="0" w:left="0"/>
        <w:rPr>
          <w:bCs w:val="0"/>
          <w:i w:val="0"/>
        </w:rPr>
      </w:pPr>
      <w:r>
        <w:rPr>
          <w:i w:val="0"/>
          <w:iCs w:val="0"/>
          <w:highlight w:val="none"/>
          <w:lang w:val="en-US"/>
        </w:rPr>
      </w:r>
      <w:r>
        <w:rPr>
          <w:i w:val="0"/>
          <w:iCs w:val="0"/>
          <w:lang w:val="en-US"/>
        </w:rPr>
        <w:t xml:space="preserve">Figure 3.1</w:t>
      </w:r>
      <w:r>
        <w:rPr>
          <w:i w:val="0"/>
          <w:iCs w:val="0"/>
          <w:highlight w:val="none"/>
          <w:lang w:val="en-US"/>
        </w:rPr>
        <w:t xml:space="preserve"> summarizes how QA pairs are distributed across source domains in the Kvasir-VQA preparation artifacts[74]. Source-domain imbalance implies that model performance may reflect dominant sources disproportionately, and it motivates later per-family and </w:t>
      </w:r>
      <w:r>
        <w:rPr>
          <w:i w:val="0"/>
          <w:iCs w:val="0"/>
          <w:highlight w:val="none"/>
          <w:lang w:val="en-US"/>
        </w:rPr>
        <w:t xml:space="preserve">per-task reporting rather than single aggregate scores.</w:t>
      </w:r>
      <w:r>
        <w:rPr>
          <w:bCs w:val="0"/>
          <w:i w:val="0"/>
        </w:rPr>
      </w:r>
      <w:r>
        <w:rPr>
          <w:bCs w:val="0"/>
          <w:i w:val="0"/>
        </w:rPr>
      </w:r>
    </w:p>
    <w:p w14:paraId="2BCF19F2">
      <w:pPr>
        <w:pStyle w:val="1128"/>
        <w:suppressLineNumbers w:val="false"/>
        <w:pBdr/>
        <w:spacing w:line="300" w:lineRule="auto"/>
        <w:ind w:right="0" w:firstLine="0" w:left="0"/>
        <w:rPr>
          <w:highlight w:val="none"/>
        </w:rPr>
      </w:pPr>
      <w:r>
        <mc:AlternateContent>
          <mc:Choice Requires="wpg">
            <w:drawing>
              <wp:inline xmlns:wp="http://schemas.openxmlformats.org/drawingml/2006/wordprocessingDrawing" distT="0" distB="0" distL="0" distR="0">
                <wp:extent cx="5486400" cy="3135086"/>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896701" name=""/>
                        <pic:cNvPicPr>
                          <a:picLocks noChangeAspect="1"/>
                        </pic:cNvPicPr>
                        <pic:nvPr/>
                      </pic:nvPicPr>
                      <pic:blipFill rotWithShape="1">
                        <a:blip r:embed="rId15"/>
                        <a:stretch/>
                      </pic:blipFill>
                      <pic:spPr bwMode="auto">
                        <a:xfrm>
                          <a:off x="0" y="0"/>
                          <a:ext cx="5486399" cy="313508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32.00pt;height:246.86pt;mso-wrap-distance-left:0.00pt;mso-wrap-distance-top:0.00pt;mso-wrap-distance-right:0.00pt;mso-wrap-distance-bottom:0.00pt;z-index:1;" stroked="false">
                <v:imagedata r:id="rId15" o:title=""/>
                <o:lock v:ext="edit" rotation="t"/>
              </v:shape>
            </w:pict>
          </mc:Fallback>
        </mc:AlternateContent>
      </w:r>
      <w:r>
        <w:rPr>
          <w:highlight w:val="none"/>
        </w:rPr>
      </w:r>
      <w:r>
        <w:rPr>
          <w:highlight w:val="none"/>
        </w:rPr>
      </w:r>
    </w:p>
    <w:p w14:paraId="699DB54E">
      <w:pPr>
        <w:pStyle w:val="1128"/>
        <w:suppressLineNumbers w:val="false"/>
        <w:pBdr/>
        <w:spacing w:line="300" w:lineRule="auto"/>
        <w:ind w:left="1440"/>
        <w:rPr>
          <w:bCs/>
          <w:i/>
          <w:highlight w:val="none"/>
          <w:lang w:val="en-US"/>
        </w:rPr>
      </w:pPr>
      <w:r>
        <w:rPr>
          <w:i/>
          <w:iCs/>
          <w:lang w:val="en-US"/>
        </w:rPr>
        <w:t xml:space="preserve">Figure 3.2 QA count by type distribution </w:t>
      </w:r>
      <w:r>
        <w:rPr>
          <w:bCs/>
          <w:i/>
          <w:highlight w:val="none"/>
          <w:lang w:val="en-US"/>
        </w:rPr>
      </w:r>
      <w:r>
        <w:rPr>
          <w:bCs/>
          <w:i/>
          <w:highlight w:val="none"/>
          <w:lang w:val="en-US"/>
        </w:rPr>
      </w:r>
    </w:p>
    <w:p w14:paraId="7048BBAF">
      <w:pPr>
        <w:pStyle w:val="1128"/>
        <w:suppressLineNumbers w:val="false"/>
        <w:pBdr/>
        <w:spacing w:line="300" w:lineRule="auto"/>
        <w:ind w:right="0" w:firstLine="0" w:left="0"/>
        <w:rPr/>
      </w:pPr>
      <w:r>
        <w:rPr>
          <w:highlight w:val="none"/>
        </w:rPr>
      </w:r>
      <w:r>
        <w:t xml:space="preserve">The distribution shows that yes/no questions form a large share of Kvasir-VQA</w:t>
      </w:r>
      <w:r>
        <w:rPr>
          <w:lang w:val="en-US"/>
        </w:rPr>
        <w:t xml:space="preserve">[75]</w:t>
      </w:r>
      <w:r>
        <w:t xml:space="preserve">. This creates a majority-family regime where models can perform strongly by exploiting priors, and it motivates the use of balanced metrics and subset-level reporting to avoid ov</w:t>
      </w:r>
      <w:r>
        <w:t xml:space="preserve">erstating reliability.</w:t>
      </w:r>
      <w:r>
        <w:rPr>
          <w:highlight w:val="none"/>
        </w:rPr>
      </w:r>
      <w:r/>
    </w:p>
    <w:p w14:paraId="06CF4861">
      <w:pPr>
        <w:pStyle w:val="1128"/>
        <w:suppressLineNumbers w:val="false"/>
        <w:pBdr/>
        <w:spacing w:line="300" w:lineRule="auto"/>
        <w:ind w:right="0" w:firstLine="0" w:left="0"/>
        <w:rPr>
          <w:highlight w:val="none"/>
        </w:rPr>
      </w:pPr>
      <w:r>
        <mc:AlternateContent>
          <mc:Choice Requires="wpg">
            <w:drawing>
              <wp:inline xmlns:wp="http://schemas.openxmlformats.org/drawingml/2006/wordprocessingDrawing" distT="0" distB="0" distL="0" distR="0">
                <wp:extent cx="5486400" cy="3048000"/>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106225" name=""/>
                        <pic:cNvPicPr>
                          <a:picLocks noChangeAspect="1"/>
                        </pic:cNvPicPr>
                        <pic:nvPr/>
                      </pic:nvPicPr>
                      <pic:blipFill rotWithShape="1">
                        <a:blip r:embed="rId16"/>
                        <a:stretch/>
                      </pic:blipFill>
                      <pic:spPr bwMode="auto">
                        <a:xfrm>
                          <a:off x="0" y="0"/>
                          <a:ext cx="5486399" cy="30479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32.00pt;height:240.00pt;mso-wrap-distance-left:0.00pt;mso-wrap-distance-top:0.00pt;mso-wrap-distance-right:0.00pt;mso-wrap-distance-bottom:0.00pt;z-index:1;" stroked="false">
                <v:imagedata r:id="rId16" o:title=""/>
                <o:lock v:ext="edit" rotation="t"/>
              </v:shape>
            </w:pict>
          </mc:Fallback>
        </mc:AlternateContent>
      </w:r>
      <w:r>
        <w:rPr>
          <w:highlight w:val="none"/>
        </w:rPr>
      </w:r>
      <w:r>
        <w:rPr>
          <w:highlight w:val="none"/>
        </w:rPr>
      </w:r>
    </w:p>
    <w:p w14:paraId="699DB54E">
      <w:pPr>
        <w:pStyle w:val="1128"/>
        <w:suppressLineNumbers w:val="false"/>
        <w:pBdr/>
        <w:spacing w:line="300" w:lineRule="auto"/>
        <w:ind w:left="1440"/>
        <w:rPr>
          <w:bCs/>
          <w:i/>
          <w:highlight w:val="none"/>
          <w:lang w:val="en-US"/>
        </w:rPr>
      </w:pPr>
      <w:r>
        <w:rPr>
          <w:i/>
          <w:iCs/>
          <w:lang w:val="en-US"/>
        </w:rPr>
        <w:t xml:space="preserve">Figure 3.3 Question type by source</w:t>
      </w:r>
      <w:r>
        <w:rPr>
          <w:bCs/>
          <w:i/>
          <w:highlight w:val="none"/>
          <w:lang w:val="en-US"/>
        </w:rPr>
      </w:r>
      <w:r>
        <w:rPr>
          <w:bCs/>
          <w:i/>
          <w:highlight w:val="none"/>
          <w:lang w:val="en-US"/>
        </w:rPr>
      </w:r>
    </w:p>
    <w:p w14:paraId="7A948419">
      <w:pPr>
        <w:pStyle w:val="1128"/>
        <w:suppressLineNumbers w:val="false"/>
        <w:pBdr/>
        <w:spacing w:line="300" w:lineRule="auto"/>
        <w:ind w:right="0" w:firstLine="0" w:left="0"/>
        <w:rPr/>
      </w:pPr>
      <w:r>
        <w:t xml:space="preserve">Question-type composition varies by source domain, indicating that the dataset is not homogeneous across origins</w:t>
      </w:r>
      <w:r>
        <w:rPr>
          <w:lang w:val="en-US"/>
        </w:rPr>
        <w:t xml:space="preserve">[74]</w:t>
      </w:r>
      <w:r>
        <w:t xml:space="preserve">. This supports the chapter’s emphasis on failure-mode analysis and warns against interpreting a single “overall” score as uniformly applicable </w:t>
      </w:r>
      <w:r>
        <w:t xml:space="preserve">across question families.</w:t>
      </w:r>
      <w:r>
        <w:rPr>
          <w:highlight w:val="none"/>
        </w:rPr>
      </w:r>
      <w:r/>
    </w:p>
    <w:p w14:paraId="63833C9D">
      <w:pPr>
        <w:pStyle w:val="1128"/>
        <w:suppressLineNumbers w:val="false"/>
        <w:pBdr/>
        <w:spacing w:line="300" w:lineRule="auto"/>
        <w:ind w:right="0" w:firstLine="0" w:left="0"/>
        <w:rPr/>
      </w:pPr>
      <w:r>
        <mc:AlternateContent>
          <mc:Choice Requires="wpg">
            <w:drawing>
              <wp:inline xmlns:wp="http://schemas.openxmlformats.org/drawingml/2006/wordprocessingDrawing" distT="0" distB="0" distL="0" distR="0">
                <wp:extent cx="5486400" cy="3135086"/>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019895" name=""/>
                        <pic:cNvPicPr>
                          <a:picLocks noChangeAspect="1"/>
                        </pic:cNvPicPr>
                        <pic:nvPr/>
                      </pic:nvPicPr>
                      <pic:blipFill rotWithShape="1">
                        <a:blip r:embed="rId17"/>
                        <a:stretch/>
                      </pic:blipFill>
                      <pic:spPr bwMode="auto">
                        <a:xfrm>
                          <a:off x="0" y="0"/>
                          <a:ext cx="5486399" cy="313508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32.00pt;height:246.86pt;mso-wrap-distance-left:0.00pt;mso-wrap-distance-top:0.00pt;mso-wrap-distance-right:0.00pt;mso-wrap-distance-bottom:0.00pt;z-index:1;" stroked="false">
                <v:imagedata r:id="rId17" o:title=""/>
                <o:lock v:ext="edit" rotation="t"/>
              </v:shape>
            </w:pict>
          </mc:Fallback>
        </mc:AlternateContent>
      </w:r>
      <w:r/>
    </w:p>
    <w:p w14:paraId="2762411E">
      <w:pPr>
        <w:pStyle w:val="1128"/>
        <w:suppressLineNumbers w:val="false"/>
        <w:pBdr/>
        <w:spacing w:line="300" w:lineRule="auto"/>
        <w:ind w:left="1440"/>
        <w:rPr>
          <w:bCs/>
          <w:i/>
          <w:highlight w:val="none"/>
          <w:lang w:val="en-US"/>
        </w:rPr>
      </w:pPr>
      <w:r>
        <w:rPr>
          <w:i/>
          <w:iCs/>
          <w:lang w:val="en-US"/>
        </w:rPr>
        <w:t xml:space="preserve">Figure 3.4 Answer type distribution</w:t>
      </w:r>
      <w:r>
        <w:rPr>
          <w:bCs/>
          <w:i/>
          <w:highlight w:val="none"/>
          <w:lang w:val="en-US"/>
        </w:rPr>
      </w:r>
      <w:r>
        <w:rPr>
          <w:bCs/>
          <w:i/>
          <w:highlight w:val="none"/>
          <w:lang w:val="en-US"/>
        </w:rPr>
      </w:r>
    </w:p>
    <w:p w14:paraId="2251F196">
      <w:pPr>
        <w:pStyle w:val="1128"/>
        <w:suppressLineNumbers w:val="false"/>
        <w:pBdr/>
        <w:spacing w:line="300" w:lineRule="auto"/>
        <w:ind w:firstLine="0"/>
        <w:rPr/>
      </w:pPr>
      <w:r>
        <w:t xml:space="preserve">The answer-type distribution highlights why evaluation must be matched to task style: exact-match metrics are natural for constrained outputs but can be overly harsh for free-text generation, where token-level overlap diagnostics may be more informative</w:t>
      </w:r>
      <w:r>
        <w:rPr>
          <w:lang w:val="en-US"/>
        </w:rPr>
        <w:t xml:space="preserve">[76]</w:t>
      </w:r>
      <w:r>
        <w:t xml:space="preserve">. T</w:t>
      </w:r>
      <w:r>
        <w:t xml:space="preserve">his motivates the layered metric design defined in Section 3.3.</w:t>
      </w:r>
      <w:r/>
    </w:p>
    <w:tbl>
      <w:tblPr>
        <w:tblStyle w:val="1185"/>
        <w:tblW w:w="0" w:type="auto"/>
        <w:tblBorders/>
        <w:tblLook w:val="04A0" w:firstRow="1" w:lastRow="0" w:firstColumn="1" w:lastColumn="0" w:noHBand="0" w:noVBand="1"/>
      </w:tblPr>
      <w:tblGrid>
        <w:gridCol w:w="4320"/>
        <w:gridCol w:w="4320"/>
      </w:tblGrid>
      <w:tr>
        <w:trPr/>
        <w:tc>
          <w:tcPr>
            <w:tcBorders/>
            <w:tcW w:w="4320" w:type="dxa"/>
            <w:textDirection w:val="lrTb"/>
            <w:noWrap w:val="false"/>
          </w:tcPr>
          <w:p w14:paraId="7913DFE9">
            <w:pPr>
              <w:pBdr/>
              <w:spacing w:after="0" w:before="0" w:line="240" w:lineRule="auto"/>
              <w:ind/>
              <w:rPr>
                <w:color w:val="000000" w:themeColor="text1"/>
              </w:rPr>
            </w:pPr>
            <w:r>
              <w:rPr>
                <w:rFonts w:ascii="Arial" w:hAnsi="Arial" w:eastAsia="Arial" w:cs="Arial"/>
                <w:b/>
                <w:color w:val="000000" w:themeColor="text1"/>
                <w:sz w:val="21"/>
              </w:rPr>
              <w:t xml:space="preserve">Signal</w:t>
            </w:r>
            <w:r>
              <w:rPr>
                <w:color w:val="000000" w:themeColor="text1"/>
              </w:rPr>
            </w:r>
            <w:r>
              <w:rPr>
                <w:color w:val="000000" w:themeColor="text1"/>
              </w:rPr>
            </w:r>
          </w:p>
        </w:tc>
        <w:tc>
          <w:tcPr>
            <w:tcBorders/>
            <w:tcW w:w="4320" w:type="dxa"/>
            <w:textDirection w:val="lrTb"/>
            <w:noWrap w:val="false"/>
          </w:tcPr>
          <w:p w14:paraId="51971090">
            <w:pPr>
              <w:pBdr/>
              <w:spacing w:after="0" w:before="0" w:line="240" w:lineRule="auto"/>
              <w:ind/>
              <w:jc w:val="right"/>
              <w:rPr>
                <w:color w:val="000000" w:themeColor="text1"/>
              </w:rPr>
            </w:pPr>
            <w:r>
              <w:rPr>
                <w:rFonts w:ascii="Arial" w:hAnsi="Arial" w:eastAsia="Arial" w:cs="Arial"/>
                <w:b/>
                <w:color w:val="000000" w:themeColor="text1"/>
                <w:sz w:val="21"/>
              </w:rPr>
              <w:t xml:space="preserve">Value</w:t>
            </w:r>
            <w:r>
              <w:rPr>
                <w:color w:val="000000" w:themeColor="text1"/>
              </w:rPr>
            </w:r>
            <w:r>
              <w:rPr>
                <w:color w:val="000000" w:themeColor="text1"/>
              </w:rPr>
            </w:r>
          </w:p>
        </w:tc>
      </w:tr>
      <w:tr>
        <w:trPr/>
        <w:tc>
          <w:tcPr>
            <w:tcBorders/>
            <w:tcW w:w="4320" w:type="dxa"/>
            <w:textDirection w:val="lrTb"/>
            <w:noWrap w:val="false"/>
          </w:tcPr>
          <w:p w14:paraId="1CBD7584">
            <w:pPr>
              <w:pBdr/>
              <w:spacing w:after="0" w:before="0" w:line="240" w:lineRule="auto"/>
              <w:ind/>
              <w:rPr>
                <w:color w:val="000000" w:themeColor="text1"/>
              </w:rPr>
            </w:pPr>
            <w:r>
              <w:rPr>
                <w:rFonts w:ascii="Arial" w:hAnsi="Arial" w:eastAsia="Arial" w:cs="Arial"/>
                <w:color w:val="000000" w:themeColor="text1"/>
                <w:sz w:val="21"/>
              </w:rPr>
              <w:t xml:space="preserve">Total QA rows</w:t>
            </w:r>
            <w:r>
              <w:rPr>
                <w:color w:val="000000" w:themeColor="text1"/>
              </w:rPr>
            </w:r>
            <w:r>
              <w:rPr>
                <w:color w:val="000000" w:themeColor="text1"/>
              </w:rPr>
            </w:r>
          </w:p>
        </w:tc>
        <w:tc>
          <w:tcPr>
            <w:tcBorders/>
            <w:tcW w:w="4320" w:type="dxa"/>
            <w:textDirection w:val="lrTb"/>
            <w:noWrap w:val="false"/>
          </w:tcPr>
          <w:p w14:paraId="3B1C6DA7">
            <w:pPr>
              <w:pBdr/>
              <w:spacing w:after="0" w:before="0" w:line="240" w:lineRule="auto"/>
              <w:ind/>
              <w:jc w:val="right"/>
              <w:rPr>
                <w:color w:val="000000" w:themeColor="text1"/>
              </w:rPr>
            </w:pPr>
            <w:r>
              <w:rPr>
                <w:rFonts w:ascii="Arial" w:hAnsi="Arial" w:eastAsia="Arial" w:cs="Arial"/>
                <w:color w:val="000000" w:themeColor="text1"/>
                <w:sz w:val="21"/>
              </w:rPr>
              <w:t xml:space="preserve">58,849</w:t>
            </w:r>
            <w:r>
              <w:rPr>
                <w:color w:val="000000" w:themeColor="text1"/>
              </w:rPr>
            </w:r>
            <w:r>
              <w:rPr>
                <w:color w:val="000000" w:themeColor="text1"/>
              </w:rPr>
            </w:r>
          </w:p>
        </w:tc>
      </w:tr>
      <w:tr>
        <w:trPr/>
        <w:tc>
          <w:tcPr>
            <w:tcBorders/>
            <w:tcW w:w="4320" w:type="dxa"/>
            <w:textDirection w:val="lrTb"/>
            <w:noWrap w:val="false"/>
          </w:tcPr>
          <w:p w14:paraId="23FAA67E">
            <w:pPr>
              <w:pBdr/>
              <w:spacing w:after="0" w:before="0" w:line="240" w:lineRule="auto"/>
              <w:ind/>
              <w:rPr>
                <w:color w:val="000000" w:themeColor="text1"/>
              </w:rPr>
            </w:pPr>
            <w:r>
              <w:rPr>
                <w:rFonts w:ascii="Arial" w:hAnsi="Arial" w:eastAsia="Arial" w:cs="Arial"/>
                <w:color w:val="000000" w:themeColor="text1"/>
                <w:sz w:val="21"/>
              </w:rPr>
              <w:t xml:space="preserve">Unique images</w:t>
            </w:r>
            <w:r>
              <w:rPr>
                <w:color w:val="000000" w:themeColor="text1"/>
              </w:rPr>
            </w:r>
            <w:r>
              <w:rPr>
                <w:color w:val="000000" w:themeColor="text1"/>
              </w:rPr>
            </w:r>
          </w:p>
        </w:tc>
        <w:tc>
          <w:tcPr>
            <w:tcBorders/>
            <w:tcW w:w="4320" w:type="dxa"/>
            <w:textDirection w:val="lrTb"/>
            <w:noWrap w:val="false"/>
          </w:tcPr>
          <w:p w14:paraId="2BA5ED4E">
            <w:pPr>
              <w:pBdr/>
              <w:spacing w:after="0" w:before="0" w:line="240" w:lineRule="auto"/>
              <w:ind/>
              <w:jc w:val="right"/>
              <w:rPr>
                <w:color w:val="000000" w:themeColor="text1"/>
              </w:rPr>
            </w:pPr>
            <w:r>
              <w:rPr>
                <w:rFonts w:ascii="Arial" w:hAnsi="Arial" w:eastAsia="Arial" w:cs="Arial"/>
                <w:color w:val="000000" w:themeColor="text1"/>
                <w:sz w:val="21"/>
              </w:rPr>
              <w:t xml:space="preserve">6,500</w:t>
            </w:r>
            <w:r>
              <w:rPr>
                <w:color w:val="000000" w:themeColor="text1"/>
              </w:rPr>
            </w:r>
            <w:r>
              <w:rPr>
                <w:color w:val="000000" w:themeColor="text1"/>
              </w:rPr>
            </w:r>
          </w:p>
        </w:tc>
      </w:tr>
      <w:tr>
        <w:trPr/>
        <w:tc>
          <w:tcPr>
            <w:tcBorders/>
            <w:tcW w:w="4320" w:type="dxa"/>
            <w:textDirection w:val="lrTb"/>
            <w:noWrap w:val="false"/>
          </w:tcPr>
          <w:p w14:paraId="5B001493">
            <w:pPr>
              <w:pBdr/>
              <w:spacing w:after="0" w:before="0" w:line="240" w:lineRule="auto"/>
              <w:ind/>
              <w:rPr>
                <w:color w:val="000000" w:themeColor="text1"/>
              </w:rPr>
            </w:pPr>
            <w:r>
              <w:rPr>
                <w:rFonts w:ascii="Arial" w:hAnsi="Arial" w:eastAsia="Arial" w:cs="Arial"/>
                <w:color w:val="000000" w:themeColor="text1"/>
                <w:sz w:val="21"/>
              </w:rPr>
              <w:t xml:space="preserve">Mean QA rows per image</w:t>
            </w:r>
            <w:r>
              <w:rPr>
                <w:color w:val="000000" w:themeColor="text1"/>
              </w:rPr>
            </w:r>
            <w:r>
              <w:rPr>
                <w:color w:val="000000" w:themeColor="text1"/>
              </w:rPr>
            </w:r>
          </w:p>
        </w:tc>
        <w:tc>
          <w:tcPr>
            <w:tcBorders/>
            <w:tcW w:w="4320" w:type="dxa"/>
            <w:textDirection w:val="lrTb"/>
            <w:noWrap w:val="false"/>
          </w:tcPr>
          <w:p w14:paraId="794A555C">
            <w:pPr>
              <w:pBdr/>
              <w:spacing w:after="0" w:before="0" w:line="240" w:lineRule="auto"/>
              <w:ind/>
              <w:jc w:val="right"/>
              <w:rPr>
                <w:color w:val="000000" w:themeColor="text1"/>
              </w:rPr>
            </w:pPr>
            <w:r>
              <w:rPr>
                <w:rFonts w:ascii="Arial" w:hAnsi="Arial" w:eastAsia="Arial" w:cs="Arial"/>
                <w:color w:val="000000" w:themeColor="text1"/>
                <w:sz w:val="21"/>
              </w:rPr>
              <w:t xml:space="preserve">9.05</w:t>
            </w:r>
            <w:r>
              <w:rPr>
                <w:color w:val="000000" w:themeColor="text1"/>
              </w:rPr>
            </w:r>
            <w:r>
              <w:rPr>
                <w:color w:val="000000" w:themeColor="text1"/>
              </w:rPr>
            </w:r>
          </w:p>
        </w:tc>
      </w:tr>
      <w:tr>
        <w:trPr/>
        <w:tc>
          <w:tcPr>
            <w:tcBorders/>
            <w:tcW w:w="4320" w:type="dxa"/>
            <w:textDirection w:val="lrTb"/>
            <w:noWrap w:val="false"/>
          </w:tcPr>
          <w:p w14:paraId="0DC8F9FA">
            <w:pPr>
              <w:pBdr/>
              <w:spacing w:after="0" w:before="0" w:line="240" w:lineRule="auto"/>
              <w:ind/>
              <w:rPr>
                <w:color w:val="000000" w:themeColor="text1"/>
              </w:rPr>
            </w:pPr>
            <w:r>
              <w:rPr>
                <w:rFonts w:ascii="Arial" w:hAnsi="Arial" w:eastAsia="Arial" w:cs="Arial"/>
                <w:color w:val="000000" w:themeColor="text1"/>
                <w:sz w:val="21"/>
              </w:rPr>
              <w:t xml:space="preserve">Yes/No questions</w:t>
            </w:r>
            <w:r>
              <w:rPr>
                <w:color w:val="000000" w:themeColor="text1"/>
              </w:rPr>
            </w:r>
            <w:r>
              <w:rPr>
                <w:color w:val="000000" w:themeColor="text1"/>
              </w:rPr>
            </w:r>
          </w:p>
        </w:tc>
        <w:tc>
          <w:tcPr>
            <w:tcBorders/>
            <w:tcW w:w="4320" w:type="dxa"/>
            <w:textDirection w:val="lrTb"/>
            <w:noWrap w:val="false"/>
          </w:tcPr>
          <w:p w14:paraId="5685C47F">
            <w:pPr>
              <w:pBdr/>
              <w:spacing w:after="0" w:before="0" w:line="240" w:lineRule="auto"/>
              <w:ind/>
              <w:jc w:val="right"/>
              <w:rPr>
                <w:color w:val="000000" w:themeColor="text1"/>
              </w:rPr>
            </w:pPr>
            <w:r>
              <w:rPr>
                <w:rFonts w:ascii="Arial" w:hAnsi="Arial" w:eastAsia="Arial" w:cs="Arial"/>
                <w:color w:val="000000" w:themeColor="text1"/>
                <w:sz w:val="21"/>
              </w:rPr>
              <w:t xml:space="preserve">26,515 (45.06%)</w:t>
            </w:r>
            <w:r>
              <w:rPr>
                <w:color w:val="000000" w:themeColor="text1"/>
              </w:rPr>
            </w:r>
            <w:r>
              <w:rPr>
                <w:color w:val="000000" w:themeColor="text1"/>
              </w:rPr>
            </w:r>
          </w:p>
        </w:tc>
      </w:tr>
      <w:tr>
        <w:trPr/>
        <w:tc>
          <w:tcPr>
            <w:tcBorders/>
            <w:tcW w:w="4320" w:type="dxa"/>
            <w:textDirection w:val="lrTb"/>
            <w:noWrap w:val="false"/>
          </w:tcPr>
          <w:p w14:paraId="1013A988">
            <w:pPr>
              <w:pBdr/>
              <w:spacing w:after="0" w:before="0" w:line="240" w:lineRule="auto"/>
              <w:ind/>
              <w:rPr>
                <w:color w:val="000000" w:themeColor="text1"/>
              </w:rPr>
            </w:pPr>
            <w:r>
              <w:rPr>
                <w:rFonts w:ascii="Arial" w:hAnsi="Arial" w:eastAsia="Arial" w:cs="Arial"/>
                <w:color w:val="000000" w:themeColor="text1"/>
                <w:sz w:val="21"/>
              </w:rPr>
              <w:t xml:space="preserve">Entity questions</w:t>
            </w:r>
            <w:r>
              <w:rPr>
                <w:color w:val="000000" w:themeColor="text1"/>
              </w:rPr>
            </w:r>
            <w:r>
              <w:rPr>
                <w:color w:val="000000" w:themeColor="text1"/>
              </w:rPr>
            </w:r>
          </w:p>
        </w:tc>
        <w:tc>
          <w:tcPr>
            <w:tcBorders/>
            <w:tcW w:w="4320" w:type="dxa"/>
            <w:textDirection w:val="lrTb"/>
            <w:noWrap w:val="false"/>
          </w:tcPr>
          <w:p w14:paraId="1A7A3237">
            <w:pPr>
              <w:pBdr/>
              <w:spacing w:after="0" w:before="0" w:line="240" w:lineRule="auto"/>
              <w:ind/>
              <w:jc w:val="right"/>
              <w:rPr>
                <w:color w:val="000000" w:themeColor="text1"/>
              </w:rPr>
            </w:pPr>
            <w:r>
              <w:rPr>
                <w:rFonts w:ascii="Arial" w:hAnsi="Arial" w:eastAsia="Arial" w:cs="Arial"/>
                <w:color w:val="000000" w:themeColor="text1"/>
                <w:sz w:val="21"/>
              </w:rPr>
              <w:t xml:space="preserve">10,528 (17.89%)</w:t>
            </w:r>
            <w:r>
              <w:rPr>
                <w:color w:val="000000" w:themeColor="text1"/>
              </w:rPr>
            </w:r>
            <w:r>
              <w:rPr>
                <w:color w:val="000000" w:themeColor="text1"/>
              </w:rPr>
            </w:r>
          </w:p>
        </w:tc>
      </w:tr>
      <w:tr>
        <w:trPr/>
        <w:tc>
          <w:tcPr>
            <w:tcBorders/>
            <w:tcW w:w="4320" w:type="dxa"/>
            <w:textDirection w:val="lrTb"/>
            <w:noWrap w:val="false"/>
          </w:tcPr>
          <w:p w14:paraId="0A3B919C">
            <w:pPr>
              <w:pBdr/>
              <w:spacing w:after="0" w:before="0" w:line="240" w:lineRule="auto"/>
              <w:ind/>
              <w:rPr>
                <w:color w:val="000000" w:themeColor="text1"/>
              </w:rPr>
            </w:pPr>
            <w:r>
              <w:rPr>
                <w:rFonts w:ascii="Arial" w:hAnsi="Arial" w:eastAsia="Arial" w:cs="Arial"/>
                <w:color w:val="000000" w:themeColor="text1"/>
                <w:sz w:val="21"/>
              </w:rPr>
              <w:t xml:space="preserve">Counting questions</w:t>
            </w:r>
            <w:r>
              <w:rPr>
                <w:color w:val="000000" w:themeColor="text1"/>
              </w:rPr>
            </w:r>
            <w:r>
              <w:rPr>
                <w:color w:val="000000" w:themeColor="text1"/>
              </w:rPr>
            </w:r>
          </w:p>
        </w:tc>
        <w:tc>
          <w:tcPr>
            <w:tcBorders/>
            <w:tcW w:w="4320" w:type="dxa"/>
            <w:textDirection w:val="lrTb"/>
            <w:noWrap w:val="false"/>
          </w:tcPr>
          <w:p w14:paraId="2AD8A299">
            <w:pPr>
              <w:pBdr/>
              <w:spacing w:after="0" w:before="0" w:line="240" w:lineRule="auto"/>
              <w:ind/>
              <w:jc w:val="right"/>
              <w:rPr>
                <w:color w:val="000000" w:themeColor="text1"/>
              </w:rPr>
            </w:pPr>
            <w:r>
              <w:rPr>
                <w:rFonts w:ascii="Arial" w:hAnsi="Arial" w:eastAsia="Arial" w:cs="Arial"/>
                <w:color w:val="000000" w:themeColor="text1"/>
                <w:sz w:val="21"/>
              </w:rPr>
              <w:t xml:space="preserve">10,118 (17.19%)</w:t>
            </w:r>
            <w:r>
              <w:rPr>
                <w:color w:val="000000" w:themeColor="text1"/>
              </w:rPr>
            </w:r>
            <w:r>
              <w:rPr>
                <w:color w:val="000000" w:themeColor="text1"/>
              </w:rPr>
            </w:r>
          </w:p>
        </w:tc>
      </w:tr>
      <w:tr>
        <w:trPr/>
        <w:tc>
          <w:tcPr>
            <w:tcBorders/>
            <w:tcW w:w="4320" w:type="dxa"/>
            <w:textDirection w:val="lrTb"/>
            <w:noWrap w:val="false"/>
          </w:tcPr>
          <w:p w14:paraId="4C11D32D">
            <w:pPr>
              <w:pBdr/>
              <w:spacing w:after="0" w:before="0" w:line="240" w:lineRule="auto"/>
              <w:ind/>
              <w:rPr>
                <w:color w:val="000000" w:themeColor="text1"/>
              </w:rPr>
            </w:pPr>
            <w:r>
              <w:rPr>
                <w:rFonts w:ascii="Arial" w:hAnsi="Arial" w:eastAsia="Arial" w:cs="Arial"/>
                <w:color w:val="000000" w:themeColor="text1"/>
                <w:sz w:val="21"/>
              </w:rPr>
              <w:t xml:space="preserve">Location questions</w:t>
            </w:r>
            <w:r>
              <w:rPr>
                <w:color w:val="000000" w:themeColor="text1"/>
              </w:rPr>
            </w:r>
            <w:r>
              <w:rPr>
                <w:color w:val="000000" w:themeColor="text1"/>
              </w:rPr>
            </w:r>
          </w:p>
        </w:tc>
        <w:tc>
          <w:tcPr>
            <w:tcBorders/>
            <w:tcW w:w="4320" w:type="dxa"/>
            <w:textDirection w:val="lrTb"/>
            <w:noWrap w:val="false"/>
          </w:tcPr>
          <w:p w14:paraId="5BCF3048">
            <w:pPr>
              <w:pBdr/>
              <w:spacing w:after="0" w:before="0" w:line="240" w:lineRule="auto"/>
              <w:ind/>
              <w:jc w:val="right"/>
              <w:rPr>
                <w:color w:val="000000" w:themeColor="text1"/>
              </w:rPr>
            </w:pPr>
            <w:r>
              <w:rPr>
                <w:rFonts w:ascii="Arial" w:hAnsi="Arial" w:eastAsia="Arial" w:cs="Arial"/>
                <w:color w:val="000000" w:themeColor="text1"/>
                <w:sz w:val="21"/>
              </w:rPr>
              <w:t xml:space="preserve">8,424 (14.31%)</w:t>
            </w:r>
            <w:r>
              <w:rPr>
                <w:color w:val="000000" w:themeColor="text1"/>
              </w:rPr>
            </w:r>
            <w:r>
              <w:rPr>
                <w:color w:val="000000" w:themeColor="text1"/>
              </w:rPr>
            </w:r>
          </w:p>
        </w:tc>
      </w:tr>
    </w:tbl>
    <w:p w14:paraId="403EC39D">
      <w:pPr>
        <w:pStyle w:val="1128"/>
        <w:suppressLineNumbers w:val="false"/>
        <w:pBdr/>
        <w:spacing w:line="300" w:lineRule="auto"/>
        <w:ind w:left="1440"/>
        <w:rPr>
          <w:bCs/>
          <w:i/>
          <w:highlight w:val="none"/>
          <w:lang w:val="en-US"/>
        </w:rPr>
      </w:pPr>
      <w:r>
        <w:rPr>
          <w:i/>
          <w:iCs/>
          <w:lang w:val="en-US"/>
        </w:rPr>
        <w:t xml:space="preserve">Table 3.4 </w:t>
      </w:r>
      <w:r>
        <w:rPr>
          <w:i/>
          <w:iCs/>
          <w:lang w:val="en-US"/>
        </w:rPr>
        <w:t xml:space="preserve">Kvasir-VQA Distribution Snapshot</w:t>
      </w:r>
      <w:r>
        <w:rPr>
          <w:bCs/>
          <w:i/>
          <w:highlight w:val="none"/>
          <w:lang w:val="en-US"/>
        </w:rPr>
      </w:r>
      <w:r>
        <w:rPr>
          <w:bCs/>
          <w:i/>
          <w:highlight w:val="none"/>
          <w:lang w:val="en-US"/>
        </w:rPr>
      </w:r>
    </w:p>
    <w:p w14:paraId="046F08D8">
      <w:pPr>
        <w:pStyle w:val="1128"/>
        <w:suppressLineNumbers w:val="false"/>
        <w:pBdr/>
        <w:spacing w:line="300" w:lineRule="auto"/>
        <w:ind w:firstLine="0"/>
        <w:rPr/>
      </w:pPr>
      <w:r>
        <w:t xml:space="preserve">The strong question-family skew supports two design choices used throughout Chapter 3: (i) report class-balanced or family-aware metrics where possible, and (ii) interpret aggregate scores cautiously, because strong performance on a dominant family (e.g., </w:t>
      </w:r>
      <w:r>
        <w:t xml:space="preserve">yes/no) does not guarantee reliable behavior on count, location, or clinically higher-risk categories.</w:t>
      </w:r>
      <w:r/>
    </w:p>
    <w:p w14:paraId="4B627629">
      <w:pPr>
        <w:pStyle w:val="1128"/>
        <w:suppressLineNumbers w:val="false"/>
        <w:pBdr/>
        <w:spacing w:line="300" w:lineRule="auto"/>
        <w:ind w:firstLine="0"/>
        <w:rPr>
          <w:b/>
          <w:bCs/>
        </w:rPr>
      </w:pPr>
      <w:r>
        <w:rPr>
          <w:b/>
          <w:bCs/>
        </w:rPr>
        <w:t xml:space="preserve">3.2.4 Scenario Micro-Benchmark Definition</w:t>
      </w:r>
      <w:r>
        <w:rPr>
          <w:b/>
          <w:bCs/>
        </w:rPr>
      </w:r>
      <w:r>
        <w:rPr>
          <w:b/>
          <w:bCs/>
        </w:rPr>
      </w:r>
    </w:p>
    <w:p w14:paraId="27FEB030">
      <w:pPr>
        <w:pStyle w:val="1128"/>
        <w:suppressLineNumbers w:val="false"/>
        <w:pBdr/>
        <w:spacing w:line="300" w:lineRule="auto"/>
        <w:ind w:firstLine="0"/>
        <w:rPr/>
      </w:pPr>
      <w:r>
        <w:t xml:space="preserve">To connect benchmark evaluation to realistic clinical vignettes, the repository includes a micro-scenario protocol definition</w:t>
      </w:r>
      <w:r>
        <w:rPr>
          <w:lang w:val="en-US"/>
        </w:rPr>
        <w:t xml:space="preserve">.</w:t>
      </w:r>
      <w:r/>
    </w:p>
    <w:p w14:paraId="7DF1400B">
      <w:pPr>
        <w:pStyle w:val="1128"/>
        <w:suppressLineNumbers w:val="false"/>
        <w:pBdr/>
        <w:spacing w:line="300" w:lineRule="auto"/>
        <w:ind w:firstLine="0"/>
        <w:rPr/>
      </w:pPr>
      <w:r>
        <w:t xml:space="preserve">The protocol defines three focused scenario templates:</w:t>
      </w:r>
      <w:r/>
    </w:p>
    <w:p w14:paraId="086DBEE0">
      <w:pPr>
        <w:pStyle w:val="1128"/>
        <w:numPr>
          <w:ilvl w:val="0"/>
          <w:numId w:val="61"/>
        </w:numPr>
        <w:suppressLineNumbers w:val="false"/>
        <w:pBdr/>
        <w:spacing w:line="120" w:lineRule="auto"/>
        <w:ind/>
        <w:rPr/>
      </w:pPr>
      <w:r>
        <w:rPr>
          <w:b/>
          <w:bCs/>
        </w:rPr>
        <w:t xml:space="preserve">S1</w:t>
      </w:r>
      <w:r>
        <w:t xml:space="preserve">: active bleeding binary detection,</w:t>
      </w:r>
      <w:r/>
    </w:p>
    <w:p w14:paraId="368B6670">
      <w:pPr>
        <w:pStyle w:val="1128"/>
        <w:numPr>
          <w:ilvl w:val="0"/>
          <w:numId w:val="61"/>
        </w:numPr>
        <w:suppressLineNumbers w:val="false"/>
        <w:pBdr/>
        <w:spacing w:line="120" w:lineRule="auto"/>
        <w:ind/>
        <w:rPr/>
      </w:pPr>
      <w:r>
        <w:rPr>
          <w:b/>
          <w:bCs/>
        </w:rPr>
        <w:t xml:space="preserve">S2</w:t>
      </w:r>
      <w:r>
        <w:t xml:space="preserve">: instrument type plus polyp count,</w:t>
      </w:r>
      <w:r/>
    </w:p>
    <w:p w14:paraId="43E8ABEF">
      <w:pPr>
        <w:pStyle w:val="1128"/>
        <w:numPr>
          <w:ilvl w:val="0"/>
          <w:numId w:val="61"/>
        </w:numPr>
        <w:suppressLineNumbers w:val="false"/>
        <w:pBdr/>
        <w:spacing w:line="120" w:lineRule="auto"/>
        <w:ind/>
        <w:rPr/>
      </w:pPr>
      <w:r>
        <w:rPr>
          <w:b/>
          <w:bCs/>
        </w:rPr>
        <w:t xml:space="preserve">S3</w:t>
      </w:r>
      <w:r>
        <w:t xml:space="preserve">: Paris morphology closed set.</w:t>
      </w:r>
      <w:r/>
    </w:p>
    <w:p w14:paraId="04E223CF">
      <w:pPr>
        <w:pStyle w:val="1128"/>
        <w:suppressLineNumbers w:val="false"/>
        <w:pBdr/>
        <w:spacing w:line="300" w:lineRule="auto"/>
        <w:ind w:firstLine="0"/>
        <w:rPr/>
      </w:pPr>
      <w:r>
        <w:t xml:space="preserve">T</w:t>
      </w:r>
      <w:r>
        <w:t xml:space="preserve">hese scenarios are intentionally small and are treated as stress vignettes, not as statistical benchmark replacements. Only scenario configuration is persisted in the reformatted evidence tree; scored scenario predictions are not persisted</w:t>
      </w:r>
      <w:r>
        <w:rPr>
          <w:lang w:val="en-US"/>
        </w:rPr>
        <w:t xml:space="preserve">[72]</w:t>
      </w:r>
      <w:r>
        <w:t xml:space="preserve">. Therefore, Chap</w:t>
      </w:r>
      <w:r>
        <w:t xml:space="preserve">ter 3 reports scenario definitions as protocol context only and does not report scenario outcome metrics in the absence of scored artifacts.</w:t>
      </w:r>
      <w:r/>
    </w:p>
    <w:p w14:paraId="55C925CB">
      <w:pPr>
        <w:pStyle w:val="1128"/>
        <w:suppressLineNumbers w:val="false"/>
        <w:pBdr/>
        <w:spacing w:line="300" w:lineRule="auto"/>
        <w:ind w:firstLine="0"/>
        <w:rPr>
          <w:b/>
          <w:bCs/>
        </w:rPr>
      </w:pPr>
      <w:r>
        <w:rPr>
          <w:b/>
          <w:bCs/>
        </w:rPr>
        <w:t xml:space="preserve">3.2.5 Alignment with Prior Dissertation Problem Settings</w:t>
      </w:r>
      <w:r>
        <w:rPr>
          <w:b/>
          <w:bCs/>
        </w:rPr>
      </w:r>
      <w:r>
        <w:rPr>
          <w:b/>
          <w:bCs/>
        </w:rPr>
      </w:r>
    </w:p>
    <w:p w14:paraId="6368DD65">
      <w:pPr>
        <w:pStyle w:val="1128"/>
        <w:suppressLineNumbers w:val="false"/>
        <w:pBdr/>
        <w:spacing w:line="300" w:lineRule="auto"/>
        <w:ind w:firstLine="0"/>
        <w:rPr/>
      </w:pPr>
      <w:r>
        <w:t xml:space="preserve">The dataset and task choices in Chapter 3 are designed to align with common GI-endoscopy AI concerns while focusing on MedVQA-specific reliability:</w:t>
      </w:r>
      <w:r/>
    </w:p>
    <w:p w14:paraId="2DFF30AC">
      <w:pPr>
        <w:pStyle w:val="1128"/>
        <w:numPr>
          <w:ilvl w:val="0"/>
          <w:numId w:val="62"/>
        </w:numPr>
        <w:suppressLineNumbers w:val="false"/>
        <w:pBdr/>
        <w:spacing w:line="300" w:lineRule="auto"/>
        <w:ind/>
        <w:rPr/>
      </w:pPr>
      <w:r>
        <w:rPr>
          <w:b/>
          <w:bCs/>
        </w:rPr>
        <w:t xml:space="preserve">Severity and treatment relevance</w:t>
      </w:r>
      <w:r>
        <w:t xml:space="preserve"> are represented by LIMUC, where ordinal behavior and clinically interpretable slices are necessary for credible UC severity assessment</w:t>
      </w:r>
      <w:r>
        <w:rPr>
          <w:lang w:val="en-US"/>
        </w:rPr>
        <w:t xml:space="preserve">[55], [62]-[65], [70]</w:t>
      </w:r>
      <w:r>
        <w:t xml:space="preserve">.</w:t>
      </w:r>
      <w:r/>
    </w:p>
    <w:p w14:paraId="2BA1849F">
      <w:pPr>
        <w:pStyle w:val="1128"/>
        <w:numPr>
          <w:ilvl w:val="0"/>
          <w:numId w:val="62"/>
        </w:numPr>
        <w:suppressLineNumbers w:val="false"/>
        <w:pBdr/>
        <w:spacing w:line="300" w:lineRule="auto"/>
        <w:ind/>
        <w:rPr/>
      </w:pPr>
      <w:r>
        <w:rPr>
          <w:b/>
          <w:bCs/>
        </w:rPr>
        <w:t xml:space="preserve">Robustness under heterogeneity</w:t>
      </w:r>
      <w:r>
        <w:t xml:space="preserve"> is addressed by including multiple datasets with different answer spaces and task formulations, enabling cross-dataset comparison of failure patterns rather than optimizing for a single benchmark.</w:t>
      </w:r>
      <w:r/>
    </w:p>
    <w:p w14:paraId="24EF6994">
      <w:pPr>
        <w:pStyle w:val="1128"/>
        <w:numPr>
          <w:ilvl w:val="0"/>
          <w:numId w:val="62"/>
        </w:numPr>
        <w:suppressLineNumbers w:val="false"/>
        <w:pBdr/>
        <w:spacing w:line="300" w:lineRule="auto"/>
        <w:ind/>
        <w:rPr/>
      </w:pPr>
      <w:r>
        <w:rPr>
          <w:b/>
          <w:bCs/>
        </w:rPr>
        <w:t xml:space="preserve">Transparency of model behavior</w:t>
      </w:r>
      <w:r>
        <w:t xml:space="preserve"> is operationalized by reporting not only aggregate metrics but also imbalance-aware indicators, question-family slices, and explicit boundaries where evidence is unavailable.</w:t>
      </w:r>
      <w:r/>
    </w:p>
    <w:p w14:paraId="0AACB272">
      <w:pPr>
        <w:pStyle w:val="1128"/>
        <w:suppressLineNumbers w:val="false"/>
        <w:pBdr/>
        <w:spacing w:line="300" w:lineRule="auto"/>
        <w:ind w:firstLine="0"/>
        <w:rPr/>
      </w:pPr>
      <w:r>
        <w:t xml:space="preserve">This chapter does not attempt to replace established GI work on detection, segmentation, or video-level robustness. Instead, it complements that literature by adding a dedicated empirical layer for </w:t>
      </w:r>
      <w:r>
        <w:rPr>
          <w:b/>
          <w:bCs/>
        </w:rPr>
        <w:t xml:space="preserve">question-answer reliability</w:t>
      </w:r>
      <w:r>
        <w:t xml:space="preserve">, which is a prerequisite for in</w:t>
      </w:r>
      <w:r>
        <w:t xml:space="preserve">teractive, clinician-facing MedVQA systems.</w:t>
      </w:r>
      <w:r/>
    </w:p>
    <w:p w14:paraId="5D8B6C5D">
      <w:pPr>
        <w:pStyle w:val="1128"/>
        <w:suppressLineNumbers w:val="false"/>
        <w:pBdr/>
        <w:spacing w:line="300" w:lineRule="auto"/>
        <w:ind w:firstLine="0"/>
        <w:rPr>
          <w:b/>
          <w:bCs/>
        </w:rPr>
      </w:pPr>
      <w:r>
        <w:rPr>
          <w:b/>
          <w:bCs/>
        </w:rPr>
        <w:t xml:space="preserve">3.3 Evaluation Metrics and Statistical Protocol</w:t>
      </w:r>
      <w:r>
        <w:rPr>
          <w:b/>
          <w:bCs/>
        </w:rPr>
      </w:r>
      <w:r>
        <w:rPr>
          <w:b/>
          <w:bCs/>
        </w:rPr>
      </w:r>
    </w:p>
    <w:p w14:paraId="7573D0AE">
      <w:pPr>
        <w:pStyle w:val="1128"/>
        <w:suppressLineNumbers w:val="false"/>
        <w:pBdr/>
        <w:spacing w:line="300" w:lineRule="auto"/>
        <w:ind w:firstLine="0"/>
        <w:rPr>
          <w:highlight w:val="none"/>
        </w:rPr>
      </w:pPr>
      <w:r>
        <w:rPr>
          <w:highlight w:val="none"/>
        </w:rPr>
      </w:r>
      <w:r>
        <w:rPr>
          <w:highlight w:val="none"/>
        </w:rPr>
        <w:t xml:space="preserve">T</w:t>
      </w:r>
      <w:r>
        <w:rPr>
          <w:highlight w:val="none"/>
        </w:rPr>
        <w:t xml:space="preserve">his chapter compares model families across heterogeneous GI MedVQA task regimes. Because these regimes differ in answer format (fixed labels vs free text) and label structure (nominal vs ordinal), no single metric adequately captures reliability. Chapter 3</w:t>
      </w:r>
      <w:r>
        <w:rPr>
          <w:highlight w:val="none"/>
        </w:rPr>
        <w:t xml:space="preserve"> </w:t>
      </w:r>
      <w:r>
        <w:rPr>
          <w:highlight w:val="none"/>
        </w:rPr>
        <w:t xml:space="preserve">therefore uses a layered metric bundle and a conservative reporting protocol: point estimates are reported only when corresponding persisted predictions and evaluation outputs exist, and comparative claims are bounded to the evidence available in the persi</w:t>
      </w:r>
      <w:r>
        <w:rPr>
          <w:highlight w:val="none"/>
        </w:rPr>
        <w:t xml:space="preserve">sted artifacts</w:t>
      </w:r>
      <w:r>
        <w:rPr>
          <w:highlight w:val="none"/>
          <w:lang w:val="en-US"/>
        </w:rPr>
        <w:t xml:space="preserve">[56]</w:t>
      </w:r>
      <w:r>
        <w:rPr>
          <w:highlight w:val="none"/>
        </w:rPr>
        <w:t xml:space="preserve">.</w:t>
      </w:r>
      <w:r>
        <w:rPr>
          <w:highlight w:val="none"/>
        </w:rPr>
      </w:r>
      <w:r>
        <w:rPr>
          <w:highlight w:val="none"/>
        </w:rPr>
      </w:r>
    </w:p>
    <w:p w14:paraId="5B6EC54E">
      <w:pPr>
        <w:pStyle w:val="1128"/>
        <w:suppressLineNumbers w:val="false"/>
        <w:pBdr/>
        <w:spacing w:line="300" w:lineRule="auto"/>
        <w:ind w:firstLine="0"/>
        <w:rPr>
          <w:highlight w:val="none"/>
        </w:rPr>
      </w:pPr>
      <w:r>
        <w:rPr>
          <w:highlight w:val="none"/>
        </w:rPr>
      </w:r>
      <w:r>
        <mc:AlternateContent>
          <mc:Choice Requires="wpg">
            <w:drawing>
              <wp:inline xmlns:wp="http://schemas.openxmlformats.org/drawingml/2006/wordprocessingDrawing" distT="0" distB="0" distL="0" distR="0">
                <wp:extent cx="5486400" cy="4846938"/>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832990" name=""/>
                        <pic:cNvPicPr>
                          <a:picLocks noChangeAspect="1"/>
                        </pic:cNvPicPr>
                        <pic:nvPr/>
                      </pic:nvPicPr>
                      <pic:blipFill rotWithShape="1">
                        <a:blip r:embed="rId18"/>
                        <a:stretch/>
                      </pic:blipFill>
                      <pic:spPr bwMode="auto">
                        <a:xfrm>
                          <a:off x="0" y="0"/>
                          <a:ext cx="5486399" cy="484693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32.00pt;height:381.65pt;mso-wrap-distance-left:0.00pt;mso-wrap-distance-top:0.00pt;mso-wrap-distance-right:0.00pt;mso-wrap-distance-bottom:0.00pt;z-index:1;" stroked="false">
                <v:imagedata r:id="rId18" o:title=""/>
                <o:lock v:ext="edit" rotation="t"/>
              </v:shape>
            </w:pict>
          </mc:Fallback>
        </mc:AlternateContent>
      </w:r>
      <w:r>
        <w:rPr>
          <w:highlight w:val="none"/>
        </w:rPr>
      </w:r>
      <w:r>
        <w:rPr>
          <w:highlight w:val="none"/>
        </w:rPr>
      </w:r>
    </w:p>
    <w:p w14:paraId="40B317F9">
      <w:pPr>
        <w:pStyle w:val="1128"/>
        <w:suppressLineNumbers w:val="false"/>
        <w:pBdr/>
        <w:spacing w:line="300" w:lineRule="auto"/>
        <w:ind w:firstLine="0"/>
        <w:rPr/>
      </w:pPr>
      <w:r>
        <w:rPr>
          <w:highlight w:val="none"/>
        </w:rPr>
        <w:tab/>
        <w:tab/>
        <w:tab/>
      </w:r>
      <w:r>
        <w:rPr>
          <w:i/>
          <w:iCs/>
          <w:highlight w:val="none"/>
        </w:rPr>
        <w:t xml:space="preserve">Figure 3.</w:t>
      </w:r>
      <w:r>
        <w:rPr>
          <w:i/>
          <w:iCs/>
          <w:highlight w:val="none"/>
          <w:lang w:val="en-US"/>
        </w:rPr>
        <w:t xml:space="preserve">5</w:t>
      </w:r>
      <w:r>
        <w:rPr>
          <w:i/>
          <w:iCs/>
          <w:highlight w:val="none"/>
        </w:rPr>
        <w:t xml:space="preserve"> — Artifact-driven benchmarking workflow</w:t>
      </w:r>
      <w:r>
        <w:rPr>
          <w:highlight w:val="none"/>
        </w:rPr>
      </w:r>
      <w:r/>
    </w:p>
    <w:p w14:paraId="4E9206D5">
      <w:pPr>
        <w:pStyle w:val="1128"/>
        <w:suppressLineNumbers w:val="false"/>
        <w:pBdr/>
        <w:spacing w:line="300" w:lineRule="auto"/>
        <w:ind w:firstLine="0"/>
        <w:rPr>
          <w:b/>
          <w:bCs/>
          <w:highlight w:val="none"/>
        </w:rPr>
      </w:pPr>
      <w:r>
        <w:rPr>
          <w:b/>
          <w:bCs/>
        </w:rPr>
        <w:t xml:space="preserve">3.3.1 Metric Layers</w:t>
      </w:r>
      <w:r>
        <w:rPr>
          <w:b/>
          <w:bCs/>
          <w:highlight w:val="none"/>
        </w:rPr>
      </w:r>
      <w:r>
        <w:rPr>
          <w:b/>
          <w:bCs/>
          <w:highlight w:val="none"/>
        </w:rPr>
      </w:r>
    </w:p>
    <w:p w14:paraId="7114C9DC">
      <w:pPr>
        <w:pStyle w:val="1128"/>
        <w:suppressLineNumbers w:val="false"/>
        <w:pBdr/>
        <w:spacing w:line="300" w:lineRule="auto"/>
        <w:ind w:firstLine="720"/>
        <w:rPr/>
      </w:pPr>
      <w:r>
        <w:t xml:space="preserve">To avoid single-metric bias, Chapter 3 uses four metric layers depending on task style and clinical risk profile.</w:t>
      </w:r>
      <w:r/>
    </w:p>
    <w:p w14:paraId="6060E538">
      <w:pPr>
        <w:pStyle w:val="1128"/>
        <w:suppressLineNumbers w:val="false"/>
        <w:pBdr/>
        <w:spacing w:line="300" w:lineRule="auto"/>
        <w:ind w:firstLine="0"/>
        <w:rPr/>
      </w:pPr>
      <w:r>
        <w:t xml:space="preserve">(A) Closed-set classification and constrained QA </w:t>
      </w:r>
      <w:r/>
    </w:p>
    <w:p w14:paraId="6C164702">
      <w:pPr>
        <w:pStyle w:val="1128"/>
        <w:suppressLineNumbers w:val="false"/>
        <w:pBdr/>
        <w:spacing w:line="300" w:lineRule="auto"/>
        <w:ind w:firstLine="0"/>
        <w:rPr/>
      </w:pPr>
      <w:r>
        <w:t xml:space="preserve">These metrics are used when outputs are categorical and the answer space is controlled (e.g., HyperKvasir class labels, ImageCLEF label IDs, constrained Kvasir-VQA subsets).</w:t>
      </w:r>
      <w:r/>
    </w:p>
    <w:p w14:paraId="149F91D8">
      <w:pPr>
        <w:pStyle w:val="1128"/>
        <w:numPr>
          <w:ilvl w:val="0"/>
          <w:numId w:val="63"/>
        </w:numPr>
        <w:suppressLineNumbers w:val="false"/>
        <w:pBdr/>
        <w:spacing w:line="300" w:lineRule="auto"/>
        <w:ind/>
        <w:rPr/>
      </w:pPr>
      <w:r>
        <w:rPr>
          <w:b/>
          <w:bCs/>
        </w:rPr>
        <w:t xml:space="preserve">Accuracy</w:t>
      </w:r>
      <w:r>
        <w:t xml:space="preserve">: overall fraction of correct predictions.</w:t>
      </w:r>
      <w:r/>
    </w:p>
    <w:p w14:paraId="3B6BE440">
      <w:pPr>
        <w:pStyle w:val="1128"/>
        <w:numPr>
          <w:ilvl w:val="0"/>
          <w:numId w:val="63"/>
        </w:numPr>
        <w:suppressLineNumbers w:val="false"/>
        <w:pBdr/>
        <w:spacing w:line="300" w:lineRule="auto"/>
        <w:ind/>
        <w:rPr/>
      </w:pPr>
      <w:r>
        <w:rPr>
          <w:b/>
          <w:bCs/>
        </w:rPr>
        <w:t xml:space="preserve">Macro-F1</w:t>
      </w:r>
      <w:r>
        <w:t xml:space="preserve">: unweighted mean of per-class F1, emphasizing minority-class behavior.</w:t>
      </w:r>
      <w:r/>
    </w:p>
    <w:p w14:paraId="399CADBB">
      <w:pPr>
        <w:pStyle w:val="1128"/>
        <w:numPr>
          <w:ilvl w:val="0"/>
          <w:numId w:val="63"/>
        </w:numPr>
        <w:suppressLineNumbers w:val="false"/>
        <w:pBdr/>
        <w:spacing w:line="300" w:lineRule="auto"/>
        <w:ind/>
        <w:rPr/>
      </w:pPr>
      <w:r>
        <w:rPr>
          <w:b/>
          <w:bCs/>
        </w:rPr>
        <w:t xml:space="preserve">Balanced accuracy:</w:t>
      </w:r>
      <w:r>
        <w:t xml:space="preserve"> mean of per-class recall (equally weights classes regardless of support).</w:t>
      </w:r>
      <w:r/>
    </w:p>
    <w:p w14:paraId="2CB23732">
      <w:pPr>
        <w:pStyle w:val="1128"/>
        <w:numPr>
          <w:ilvl w:val="0"/>
          <w:numId w:val="63"/>
        </w:numPr>
        <w:suppressLineNumbers w:val="false"/>
        <w:pBdr/>
        <w:spacing w:line="300" w:lineRule="auto"/>
        <w:ind/>
        <w:rPr/>
      </w:pPr>
      <w:r>
        <w:rPr>
          <w:b/>
          <w:bCs/>
        </w:rPr>
        <w:t xml:space="preserve">MCC (Matthews correlation coefficient):</w:t>
      </w:r>
      <w:r>
        <w:t xml:space="preserve"> correlation-style score robust under imbalance (reported where available in persisted outputs).</w:t>
      </w:r>
      <w:r/>
    </w:p>
    <w:p w14:paraId="0EAB65D6">
      <w:pPr>
        <w:pStyle w:val="1128"/>
        <w:numPr>
          <w:ilvl w:val="0"/>
          <w:numId w:val="63"/>
        </w:numPr>
        <w:suppressLineNumbers w:val="false"/>
        <w:pBdr/>
        <w:spacing w:line="300" w:lineRule="auto"/>
        <w:ind/>
        <w:rPr/>
      </w:pPr>
      <w:r>
        <w:rPr>
          <w:b/>
          <w:bCs/>
        </w:rPr>
        <w:t xml:space="preserve">Cohen’s kappa:</w:t>
      </w:r>
      <w:r>
        <w:t xml:space="preserve"> agreement measure corrected for chance (reported where available in persisted outputs).</w:t>
      </w:r>
      <w:r/>
    </w:p>
    <w:p w14:paraId="2B95154C">
      <w:pPr>
        <w:pStyle w:val="1128"/>
        <w:numPr>
          <w:ilvl w:val="0"/>
          <w:numId w:val="63"/>
        </w:numPr>
        <w:suppressLineNumbers w:val="false"/>
        <w:pBdr/>
        <w:spacing w:line="300" w:lineRule="auto"/>
        <w:ind/>
        <w:rPr/>
      </w:pPr>
      <w:r>
        <w:rPr>
          <w:b/>
          <w:bCs/>
        </w:rPr>
        <w:t xml:space="preserve">Imbalance diagnostics (where included in artifacts):</w:t>
      </w:r>
      <w:r>
        <w:t xml:space="preserve"> head–tail or rare–common recall gaps computed from classwise recall slices (e.g., thresholds defined in the dataset’s local report).</w:t>
      </w:r>
      <w:r/>
    </w:p>
    <w:p w14:paraId="23D72D3C">
      <w:pPr>
        <w:pStyle w:val="1128"/>
        <w:suppressLineNumbers w:val="false"/>
        <w:pBdr/>
        <w:spacing w:line="300" w:lineRule="auto"/>
        <w:ind w:firstLine="0"/>
        <w:rPr/>
      </w:pPr>
      <w:r>
        <w:t xml:space="preserve">(B) Generative overlap and format fidelity (free-text outputs)</w:t>
      </w:r>
      <w:r/>
    </w:p>
    <w:p w14:paraId="7586D480">
      <w:pPr>
        <w:pStyle w:val="1128"/>
        <w:suppressLineNumbers w:val="false"/>
        <w:pBdr/>
        <w:spacing w:line="300" w:lineRule="auto"/>
        <w:ind w:firstLine="0"/>
        <w:rPr/>
      </w:pPr>
      <w:r>
        <w:t xml:space="preserve">These are used when models generate natural language answers rather than selecting from a fixed ontology. In this chapter they are treated as diagnostic fidelity indicators, not as sufficient evidence of clinical correctness</w:t>
      </w:r>
      <w:r>
        <w:rPr>
          <w:lang w:val="en-US"/>
        </w:rPr>
        <w:t xml:space="preserve">[57], [60], [61]</w:t>
      </w:r>
      <w:r>
        <w:t xml:space="preserve">.</w:t>
      </w:r>
      <w:r/>
    </w:p>
    <w:p w14:paraId="382789A5">
      <w:pPr>
        <w:pStyle w:val="1128"/>
        <w:numPr>
          <w:ilvl w:val="0"/>
          <w:numId w:val="64"/>
        </w:numPr>
        <w:suppressLineNumbers w:val="false"/>
        <w:pBdr/>
        <w:spacing w:line="300" w:lineRule="auto"/>
        <w:ind/>
        <w:rPr/>
      </w:pPr>
      <w:r>
        <w:rPr>
          <w:b/>
          <w:bCs/>
        </w:rPr>
        <w:t xml:space="preserve">Exact match (EM)</w:t>
      </w:r>
      <w:r>
        <w:t xml:space="preserve">: strict string-level match under the normalization used by the local evaluation scripts.</w:t>
      </w:r>
      <w:r/>
    </w:p>
    <w:p w14:paraId="124F966A">
      <w:pPr>
        <w:pStyle w:val="1128"/>
        <w:suppressLineNumbers w:val="false"/>
        <w:pBdr/>
        <w:spacing w:line="300" w:lineRule="auto"/>
        <w:ind w:firstLine="0"/>
        <w:rPr/>
      </w:pPr>
      <w:r/>
      <w:r/>
    </w:p>
    <w:p w14:paraId="4E402BC8">
      <w:pPr>
        <w:pStyle w:val="1128"/>
        <w:numPr>
          <w:ilvl w:val="0"/>
          <w:numId w:val="64"/>
        </w:numPr>
        <w:suppressLineNumbers w:val="false"/>
        <w:pBdr/>
        <w:spacing w:line="300" w:lineRule="auto"/>
        <w:ind/>
        <w:rPr/>
      </w:pPr>
      <w:r>
        <w:rPr>
          <w:b/>
          <w:bCs/>
        </w:rPr>
        <w:t xml:space="preserve">Token-F1: </w:t>
      </w:r>
      <w:r>
        <w:t xml:space="preserve">token-level overlap between generated and reference answers, useful when exact match is too strict.</w:t>
      </w:r>
      <w:r/>
    </w:p>
    <w:p w14:paraId="7050F762">
      <w:pPr>
        <w:pStyle w:val="1128"/>
        <w:numPr>
          <w:ilvl w:val="0"/>
          <w:numId w:val="64"/>
        </w:numPr>
        <w:suppressLineNumbers w:val="false"/>
        <w:pBdr/>
        <w:spacing w:line="300" w:lineRule="auto"/>
        <w:ind/>
        <w:rPr/>
      </w:pPr>
      <w:r>
        <w:rPr>
          <w:b/>
          <w:bCs/>
        </w:rPr>
        <w:t xml:space="preserve">ANLS:</w:t>
      </w:r>
      <w:r>
        <w:t xml:space="preserve"> edit-distance-based similarity score used in VQA-style evaluation; implementation details follow the persisted evaluation outputs and scripts used to produce the repository artifacts.</w:t>
      </w:r>
      <w:r/>
    </w:p>
    <w:p w14:paraId="515A295B">
      <w:pPr>
        <w:pStyle w:val="1128"/>
        <w:numPr>
          <w:ilvl w:val="0"/>
          <w:numId w:val="64"/>
        </w:numPr>
        <w:suppressLineNumbers w:val="false"/>
        <w:pBdr/>
        <w:spacing w:line="300" w:lineRule="auto"/>
        <w:ind/>
        <w:rPr/>
      </w:pPr>
      <w:r>
        <w:rPr>
          <w:b/>
          <w:bCs/>
        </w:rPr>
        <w:t xml:space="preserve">BLEU / ROUGE-L / METEOR (where available):</w:t>
      </w:r>
      <w:r>
        <w:t xml:space="preserve"> standard NLG overlap metrics reported only when computed in the persisted artifacts.</w:t>
      </w:r>
      <w:r/>
    </w:p>
    <w:p w14:paraId="75CEB504">
      <w:pPr>
        <w:pStyle w:val="1128"/>
        <w:suppressLineNumbers w:val="false"/>
        <w:pBdr/>
        <w:spacing w:line="300" w:lineRule="auto"/>
        <w:ind w:firstLine="0"/>
        <w:rPr/>
      </w:pPr>
      <w:r>
        <w:t xml:space="preserve">(C) Ordinal severity and clinically meaningful slices (UC severity as flagship use case)</w:t>
      </w:r>
      <w:r/>
    </w:p>
    <w:p w14:paraId="55F8F60D">
      <w:pPr>
        <w:pStyle w:val="1128"/>
        <w:suppressLineNumbers w:val="false"/>
        <w:pBdr/>
        <w:spacing w:line="300" w:lineRule="auto"/>
        <w:ind w:firstLine="0"/>
        <w:rPr/>
      </w:pPr>
      <w:r>
        <w:t xml:space="preserve">These metrics are used when labels have an ordinal relationship (e.g., Mayo 0–3) and when the clinical decision boundary matters more than overall accuracy.</w:t>
      </w:r>
      <w:r/>
    </w:p>
    <w:p w14:paraId="4CAFF770">
      <w:pPr>
        <w:pStyle w:val="1128"/>
        <w:numPr>
          <w:ilvl w:val="0"/>
          <w:numId w:val="65"/>
        </w:numPr>
        <w:suppressLineNumbers w:val="false"/>
        <w:pBdr/>
        <w:spacing w:line="300" w:lineRule="auto"/>
        <w:ind/>
        <w:rPr/>
      </w:pPr>
      <w:r>
        <w:rPr>
          <w:b/>
          <w:bCs/>
        </w:rPr>
        <w:t xml:space="preserve">QWK (quadratic weighted kappa):</w:t>
      </w:r>
      <w:r>
        <w:t xml:space="preserve"> penalizes ordinal disagreements proportionally to distance (e.g., confusing 0↔1 is not equivalent to 0↔3).</w:t>
      </w:r>
      <w:r/>
    </w:p>
    <w:p w14:paraId="58105A8E">
      <w:pPr>
        <w:pStyle w:val="1128"/>
        <w:numPr>
          <w:ilvl w:val="0"/>
          <w:numId w:val="65"/>
        </w:numPr>
        <w:suppressLineNumbers w:val="false"/>
        <w:pBdr/>
        <w:spacing w:line="300" w:lineRule="auto"/>
        <w:ind/>
        <w:rPr/>
      </w:pPr>
      <w:r>
        <w:rPr>
          <w:b/>
          <w:bCs/>
        </w:rPr>
        <w:t xml:space="preserve">MAE / RMSE</w:t>
      </w:r>
      <w:r>
        <w:t xml:space="preserve">: absolute and squared error over ordinal labels treated as numeric.</w:t>
      </w:r>
      <w:r/>
    </w:p>
    <w:p w14:paraId="075A05E3">
      <w:pPr>
        <w:pStyle w:val="1128"/>
        <w:numPr>
          <w:ilvl w:val="0"/>
          <w:numId w:val="65"/>
        </w:numPr>
        <w:suppressLineNumbers w:val="false"/>
        <w:pBdr/>
        <w:spacing w:line="300" w:lineRule="auto"/>
        <w:ind/>
        <w:rPr/>
      </w:pPr>
      <w:r>
        <w:rPr>
          <w:b/>
          <w:bCs/>
        </w:rPr>
        <w:t xml:space="preserve">Spearman correlation (where available)</w:t>
      </w:r>
      <w:r>
        <w:t xml:space="preserve">: rank correlation for ordinal consistency.</w:t>
      </w:r>
      <w:r/>
    </w:p>
    <w:p w14:paraId="604A1C25">
      <w:pPr>
        <w:pStyle w:val="1128"/>
        <w:numPr>
          <w:ilvl w:val="0"/>
          <w:numId w:val="65"/>
        </w:numPr>
        <w:suppressLineNumbers w:val="false"/>
        <w:pBdr/>
        <w:spacing w:line="300" w:lineRule="auto"/>
        <w:ind/>
        <w:rPr/>
      </w:pPr>
      <w:r>
        <w:rPr>
          <w:b/>
          <w:bCs/>
        </w:rPr>
        <w:t xml:space="preserve">Clinical remission slice</w:t>
      </w:r>
      <w:r>
        <w:t xml:space="preserve">: a thresholded binary evaluation derived from ordinal severity labels (in LIMUC artifacts, remission is evaluated as Mayo 0–1 vs 2–3, as indicated in the corresponding table caption).</w:t>
      </w:r>
      <w:r/>
    </w:p>
    <w:p w14:paraId="78A9A136">
      <w:pPr>
        <w:pStyle w:val="1128"/>
        <w:suppressLineNumbers w:val="false"/>
        <w:pBdr/>
        <w:spacing w:line="300" w:lineRule="auto"/>
        <w:ind w:firstLine="0"/>
        <w:rPr/>
      </w:pPr>
      <w:r>
        <w:t xml:space="preserve">(D) Uncertainty and comparative significance diagnostics (paired predictions only)</w:t>
      </w:r>
      <w:r/>
    </w:p>
    <w:p w14:paraId="4AC8EC63">
      <w:pPr>
        <w:pStyle w:val="1128"/>
        <w:suppressLineNumbers w:val="false"/>
        <w:pBdr/>
        <w:spacing w:line="300" w:lineRule="auto"/>
        <w:ind w:firstLine="0"/>
        <w:rPr/>
      </w:pPr>
      <w:r>
        <w:t xml:space="preserve">To avoid overinterpreting small point-estimate differences, Chapter 3 uses statistical diagnostics only when paired predictions are persisted for the same evaluation set.</w:t>
      </w:r>
      <w:r/>
    </w:p>
    <w:p w14:paraId="5C07D454">
      <w:pPr>
        <w:pStyle w:val="1128"/>
        <w:numPr>
          <w:ilvl w:val="0"/>
          <w:numId w:val="66"/>
        </w:numPr>
        <w:suppressLineNumbers w:val="false"/>
        <w:pBdr/>
        <w:spacing w:line="300" w:lineRule="auto"/>
        <w:ind/>
        <w:rPr/>
      </w:pPr>
      <w:r>
        <w:rPr>
          <w:b/>
          <w:bCs/>
        </w:rPr>
        <w:t xml:space="preserve">Wilson confidence intervals:</w:t>
      </w:r>
      <w:r>
        <w:t xml:space="preserve"> used for proportions (e.g., accuracy) when included in the report outputs.</w:t>
      </w:r>
      <w:r/>
    </w:p>
    <w:p w14:paraId="6597B181">
      <w:pPr>
        <w:pStyle w:val="1128"/>
        <w:numPr>
          <w:ilvl w:val="0"/>
          <w:numId w:val="66"/>
        </w:numPr>
        <w:suppressLineNumbers w:val="false"/>
        <w:pBdr/>
        <w:spacing w:line="300" w:lineRule="auto"/>
        <w:ind/>
        <w:rPr/>
      </w:pPr>
      <w:r>
        <w:rPr>
          <w:b/>
          <w:bCs/>
        </w:rPr>
        <w:t xml:space="preserve">Paired McNemar test:</w:t>
      </w:r>
      <w:r>
        <w:t xml:space="preserve"> used for paired comparison of two classifiers on the same examples; reported only where persisted counts (n01, n10) and p-values exist in the artifacts.</w:t>
      </w:r>
      <w:r>
        <w:rPr>
          <w:b/>
          <w:bCs/>
          <w:highlight w:val="none"/>
        </w:rPr>
      </w:r>
      <w:r/>
    </w:p>
    <w:p w14:paraId="65E0D7B0">
      <w:pPr>
        <w:pStyle w:val="1128"/>
        <w:suppressLineNumbers w:val="false"/>
        <w:pBdr/>
        <w:spacing w:line="300" w:lineRule="auto"/>
        <w:ind/>
        <w:rPr/>
      </w:pPr>
      <w:r/>
      <w:r/>
    </w:p>
    <w:p w14:paraId="4D6A02E9">
      <w:pPr>
        <w:pStyle w:val="1128"/>
        <w:suppressLineNumbers w:val="false"/>
        <w:pBdr/>
        <w:spacing w:line="300" w:lineRule="auto"/>
        <w:ind/>
        <w:rPr/>
      </w:pPr>
      <w:r/>
      <w:r/>
    </w:p>
    <w:p w14:paraId="7CA832D8">
      <w:pPr>
        <w:pStyle w:val="1128"/>
        <w:suppressLineNumbers w:val="false"/>
        <w:pBdr/>
        <w:spacing w:line="300" w:lineRule="auto"/>
        <w:ind/>
        <w:rPr/>
      </w:pPr>
      <w:r/>
      <w:r/>
    </w:p>
    <w:tbl>
      <w:tblPr>
        <w:tblStyle w:val="1185"/>
        <w:tblW w:w="0" w:type="auto"/>
        <w:tblBorders/>
        <w:tblLook w:val="04A0" w:firstRow="1" w:lastRow="0" w:firstColumn="1" w:lastColumn="0" w:noHBand="0" w:noVBand="1"/>
      </w:tblPr>
      <w:tblGrid>
        <w:gridCol w:w="2880"/>
        <w:gridCol w:w="2880"/>
        <w:gridCol w:w="2880"/>
      </w:tblGrid>
      <w:tr>
        <w:trPr/>
        <w:tc>
          <w:tcPr>
            <w:tcBorders/>
            <w:tcW w:w="2880" w:type="dxa"/>
            <w:textDirection w:val="lrTb"/>
            <w:noWrap w:val="false"/>
          </w:tcPr>
          <w:p w14:paraId="2FC6DE91">
            <w:pPr>
              <w:pBdr/>
              <w:spacing w:after="0" w:before="0" w:line="240" w:lineRule="auto"/>
              <w:ind/>
              <w:rPr>
                <w:color w:val="000000" w:themeColor="text1"/>
              </w:rPr>
            </w:pPr>
            <w:r>
              <w:rPr>
                <w:rFonts w:ascii="Arial" w:hAnsi="Arial" w:eastAsia="Arial" w:cs="Arial"/>
                <w:b/>
                <w:color w:val="000000" w:themeColor="text1"/>
                <w:sz w:val="21"/>
              </w:rPr>
              <w:t xml:space="preserve">Scenario type</w:t>
            </w:r>
            <w:r>
              <w:rPr>
                <w:color w:val="000000" w:themeColor="text1"/>
              </w:rPr>
            </w:r>
            <w:r>
              <w:rPr>
                <w:color w:val="000000" w:themeColor="text1"/>
              </w:rPr>
            </w:r>
          </w:p>
        </w:tc>
        <w:tc>
          <w:tcPr>
            <w:tcBorders/>
            <w:tcW w:w="2880" w:type="dxa"/>
            <w:textDirection w:val="lrTb"/>
            <w:noWrap w:val="false"/>
          </w:tcPr>
          <w:p w14:paraId="7BF763B0">
            <w:pPr>
              <w:pBdr/>
              <w:spacing w:after="0" w:before="0" w:line="240" w:lineRule="auto"/>
              <w:ind/>
              <w:rPr>
                <w:color w:val="000000" w:themeColor="text1"/>
              </w:rPr>
            </w:pPr>
            <w:r>
              <w:rPr>
                <w:rFonts w:ascii="Arial" w:hAnsi="Arial" w:eastAsia="Arial" w:cs="Arial"/>
                <w:b/>
                <w:color w:val="000000" w:themeColor="text1"/>
                <w:sz w:val="21"/>
              </w:rPr>
              <w:t xml:space="preserve">Primary metrics</w:t>
            </w:r>
            <w:r>
              <w:rPr>
                <w:color w:val="000000" w:themeColor="text1"/>
              </w:rPr>
            </w:r>
            <w:r>
              <w:rPr>
                <w:color w:val="000000" w:themeColor="text1"/>
              </w:rPr>
            </w:r>
          </w:p>
        </w:tc>
        <w:tc>
          <w:tcPr>
            <w:tcBorders/>
            <w:tcW w:w="2880" w:type="dxa"/>
            <w:textDirection w:val="lrTb"/>
            <w:noWrap w:val="false"/>
          </w:tcPr>
          <w:p w14:paraId="7B4BA2AE">
            <w:pPr>
              <w:pBdr/>
              <w:spacing w:after="0" w:before="0" w:line="240" w:lineRule="auto"/>
              <w:ind/>
              <w:rPr>
                <w:color w:val="000000" w:themeColor="text1"/>
              </w:rPr>
            </w:pPr>
            <w:r>
              <w:rPr>
                <w:rFonts w:ascii="Arial" w:hAnsi="Arial" w:eastAsia="Arial" w:cs="Arial"/>
                <w:b/>
                <w:color w:val="000000" w:themeColor="text1"/>
                <w:sz w:val="21"/>
              </w:rPr>
              <w:t xml:space="preserve">Why these metrics</w:t>
            </w:r>
            <w:r>
              <w:rPr>
                <w:color w:val="000000" w:themeColor="text1"/>
              </w:rPr>
            </w:r>
            <w:r>
              <w:rPr>
                <w:color w:val="000000" w:themeColor="text1"/>
              </w:rPr>
            </w:r>
          </w:p>
        </w:tc>
      </w:tr>
      <w:tr>
        <w:trPr/>
        <w:tc>
          <w:tcPr>
            <w:tcBorders/>
            <w:tcW w:w="2880" w:type="dxa"/>
            <w:textDirection w:val="lrTb"/>
            <w:noWrap w:val="false"/>
          </w:tcPr>
          <w:p w14:paraId="13CB4A18">
            <w:pPr>
              <w:pBdr/>
              <w:spacing w:after="0" w:before="0" w:line="240" w:lineRule="auto"/>
              <w:ind/>
              <w:rPr>
                <w:color w:val="000000" w:themeColor="text1"/>
              </w:rPr>
            </w:pPr>
            <w:r>
              <w:rPr>
                <w:rFonts w:ascii="Arial" w:hAnsi="Arial" w:eastAsia="Arial" w:cs="Arial"/>
                <w:color w:val="000000" w:themeColor="text1"/>
                <w:sz w:val="21"/>
              </w:rPr>
              <w:t xml:space="preserve">Binary clinical detection</w:t>
            </w:r>
            <w:r>
              <w:rPr>
                <w:color w:val="000000" w:themeColor="text1"/>
              </w:rPr>
            </w:r>
            <w:r>
              <w:rPr>
                <w:color w:val="000000" w:themeColor="text1"/>
              </w:rPr>
            </w:r>
          </w:p>
        </w:tc>
        <w:tc>
          <w:tcPr>
            <w:tcBorders/>
            <w:tcW w:w="2880" w:type="dxa"/>
            <w:textDirection w:val="lrTb"/>
            <w:noWrap w:val="false"/>
          </w:tcPr>
          <w:p w14:paraId="4C58D56A">
            <w:pPr>
              <w:pBdr/>
              <w:spacing w:after="0" w:before="0" w:line="240" w:lineRule="auto"/>
              <w:ind/>
              <w:rPr>
                <w:color w:val="000000" w:themeColor="text1"/>
              </w:rPr>
            </w:pPr>
            <w:r>
              <w:rPr>
                <w:rFonts w:ascii="Arial" w:hAnsi="Arial" w:eastAsia="Arial" w:cs="Arial"/>
                <w:color w:val="000000" w:themeColor="text1"/>
                <w:sz w:val="21"/>
              </w:rPr>
              <w:t xml:space="preserve">recall/sensitivity, macro-F1, MCC</w:t>
            </w:r>
            <w:r>
              <w:rPr>
                <w:color w:val="000000" w:themeColor="text1"/>
              </w:rPr>
            </w:r>
            <w:r>
              <w:rPr>
                <w:color w:val="000000" w:themeColor="text1"/>
              </w:rPr>
            </w:r>
          </w:p>
        </w:tc>
        <w:tc>
          <w:tcPr>
            <w:tcBorders/>
            <w:tcW w:w="2880" w:type="dxa"/>
            <w:textDirection w:val="lrTb"/>
            <w:noWrap w:val="false"/>
          </w:tcPr>
          <w:p w14:paraId="6F600B2F">
            <w:pPr>
              <w:pBdr/>
              <w:spacing w:after="0" w:before="0" w:line="240" w:lineRule="auto"/>
              <w:ind/>
              <w:rPr>
                <w:color w:val="000000" w:themeColor="text1"/>
              </w:rPr>
            </w:pPr>
            <w:r>
              <w:rPr>
                <w:rFonts w:ascii="Arial" w:hAnsi="Arial" w:eastAsia="Arial" w:cs="Arial"/>
                <w:color w:val="000000" w:themeColor="text1"/>
                <w:sz w:val="21"/>
              </w:rPr>
              <w:t xml:space="preserve">false negatives and imbalance sensitivity</w:t>
            </w:r>
            <w:r>
              <w:rPr>
                <w:color w:val="000000" w:themeColor="text1"/>
              </w:rPr>
            </w:r>
            <w:r>
              <w:rPr>
                <w:color w:val="000000" w:themeColor="text1"/>
              </w:rPr>
            </w:r>
          </w:p>
        </w:tc>
      </w:tr>
      <w:tr>
        <w:trPr/>
        <w:tc>
          <w:tcPr>
            <w:tcBorders/>
            <w:tcW w:w="2880" w:type="dxa"/>
            <w:textDirection w:val="lrTb"/>
            <w:noWrap w:val="false"/>
          </w:tcPr>
          <w:p w14:paraId="28357F1F">
            <w:pPr>
              <w:pBdr/>
              <w:spacing w:after="0" w:before="0" w:line="240" w:lineRule="auto"/>
              <w:ind/>
              <w:rPr>
                <w:color w:val="000000" w:themeColor="text1"/>
              </w:rPr>
            </w:pPr>
            <w:r>
              <w:rPr>
                <w:rFonts w:ascii="Arial" w:hAnsi="Arial" w:eastAsia="Arial" w:cs="Arial"/>
                <w:color w:val="000000" w:themeColor="text1"/>
                <w:sz w:val="21"/>
              </w:rPr>
              <w:t xml:space="preserve">Multiclass closed-set QA</w:t>
            </w:r>
            <w:r>
              <w:rPr>
                <w:color w:val="000000" w:themeColor="text1"/>
              </w:rPr>
            </w:r>
            <w:r>
              <w:rPr>
                <w:color w:val="000000" w:themeColor="text1"/>
              </w:rPr>
            </w:r>
          </w:p>
        </w:tc>
        <w:tc>
          <w:tcPr>
            <w:tcBorders/>
            <w:tcW w:w="2880" w:type="dxa"/>
            <w:textDirection w:val="lrTb"/>
            <w:noWrap w:val="false"/>
          </w:tcPr>
          <w:p w14:paraId="7D4D3595">
            <w:pPr>
              <w:pBdr/>
              <w:spacing w:after="0" w:before="0" w:line="240" w:lineRule="auto"/>
              <w:ind/>
              <w:rPr>
                <w:color w:val="000000" w:themeColor="text1"/>
              </w:rPr>
            </w:pPr>
            <w:r>
              <w:rPr>
                <w:rFonts w:ascii="Arial" w:hAnsi="Arial" w:eastAsia="Arial" w:cs="Arial"/>
                <w:color w:val="000000" w:themeColor="text1"/>
                <w:sz w:val="21"/>
              </w:rPr>
              <w:t xml:space="preserve">accuracy + macro-F1 + balanced accuracy</w:t>
            </w:r>
            <w:r>
              <w:rPr>
                <w:color w:val="000000" w:themeColor="text1"/>
              </w:rPr>
            </w:r>
            <w:r>
              <w:rPr>
                <w:color w:val="000000" w:themeColor="text1"/>
              </w:rPr>
            </w:r>
          </w:p>
        </w:tc>
        <w:tc>
          <w:tcPr>
            <w:tcBorders/>
            <w:tcW w:w="2880" w:type="dxa"/>
            <w:textDirection w:val="lrTb"/>
            <w:noWrap w:val="false"/>
          </w:tcPr>
          <w:p w14:paraId="30763248">
            <w:pPr>
              <w:pBdr/>
              <w:spacing w:after="0" w:before="0" w:line="240" w:lineRule="auto"/>
              <w:ind/>
              <w:rPr>
                <w:color w:val="000000" w:themeColor="text1"/>
              </w:rPr>
            </w:pPr>
            <w:r>
              <w:rPr>
                <w:rFonts w:ascii="Arial" w:hAnsi="Arial" w:eastAsia="Arial" w:cs="Arial"/>
                <w:color w:val="000000" w:themeColor="text1"/>
                <w:sz w:val="21"/>
              </w:rPr>
              <w:t xml:space="preserve">aggregate plus per-class fairness</w:t>
            </w:r>
            <w:r>
              <w:rPr>
                <w:color w:val="000000" w:themeColor="text1"/>
              </w:rPr>
            </w:r>
            <w:r>
              <w:rPr>
                <w:color w:val="000000" w:themeColor="text1"/>
              </w:rPr>
            </w:r>
          </w:p>
        </w:tc>
      </w:tr>
      <w:tr>
        <w:trPr/>
        <w:tc>
          <w:tcPr>
            <w:tcBorders/>
            <w:tcW w:w="2880" w:type="dxa"/>
            <w:textDirection w:val="lrTb"/>
            <w:noWrap w:val="false"/>
          </w:tcPr>
          <w:p w14:paraId="256B368E">
            <w:pPr>
              <w:pBdr/>
              <w:spacing w:after="0" w:before="0" w:line="240" w:lineRule="auto"/>
              <w:ind/>
              <w:rPr>
                <w:color w:val="000000" w:themeColor="text1"/>
              </w:rPr>
            </w:pPr>
            <w:r>
              <w:rPr>
                <w:rFonts w:ascii="Arial" w:hAnsi="Arial" w:eastAsia="Arial" w:cs="Arial"/>
                <w:color w:val="000000" w:themeColor="text1"/>
                <w:sz w:val="21"/>
              </w:rPr>
              <w:t xml:space="preserve">Free-text QA</w:t>
            </w:r>
            <w:r>
              <w:rPr>
                <w:color w:val="000000" w:themeColor="text1"/>
              </w:rPr>
            </w:r>
            <w:r>
              <w:rPr>
                <w:color w:val="000000" w:themeColor="text1"/>
              </w:rPr>
            </w:r>
          </w:p>
        </w:tc>
        <w:tc>
          <w:tcPr>
            <w:tcBorders/>
            <w:tcW w:w="2880" w:type="dxa"/>
            <w:textDirection w:val="lrTb"/>
            <w:noWrap w:val="false"/>
          </w:tcPr>
          <w:p w14:paraId="4421C1E6">
            <w:pPr>
              <w:pBdr/>
              <w:spacing w:after="0" w:before="0" w:line="240" w:lineRule="auto"/>
              <w:ind/>
              <w:rPr>
                <w:color w:val="000000" w:themeColor="text1"/>
              </w:rPr>
            </w:pPr>
            <w:r>
              <w:rPr>
                <w:rFonts w:ascii="Arial" w:hAnsi="Arial" w:eastAsia="Arial" w:cs="Arial"/>
                <w:color w:val="000000" w:themeColor="text1"/>
                <w:sz w:val="21"/>
              </w:rPr>
              <w:t xml:space="preserve">token-F1 + ANLS + overlap metrics</w:t>
            </w:r>
            <w:r>
              <w:rPr>
                <w:color w:val="000000" w:themeColor="text1"/>
              </w:rPr>
            </w:r>
            <w:r>
              <w:rPr>
                <w:color w:val="000000" w:themeColor="text1"/>
              </w:rPr>
            </w:r>
          </w:p>
        </w:tc>
        <w:tc>
          <w:tcPr>
            <w:tcBorders/>
            <w:tcW w:w="2880" w:type="dxa"/>
            <w:textDirection w:val="lrTb"/>
            <w:noWrap w:val="false"/>
          </w:tcPr>
          <w:p w14:paraId="762F3BCD">
            <w:pPr>
              <w:pBdr/>
              <w:spacing w:after="0" w:before="0" w:line="240" w:lineRule="auto"/>
              <w:ind/>
              <w:rPr>
                <w:color w:val="000000" w:themeColor="text1"/>
              </w:rPr>
            </w:pPr>
            <w:r>
              <w:rPr>
                <w:rFonts w:ascii="Arial" w:hAnsi="Arial" w:eastAsia="Arial" w:cs="Arial"/>
                <w:color w:val="000000" w:themeColor="text1"/>
                <w:sz w:val="21"/>
              </w:rPr>
              <w:t xml:space="preserve">lexical similarity with tolerance to paraphrase</w:t>
            </w:r>
            <w:r>
              <w:rPr>
                <w:color w:val="000000" w:themeColor="text1"/>
              </w:rPr>
            </w:r>
            <w:r>
              <w:rPr>
                <w:color w:val="000000" w:themeColor="text1"/>
              </w:rPr>
            </w:r>
          </w:p>
        </w:tc>
      </w:tr>
      <w:tr>
        <w:trPr/>
        <w:tc>
          <w:tcPr>
            <w:tcBorders/>
            <w:tcW w:w="2880" w:type="dxa"/>
            <w:textDirection w:val="lrTb"/>
            <w:noWrap w:val="false"/>
          </w:tcPr>
          <w:p w14:paraId="25731BB7">
            <w:pPr>
              <w:pBdr/>
              <w:spacing w:after="0" w:before="0" w:line="240" w:lineRule="auto"/>
              <w:ind/>
              <w:rPr>
                <w:color w:val="000000" w:themeColor="text1"/>
              </w:rPr>
            </w:pPr>
            <w:r>
              <w:rPr>
                <w:rFonts w:ascii="Arial" w:hAnsi="Arial" w:eastAsia="Arial" w:cs="Arial"/>
                <w:color w:val="000000" w:themeColor="text1"/>
                <w:sz w:val="21"/>
              </w:rPr>
              <w:t xml:space="preserve">Ordinal severity</w:t>
            </w:r>
            <w:r>
              <w:rPr>
                <w:color w:val="000000" w:themeColor="text1"/>
              </w:rPr>
            </w:r>
            <w:r>
              <w:rPr>
                <w:color w:val="000000" w:themeColor="text1"/>
              </w:rPr>
            </w:r>
          </w:p>
        </w:tc>
        <w:tc>
          <w:tcPr>
            <w:tcBorders/>
            <w:tcW w:w="2880" w:type="dxa"/>
            <w:textDirection w:val="lrTb"/>
            <w:noWrap w:val="false"/>
          </w:tcPr>
          <w:p w14:paraId="2740924C">
            <w:pPr>
              <w:pBdr/>
              <w:spacing w:after="0" w:before="0" w:line="240" w:lineRule="auto"/>
              <w:ind/>
              <w:rPr>
                <w:color w:val="000000" w:themeColor="text1"/>
              </w:rPr>
            </w:pPr>
            <w:r>
              <w:rPr>
                <w:rFonts w:ascii="Arial" w:hAnsi="Arial" w:eastAsia="Arial" w:cs="Arial"/>
                <w:color w:val="000000" w:themeColor="text1"/>
                <w:sz w:val="21"/>
              </w:rPr>
              <w:t xml:space="preserve">QWK + MAE/RMSE + remission slice</w:t>
            </w:r>
            <w:r>
              <w:rPr>
                <w:color w:val="000000" w:themeColor="text1"/>
              </w:rPr>
            </w:r>
            <w:r>
              <w:rPr>
                <w:color w:val="000000" w:themeColor="text1"/>
              </w:rPr>
            </w:r>
          </w:p>
        </w:tc>
        <w:tc>
          <w:tcPr>
            <w:tcBorders/>
            <w:tcW w:w="2880" w:type="dxa"/>
            <w:textDirection w:val="lrTb"/>
            <w:noWrap w:val="false"/>
          </w:tcPr>
          <w:p w14:paraId="7450735A">
            <w:pPr>
              <w:pBdr/>
              <w:spacing w:after="0" w:before="0" w:line="240" w:lineRule="auto"/>
              <w:ind/>
              <w:rPr>
                <w:color w:val="000000" w:themeColor="text1"/>
              </w:rPr>
            </w:pPr>
            <w:r>
              <w:rPr>
                <w:rFonts w:ascii="Arial" w:hAnsi="Arial" w:eastAsia="Arial" w:cs="Arial"/>
                <w:color w:val="000000" w:themeColor="text1"/>
                <w:sz w:val="21"/>
              </w:rPr>
              <w:t xml:space="preserve">ordinal penalty and clinical thresholding</w:t>
            </w:r>
            <w:r>
              <w:rPr>
                <w:color w:val="000000" w:themeColor="text1"/>
              </w:rPr>
            </w:r>
            <w:r>
              <w:rPr>
                <w:color w:val="000000" w:themeColor="text1"/>
              </w:rPr>
            </w:r>
          </w:p>
        </w:tc>
      </w:tr>
      <w:tr>
        <w:trPr/>
        <w:tc>
          <w:tcPr>
            <w:tcBorders/>
            <w:tcW w:w="2880" w:type="dxa"/>
            <w:textDirection w:val="lrTb"/>
            <w:noWrap w:val="false"/>
          </w:tcPr>
          <w:p w14:paraId="1F2E57B8">
            <w:pPr>
              <w:pBdr/>
              <w:spacing w:after="0" w:before="0" w:line="240" w:lineRule="auto"/>
              <w:ind/>
              <w:rPr>
                <w:color w:val="000000" w:themeColor="text1"/>
              </w:rPr>
            </w:pPr>
            <w:r>
              <w:rPr>
                <w:rFonts w:ascii="Arial" w:hAnsi="Arial" w:eastAsia="Arial" w:cs="Arial"/>
                <w:color w:val="000000" w:themeColor="text1"/>
                <w:sz w:val="21"/>
              </w:rPr>
              <w:t xml:space="preserve">Model comparison claims</w:t>
            </w:r>
            <w:r>
              <w:rPr>
                <w:color w:val="000000" w:themeColor="text1"/>
              </w:rPr>
            </w:r>
            <w:r>
              <w:rPr>
                <w:color w:val="000000" w:themeColor="text1"/>
              </w:rPr>
            </w:r>
          </w:p>
        </w:tc>
        <w:tc>
          <w:tcPr>
            <w:tcBorders/>
            <w:tcW w:w="2880" w:type="dxa"/>
            <w:textDirection w:val="lrTb"/>
            <w:noWrap w:val="false"/>
          </w:tcPr>
          <w:p w14:paraId="6987709D">
            <w:pPr>
              <w:pBdr/>
              <w:spacing w:after="0" w:before="0" w:line="240" w:lineRule="auto"/>
              <w:ind/>
              <w:rPr>
                <w:color w:val="000000" w:themeColor="text1"/>
              </w:rPr>
            </w:pPr>
            <w:r>
              <w:rPr>
                <w:rFonts w:ascii="Arial" w:hAnsi="Arial" w:eastAsia="Arial" w:cs="Arial"/>
                <w:color w:val="000000" w:themeColor="text1"/>
                <w:sz w:val="21"/>
              </w:rPr>
              <w:t xml:space="preserve">McNemar + CIs</w:t>
            </w:r>
            <w:r>
              <w:rPr>
                <w:color w:val="000000" w:themeColor="text1"/>
              </w:rPr>
            </w:r>
            <w:r>
              <w:rPr>
                <w:color w:val="000000" w:themeColor="text1"/>
              </w:rPr>
            </w:r>
          </w:p>
        </w:tc>
        <w:tc>
          <w:tcPr>
            <w:tcBorders/>
            <w:tcW w:w="2880" w:type="dxa"/>
            <w:textDirection w:val="lrTb"/>
            <w:noWrap w:val="false"/>
          </w:tcPr>
          <w:p w14:paraId="55254CC0">
            <w:pPr>
              <w:pBdr/>
              <w:spacing w:after="0" w:before="0" w:line="240" w:lineRule="auto"/>
              <w:ind/>
              <w:rPr>
                <w:color w:val="000000" w:themeColor="text1"/>
              </w:rPr>
            </w:pPr>
            <w:r>
              <w:rPr>
                <w:rFonts w:ascii="Arial" w:hAnsi="Arial" w:eastAsia="Arial" w:cs="Arial"/>
                <w:color w:val="000000" w:themeColor="text1"/>
                <w:sz w:val="21"/>
              </w:rPr>
              <w:t xml:space="preserve">avoids overinterpreting point estimates</w:t>
            </w:r>
            <w:r>
              <w:rPr>
                <w:color w:val="000000" w:themeColor="text1"/>
              </w:rPr>
            </w:r>
            <w:r>
              <w:rPr>
                <w:color w:val="000000" w:themeColor="text1"/>
              </w:rPr>
            </w:r>
          </w:p>
        </w:tc>
      </w:tr>
    </w:tbl>
    <w:p w14:paraId="04712959">
      <w:pPr>
        <w:pStyle w:val="1128"/>
        <w:suppressLineNumbers w:val="false"/>
        <w:pBdr/>
        <w:spacing w:line="300" w:lineRule="auto"/>
        <w:ind w:left="1440"/>
        <w:rPr>
          <w:bCs/>
          <w:i/>
          <w:highlight w:val="none"/>
          <w:lang w:val="en-US"/>
        </w:rPr>
      </w:pPr>
      <w:r>
        <w:rPr>
          <w:i/>
          <w:iCs/>
          <w:lang w:val="en-US"/>
        </w:rPr>
        <w:t xml:space="preserve">Table 3.5 </w:t>
      </w:r>
      <w:r>
        <w:rPr>
          <w:i/>
          <w:iCs/>
          <w:lang w:val="en-US"/>
        </w:rPr>
        <w:t xml:space="preserve">Metric Selection by Scenario Type</w:t>
      </w:r>
      <w:r>
        <w:rPr>
          <w:bCs/>
          <w:i/>
          <w:highlight w:val="none"/>
          <w:lang w:val="en-US"/>
        </w:rPr>
      </w:r>
      <w:r>
        <w:rPr>
          <w:bCs/>
          <w:i/>
          <w:highlight w:val="none"/>
          <w:lang w:val="en-US"/>
        </w:rPr>
      </w:r>
    </w:p>
    <w:p w14:paraId="0C1D110B">
      <w:pPr>
        <w:pStyle w:val="1128"/>
        <w:suppressLineNumbers w:val="false"/>
        <w:pBdr/>
        <w:spacing w:line="300" w:lineRule="auto"/>
        <w:ind w:firstLine="0"/>
        <w:rPr>
          <w:color w:val="000000" w:themeColor="text1"/>
        </w:rPr>
      </w:pPr>
      <w:r>
        <w:rPr>
          <w:color w:val="000000" w:themeColor="text1"/>
        </w:rPr>
      </w:r>
      <w:r>
        <w:rPr>
          <w:color w:val="000000" w:themeColor="text1"/>
        </w:rPr>
        <w:t xml:space="preserve">Throughout Chapter 3, N denotes the number of evaluated items recorded in the local report (images or QA rows). Metrics are interpreted primarily within-dataset because answer spaces and task definitions differ across datasets.</w:t>
      </w:r>
      <w:r>
        <w:rPr>
          <w:color w:val="000000" w:themeColor="text1"/>
        </w:rPr>
      </w:r>
      <w:r>
        <w:rPr>
          <w:color w:val="000000" w:themeColor="text1"/>
        </w:rPr>
      </w:r>
    </w:p>
    <w:p w14:paraId="102E3992">
      <w:pPr>
        <w:pStyle w:val="1128"/>
        <w:suppressLineNumbers w:val="false"/>
        <w:pBdr/>
        <w:spacing w:line="300" w:lineRule="auto"/>
        <w:ind w:firstLine="0"/>
        <w:rPr>
          <w:b/>
          <w:bCs/>
        </w:rPr>
      </w:pPr>
      <w:r>
        <w:rPr>
          <w:b/>
          <w:bCs/>
          <w:color w:val="000000" w:themeColor="text1"/>
        </w:rPr>
        <w:t xml:space="preserve">3.3.2 Important Evaluation Caveats</w:t>
      </w:r>
      <w:r>
        <w:rPr>
          <w:b/>
          <w:bCs/>
        </w:rPr>
      </w:r>
      <w:r>
        <w:rPr>
          <w:b/>
          <w:bCs/>
        </w:rPr>
      </w:r>
    </w:p>
    <w:p w14:paraId="436E2CA4">
      <w:pPr>
        <w:pStyle w:val="1128"/>
        <w:suppressLineNumbers w:val="false"/>
        <w:pBdr/>
        <w:spacing w:after="240" w:before="120" w:line="240" w:lineRule="auto"/>
        <w:ind w:firstLine="0"/>
        <w:rPr/>
      </w:pPr>
      <w:r>
        <w:rPr>
          <w:color w:val="000000" w:themeColor="text1"/>
        </w:rPr>
        <w:t xml:space="preserve">This chapter’s evaluation design is intentionally conservative. The following caveats define how results should be interpreted and what is not claimed.</w:t>
      </w:r>
      <w:r>
        <w:rPr>
          <w:color w:val="000000" w:themeColor="text1"/>
        </w:rPr>
      </w:r>
      <w:r/>
    </w:p>
    <w:p w14:paraId="4195D9A5">
      <w:pPr>
        <w:pStyle w:val="1128"/>
        <w:numPr>
          <w:ilvl w:val="0"/>
          <w:numId w:val="67"/>
        </w:numPr>
        <w:suppressLineNumbers w:val="false"/>
        <w:pBdr/>
        <w:spacing w:after="240" w:before="120" w:line="240" w:lineRule="auto"/>
        <w:ind/>
        <w:rPr>
          <w:color w:val="000000" w:themeColor="text1"/>
        </w:rPr>
      </w:pPr>
      <w:r>
        <w:rPr>
          <w:b/>
          <w:bCs/>
          <w:color w:val="000000" w:themeColor="text1"/>
        </w:rPr>
        <w:t xml:space="preserve">Cross-dataset scores are not directly comparable.</w:t>
      </w:r>
      <w:r>
        <w:rPr>
          <w:color w:val="000000" w:themeColor="text1"/>
          <w:lang w:val="en-US"/>
        </w:rPr>
        <w:t xml:space="preserve"> </w:t>
      </w:r>
      <w:r>
        <w:rPr>
          <w:color w:val="000000" w:themeColor="text1"/>
        </w:rPr>
        <w:t xml:space="preserve">Different datasets implement different answer spaces, label ontologies, and question-family distributions. Therefore, Chapter 3 uses cross-dataset comparison mainly to identify consistent patterns of failure modes, not to rank models globally.</w:t>
      </w:r>
      <w:r>
        <w:rPr>
          <w:color w:val="000000" w:themeColor="text1"/>
        </w:rPr>
      </w:r>
      <w:r>
        <w:rPr>
          <w:color w:val="000000" w:themeColor="text1"/>
        </w:rPr>
      </w:r>
    </w:p>
    <w:p w14:paraId="55FDDDB1">
      <w:pPr>
        <w:pStyle w:val="1128"/>
        <w:numPr>
          <w:ilvl w:val="0"/>
          <w:numId w:val="67"/>
        </w:numPr>
        <w:suppressLineNumbers w:val="false"/>
        <w:pBdr/>
        <w:spacing w:after="240" w:before="120" w:line="240" w:lineRule="auto"/>
        <w:ind/>
        <w:rPr/>
      </w:pPr>
      <w:r>
        <w:rPr>
          <w:b/>
          <w:bCs/>
          <w:color w:val="000000" w:themeColor="text1"/>
        </w:rPr>
        <w:t xml:space="preserve">Generative overlap is not clinical correctness.</w:t>
      </w:r>
      <w:r>
        <w:rPr>
          <w:color w:val="000000" w:themeColor="text1"/>
          <w:lang w:val="en-US"/>
        </w:rPr>
        <w:t xml:space="preserve"> </w:t>
      </w:r>
      <w:r>
        <w:rPr>
          <w:color w:val="000000" w:themeColor="text1"/>
        </w:rPr>
        <w:t xml:space="preserve">M</w:t>
      </w:r>
      <w:r>
        <w:rPr>
          <w:color w:val="000000" w:themeColor="text1"/>
        </w:rPr>
        <w:t xml:space="preserve">etrics such as token-F1, ANLS, BLEU, ROUGE-L, and METEOR quantify lexical similarity and answer-format adherence. They do not guarantee that generated text is clinically faithful or visually grounded</w:t>
      </w:r>
      <w:r>
        <w:rPr>
          <w:color w:val="000000" w:themeColor="text1"/>
          <w:lang w:val="en-US"/>
        </w:rPr>
        <w:t xml:space="preserve">[57], [60], [61]</w:t>
      </w:r>
      <w:r>
        <w:rPr>
          <w:color w:val="000000" w:themeColor="text1"/>
        </w:rPr>
        <w:t xml:space="preserve">. In this chapter, generative overlap metrics are treated</w:t>
      </w:r>
      <w:r>
        <w:rPr>
          <w:color w:val="000000" w:themeColor="text1"/>
        </w:rPr>
        <w:t xml:space="preserve"> as diagnostic indicators and interpreted alongside failure signals (unknown/OOV behavior, mapping fragility, and question-family brittleness).</w:t>
      </w:r>
      <w:r>
        <w:rPr>
          <w:color w:val="000000" w:themeColor="text1"/>
        </w:rPr>
      </w:r>
      <w:r/>
    </w:p>
    <w:p w14:paraId="644B4262">
      <w:pPr>
        <w:pStyle w:val="1128"/>
        <w:numPr>
          <w:ilvl w:val="0"/>
          <w:numId w:val="67"/>
        </w:numPr>
        <w:suppressLineNumbers w:val="false"/>
        <w:pBdr/>
        <w:spacing w:after="240" w:before="120" w:line="240" w:lineRule="auto"/>
        <w:ind/>
        <w:rPr/>
      </w:pPr>
      <w:r>
        <w:rPr>
          <w:b/>
          <w:bCs/>
          <w:color w:val="000000" w:themeColor="text1"/>
        </w:rPr>
        <w:t xml:space="preserve">Raw vs. projected scoring is explicitly separated (diagnostic only).</w:t>
      </w:r>
      <w:r>
        <w:rPr>
          <w:color w:val="000000" w:themeColor="text1"/>
          <w:lang w:val="en-US"/>
        </w:rPr>
        <w:t xml:space="preserve"> </w:t>
      </w:r>
      <w:r>
        <w:rPr>
          <w:color w:val="000000" w:themeColor="text1"/>
        </w:rPr>
        <w:t xml:space="preserve">Some persisted artifacts include both “raw” scoring of generated outputs and a secondary “projected” diagnostic that maps free text into a constrained answer space before scoring. This chapter follows the artifact semantics:</w:t>
      </w:r>
      <w:r>
        <w:rPr>
          <w:color w:val="000000" w:themeColor="text1"/>
        </w:rPr>
      </w:r>
      <w:r/>
    </w:p>
    <w:p w14:paraId="58729E75">
      <w:pPr>
        <w:pStyle w:val="1128"/>
        <w:numPr>
          <w:ilvl w:val="1"/>
          <w:numId w:val="68"/>
        </w:numPr>
        <w:suppressLineNumbers w:val="false"/>
        <w:pBdr/>
        <w:spacing w:after="240" w:before="120" w:line="240" w:lineRule="auto"/>
        <w:ind/>
        <w:rPr/>
      </w:pPr>
      <w:r>
        <w:rPr>
          <w:b/>
          <w:bCs/>
          <w:color w:val="000000" w:themeColor="text1"/>
        </w:rPr>
        <w:t xml:space="preserve">Raw scoring</w:t>
      </w:r>
      <w:r>
        <w:rPr>
          <w:color w:val="000000" w:themeColor="text1"/>
        </w:rPr>
        <w:t xml:space="preserve"> reflects direct evaluation against canonical targets under the local evaluation convention; for many label-ID tasks, raw free-text outputs can collapse to near-zero label accuracy because the output is not in the canonical label format.</w:t>
      </w:r>
      <w:r>
        <w:rPr>
          <w:color w:val="000000" w:themeColor="text1"/>
        </w:rPr>
      </w:r>
      <w:r/>
    </w:p>
    <w:p w14:paraId="48812AA8">
      <w:pPr>
        <w:pStyle w:val="1128"/>
        <w:numPr>
          <w:ilvl w:val="1"/>
          <w:numId w:val="68"/>
        </w:numPr>
        <w:suppressLineNumbers w:val="false"/>
        <w:pBdr/>
        <w:spacing w:after="240" w:before="120" w:line="240" w:lineRule="auto"/>
        <w:ind/>
        <w:rPr/>
      </w:pPr>
      <w:r>
        <w:rPr>
          <w:b/>
          <w:bCs/>
          <w:color w:val="000000" w:themeColor="text1"/>
        </w:rPr>
        <w:t xml:space="preserve">Projected scoring</w:t>
      </w:r>
      <w:r>
        <w:rPr>
          <w:color w:val="000000" w:themeColor="text1"/>
        </w:rPr>
        <w:t xml:space="preserve"> deterministically maps generated text to the allowed answer set (e.g., canonical labels for a question family) using the repository’s evaluation logic, then scores the mapped label.</w:t>
      </w:r>
      <w:r>
        <w:rPr>
          <w:color w:val="000000" w:themeColor="text1"/>
        </w:rPr>
      </w:r>
      <w:r/>
    </w:p>
    <w:p w14:paraId="7ACAF832">
      <w:pPr>
        <w:pStyle w:val="1128"/>
        <w:numPr>
          <w:ilvl w:val="1"/>
          <w:numId w:val="68"/>
        </w:numPr>
        <w:suppressLineNumbers w:val="false"/>
        <w:pBdr/>
        <w:spacing w:after="240" w:before="120" w:line="240" w:lineRule="auto"/>
        <w:ind/>
        <w:rPr/>
      </w:pPr>
      <w:r>
        <w:rPr>
          <w:b/>
          <w:bCs/>
          <w:color w:val="000000" w:themeColor="text1"/>
        </w:rPr>
        <w:t xml:space="preserve">Unknown/OOV handling:</w:t>
      </w:r>
      <w:r>
        <w:rPr>
          <w:color w:val="000000" w:themeColor="text1"/>
        </w:rPr>
        <w:t xml:space="preserve"> if an output cannot be mapped to the allowed answer set, it is treated as unknown/OOV for that diagnostic and contributes to unknown/OOV rates where reported.</w:t>
      </w:r>
      <w:r>
        <w:rPr>
          <w:color w:val="000000" w:themeColor="text1"/>
          <w:highlight w:val="none"/>
        </w:rPr>
      </w:r>
      <w:r/>
    </w:p>
    <w:p w14:paraId="13459405">
      <w:pPr>
        <w:pStyle w:val="1128"/>
        <w:suppressLineNumbers w:val="false"/>
        <w:pBdr/>
        <w:spacing w:after="240" w:before="120" w:line="240" w:lineRule="auto"/>
        <w:ind w:firstLine="0" w:left="0"/>
        <w:rPr/>
      </w:pPr>
      <w:r>
        <w:rPr>
          <w:b/>
          <w:bCs/>
          <w:color w:val="000000" w:themeColor="text1"/>
        </w:rPr>
        <w:t xml:space="preserve">Interpretation rule:</w:t>
      </w:r>
      <w:r>
        <w:rPr>
          <w:color w:val="000000" w:themeColor="text1"/>
        </w:rPr>
        <w:t xml:space="preserve"> projected scores are used to quantify format and ontology alignment under deterministic mapping; they are not treated as a replacement for primary reliability evidence.</w:t>
      </w:r>
      <w:r>
        <w:rPr>
          <w:color w:val="000000" w:themeColor="text1"/>
        </w:rPr>
      </w:r>
      <w:r/>
    </w:p>
    <w:p w14:paraId="06303A9E">
      <w:pPr>
        <w:pStyle w:val="1128"/>
        <w:numPr>
          <w:ilvl w:val="0"/>
          <w:numId w:val="69"/>
        </w:numPr>
        <w:suppressLineNumbers w:val="false"/>
        <w:pBdr/>
        <w:spacing w:after="240" w:before="120" w:line="240" w:lineRule="auto"/>
        <w:ind/>
        <w:rPr/>
      </w:pPr>
      <w:r>
        <w:rPr>
          <w:b/>
          <w:bCs/>
          <w:color w:val="000000" w:themeColor="text1"/>
        </w:rPr>
        <w:t xml:space="preserve">Scenario results are not claimed without persisted scenario predictions.</w:t>
      </w:r>
      <w:r>
        <w:rPr>
          <w:b/>
          <w:bCs/>
          <w:color w:val="000000" w:themeColor="text1"/>
          <w:lang w:val="en-US"/>
        </w:rPr>
        <w:t xml:space="preserve"> </w:t>
      </w:r>
      <w:r>
        <w:rPr>
          <w:color w:val="000000" w:themeColor="text1"/>
        </w:rPr>
        <w:t xml:space="preserve">Scenario YAML definitions are included as protocol context, but scenario outcome metrics are reported only if scored predictions are persisted. If only configuration is present, Chapter 3 reports configuration only and defers scenario outcomes.</w:t>
      </w:r>
      <w:r>
        <w:rPr>
          <w:color w:val="000000" w:themeColor="text1"/>
        </w:rPr>
      </w:r>
      <w:r/>
    </w:p>
    <w:p w14:paraId="169FEEC9">
      <w:pPr>
        <w:pStyle w:val="1128"/>
        <w:numPr>
          <w:ilvl w:val="0"/>
          <w:numId w:val="69"/>
        </w:numPr>
        <w:suppressLineNumbers w:val="false"/>
        <w:pBdr/>
        <w:spacing w:after="240" w:before="120" w:line="240" w:lineRule="auto"/>
        <w:ind/>
        <w:rPr/>
      </w:pPr>
      <w:r>
        <w:rPr>
          <w:b/>
          <w:bCs/>
          <w:color w:val="000000" w:themeColor="text1"/>
        </w:rPr>
        <w:t xml:space="preserve">Statistical tests are reported only where paired predictions exist.</w:t>
      </w:r>
      <w:r>
        <w:rPr>
          <w:color w:val="000000" w:themeColor="text1"/>
          <w:lang w:val="en-US"/>
        </w:rPr>
        <w:t xml:space="preserve"> </w:t>
      </w:r>
      <w:r>
        <w:rPr>
          <w:color w:val="000000" w:themeColor="text1"/>
        </w:rPr>
        <w:t xml:space="preserve">M</w:t>
      </w:r>
      <w:r>
        <w:rPr>
          <w:color w:val="000000" w:themeColor="text1"/>
        </w:rPr>
        <w:t xml:space="preserve">cNemar tests and confidence intervals require paired predictions for the same examples. Where the persisted artifacts include these counts and p-values, Chapter 3 reports them. Where they are not present, Chapter 3 reports point estimates without significa</w:t>
      </w:r>
      <w:r>
        <w:rPr>
          <w:color w:val="000000" w:themeColor="text1"/>
        </w:rPr>
        <w:t xml:space="preserve">nce claims.</w:t>
      </w:r>
      <w:r>
        <w:rPr>
          <w:color w:val="000000" w:themeColor="text1"/>
        </w:rPr>
      </w:r>
      <w:r/>
    </w:p>
    <w:p w14:paraId="113EB618">
      <w:pPr>
        <w:pStyle w:val="1128"/>
        <w:numPr>
          <w:ilvl w:val="0"/>
          <w:numId w:val="69"/>
        </w:numPr>
        <w:suppressLineNumbers w:val="false"/>
        <w:pBdr/>
        <w:spacing w:after="240" w:before="120" w:line="240" w:lineRule="auto"/>
        <w:ind/>
        <w:rPr/>
      </w:pPr>
      <w:r>
        <w:rPr>
          <w:b/>
          <w:bCs/>
          <w:color w:val="000000" w:themeColor="text1"/>
        </w:rPr>
        <w:t xml:space="preserve">Missing metrics are treated as “not computed,” not “zero.”</w:t>
      </w:r>
      <w:r>
        <w:rPr>
          <w:color w:val="000000" w:themeColor="text1"/>
          <w:lang w:val="en-US"/>
        </w:rPr>
        <w:t xml:space="preserve"> </w:t>
      </w:r>
      <w:r>
        <w:rPr>
          <w:color w:val="000000" w:themeColor="text1"/>
        </w:rPr>
        <w:t xml:space="preserve">If a metric is not applicable or not computed in the persisted evaluation outputs (e.g., BLEU/ROUGE absent for some runs), the chapter reports it as unavailable and does not infer values.</w:t>
      </w:r>
      <w:r>
        <w:rPr>
          <w:color w:val="000000" w:themeColor="text1"/>
        </w:rPr>
      </w:r>
      <w:r/>
    </w:p>
    <w:p w14:paraId="6F90A22D">
      <w:pPr>
        <w:pStyle w:val="1128"/>
        <w:suppressLineNumbers w:val="false"/>
        <w:pBdr/>
        <w:spacing w:after="240" w:before="120" w:line="240" w:lineRule="auto"/>
        <w:ind w:firstLine="0" w:left="0"/>
        <w:rPr/>
      </w:pPr>
      <w:r>
        <w:rPr>
          <w:color w:val="000000" w:themeColor="text1"/>
          <w:highlight w:val="none"/>
        </w:rPr>
      </w:r>
      <w:r>
        <mc:AlternateContent>
          <mc:Choice Requires="wpg">
            <w:drawing>
              <wp:inline xmlns:wp="http://schemas.openxmlformats.org/drawingml/2006/wordprocessingDrawing" distT="0" distB="0" distL="0" distR="0">
                <wp:extent cx="5486400" cy="3062480"/>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65403" name=""/>
                        <pic:cNvPicPr>
                          <a:picLocks noChangeAspect="1"/>
                        </pic:cNvPicPr>
                        <pic:nvPr/>
                      </pic:nvPicPr>
                      <pic:blipFill rotWithShape="1">
                        <a:blip r:embed="rId19"/>
                        <a:stretch/>
                      </pic:blipFill>
                      <pic:spPr bwMode="auto">
                        <a:xfrm>
                          <a:off x="0" y="0"/>
                          <a:ext cx="5486399" cy="306247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32.00pt;height:241.14pt;mso-wrap-distance-left:0.00pt;mso-wrap-distance-top:0.00pt;mso-wrap-distance-right:0.00pt;mso-wrap-distance-bottom:0.00pt;z-index:1;" stroked="false">
                <v:imagedata r:id="rId19" o:title=""/>
                <o:lock v:ext="edit" rotation="t"/>
              </v:shape>
            </w:pict>
          </mc:Fallback>
        </mc:AlternateContent>
      </w:r>
      <w:r>
        <w:rPr>
          <w:color w:val="000000" w:themeColor="text1"/>
          <w:highlight w:val="none"/>
        </w:rPr>
      </w:r>
      <w:r/>
    </w:p>
    <w:p w14:paraId="46607DC0">
      <w:pPr>
        <w:pStyle w:val="1128"/>
        <w:suppressLineNumbers w:val="false"/>
        <w:pBdr/>
        <w:spacing w:after="240" w:before="120" w:line="240" w:lineRule="auto"/>
        <w:ind w:firstLine="0"/>
        <w:rPr>
          <w:bCs/>
          <w:i/>
          <w:color w:val="000000" w:themeColor="text1"/>
        </w:rPr>
      </w:pPr>
      <w:r>
        <w:rPr>
          <w:i/>
          <w:iCs/>
          <w:color w:val="000000" w:themeColor="text1"/>
          <w:highlight w:val="none"/>
        </w:rPr>
      </w:r>
      <w:r>
        <w:rPr>
          <w:i/>
          <w:iCs/>
          <w:color w:val="000000" w:themeColor="text1"/>
        </w:rPr>
        <w:t xml:space="preserve">Figure 3.</w:t>
      </w:r>
      <w:r>
        <w:rPr>
          <w:i/>
          <w:iCs/>
          <w:color w:val="000000" w:themeColor="text1"/>
          <w:lang w:val="en-US"/>
        </w:rPr>
        <w:t xml:space="preserve">6</w:t>
      </w:r>
      <w:r>
        <w:rPr>
          <w:i/>
          <w:iCs/>
          <w:color w:val="000000" w:themeColor="text1"/>
        </w:rPr>
        <w:t xml:space="preserve"> — Label projection / answer normalization pipeline (raw vs projected + u</w:t>
      </w:r>
      <w:r>
        <w:rPr>
          <w:i/>
          <w:iCs/>
          <w:color w:val="000000" w:themeColor="text1"/>
        </w:rPr>
        <w:t xml:space="preserve">nknown/OOV)</w:t>
      </w:r>
      <w:r>
        <w:rPr>
          <w:bCs/>
          <w:i/>
          <w:color w:val="000000" w:themeColor="text1"/>
        </w:rPr>
      </w:r>
      <w:r>
        <w:rPr>
          <w:bCs/>
          <w:i/>
          <w:color w:val="000000" w:themeColor="text1"/>
        </w:rPr>
      </w:r>
    </w:p>
    <w:p w14:paraId="79928046">
      <w:pPr>
        <w:pStyle w:val="1128"/>
        <w:suppressLineNumbers w:val="false"/>
        <w:pBdr/>
        <w:spacing w:line="300" w:lineRule="auto"/>
        <w:ind w:firstLine="0"/>
        <w:rPr>
          <w:b/>
          <w:bCs/>
        </w:rPr>
      </w:pPr>
      <w:r>
        <w:rPr>
          <w:b/>
          <w:bCs/>
          <w:color w:val="000000" w:themeColor="text1"/>
        </w:rPr>
        <w:t xml:space="preserve">3.3.3 Metric Design Choices Grounded in Prior Work</w:t>
      </w:r>
      <w:r>
        <w:rPr>
          <w:b/>
          <w:bCs/>
        </w:rPr>
      </w:r>
      <w:r>
        <w:rPr>
          <w:b/>
          <w:bCs/>
        </w:rPr>
      </w:r>
    </w:p>
    <w:p w14:paraId="46D80B63">
      <w:pPr>
        <w:pStyle w:val="1128"/>
        <w:suppressLineNumbers w:val="false"/>
        <w:pBdr/>
        <w:spacing w:line="300" w:lineRule="auto"/>
        <w:ind w:firstLine="0"/>
        <w:rPr/>
      </w:pPr>
      <w:r>
        <w:rPr>
          <w:color w:val="000000" w:themeColor="text1"/>
        </w:rPr>
        <w:t xml:space="preserve">T</w:t>
      </w:r>
      <w:r>
        <w:rPr>
          <w:color w:val="000000" w:themeColor="text1"/>
        </w:rPr>
        <w:t xml:space="preserve">he metric stack in this chapter follows a common principle in clinical AI evaluation: performance should be characterized using both aggregate discrimination and robustness under imbalance and clinically relevant thresholds, rather than relying on a single</w:t>
      </w:r>
      <w:r>
        <w:rPr>
          <w:color w:val="000000" w:themeColor="text1"/>
        </w:rPr>
        <w:t xml:space="preserve"> headline score</w:t>
      </w:r>
      <w:r>
        <w:rPr>
          <w:color w:val="000000" w:themeColor="text1"/>
          <w:lang w:val="en-US"/>
        </w:rPr>
        <w:t xml:space="preserve">[56]</w:t>
      </w:r>
      <w:r>
        <w:rPr>
          <w:color w:val="000000" w:themeColor="text1"/>
        </w:rPr>
        <w:t xml:space="preserve">.</w:t>
      </w:r>
      <w:r>
        <w:rPr>
          <w:color w:val="000000" w:themeColor="text1"/>
        </w:rPr>
      </w:r>
      <w:r/>
    </w:p>
    <w:p w14:paraId="30E089F4">
      <w:pPr>
        <w:pStyle w:val="1128"/>
        <w:suppressLineNumbers w:val="false"/>
        <w:pBdr/>
        <w:spacing w:line="300" w:lineRule="auto"/>
        <w:ind w:firstLine="0"/>
        <w:rPr/>
      </w:pPr>
      <w:r>
        <w:rPr>
          <w:color w:val="000000" w:themeColor="text1"/>
        </w:rPr>
        <w:t xml:space="preserve">For GI endoscopy tasks, this implies:</w:t>
      </w:r>
      <w:r>
        <w:rPr>
          <w:color w:val="000000" w:themeColor="text1"/>
        </w:rPr>
      </w:r>
      <w:r/>
    </w:p>
    <w:p w14:paraId="04579265">
      <w:pPr>
        <w:pStyle w:val="1128"/>
        <w:numPr>
          <w:ilvl w:val="0"/>
          <w:numId w:val="70"/>
        </w:numPr>
        <w:suppressLineNumbers w:val="false"/>
        <w:pBdr/>
        <w:spacing w:line="300" w:lineRule="auto"/>
        <w:ind/>
        <w:rPr/>
      </w:pPr>
      <w:r>
        <w:rPr>
          <w:b/>
          <w:bCs/>
          <w:color w:val="000000" w:themeColor="text1"/>
        </w:rPr>
        <w:t xml:space="preserve">macro-F1 and balanced accuracy</w:t>
      </w:r>
      <w:r>
        <w:rPr>
          <w:color w:val="000000" w:themeColor="text1"/>
        </w:rPr>
        <w:t xml:space="preserve"> are emphasized to prevent majority-class dominance from masking clinically relevant failures;</w:t>
      </w:r>
      <w:r>
        <w:rPr>
          <w:color w:val="000000" w:themeColor="text1"/>
        </w:rPr>
      </w:r>
      <w:r/>
    </w:p>
    <w:p w14:paraId="472CC94B">
      <w:pPr>
        <w:pStyle w:val="1128"/>
        <w:numPr>
          <w:ilvl w:val="0"/>
          <w:numId w:val="70"/>
        </w:numPr>
        <w:suppressLineNumbers w:val="false"/>
        <w:pBdr/>
        <w:spacing w:line="300" w:lineRule="auto"/>
        <w:ind/>
        <w:rPr/>
      </w:pPr>
      <w:r>
        <w:rPr>
          <w:b/>
          <w:bCs/>
          <w:color w:val="000000" w:themeColor="text1"/>
        </w:rPr>
        <w:t xml:space="preserve">MCC and kappa </w:t>
      </w:r>
      <w:r>
        <w:rPr>
          <w:color w:val="000000" w:themeColor="text1"/>
        </w:rPr>
        <w:t xml:space="preserve">are reported where available because they capture agreement behavior under imbalance;</w:t>
      </w:r>
      <w:r>
        <w:rPr>
          <w:color w:val="000000" w:themeColor="text1"/>
        </w:rPr>
      </w:r>
      <w:r/>
    </w:p>
    <w:p w14:paraId="22D29ED3">
      <w:pPr>
        <w:pStyle w:val="1128"/>
        <w:numPr>
          <w:ilvl w:val="0"/>
          <w:numId w:val="70"/>
        </w:numPr>
        <w:suppressLineNumbers w:val="false"/>
        <w:pBdr/>
        <w:spacing w:line="300" w:lineRule="auto"/>
        <w:ind/>
        <w:rPr/>
      </w:pPr>
      <w:r>
        <w:rPr>
          <w:b/>
          <w:bCs/>
          <w:color w:val="000000" w:themeColor="text1"/>
        </w:rPr>
        <w:t xml:space="preserve">ordinal metrics and clinical slices </w:t>
      </w:r>
      <w:r>
        <w:rPr>
          <w:color w:val="000000" w:themeColor="text1"/>
        </w:rPr>
        <w:t xml:space="preserve">(QWK, MAE/RMSE, and remission-style thresholds) are required for UC severity tasks where the distance between grades and the decision boundary are clinically meaningful.</w:t>
      </w:r>
      <w:r/>
    </w:p>
    <w:p w14:paraId="2DCE7506">
      <w:pPr>
        <w:pStyle w:val="1128"/>
        <w:suppressLineNumbers w:val="false"/>
        <w:pBdr/>
        <w:spacing w:line="300" w:lineRule="auto"/>
        <w:ind w:firstLine="0"/>
        <w:rPr/>
      </w:pPr>
      <w:r>
        <w:rPr>
          <w:color w:val="000000" w:themeColor="text1"/>
        </w:rPr>
      </w:r>
      <w:r/>
    </w:p>
    <w:p w14:paraId="23ADB059">
      <w:pPr>
        <w:pStyle w:val="1128"/>
        <w:suppressLineNumbers w:val="false"/>
        <w:pBdr/>
        <w:spacing w:line="300" w:lineRule="auto"/>
        <w:ind w:firstLine="0"/>
        <w:rPr/>
      </w:pPr>
      <w:r>
        <w:rPr>
          <w:color w:val="000000" w:themeColor="text1"/>
        </w:rPr>
        <w:t xml:space="preserve">F</w:t>
      </w:r>
      <w:r>
        <w:rPr>
          <w:color w:val="000000" w:themeColor="text1"/>
        </w:rPr>
        <w:t xml:space="preserve">or generative tracks, overlap metrics are retained as format and lexical-fidelity diagnostics, but they are not treated as sufficient endpoints for clinical reliability. Where projection/mapping diagnostics are available, they are reported explicitly as di</w:t>
      </w:r>
      <w:r>
        <w:rPr>
          <w:color w:val="000000" w:themeColor="text1"/>
        </w:rPr>
        <w:t xml:space="preserve">agnostics to quantify ontology alignment and unknown/OOV behavior.</w:t>
      </w:r>
      <w:r>
        <w:rPr>
          <w:color w:val="000000" w:themeColor="text1"/>
        </w:rPr>
      </w:r>
      <w:r/>
    </w:p>
    <w:p w14:paraId="32D88338">
      <w:pPr>
        <w:pStyle w:val="1128"/>
        <w:suppressLineNumbers w:val="false"/>
        <w:pBdr/>
        <w:spacing w:line="300" w:lineRule="auto"/>
        <w:ind w:firstLine="0"/>
        <w:rPr>
          <w:color w:val="000000" w:themeColor="text1"/>
          <w:highlight w:val="none"/>
        </w:rPr>
      </w:pPr>
      <w:r>
        <w:rPr>
          <w:color w:val="000000" w:themeColor="text1"/>
        </w:rPr>
        <w:t xml:space="preserve">F</w:t>
      </w:r>
      <w:r>
        <w:rPr>
          <w:color w:val="000000" w:themeColor="text1"/>
        </w:rPr>
        <w:t xml:space="preserve">inally, comparative statistics (e.g., McNemar) are used as safeguards against overinterpreting small differences, but only where paired evidence is persisted. The chapter therefore prioritizes traceable, artifact-backed reporting over completeness of metri</w:t>
      </w:r>
      <w:r>
        <w:rPr>
          <w:color w:val="000000" w:themeColor="text1"/>
        </w:rPr>
        <w:t xml:space="preserve">c coverage.</w:t>
      </w:r>
      <w:r>
        <w:rPr>
          <w:color w:val="000000" w:themeColor="text1"/>
          <w:highlight w:val="none"/>
        </w:rPr>
      </w:r>
      <w:r>
        <w:rPr>
          <w:color w:val="000000" w:themeColor="text1"/>
          <w:highlight w:val="none"/>
        </w:rPr>
      </w:r>
    </w:p>
    <w:p w14:paraId="0DF2758F">
      <w:pPr>
        <w:pStyle w:val="1128"/>
        <w:suppressLineNumbers w:val="false"/>
        <w:pBdr/>
        <w:spacing w:line="300" w:lineRule="auto"/>
        <w:ind w:firstLine="0"/>
        <w:rPr>
          <w:b/>
          <w:bCs/>
          <w:sz w:val="28"/>
          <w:szCs w:val="28"/>
        </w:rPr>
      </w:pPr>
      <w:r>
        <w:rPr>
          <w:b/>
          <w:bCs/>
          <w:sz w:val="28"/>
          <w:szCs w:val="28"/>
        </w:rPr>
        <w:t xml:space="preserve">3.4 Baseline and Existing-Model Results</w:t>
      </w:r>
      <w:r>
        <w:rPr>
          <w:b/>
          <w:bCs/>
          <w:sz w:val="28"/>
          <w:szCs w:val="28"/>
        </w:rPr>
      </w:r>
      <w:r>
        <w:rPr>
          <w:b/>
          <w:bCs/>
          <w:sz w:val="28"/>
          <w:szCs w:val="28"/>
        </w:rPr>
      </w:r>
    </w:p>
    <w:p w14:paraId="2FCA8699">
      <w:pPr>
        <w:pBdr>
          <w:top w:val="none" w:color="000000" w:sz="4" w:space="0"/>
          <w:left w:val="none" w:color="000000" w:sz="4" w:space="0"/>
          <w:bottom w:val="none" w:color="000000" w:sz="4" w:space="0"/>
          <w:right w:val="none" w:color="000000" w:sz="4" w:space="0"/>
        </w:pBdr>
        <w:spacing/>
        <w:ind w:right="0" w:firstLine="0" w:left="0"/>
        <w:rPr/>
      </w:pPr>
      <w:r>
        <w:rPr>
          <w:color w:val="000000" w:themeColor="text1"/>
        </w:rPr>
      </w:r>
      <w:r>
        <w:t xml:space="preserve">Section 3</w:t>
      </w:r>
      <w:r>
        <w:t xml:space="preserve">.4 reports dataset-wise results compiled from persisted artifacts described in Table 3.1[66]-[73]. Because each dataset defines different answer spaces (class labels, label IDs per question, or free-text answers) and different task regimes (classification,</w:t>
      </w:r>
      <w:r>
        <w:t xml:space="preserve"> closed-label VQA, subset QA), results are interpreted primarily within each dataset. Cross-dataset comparisons are used to identify consistent reliability patterns (e.g., imbalance sensitivity, answer-format instability), rather than to produce a single g</w:t>
      </w:r>
      <w:r>
        <w:t xml:space="preserve">lobal ranking.</w:t>
      </w:r>
      <w:r/>
    </w:p>
    <w:p w14:paraId="27B5F753">
      <w:pPr>
        <w:pBdr>
          <w:top w:val="none" w:color="000000" w:sz="4" w:space="0"/>
          <w:left w:val="none" w:color="000000" w:sz="4" w:space="0"/>
          <w:bottom w:val="none" w:color="000000" w:sz="4" w:space="0"/>
          <w:right w:val="none" w:color="000000" w:sz="4" w:space="0"/>
        </w:pBdr>
        <w:spacing/>
        <w:ind w:right="0" w:firstLine="0" w:left="0"/>
        <w:rPr/>
      </w:pPr>
      <w:r>
        <w:t xml:space="preserve">Each dataset subsection follows a consistent structure: (i) role of the dataset in the thesis evaluation design, (ii) which model families are compared and why, (iii) interpretation of the reported tables (overall metrics, robustness slices, and where avai</w:t>
      </w:r>
      <w:r>
        <w:t xml:space="preserve">lable paired diagnostics), and (iv) limitations and implications for subsequent chapters.</w:t>
      </w:r>
      <w:r>
        <w:rPr>
          <w:rFonts w:ascii="Times New Roman" w:hAnsi="Times New Roman" w:eastAsia="Times New Roman" w:cs="Times New Roman"/>
          <w:sz w:val="24"/>
        </w:rPr>
      </w:r>
      <w:r/>
    </w:p>
    <w:p w14:paraId="6B90AD9A">
      <w:pPr>
        <w:pStyle w:val="1128"/>
        <w:suppressLineNumbers w:val="false"/>
        <w:pBdr/>
        <w:spacing w:line="300" w:lineRule="auto"/>
        <w:ind w:firstLine="0"/>
        <w:rPr>
          <w:b/>
          <w:bCs/>
          <w:highlight w:val="none"/>
        </w:rPr>
      </w:pPr>
      <w:r>
        <w:rPr>
          <w:b/>
          <w:bCs/>
        </w:rPr>
        <w:t xml:space="preserve">3.4.1 HyperKvasir: 23-Class GI Image Classification</w:t>
      </w:r>
      <w:r>
        <w:rPr>
          <w:b/>
          <w:bCs/>
          <w:highlight w:val="none"/>
        </w:rPr>
      </w:r>
      <w:r>
        <w:rPr>
          <w:b/>
          <w:bCs/>
          <w:highlight w:val="none"/>
        </w:rPr>
      </w:r>
    </w:p>
    <w:p w14:paraId="4D08118C">
      <w:pPr>
        <w:pStyle w:val="1128"/>
        <w:suppressLineNumbers w:val="false"/>
        <w:pBdr/>
        <w:spacing w:line="300" w:lineRule="auto"/>
        <w:ind w:firstLine="0"/>
        <w:rPr/>
      </w:pPr>
      <w:r>
        <w:t xml:space="preserve">A</w:t>
      </w:r>
      <w:r>
        <w:t xml:space="preserve">lthough HyperKvasir is not a VQA dataset, it provides an important visual grounding stress test for GI imaging</w:t>
      </w:r>
      <w:r>
        <w:rPr>
          <w:lang w:val="en-US"/>
        </w:rPr>
        <w:t xml:space="preserve">[51], [66]</w:t>
      </w:r>
      <w:r>
        <w:t xml:space="preserve">. The task here is 23-class GI image classification, which functions as a proxy for how well different visual backbones and representations captur</w:t>
      </w:r>
      <w:r>
        <w:t xml:space="preserve">e</w:t>
      </w:r>
      <w:r>
        <w:t xml:space="preserve"> GI categories under realistic data constraints. The key difficulty is strong long-tail imbalance: in the persisted report, test-set class support ranges from 1 to 115 per class (≈115× ratio), meaning that a model can achieve high aggregate accuracy while </w:t>
      </w:r>
      <w:r>
        <w:t xml:space="preserve">still failing on rare classes that may be clinically important.</w:t>
      </w:r>
      <w:r/>
    </w:p>
    <w:p w14:paraId="5107C16E">
      <w:pPr>
        <w:pStyle w:val="1128"/>
        <w:suppressLineNumbers w:val="false"/>
        <w:pBdr/>
        <w:spacing w:line="300" w:lineRule="auto"/>
        <w:ind w:firstLine="0"/>
        <w:rPr>
          <w:highlight w:val="none"/>
        </w:rPr>
      </w:pPr>
      <w:r>
        <w:t xml:space="preserve">Table 3.6 summarizes overall test performance for supervised and frozen-feature baselines, alongside a zero-shot VLM baseline projected into a label space (as recorded in the persisted artifact outputs).</w:t>
      </w:r>
      <w:r>
        <w:rPr>
          <w:highlight w:val="none"/>
        </w:rPr>
      </w:r>
      <w:r>
        <w:rPr>
          <w:highlight w:val="none"/>
        </w:rPr>
      </w:r>
    </w:p>
    <w:p w14:paraId="401AB6B9">
      <w:pPr>
        <w:pStyle w:val="1128"/>
        <w:suppressLineNumbers w:val="false"/>
        <w:pBdr/>
        <w:spacing w:line="300" w:lineRule="auto"/>
        <w:ind w:firstLine="0"/>
        <w:rPr/>
      </w:pPr>
      <w:r>
        <w:rPr>
          <w:highlight w:val="none"/>
        </w:rPr>
      </w:r>
      <w:r>
        <w:rPr>
          <w:highlight w:val="none"/>
        </w:rPr>
      </w:r>
      <w:r/>
    </w:p>
    <w:tbl>
      <w:tblPr>
        <w:tblStyle w:val="1185"/>
        <w:tblW w:w="0" w:type="auto"/>
        <w:tblBorders/>
        <w:tblLook w:val="04A0" w:firstRow="1" w:lastRow="0" w:firstColumn="1" w:lastColumn="0" w:noHBand="0" w:noVBand="1"/>
      </w:tblPr>
      <w:tblGrid>
        <w:gridCol w:w="1440"/>
        <w:gridCol w:w="1440"/>
        <w:gridCol w:w="1440"/>
        <w:gridCol w:w="1440"/>
        <w:gridCol w:w="1440"/>
        <w:gridCol w:w="1440"/>
      </w:tblGrid>
      <w:tr>
        <w:trPr/>
        <w:tc>
          <w:tcPr>
            <w:tcBorders/>
            <w:tcW w:w="1440" w:type="dxa"/>
            <w:textDirection w:val="lrTb"/>
            <w:noWrap w:val="false"/>
          </w:tcPr>
          <w:p w14:paraId="16A3CC36">
            <w:pPr>
              <w:pBdr/>
              <w:spacing w:after="0" w:before="0" w:line="240" w:lineRule="auto"/>
              <w:ind/>
              <w:rPr>
                <w:rFonts w:ascii="Arial" w:hAnsi="Arial" w:cs="Arial"/>
                <w:color w:val="000000" w:themeColor="text1"/>
              </w:rPr>
            </w:pPr>
            <w:r>
              <w:rPr>
                <w:rFonts w:ascii="Arial" w:hAnsi="Arial" w:eastAsia="Arial" w:cs="Arial"/>
                <w:b/>
                <w:color w:val="000000" w:themeColor="text1"/>
                <w:sz w:val="21"/>
              </w:rPr>
              <w:t xml:space="preserve">Model</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3A5022F8">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Accuracy</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74ED8D01">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Balanced Acc</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5161D12B">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Macro-F1</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731A665D">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MCC</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1044B700">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Kappa</w:t>
            </w:r>
            <w:r>
              <w:rPr>
                <w:rFonts w:ascii="Arial" w:hAnsi="Arial" w:cs="Arial"/>
                <w:color w:val="000000" w:themeColor="text1"/>
              </w:rPr>
            </w:r>
            <w:r>
              <w:rPr>
                <w:rFonts w:ascii="Arial" w:hAnsi="Arial" w:cs="Arial"/>
                <w:color w:val="000000" w:themeColor="text1"/>
              </w:rPr>
            </w:r>
          </w:p>
        </w:tc>
      </w:tr>
      <w:tr>
        <w:trPr/>
        <w:tc>
          <w:tcPr>
            <w:tcBorders/>
            <w:tcW w:w="1440" w:type="dxa"/>
            <w:textDirection w:val="lrTb"/>
            <w:noWrap w:val="false"/>
          </w:tcPr>
          <w:p w14:paraId="2F35B369">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resnet50_supervised</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55FBAB67">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0.8789</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65C3A0FF">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0.6266</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59D8B54C">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0.5943</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5D8B1B01">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NA</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0B3BDEE2">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NA</w:t>
            </w:r>
            <w:r>
              <w:rPr>
                <w:rFonts w:ascii="Arial" w:hAnsi="Arial" w:cs="Arial"/>
                <w:color w:val="000000" w:themeColor="text1"/>
              </w:rPr>
            </w:r>
            <w:r>
              <w:rPr>
                <w:rFonts w:ascii="Arial" w:hAnsi="Arial" w:cs="Arial"/>
                <w:color w:val="000000" w:themeColor="text1"/>
              </w:rPr>
            </w:r>
          </w:p>
        </w:tc>
      </w:tr>
      <w:tr>
        <w:trPr/>
        <w:tc>
          <w:tcPr>
            <w:tcBorders/>
            <w:tcW w:w="1440" w:type="dxa"/>
            <w:textDirection w:val="lrTb"/>
            <w:noWrap w:val="false"/>
          </w:tcPr>
          <w:p w14:paraId="502FBDA5">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vit_supervised</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2B5CFE21">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0.8714</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6189493D">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0.5391</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15813A5E">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0.5242</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236594EF">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NA</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4DA4F264">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NA</w:t>
            </w:r>
            <w:r>
              <w:rPr>
                <w:rFonts w:ascii="Arial" w:hAnsi="Arial" w:cs="Arial"/>
                <w:color w:val="000000" w:themeColor="text1"/>
              </w:rPr>
            </w:r>
            <w:r>
              <w:rPr>
                <w:rFonts w:ascii="Arial" w:hAnsi="Arial" w:cs="Arial"/>
                <w:color w:val="000000" w:themeColor="text1"/>
              </w:rPr>
            </w:r>
          </w:p>
        </w:tc>
      </w:tr>
      <w:tr>
        <w:trPr/>
        <w:tc>
          <w:tcPr>
            <w:tcBorders/>
            <w:tcW w:w="1440" w:type="dxa"/>
            <w:textDirection w:val="lrTb"/>
            <w:noWrap w:val="false"/>
          </w:tcPr>
          <w:p w14:paraId="1F82D802">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vit_frozen_logreg</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64BDA058">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0.8620</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262A583E">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0.6130</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6DCF6D6E">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0.6052</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00E8BFD4">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0.8505</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7E7A395D">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0.8504</w:t>
            </w:r>
            <w:r>
              <w:rPr>
                <w:rFonts w:ascii="Arial" w:hAnsi="Arial" w:cs="Arial"/>
                <w:color w:val="000000" w:themeColor="text1"/>
              </w:rPr>
            </w:r>
            <w:r>
              <w:rPr>
                <w:rFonts w:ascii="Arial" w:hAnsi="Arial" w:cs="Arial"/>
                <w:color w:val="000000" w:themeColor="text1"/>
              </w:rPr>
            </w:r>
          </w:p>
        </w:tc>
      </w:tr>
      <w:tr>
        <w:trPr/>
        <w:tc>
          <w:tcPr>
            <w:tcBorders/>
            <w:tcW w:w="1440" w:type="dxa"/>
            <w:textDirection w:val="lrTb"/>
            <w:noWrap w:val="false"/>
          </w:tcPr>
          <w:p w14:paraId="0F975269">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clip_linear</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2FC11F01">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0.8620</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6D840455">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0.5799</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2F482CFB">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0.5721</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3B0965A4">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0.8503</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7024A7DA">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0.8503</w:t>
            </w:r>
            <w:r>
              <w:rPr>
                <w:rFonts w:ascii="Arial" w:hAnsi="Arial" w:cs="Arial"/>
                <w:color w:val="000000" w:themeColor="text1"/>
              </w:rPr>
            </w:r>
            <w:r>
              <w:rPr>
                <w:rFonts w:ascii="Arial" w:hAnsi="Arial" w:cs="Arial"/>
                <w:color w:val="000000" w:themeColor="text1"/>
              </w:rPr>
            </w:r>
          </w:p>
        </w:tc>
      </w:tr>
      <w:tr>
        <w:trPr/>
        <w:tc>
          <w:tcPr>
            <w:tcBorders/>
            <w:tcW w:w="1440" w:type="dxa"/>
            <w:textDirection w:val="lrTb"/>
            <w:noWrap w:val="false"/>
          </w:tcPr>
          <w:p w14:paraId="3EA7C77C">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blip2_zero_shot_clip</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1B438123">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0.0638</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5E2E6610">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0.0529</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31DC4E8E">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0.0254</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2BE2E2D6">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0.0386</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76A45054">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0.0303</w:t>
            </w:r>
            <w:r>
              <w:rPr>
                <w:rFonts w:ascii="Arial" w:hAnsi="Arial" w:cs="Arial"/>
                <w:color w:val="000000" w:themeColor="text1"/>
              </w:rPr>
            </w:r>
            <w:r>
              <w:rPr>
                <w:rFonts w:ascii="Arial" w:hAnsi="Arial" w:cs="Arial"/>
                <w:color w:val="000000" w:themeColor="text1"/>
              </w:rPr>
            </w:r>
          </w:p>
        </w:tc>
      </w:tr>
    </w:tbl>
    <w:p w14:paraId="6C543383">
      <w:pPr>
        <w:pStyle w:val="1128"/>
        <w:suppressLineNumbers w:val="false"/>
        <w:pBdr/>
        <w:spacing w:line="300" w:lineRule="auto"/>
        <w:ind w:left="1440"/>
        <w:rPr>
          <w:bCs/>
          <w:i/>
          <w:highlight w:val="none"/>
          <w:lang w:val="en-US"/>
        </w:rPr>
      </w:pPr>
      <w:r>
        <w:rPr>
          <w:i/>
          <w:iCs/>
          <w:lang w:val="en-US"/>
        </w:rPr>
        <w:t xml:space="preserve">Table 3.6 </w:t>
      </w:r>
      <w:r>
        <w:rPr>
          <w:i/>
          <w:iCs/>
          <w:lang w:val="en-US"/>
        </w:rPr>
        <w:t xml:space="preserve">HyperKvasir Overall Test Metrics</w:t>
      </w:r>
      <w:r>
        <w:rPr>
          <w:bCs/>
          <w:i/>
          <w:highlight w:val="none"/>
          <w:lang w:val="en-US"/>
        </w:rPr>
      </w:r>
      <w:r>
        <w:rPr>
          <w:bCs/>
          <w:i/>
          <w:highlight w:val="none"/>
          <w:lang w:val="en-US"/>
        </w:rPr>
      </w:r>
    </w:p>
    <w:p w14:paraId="4F382B4B" w14:textId="64741AF3">
      <w:pPr>
        <w:pStyle w:val="1128"/>
        <w:suppressLineNumbers w:val="false"/>
        <w:pBdr/>
        <w:spacing w:line="300" w:lineRule="auto"/>
        <w:ind w:firstLine="0"/>
        <w:rPr>
          <w:highlight w:val="none"/>
        </w:rPr>
      </w:pPr>
      <w:r>
        <w:t xml:space="preserve">Table 3.6 summarizes overall test performance for supervised and frozen-feature baselines, alongside a zero-shot VLM baseline projected into a label space (as recorded in the persisted artifact outputs).</w:t>
      </w:r>
      <w:r>
        <w:rPr>
          <w:highlight w:val="none"/>
        </w:rPr>
      </w:r>
      <w:r>
        <w:rPr>
          <w:highlight w:val="none"/>
        </w:rPr>
      </w:r>
    </w:p>
    <w:p w14:paraId="30B9D6B8">
      <w:pPr>
        <w:pStyle w:val="1128"/>
        <w:suppressLineNumbers w:val="false"/>
        <w:pBdr/>
        <w:spacing w:line="300" w:lineRule="auto"/>
        <w:ind w:firstLine="0"/>
        <w:rPr/>
      </w:pPr>
      <w:r>
        <w:rPr>
          <w:highlight w:val="none"/>
          <w:lang w:val="en-US"/>
        </w:rPr>
        <w:t xml:space="preserve">T</w:t>
      </w:r>
      <w:r>
        <w:rPr>
          <w:highlight w:val="none"/>
        </w:rPr>
        <w:t xml:space="preserve">h</w:t>
      </w:r>
      <w:r>
        <w:rPr>
          <w:highlight w:val="none"/>
        </w:rPr>
        <w:t xml:space="preserve">e supervised and frozen-feature pipelines form a strong reliability baseline on aggregate metrics, while the zero-shot VLM baseline performs poorly on this closed-label classification setting. However, aggregate metrics alone are insufficient in a long-tai</w:t>
      </w:r>
      <w:r>
        <w:rPr>
          <w:highlight w:val="none"/>
        </w:rPr>
        <w:t xml:space="preserve">l regime. In particular, balanced accuracy and macro-F1 are emphasized here because they weight minority classes more fairly than raw accuracy.</w:t>
      </w:r>
      <w:r>
        <w:rPr>
          <w:highlight w:val="none"/>
        </w:rPr>
      </w:r>
      <w:r/>
    </w:p>
    <w:p w14:paraId="2E2935A9">
      <w:pPr>
        <w:pStyle w:val="1128"/>
        <w:suppressLineNumbers w:val="false"/>
        <w:pBdr/>
        <w:spacing w:line="300" w:lineRule="auto"/>
        <w:ind w:firstLine="0"/>
        <w:rPr/>
      </w:pPr>
      <w:r>
        <w:rPr>
          <w:highlight w:val="none"/>
        </w:rPr>
        <w:t xml:space="preserve">To quantify long-tail robustness explicitly, Table 3.7 reports rare-class and common-class recall slices (as defined in the persisted report), along with a head–tail recall gap.</w:t>
      </w:r>
      <w:r>
        <w:rPr>
          <w:highlight w:val="none"/>
        </w:rPr>
      </w:r>
      <w:r/>
    </w:p>
    <w:tbl>
      <w:tblPr>
        <w:tblStyle w:val="1185"/>
        <w:tblW w:w="0" w:type="auto"/>
        <w:tblBorders/>
        <w:tblLook w:val="04A0" w:firstRow="1" w:lastRow="0" w:firstColumn="1" w:lastColumn="0" w:noHBand="0" w:noVBand="1"/>
      </w:tblPr>
      <w:tblGrid>
        <w:gridCol w:w="2160"/>
        <w:gridCol w:w="2160"/>
        <w:gridCol w:w="2160"/>
        <w:gridCol w:w="2160"/>
      </w:tblGrid>
      <w:tr>
        <w:trPr/>
        <w:tc>
          <w:tcPr>
            <w:tcBorders/>
            <w:tcW w:w="2160" w:type="dxa"/>
            <w:textDirection w:val="lrTb"/>
            <w:noWrap w:val="false"/>
          </w:tcPr>
          <w:p w14:paraId="5B509705">
            <w:pPr>
              <w:pBdr/>
              <w:spacing w:after="0" w:before="0" w:line="240" w:lineRule="auto"/>
              <w:ind/>
              <w:rPr>
                <w:rFonts w:ascii="Arial" w:hAnsi="Arial" w:cs="Arial"/>
                <w:color w:val="000000" w:themeColor="text1"/>
              </w:rPr>
            </w:pPr>
            <w:r>
              <w:rPr>
                <w:rFonts w:ascii="Arial" w:hAnsi="Arial" w:eastAsia="Arial" w:cs="Arial"/>
                <w:b/>
                <w:color w:val="000000" w:themeColor="text1"/>
                <w:sz w:val="21"/>
              </w:rPr>
              <w:t xml:space="preserve">Model</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39EC4F00">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Rare-class recall (support &lt;= 5)</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6F17E937">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Common-class recall (support &gt;= 90)</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2360F91B">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Common-minus-rare gap</w:t>
            </w:r>
            <w:r>
              <w:rPr>
                <w:rFonts w:ascii="Arial" w:hAnsi="Arial" w:cs="Arial"/>
                <w:color w:val="000000" w:themeColor="text1"/>
              </w:rPr>
            </w:r>
            <w:r>
              <w:rPr>
                <w:rFonts w:ascii="Arial" w:hAnsi="Arial" w:cs="Arial"/>
                <w:color w:val="000000" w:themeColor="text1"/>
              </w:rPr>
            </w:r>
          </w:p>
        </w:tc>
      </w:tr>
      <w:tr>
        <w:trPr/>
        <w:tc>
          <w:tcPr>
            <w:tcBorders/>
            <w:tcW w:w="2160" w:type="dxa"/>
            <w:textDirection w:val="lrTb"/>
            <w:noWrap w:val="false"/>
          </w:tcPr>
          <w:p w14:paraId="11B70E66">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resnet50_supervised</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7998CF46">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0.1595</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7C7F0236">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0.9375</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2B9EFE4B">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0.7779</w:t>
            </w:r>
            <w:r>
              <w:rPr>
                <w:rFonts w:ascii="Arial" w:hAnsi="Arial" w:cs="Arial"/>
                <w:color w:val="000000" w:themeColor="text1"/>
              </w:rPr>
            </w:r>
            <w:r>
              <w:rPr>
                <w:rFonts w:ascii="Arial" w:hAnsi="Arial" w:cs="Arial"/>
                <w:color w:val="000000" w:themeColor="text1"/>
              </w:rPr>
            </w:r>
          </w:p>
        </w:tc>
      </w:tr>
      <w:tr>
        <w:trPr/>
        <w:tc>
          <w:tcPr>
            <w:tcBorders/>
            <w:tcW w:w="2160" w:type="dxa"/>
            <w:textDirection w:val="lrTb"/>
            <w:noWrap w:val="false"/>
          </w:tcPr>
          <w:p w14:paraId="7F3D62B3">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vit_supervised</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7AF8EFB6">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0.0000</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622A3948">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0.9432</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65BE38D1">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0.9432</w:t>
            </w:r>
            <w:r>
              <w:rPr>
                <w:rFonts w:ascii="Arial" w:hAnsi="Arial" w:cs="Arial"/>
                <w:color w:val="000000" w:themeColor="text1"/>
              </w:rPr>
            </w:r>
            <w:r>
              <w:rPr>
                <w:rFonts w:ascii="Arial" w:hAnsi="Arial" w:cs="Arial"/>
                <w:color w:val="000000" w:themeColor="text1"/>
              </w:rPr>
            </w:r>
          </w:p>
        </w:tc>
      </w:tr>
      <w:tr>
        <w:trPr/>
        <w:tc>
          <w:tcPr>
            <w:tcBorders/>
            <w:tcW w:w="2160" w:type="dxa"/>
            <w:textDirection w:val="lrTb"/>
            <w:noWrap w:val="false"/>
          </w:tcPr>
          <w:p w14:paraId="14DD8ABC">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vit_frozen_logreg</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66CFC646">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0.1714</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05A35BA2">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0.9120</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5C8A0D73">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0.7406</w:t>
            </w:r>
            <w:r>
              <w:rPr>
                <w:rFonts w:ascii="Arial" w:hAnsi="Arial" w:cs="Arial"/>
                <w:color w:val="000000" w:themeColor="text1"/>
              </w:rPr>
            </w:r>
            <w:r>
              <w:rPr>
                <w:rFonts w:ascii="Arial" w:hAnsi="Arial" w:cs="Arial"/>
                <w:color w:val="000000" w:themeColor="text1"/>
              </w:rPr>
            </w:r>
          </w:p>
        </w:tc>
      </w:tr>
      <w:tr>
        <w:trPr/>
        <w:tc>
          <w:tcPr>
            <w:tcBorders/>
            <w:tcW w:w="2160" w:type="dxa"/>
            <w:textDirection w:val="lrTb"/>
            <w:noWrap w:val="false"/>
          </w:tcPr>
          <w:p w14:paraId="2EBA6C09">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clip_linear</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55BBF167">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0.0476</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0BD77B4C">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0.9091</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112CC03D">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0.8615</w:t>
            </w:r>
            <w:r>
              <w:rPr>
                <w:rFonts w:ascii="Arial" w:hAnsi="Arial" w:cs="Arial"/>
                <w:color w:val="000000" w:themeColor="text1"/>
              </w:rPr>
            </w:r>
            <w:r>
              <w:rPr>
                <w:rFonts w:ascii="Arial" w:hAnsi="Arial" w:cs="Arial"/>
                <w:color w:val="000000" w:themeColor="text1"/>
              </w:rPr>
            </w:r>
          </w:p>
        </w:tc>
      </w:tr>
      <w:tr>
        <w:trPr/>
        <w:tc>
          <w:tcPr>
            <w:tcBorders/>
            <w:tcW w:w="2160" w:type="dxa"/>
            <w:textDirection w:val="lrTb"/>
            <w:noWrap w:val="false"/>
          </w:tcPr>
          <w:p w14:paraId="2E194843">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blip2_zero_shot_clip</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2C5BAF50">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0.0000</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25FFF0A5">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0.0471</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7CE4D056">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0.0471</w:t>
            </w:r>
            <w:r>
              <w:rPr>
                <w:rFonts w:ascii="Arial" w:hAnsi="Arial" w:cs="Arial"/>
                <w:color w:val="000000" w:themeColor="text1"/>
              </w:rPr>
            </w:r>
            <w:r>
              <w:rPr>
                <w:rFonts w:ascii="Arial" w:hAnsi="Arial" w:cs="Arial"/>
                <w:color w:val="000000" w:themeColor="text1"/>
              </w:rPr>
            </w:r>
          </w:p>
        </w:tc>
      </w:tr>
    </w:tbl>
    <w:p w14:paraId="6C543383">
      <w:pPr>
        <w:pStyle w:val="1128"/>
        <w:suppressLineNumbers w:val="false"/>
        <w:pBdr/>
        <w:spacing w:line="300" w:lineRule="auto"/>
        <w:ind w:left="1440"/>
        <w:rPr>
          <w:bCs/>
          <w:i/>
          <w:highlight w:val="none"/>
          <w:lang w:val="en-US"/>
        </w:rPr>
      </w:pPr>
      <w:r>
        <w:rPr>
          <w:i/>
          <w:iCs/>
          <w:lang w:val="en-US"/>
        </w:rPr>
        <w:t xml:space="preserve">Table 3.7 </w:t>
      </w:r>
      <w:r>
        <w:rPr>
          <w:i/>
          <w:iCs/>
          <w:lang w:val="en-US"/>
        </w:rPr>
        <w:t xml:space="preserve">HyperKvasir Imbalance Robustness Slices</w:t>
      </w:r>
      <w:r>
        <w:rPr>
          <w:bCs/>
          <w:i/>
          <w:highlight w:val="none"/>
          <w:lang w:val="en-US"/>
        </w:rPr>
      </w:r>
      <w:r>
        <w:rPr>
          <w:bCs/>
          <w:i/>
          <w:highlight w:val="none"/>
          <w:lang w:val="en-US"/>
        </w:rPr>
      </w:r>
    </w:p>
    <w:p w14:paraId="21620F4D">
      <w:pPr>
        <w:pStyle w:val="1128"/>
        <w:suppressLineNumbers w:val="false"/>
        <w:pBdr/>
        <w:spacing w:line="300" w:lineRule="auto"/>
        <w:ind w:firstLine="0"/>
        <w:rPr/>
      </w:pPr>
      <w:r>
        <w:rPr>
          <w:rFonts w:ascii="Arial" w:hAnsi="Arial" w:cs="Arial"/>
          <w:color w:val="000000" w:themeColor="text1"/>
        </w:rPr>
        <w:t xml:space="preserve">A</w:t>
      </w:r>
      <w:r>
        <w:rPr>
          <w:rFonts w:ascii="Arial" w:hAnsi="Arial" w:cs="Arial"/>
          <w:color w:val="000000" w:themeColor="text1"/>
        </w:rPr>
        <w:t xml:space="preserve">ll high-accuracy models exhibit substantial head–tail asymmetry: common-class recall is high while rare-class recall remains low. Notably, some models achieve strong common-class recall while still scoring near zero on rare-class recall, illustrating why l</w:t>
      </w:r>
      <w:r>
        <w:rPr>
          <w:rFonts w:ascii="Arial" w:hAnsi="Arial" w:cs="Arial"/>
          <w:color w:val="000000" w:themeColor="text1"/>
        </w:rPr>
        <w:t xml:space="preserve">ong-tail evaluation slices are required for risk-aware interpretation. This result motivates later chapters to treat minority-class behavior as a first-class reliability requirement, rather than assuming that high overall accuracy implies safe performance.</w:t>
      </w:r>
      <w:r>
        <w:rPr>
          <w:rFonts w:ascii="Arial" w:hAnsi="Arial" w:cs="Arial"/>
          <w:color w:val="000000" w:themeColor="text1"/>
        </w:rPr>
      </w:r>
      <w:r/>
    </w:p>
    <w:p w14:paraId="6FD22AC2">
      <w:pPr>
        <w:pStyle w:val="1128"/>
        <w:suppressLineNumbers w:val="false"/>
        <w:pBdr/>
        <w:spacing w:line="300" w:lineRule="auto"/>
        <w:ind w:firstLine="0"/>
        <w:rPr>
          <w:rFonts w:ascii="Arial" w:hAnsi="Arial" w:cs="Arial"/>
          <w:color w:val="000000" w:themeColor="text1"/>
          <w:highlight w:val="none"/>
        </w:rPr>
      </w:pPr>
      <w:r>
        <w:rPr>
          <w:rFonts w:ascii="Arial" w:hAnsi="Arial" w:cs="Arial"/>
          <w:color w:val="000000" w:themeColor="text1"/>
        </w:rPr>
        <w:t xml:space="preserve">Where paired predictions are available in the artifacts, Table 3.8 reports selected McNemar tests to assess whether differences between model variants are likely to be noise-level fluctuations on the same test examples.</w:t>
      </w:r>
      <w:r>
        <w:rPr>
          <w:rFonts w:ascii="Arial" w:hAnsi="Arial" w:cs="Arial"/>
          <w:color w:val="000000" w:themeColor="text1"/>
          <w:highlight w:val="none"/>
        </w:rPr>
      </w:r>
      <w:r>
        <w:rPr>
          <w:rFonts w:ascii="Arial" w:hAnsi="Arial" w:cs="Arial"/>
          <w:color w:val="000000" w:themeColor="text1"/>
          <w:highlight w:val="none"/>
        </w:rPr>
      </w:r>
    </w:p>
    <w:p w14:paraId="736A206F">
      <w:pPr>
        <w:pStyle w:val="1128"/>
        <w:suppressLineNumbers w:val="false"/>
        <w:pBdr/>
        <w:spacing w:line="300" w:lineRule="auto"/>
        <w:ind w:firstLine="0"/>
        <w:rPr>
          <w:rFonts w:ascii="Arial" w:hAnsi="Arial" w:cs="Arial"/>
          <w:color w:val="000000" w:themeColor="text1"/>
        </w:rPr>
      </w:pPr>
      <w:r>
        <w:rPr>
          <w:rFonts w:ascii="Arial" w:hAnsi="Arial" w:cs="Arial"/>
          <w:color w:val="000000" w:themeColor="text1"/>
        </w:rPr>
      </w:r>
      <w:r>
        <w:rPr>
          <w:rFonts w:ascii="Arial" w:hAnsi="Arial" w:cs="Arial"/>
          <w:color w:val="000000" w:themeColor="text1"/>
        </w:rPr>
      </w:r>
      <w:r>
        <w:rPr>
          <w:rFonts w:ascii="Arial" w:hAnsi="Arial" w:cs="Arial"/>
          <w:color w:val="000000" w:themeColor="text1"/>
        </w:rPr>
      </w:r>
    </w:p>
    <w:p w14:paraId="565CE2BD">
      <w:pPr>
        <w:pStyle w:val="1128"/>
        <w:suppressLineNumbers w:val="false"/>
        <w:pBdr/>
        <w:spacing w:line="300" w:lineRule="auto"/>
        <w:ind w:firstLine="0"/>
        <w:rPr>
          <w:rFonts w:ascii="Arial" w:hAnsi="Arial" w:cs="Arial"/>
          <w:color w:val="000000" w:themeColor="text1"/>
        </w:rPr>
      </w:pPr>
      <w:r>
        <w:rPr>
          <w:rFonts w:ascii="Arial" w:hAnsi="Arial" w:cs="Arial"/>
          <w:color w:val="000000" w:themeColor="text1"/>
          <w:highlight w:val="none"/>
        </w:rPr>
      </w:r>
      <w:r>
        <w:rPr>
          <w:rFonts w:ascii="Arial" w:hAnsi="Arial" w:cs="Arial"/>
          <w:color w:val="000000" w:themeColor="text1"/>
        </w:rPr>
      </w:r>
      <w:r>
        <w:rPr>
          <w:rFonts w:ascii="Arial" w:hAnsi="Arial" w:cs="Arial"/>
          <w:color w:val="000000" w:themeColor="text1"/>
        </w:rPr>
      </w:r>
    </w:p>
    <w:tbl>
      <w:tblPr>
        <w:tblStyle w:val="1185"/>
        <w:tblW w:w="0" w:type="auto"/>
        <w:tblBorders/>
        <w:tblLook w:val="04A0" w:firstRow="1" w:lastRow="0" w:firstColumn="1" w:lastColumn="0" w:noHBand="0" w:noVBand="1"/>
      </w:tblPr>
      <w:tblGrid>
        <w:gridCol w:w="2160"/>
        <w:gridCol w:w="2160"/>
        <w:gridCol w:w="2160"/>
        <w:gridCol w:w="2160"/>
      </w:tblGrid>
      <w:tr>
        <w:trPr/>
        <w:tc>
          <w:tcPr>
            <w:tcBorders/>
            <w:tcW w:w="2160" w:type="dxa"/>
            <w:textDirection w:val="lrTb"/>
            <w:noWrap w:val="false"/>
          </w:tcPr>
          <w:p w14:paraId="41C4A723">
            <w:pPr>
              <w:pBdr/>
              <w:spacing w:after="0" w:before="0" w:line="240" w:lineRule="auto"/>
              <w:ind/>
              <w:rPr>
                <w:rFonts w:ascii="Arial" w:hAnsi="Arial" w:cs="Arial"/>
                <w:color w:val="000000" w:themeColor="text1"/>
              </w:rPr>
            </w:pPr>
            <w:r>
              <w:rPr>
                <w:rFonts w:ascii="Arial" w:hAnsi="Arial" w:eastAsia="Arial" w:cs="Arial"/>
                <w:b/>
                <w:color w:val="000000" w:themeColor="text1"/>
                <w:sz w:val="21"/>
              </w:rPr>
              <w:t xml:space="preserve">Pair</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1FDFC41B">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n01 (A wrong, B right)</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19313017">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n10 (A right, B wrong)</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0850E9AF">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p-value</w:t>
            </w:r>
            <w:r>
              <w:rPr>
                <w:rFonts w:ascii="Arial" w:hAnsi="Arial" w:cs="Arial"/>
                <w:color w:val="000000" w:themeColor="text1"/>
              </w:rPr>
            </w:r>
            <w:r>
              <w:rPr>
                <w:rFonts w:ascii="Arial" w:hAnsi="Arial" w:cs="Arial"/>
                <w:color w:val="000000" w:themeColor="text1"/>
              </w:rPr>
            </w:r>
          </w:p>
        </w:tc>
      </w:tr>
      <w:tr>
        <w:trPr/>
        <w:tc>
          <w:tcPr>
            <w:tcBorders/>
            <w:tcW w:w="2160" w:type="dxa"/>
            <w:textDirection w:val="lrTb"/>
            <w:noWrap w:val="false"/>
          </w:tcPr>
          <w:p w14:paraId="3812F22B">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vit_frozen_logreg</w:t>
            </w:r>
            <w:r>
              <w:rPr>
                <w:rFonts w:ascii="Arial" w:hAnsi="Arial" w:eastAsia="Arial" w:cs="Arial"/>
                <w:color w:val="000000" w:themeColor="text1"/>
                <w:sz w:val="21"/>
              </w:rPr>
              <w:t xml:space="preserve"> vs </w:t>
            </w:r>
            <w:r>
              <w:rPr>
                <w:rFonts w:ascii="Arial" w:hAnsi="Arial" w:eastAsia="Arial" w:cs="Arial"/>
                <w:color w:val="000000" w:themeColor="text1"/>
                <w:sz w:val="24"/>
                <w:highlight w:val="white"/>
              </w:rPr>
              <w:t xml:space="preserve">clip_linear</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2B692461">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68</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17734C10">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68</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576BA3E9">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0.931666</w:t>
            </w:r>
            <w:r>
              <w:rPr>
                <w:rFonts w:ascii="Arial" w:hAnsi="Arial" w:cs="Arial"/>
                <w:color w:val="000000" w:themeColor="text1"/>
              </w:rPr>
            </w:r>
            <w:r>
              <w:rPr>
                <w:rFonts w:ascii="Arial" w:hAnsi="Arial" w:cs="Arial"/>
                <w:color w:val="000000" w:themeColor="text1"/>
              </w:rPr>
            </w:r>
          </w:p>
        </w:tc>
      </w:tr>
      <w:tr>
        <w:trPr/>
        <w:tc>
          <w:tcPr>
            <w:tcBorders/>
            <w:tcW w:w="2160" w:type="dxa"/>
            <w:textDirection w:val="lrTb"/>
            <w:noWrap w:val="false"/>
          </w:tcPr>
          <w:p w14:paraId="4F7F19D3">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vit_frozen_logreg</w:t>
            </w:r>
            <w:r>
              <w:rPr>
                <w:rFonts w:ascii="Arial" w:hAnsi="Arial" w:eastAsia="Arial" w:cs="Arial"/>
                <w:color w:val="000000" w:themeColor="text1"/>
                <w:sz w:val="21"/>
              </w:rPr>
              <w:t xml:space="preserve"> vs </w:t>
            </w:r>
            <w:r>
              <w:rPr>
                <w:rFonts w:ascii="Arial" w:hAnsi="Arial" w:eastAsia="Arial" w:cs="Arial"/>
                <w:color w:val="000000" w:themeColor="text1"/>
                <w:sz w:val="24"/>
                <w:highlight w:val="white"/>
              </w:rPr>
              <w:t xml:space="preserve">blip2_zero_shot_clip</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699F2656">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21</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2B98B3E1">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871</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78330C1E">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&lt; 1e-6</w:t>
            </w:r>
            <w:r>
              <w:rPr>
                <w:rFonts w:ascii="Arial" w:hAnsi="Arial" w:cs="Arial"/>
                <w:color w:val="000000" w:themeColor="text1"/>
              </w:rPr>
            </w:r>
            <w:r>
              <w:rPr>
                <w:rFonts w:ascii="Arial" w:hAnsi="Arial" w:cs="Arial"/>
                <w:color w:val="000000" w:themeColor="text1"/>
              </w:rPr>
            </w:r>
          </w:p>
        </w:tc>
      </w:tr>
      <w:tr>
        <w:trPr/>
        <w:tc>
          <w:tcPr>
            <w:tcBorders/>
            <w:tcW w:w="2160" w:type="dxa"/>
            <w:textDirection w:val="lrTb"/>
            <w:noWrap w:val="false"/>
          </w:tcPr>
          <w:p w14:paraId="72B3B4A8">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clip_linear</w:t>
            </w:r>
            <w:r>
              <w:rPr>
                <w:rFonts w:ascii="Arial" w:hAnsi="Arial" w:eastAsia="Arial" w:cs="Arial"/>
                <w:color w:val="000000" w:themeColor="text1"/>
                <w:sz w:val="21"/>
              </w:rPr>
              <w:t xml:space="preserve"> vs </w:t>
            </w:r>
            <w:r>
              <w:rPr>
                <w:rFonts w:ascii="Arial" w:hAnsi="Arial" w:eastAsia="Arial" w:cs="Arial"/>
                <w:color w:val="000000" w:themeColor="text1"/>
                <w:sz w:val="24"/>
                <w:highlight w:val="white"/>
              </w:rPr>
              <w:t xml:space="preserve">blip2_zero_shot_clip</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2ED9FE98">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19</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5D0BE95B">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869</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2781361E">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&lt; 1e-6</w:t>
            </w:r>
            <w:r>
              <w:rPr>
                <w:rFonts w:ascii="Arial" w:hAnsi="Arial" w:cs="Arial"/>
                <w:color w:val="000000" w:themeColor="text1"/>
              </w:rPr>
            </w:r>
            <w:r>
              <w:rPr>
                <w:rFonts w:ascii="Arial" w:hAnsi="Arial" w:cs="Arial"/>
                <w:color w:val="000000" w:themeColor="text1"/>
              </w:rPr>
            </w:r>
          </w:p>
        </w:tc>
      </w:tr>
    </w:tbl>
    <w:p w14:paraId="6C543383">
      <w:pPr>
        <w:pStyle w:val="1128"/>
        <w:suppressLineNumbers w:val="false"/>
        <w:pBdr/>
        <w:spacing w:line="300" w:lineRule="auto"/>
        <w:ind w:left="1440"/>
        <w:rPr>
          <w:bCs/>
          <w:i/>
          <w:highlight w:val="none"/>
          <w:lang w:val="en-US"/>
        </w:rPr>
      </w:pPr>
      <w:r>
        <w:rPr>
          <w:i/>
          <w:iCs/>
          <w:lang w:val="en-US"/>
        </w:rPr>
        <w:t xml:space="preserve">Table 3.8 </w:t>
      </w:r>
      <w:r>
        <w:rPr>
          <w:i/>
          <w:iCs/>
          <w:lang w:val="en-US"/>
        </w:rPr>
        <w:t xml:space="preserve">HyperKvasir Pairwise McNemar Tests</w:t>
      </w:r>
      <w:r>
        <w:rPr>
          <w:bCs/>
          <w:i/>
          <w:highlight w:val="none"/>
          <w:lang w:val="en-US"/>
        </w:rPr>
      </w:r>
      <w:r>
        <w:rPr>
          <w:bCs/>
          <w:i/>
          <w:highlight w:val="none"/>
          <w:lang w:val="en-US"/>
        </w:rPr>
      </w:r>
    </w:p>
    <w:p w14:paraId="572EBFE3">
      <w:pPr>
        <w:pStyle w:val="1128"/>
        <w:suppressLineNumbers w:val="false"/>
        <w:pBdr/>
        <w:spacing w:line="300" w:lineRule="auto"/>
        <w:ind w:firstLine="0"/>
        <w:rPr/>
      </w:pPr>
      <w:r>
        <w:rPr>
          <w:rFonts w:ascii="Arial" w:hAnsi="Arial" w:eastAsia="Arial" w:cs="Arial"/>
          <w:color w:val="000000" w:themeColor="text1"/>
        </w:rPr>
        <w:t xml:space="preserve">I</w:t>
      </w:r>
      <w:r>
        <w:rPr>
          <w:rFonts w:ascii="Arial" w:hAnsi="Arial" w:eastAsia="Arial" w:cs="Arial"/>
          <w:color w:val="000000" w:themeColor="text1"/>
        </w:rPr>
        <w:t xml:space="preserve">n the persisted paired comparisons, vit_frozen_logreg and clip_linear show no meaningful difference (symmetric disagreement counts and high p-value), while both are strongly separated from the zero-shot baseline (highly asymmetric disagreement counts and v</w:t>
      </w:r>
      <w:r>
        <w:rPr>
          <w:rFonts w:ascii="Arial" w:hAnsi="Arial" w:eastAsia="Arial" w:cs="Arial"/>
          <w:color w:val="000000" w:themeColor="text1"/>
        </w:rPr>
        <w:t xml:space="preserve">ery small p-values). These tests support the qualitative conclusion already visible in Table 3.6: within this dataset and evidence scope, supervised/frozen discriminative pipelines dominate the zero-shot baseline.</w:t>
      </w:r>
      <w:r>
        <w:rPr>
          <w:rFonts w:ascii="Arial" w:hAnsi="Arial" w:eastAsia="Arial" w:cs="Arial"/>
          <w:color w:val="000000" w:themeColor="text1"/>
        </w:rPr>
      </w:r>
      <w:r/>
    </w:p>
    <w:p w14:paraId="555A6FE4">
      <w:pPr>
        <w:pStyle w:val="1128"/>
        <w:suppressLineNumbers w:val="false"/>
        <w:pBdr/>
        <w:spacing w:line="300" w:lineRule="auto"/>
        <w:ind w:firstLine="0"/>
        <w:rPr/>
      </w:pPr>
      <w:r>
        <w:rPr>
          <w:rFonts w:ascii="Arial" w:hAnsi="Arial" w:eastAsia="Arial" w:cs="Arial"/>
          <w:color w:val="000000" w:themeColor="text1"/>
        </w:rPr>
        <w:t xml:space="preserve">L</w:t>
      </w:r>
      <w:r>
        <w:rPr>
          <w:rFonts w:ascii="Arial" w:hAnsi="Arial" w:eastAsia="Arial" w:cs="Arial"/>
          <w:color w:val="000000" w:themeColor="text1"/>
        </w:rPr>
        <w:t xml:space="preserve">imitations and implications. HyperKvasir is used here as a GI visual grounding stress test rather than a direct VQA benchmark. Therefore, its primary value is diagnostic: it demonstrates that (i) strong aggregate performance can coexist with poor rare-clas</w:t>
      </w:r>
      <w:r>
        <w:rPr>
          <w:rFonts w:ascii="Arial" w:hAnsi="Arial" w:eastAsia="Arial" w:cs="Arial"/>
          <w:color w:val="000000" w:themeColor="text1"/>
        </w:rPr>
        <w:t xml:space="preserve">s</w:t>
      </w:r>
      <w:r>
        <w:rPr>
          <w:rFonts w:ascii="Arial" w:hAnsi="Arial" w:eastAsia="Arial" w:cs="Arial"/>
          <w:color w:val="000000" w:themeColor="text1"/>
        </w:rPr>
        <w:t xml:space="preserve"> recall, and (ii) reliable GI perception under long-tail imbalance remains a bottleneck that must be monitored explicitly. This motivates later chapters to preserve strong visual grounding components and to treat class-imbalance mitigation as necessary for</w:t>
      </w:r>
      <w:r>
        <w:rPr>
          <w:rFonts w:ascii="Arial" w:hAnsi="Arial" w:eastAsia="Arial" w:cs="Arial"/>
          <w:color w:val="000000" w:themeColor="text1"/>
        </w:rPr>
        <w:t xml:space="preserve"> clinically aligned behavior.</w:t>
      </w:r>
      <w:r>
        <w:rPr>
          <w:rFonts w:ascii="Arial" w:hAnsi="Arial" w:eastAsia="Arial" w:cs="Arial"/>
          <w:color w:val="000000" w:themeColor="text1"/>
        </w:rPr>
      </w:r>
      <w:r/>
    </w:p>
    <w:p w14:paraId="33181606">
      <w:pPr>
        <w:pStyle w:val="1128"/>
        <w:suppressLineNumbers w:val="false"/>
        <w:pBdr/>
        <w:spacing w:line="300" w:lineRule="auto"/>
        <w:ind w:firstLine="0"/>
        <w:rPr>
          <w:b/>
          <w:bCs/>
        </w:rPr>
      </w:pPr>
      <w:r>
        <w:rPr>
          <w:rFonts w:ascii="Arial" w:hAnsi="Arial" w:eastAsia="Arial" w:cs="Arial"/>
          <w:b/>
          <w:bCs/>
          <w:color w:val="000000" w:themeColor="text1"/>
        </w:rPr>
        <w:t xml:space="preserve">3.4.2 ImageCLEF MEDVQA-GI 2023: Closed-Label GI VQA</w:t>
      </w:r>
      <w:r>
        <w:rPr>
          <w:b/>
          <w:bCs/>
        </w:rPr>
      </w:r>
      <w:r>
        <w:rPr>
          <w:b/>
          <w:bCs/>
        </w:rPr>
      </w:r>
    </w:p>
    <w:p w14:paraId="00FDB3AA">
      <w:pPr>
        <w:pStyle w:val="1128"/>
        <w:suppressLineNumbers w:val="false"/>
        <w:pBdr/>
        <w:spacing w:line="300" w:lineRule="auto"/>
        <w:ind w:firstLine="0"/>
        <w:rPr/>
      </w:pPr>
      <w:r>
        <w:rPr>
          <w:rFonts w:ascii="Arial" w:hAnsi="Arial" w:eastAsia="Arial" w:cs="Arial"/>
          <w:color w:val="000000" w:themeColor="text1"/>
        </w:rPr>
        <w:t xml:space="preserve">I</w:t>
      </w:r>
      <w:r>
        <w:rPr>
          <w:rFonts w:ascii="Arial" w:hAnsi="Arial" w:eastAsia="Arial" w:cs="Arial"/>
          <w:color w:val="000000" w:themeColor="text1"/>
        </w:rPr>
        <w:t xml:space="preserve">mageCLEF MEDVQA-GI 2023 provides a closed-label VQA setting in which each question is associated with a constrained answer ID space</w:t>
      </w:r>
      <w:r>
        <w:rPr>
          <w:rFonts w:ascii="Arial" w:hAnsi="Arial" w:eastAsia="Arial" w:cs="Arial"/>
          <w:color w:val="000000" w:themeColor="text1"/>
          <w:lang w:val="en-US"/>
        </w:rPr>
        <w:t xml:space="preserve">[54], [67]</w:t>
      </w:r>
      <w:r>
        <w:rPr>
          <w:rFonts w:ascii="Arial" w:hAnsi="Arial" w:eastAsia="Arial" w:cs="Arial"/>
          <w:color w:val="000000" w:themeColor="text1"/>
        </w:rPr>
        <w:t xml:space="preserve">. This enables deterministic evaluation and is well-suited for testing the thesis’s core reliability question: how do fine-tu</w:t>
      </w:r>
      <w:r>
        <w:rPr>
          <w:rFonts w:ascii="Arial" w:hAnsi="Arial" w:eastAsia="Arial" w:cs="Arial"/>
          <w:color w:val="000000" w:themeColor="text1"/>
        </w:rPr>
        <w:t xml:space="preserve">ned multimodal VQA models compare to raw zero-shot generative VLM outputs under label constraints? In this chapter, evaluation is reported for the persisted validation split (N = 7,332) recorded in the local report artifacts.</w:t>
      </w:r>
      <w:r>
        <w:rPr>
          <w:rFonts w:ascii="Arial" w:hAnsi="Arial" w:eastAsia="Arial" w:cs="Arial"/>
          <w:color w:val="000000" w:themeColor="text1"/>
        </w:rPr>
      </w:r>
      <w:r/>
    </w:p>
    <w:p w14:paraId="0A81E393">
      <w:pPr>
        <w:pStyle w:val="1128"/>
        <w:suppressLineNumbers w:val="false"/>
        <w:pBdr/>
        <w:spacing w:line="300" w:lineRule="auto"/>
        <w:ind w:firstLine="0"/>
        <w:rPr>
          <w:rFonts w:ascii="Arial" w:hAnsi="Arial" w:cs="Arial"/>
          <w:color w:val="000000" w:themeColor="text1"/>
        </w:rPr>
      </w:pPr>
      <w:r>
        <w:rPr>
          <w:rFonts w:ascii="Arial" w:hAnsi="Arial" w:eastAsia="Arial" w:cs="Arial"/>
          <w:color w:val="000000" w:themeColor="text1"/>
        </w:rPr>
        <w:t xml:space="preserve">Table 3.9 reports overall validation metrics for a fine-tuned transformer VQA model and two zero-shot variants: “raw” (direct outputs) and “projected” (diagnostic mapping of outputs into the allowed answer space, as defined in Section 3.3).</w:t>
      </w:r>
      <w:r>
        <w:rPr>
          <w:rFonts w:ascii="Arial" w:hAnsi="Arial" w:cs="Arial"/>
          <w:color w:val="000000" w:themeColor="text1"/>
        </w:rPr>
      </w:r>
      <w:r>
        <w:rPr>
          <w:rFonts w:ascii="Arial" w:hAnsi="Arial" w:cs="Arial"/>
          <w:color w:val="000000" w:themeColor="text1"/>
        </w:rPr>
      </w:r>
    </w:p>
    <w:p w14:paraId="38131F6F">
      <w:pPr>
        <w:pStyle w:val="1128"/>
        <w:suppressLineNumbers w:val="false"/>
        <w:pBdr/>
        <w:spacing w:line="300" w:lineRule="auto"/>
        <w:ind w:firstLine="0"/>
        <w:rPr/>
      </w:pPr>
      <w:r/>
      <w:r/>
    </w:p>
    <w:tbl>
      <w:tblPr>
        <w:tblStyle w:val="1185"/>
        <w:tblW w:w="0" w:type="auto"/>
        <w:tblBorders/>
        <w:tblLayout w:type="fixed"/>
        <w:tblLook w:val="04A0" w:firstRow="1" w:lastRow="0" w:firstColumn="1" w:lastColumn="0" w:noHBand="0" w:noVBand="1"/>
      </w:tblPr>
      <w:tblGrid>
        <w:gridCol w:w="3302"/>
        <w:gridCol w:w="753"/>
        <w:gridCol w:w="1232"/>
        <w:gridCol w:w="910"/>
        <w:gridCol w:w="842"/>
        <w:gridCol w:w="800"/>
        <w:gridCol w:w="800"/>
      </w:tblGrid>
      <w:tr>
        <w:trPr/>
        <w:tc>
          <w:tcPr>
            <w:tcBorders/>
            <w:tcW w:w="3302" w:type="dxa"/>
            <w:textDirection w:val="lrTb"/>
            <w:noWrap w:val="false"/>
          </w:tcPr>
          <w:p w14:paraId="26B57746">
            <w:pPr>
              <w:pBdr/>
              <w:spacing w:after="0" w:before="0" w:line="240" w:lineRule="auto"/>
              <w:ind/>
              <w:rPr>
                <w:rFonts w:ascii="Arial" w:hAnsi="Arial" w:cs="Arial"/>
                <w:color w:val="000000" w:themeColor="text1"/>
              </w:rPr>
            </w:pPr>
            <w:r>
              <w:rPr>
                <w:rFonts w:ascii="Arial" w:hAnsi="Arial" w:eastAsia="Arial" w:cs="Arial"/>
                <w:b/>
                <w:color w:val="000000" w:themeColor="text1"/>
                <w:sz w:val="21"/>
              </w:rPr>
              <w:t xml:space="preserve">Model variant</w:t>
            </w:r>
            <w:r>
              <w:rPr>
                <w:rFonts w:ascii="Arial" w:hAnsi="Arial" w:cs="Arial"/>
                <w:color w:val="000000" w:themeColor="text1"/>
              </w:rPr>
            </w:r>
            <w:r>
              <w:rPr>
                <w:rFonts w:ascii="Arial" w:hAnsi="Arial" w:cs="Arial"/>
                <w:color w:val="000000" w:themeColor="text1"/>
              </w:rPr>
            </w:r>
          </w:p>
        </w:tc>
        <w:tc>
          <w:tcPr>
            <w:tcBorders/>
            <w:tcW w:w="753" w:type="dxa"/>
            <w:textDirection w:val="lrTb"/>
            <w:noWrap w:val="false"/>
          </w:tcPr>
          <w:p w14:paraId="3011821E">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N</w:t>
            </w:r>
            <w:r>
              <w:rPr>
                <w:rFonts w:ascii="Arial" w:hAnsi="Arial" w:cs="Arial"/>
                <w:color w:val="000000" w:themeColor="text1"/>
              </w:rPr>
            </w:r>
            <w:r>
              <w:rPr>
                <w:rFonts w:ascii="Arial" w:hAnsi="Arial" w:cs="Arial"/>
                <w:color w:val="000000" w:themeColor="text1"/>
              </w:rPr>
            </w:r>
          </w:p>
        </w:tc>
        <w:tc>
          <w:tcPr>
            <w:tcBorders/>
            <w:tcW w:w="1232" w:type="dxa"/>
            <w:textDirection w:val="lrTb"/>
            <w:noWrap w:val="false"/>
          </w:tcPr>
          <w:p w14:paraId="3E5EC3FF">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Accuracy</w:t>
            </w:r>
            <w:r>
              <w:rPr>
                <w:rFonts w:ascii="Arial" w:hAnsi="Arial" w:cs="Arial"/>
                <w:color w:val="000000" w:themeColor="text1"/>
              </w:rPr>
            </w:r>
            <w:r>
              <w:rPr>
                <w:rFonts w:ascii="Arial" w:hAnsi="Arial" w:cs="Arial"/>
                <w:color w:val="000000" w:themeColor="text1"/>
              </w:rPr>
            </w:r>
          </w:p>
        </w:tc>
        <w:tc>
          <w:tcPr>
            <w:tcBorders/>
            <w:tcW w:w="910" w:type="dxa"/>
            <w:textDirection w:val="lrTb"/>
            <w:noWrap w:val="false"/>
          </w:tcPr>
          <w:p w14:paraId="5908D426">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Balanced Acc</w:t>
            </w:r>
            <w:r>
              <w:rPr>
                <w:rFonts w:ascii="Arial" w:hAnsi="Arial" w:cs="Arial"/>
                <w:color w:val="000000" w:themeColor="text1"/>
              </w:rPr>
            </w:r>
            <w:r>
              <w:rPr>
                <w:rFonts w:ascii="Arial" w:hAnsi="Arial" w:cs="Arial"/>
                <w:color w:val="000000" w:themeColor="text1"/>
              </w:rPr>
            </w:r>
          </w:p>
        </w:tc>
        <w:tc>
          <w:tcPr>
            <w:tcBorders/>
            <w:tcW w:w="842" w:type="dxa"/>
            <w:textDirection w:val="lrTb"/>
            <w:noWrap w:val="false"/>
          </w:tcPr>
          <w:p w14:paraId="00B93534">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Macro-F1</w:t>
            </w:r>
            <w:r>
              <w:rPr>
                <w:rFonts w:ascii="Arial" w:hAnsi="Arial" w:cs="Arial"/>
                <w:color w:val="000000" w:themeColor="text1"/>
              </w:rPr>
            </w:r>
            <w:r>
              <w:rPr>
                <w:rFonts w:ascii="Arial" w:hAnsi="Arial" w:cs="Arial"/>
                <w:color w:val="000000" w:themeColor="text1"/>
              </w:rPr>
            </w:r>
          </w:p>
        </w:tc>
        <w:tc>
          <w:tcPr>
            <w:tcBorders/>
            <w:tcW w:w="800" w:type="dxa"/>
            <w:textDirection w:val="lrTb"/>
            <w:noWrap w:val="false"/>
          </w:tcPr>
          <w:p w14:paraId="4F9FEDB4">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MCC</w:t>
            </w:r>
            <w:r>
              <w:rPr>
                <w:rFonts w:ascii="Arial" w:hAnsi="Arial" w:cs="Arial"/>
                <w:color w:val="000000" w:themeColor="text1"/>
              </w:rPr>
            </w:r>
            <w:r>
              <w:rPr>
                <w:rFonts w:ascii="Arial" w:hAnsi="Arial" w:cs="Arial"/>
                <w:color w:val="000000" w:themeColor="text1"/>
              </w:rPr>
            </w:r>
          </w:p>
        </w:tc>
        <w:tc>
          <w:tcPr>
            <w:tcBorders/>
            <w:tcW w:w="800" w:type="dxa"/>
            <w:textDirection w:val="lrTb"/>
            <w:noWrap w:val="false"/>
          </w:tcPr>
          <w:p w14:paraId="2F35A012">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Kappa</w:t>
            </w:r>
            <w:r>
              <w:rPr>
                <w:rFonts w:ascii="Arial" w:hAnsi="Arial" w:cs="Arial"/>
                <w:color w:val="000000" w:themeColor="text1"/>
              </w:rPr>
            </w:r>
            <w:r>
              <w:rPr>
                <w:rFonts w:ascii="Arial" w:hAnsi="Arial" w:cs="Arial"/>
                <w:color w:val="000000" w:themeColor="text1"/>
              </w:rPr>
            </w:r>
          </w:p>
        </w:tc>
      </w:tr>
      <w:tr>
        <w:trPr/>
        <w:tc>
          <w:tcPr>
            <w:tcBorders/>
            <w:tcW w:w="3302" w:type="dxa"/>
            <w:textDirection w:val="lrTb"/>
            <w:noWrap w:val="false"/>
          </w:tcPr>
          <w:p w14:paraId="44DE8493">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vilt_finetune</w:t>
            </w:r>
            <w:r>
              <w:rPr>
                <w:rFonts w:ascii="Arial" w:hAnsi="Arial" w:cs="Arial"/>
                <w:color w:val="000000" w:themeColor="text1"/>
              </w:rPr>
            </w:r>
            <w:r>
              <w:rPr>
                <w:rFonts w:ascii="Arial" w:hAnsi="Arial" w:cs="Arial"/>
                <w:color w:val="000000" w:themeColor="text1"/>
              </w:rPr>
            </w:r>
          </w:p>
        </w:tc>
        <w:tc>
          <w:tcPr>
            <w:tcBorders/>
            <w:tcW w:w="753" w:type="dxa"/>
            <w:textDirection w:val="lrTb"/>
            <w:noWrap w:val="false"/>
          </w:tcPr>
          <w:p w14:paraId="051A1897">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7,332</w:t>
            </w:r>
            <w:r>
              <w:rPr>
                <w:rFonts w:ascii="Arial" w:hAnsi="Arial" w:cs="Arial"/>
                <w:color w:val="000000" w:themeColor="text1"/>
              </w:rPr>
            </w:r>
            <w:r>
              <w:rPr>
                <w:rFonts w:ascii="Arial" w:hAnsi="Arial" w:cs="Arial"/>
                <w:color w:val="000000" w:themeColor="text1"/>
              </w:rPr>
            </w:r>
          </w:p>
        </w:tc>
        <w:tc>
          <w:tcPr>
            <w:tcBorders/>
            <w:tcW w:w="1232" w:type="dxa"/>
            <w:textDirection w:val="lrTb"/>
            <w:noWrap w:val="false"/>
          </w:tcPr>
          <w:p w14:paraId="28386520">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0.9089</w:t>
            </w:r>
            <w:r>
              <w:rPr>
                <w:rFonts w:ascii="Arial" w:hAnsi="Arial" w:cs="Arial"/>
                <w:color w:val="000000" w:themeColor="text1"/>
              </w:rPr>
            </w:r>
            <w:r>
              <w:rPr>
                <w:rFonts w:ascii="Arial" w:hAnsi="Arial" w:cs="Arial"/>
                <w:color w:val="000000" w:themeColor="text1"/>
              </w:rPr>
            </w:r>
          </w:p>
        </w:tc>
        <w:tc>
          <w:tcPr>
            <w:tcBorders/>
            <w:tcW w:w="910" w:type="dxa"/>
            <w:textDirection w:val="lrTb"/>
            <w:noWrap w:val="false"/>
          </w:tcPr>
          <w:p w14:paraId="35FD04D5">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0.5853</w:t>
            </w:r>
            <w:r>
              <w:rPr>
                <w:rFonts w:ascii="Arial" w:hAnsi="Arial" w:cs="Arial"/>
                <w:color w:val="000000" w:themeColor="text1"/>
              </w:rPr>
            </w:r>
            <w:r>
              <w:rPr>
                <w:rFonts w:ascii="Arial" w:hAnsi="Arial" w:cs="Arial"/>
                <w:color w:val="000000" w:themeColor="text1"/>
              </w:rPr>
            </w:r>
          </w:p>
        </w:tc>
        <w:tc>
          <w:tcPr>
            <w:tcBorders/>
            <w:tcW w:w="842" w:type="dxa"/>
            <w:textDirection w:val="lrTb"/>
            <w:noWrap w:val="false"/>
          </w:tcPr>
          <w:p w14:paraId="6152C4E2">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0.5823</w:t>
            </w:r>
            <w:r>
              <w:rPr>
                <w:rFonts w:ascii="Arial" w:hAnsi="Arial" w:cs="Arial"/>
                <w:color w:val="000000" w:themeColor="text1"/>
              </w:rPr>
            </w:r>
            <w:r>
              <w:rPr>
                <w:rFonts w:ascii="Arial" w:hAnsi="Arial" w:cs="Arial"/>
                <w:color w:val="000000" w:themeColor="text1"/>
              </w:rPr>
            </w:r>
          </w:p>
        </w:tc>
        <w:tc>
          <w:tcPr>
            <w:tcBorders/>
            <w:tcW w:w="800" w:type="dxa"/>
            <w:textDirection w:val="lrTb"/>
            <w:noWrap w:val="false"/>
          </w:tcPr>
          <w:p w14:paraId="7E9E0D59">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0.8876</w:t>
            </w:r>
            <w:r>
              <w:rPr>
                <w:rFonts w:ascii="Arial" w:hAnsi="Arial" w:cs="Arial"/>
                <w:color w:val="000000" w:themeColor="text1"/>
              </w:rPr>
            </w:r>
            <w:r>
              <w:rPr>
                <w:rFonts w:ascii="Arial" w:hAnsi="Arial" w:cs="Arial"/>
                <w:color w:val="000000" w:themeColor="text1"/>
              </w:rPr>
            </w:r>
          </w:p>
        </w:tc>
        <w:tc>
          <w:tcPr>
            <w:tcBorders/>
            <w:tcW w:w="800" w:type="dxa"/>
            <w:textDirection w:val="lrTb"/>
            <w:noWrap w:val="false"/>
          </w:tcPr>
          <w:p w14:paraId="0AA89B37">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0.8875</w:t>
            </w:r>
            <w:r>
              <w:rPr>
                <w:rFonts w:ascii="Arial" w:hAnsi="Arial" w:cs="Arial"/>
                <w:color w:val="000000" w:themeColor="text1"/>
              </w:rPr>
            </w:r>
            <w:r>
              <w:rPr>
                <w:rFonts w:ascii="Arial" w:hAnsi="Arial" w:cs="Arial"/>
                <w:color w:val="000000" w:themeColor="text1"/>
              </w:rPr>
            </w:r>
          </w:p>
        </w:tc>
      </w:tr>
      <w:tr>
        <w:trPr/>
        <w:tc>
          <w:tcPr>
            <w:tcBorders/>
            <w:tcW w:w="3302" w:type="dxa"/>
            <w:textDirection w:val="lrTb"/>
            <w:noWrap w:val="false"/>
          </w:tcPr>
          <w:p w14:paraId="74ABC6D8">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qwen2_5_vl_zeroshot_raw</w:t>
            </w:r>
            <w:r>
              <w:rPr>
                <w:rFonts w:ascii="Arial" w:hAnsi="Arial" w:cs="Arial"/>
                <w:color w:val="000000" w:themeColor="text1"/>
              </w:rPr>
            </w:r>
            <w:r>
              <w:rPr>
                <w:rFonts w:ascii="Arial" w:hAnsi="Arial" w:cs="Arial"/>
                <w:color w:val="000000" w:themeColor="text1"/>
              </w:rPr>
            </w:r>
          </w:p>
        </w:tc>
        <w:tc>
          <w:tcPr>
            <w:tcBorders/>
            <w:tcW w:w="753" w:type="dxa"/>
            <w:textDirection w:val="lrTb"/>
            <w:noWrap w:val="false"/>
          </w:tcPr>
          <w:p w14:paraId="2F433920">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7,332</w:t>
            </w:r>
            <w:r>
              <w:rPr>
                <w:rFonts w:ascii="Arial" w:hAnsi="Arial" w:cs="Arial"/>
                <w:color w:val="000000" w:themeColor="text1"/>
              </w:rPr>
            </w:r>
            <w:r>
              <w:rPr>
                <w:rFonts w:ascii="Arial" w:hAnsi="Arial" w:cs="Arial"/>
                <w:color w:val="000000" w:themeColor="text1"/>
              </w:rPr>
            </w:r>
          </w:p>
        </w:tc>
        <w:tc>
          <w:tcPr>
            <w:tcBorders/>
            <w:tcW w:w="1232" w:type="dxa"/>
            <w:textDirection w:val="lrTb"/>
            <w:noWrap w:val="false"/>
          </w:tcPr>
          <w:p w14:paraId="5B18A2CB">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0.0007</w:t>
            </w:r>
            <w:r>
              <w:rPr>
                <w:rFonts w:ascii="Arial" w:hAnsi="Arial" w:cs="Arial"/>
                <w:color w:val="000000" w:themeColor="text1"/>
              </w:rPr>
            </w:r>
            <w:r>
              <w:rPr>
                <w:rFonts w:ascii="Arial" w:hAnsi="Arial" w:cs="Arial"/>
                <w:color w:val="000000" w:themeColor="text1"/>
              </w:rPr>
            </w:r>
          </w:p>
        </w:tc>
        <w:tc>
          <w:tcPr>
            <w:tcBorders/>
            <w:tcW w:w="910" w:type="dxa"/>
            <w:textDirection w:val="lrTb"/>
            <w:noWrap w:val="false"/>
          </w:tcPr>
          <w:p w14:paraId="5DD8B788">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0.0433</w:t>
            </w:r>
            <w:r>
              <w:rPr>
                <w:rFonts w:ascii="Arial" w:hAnsi="Arial" w:cs="Arial"/>
                <w:color w:val="000000" w:themeColor="text1"/>
              </w:rPr>
            </w:r>
            <w:r>
              <w:rPr>
                <w:rFonts w:ascii="Arial" w:hAnsi="Arial" w:cs="Arial"/>
                <w:color w:val="000000" w:themeColor="text1"/>
              </w:rPr>
            </w:r>
          </w:p>
        </w:tc>
        <w:tc>
          <w:tcPr>
            <w:tcBorders/>
            <w:tcW w:w="842" w:type="dxa"/>
            <w:textDirection w:val="lrTb"/>
            <w:noWrap w:val="false"/>
          </w:tcPr>
          <w:p w14:paraId="7AA749D2">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0.0007</w:t>
            </w:r>
            <w:r>
              <w:rPr>
                <w:rFonts w:ascii="Arial" w:hAnsi="Arial" w:cs="Arial"/>
                <w:color w:val="000000" w:themeColor="text1"/>
              </w:rPr>
            </w:r>
            <w:r>
              <w:rPr>
                <w:rFonts w:ascii="Arial" w:hAnsi="Arial" w:cs="Arial"/>
                <w:color w:val="000000" w:themeColor="text1"/>
              </w:rPr>
            </w:r>
          </w:p>
        </w:tc>
        <w:tc>
          <w:tcPr>
            <w:tcBorders/>
            <w:tcW w:w="800" w:type="dxa"/>
            <w:textDirection w:val="lrTb"/>
            <w:noWrap w:val="false"/>
          </w:tcPr>
          <w:p w14:paraId="5C16FDB3">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-0.0696</w:t>
            </w:r>
            <w:r>
              <w:rPr>
                <w:rFonts w:ascii="Arial" w:hAnsi="Arial" w:cs="Arial"/>
                <w:color w:val="000000" w:themeColor="text1"/>
              </w:rPr>
            </w:r>
            <w:r>
              <w:rPr>
                <w:rFonts w:ascii="Arial" w:hAnsi="Arial" w:cs="Arial"/>
                <w:color w:val="000000" w:themeColor="text1"/>
              </w:rPr>
            </w:r>
          </w:p>
        </w:tc>
        <w:tc>
          <w:tcPr>
            <w:tcBorders/>
            <w:tcW w:w="800" w:type="dxa"/>
            <w:textDirection w:val="lrTb"/>
            <w:noWrap w:val="false"/>
          </w:tcPr>
          <w:p w14:paraId="4D16FAB5">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-0.0626</w:t>
            </w:r>
            <w:r>
              <w:rPr>
                <w:rFonts w:ascii="Arial" w:hAnsi="Arial" w:cs="Arial"/>
                <w:color w:val="000000" w:themeColor="text1"/>
              </w:rPr>
            </w:r>
            <w:r>
              <w:rPr>
                <w:rFonts w:ascii="Arial" w:hAnsi="Arial" w:cs="Arial"/>
                <w:color w:val="000000" w:themeColor="text1"/>
              </w:rPr>
            </w:r>
          </w:p>
        </w:tc>
      </w:tr>
      <w:tr>
        <w:trPr/>
        <w:tc>
          <w:tcPr>
            <w:tcBorders/>
            <w:tcW w:w="3302" w:type="dxa"/>
            <w:textDirection w:val="lrTb"/>
            <w:noWrap w:val="false"/>
          </w:tcPr>
          <w:p w14:paraId="625E4260">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qwen2_5_vl_zeroshot_projected</w:t>
            </w:r>
            <w:r>
              <w:rPr>
                <w:rFonts w:ascii="Arial" w:hAnsi="Arial" w:cs="Arial"/>
                <w:color w:val="000000" w:themeColor="text1"/>
              </w:rPr>
            </w:r>
            <w:r>
              <w:rPr>
                <w:rFonts w:ascii="Arial" w:hAnsi="Arial" w:cs="Arial"/>
                <w:color w:val="000000" w:themeColor="text1"/>
              </w:rPr>
            </w:r>
          </w:p>
        </w:tc>
        <w:tc>
          <w:tcPr>
            <w:tcBorders/>
            <w:tcW w:w="753" w:type="dxa"/>
            <w:textDirection w:val="lrTb"/>
            <w:noWrap w:val="false"/>
          </w:tcPr>
          <w:p w14:paraId="61EF99BF">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7,332</w:t>
            </w:r>
            <w:r>
              <w:rPr>
                <w:rFonts w:ascii="Arial" w:hAnsi="Arial" w:cs="Arial"/>
                <w:color w:val="000000" w:themeColor="text1"/>
              </w:rPr>
            </w:r>
            <w:r>
              <w:rPr>
                <w:rFonts w:ascii="Arial" w:hAnsi="Arial" w:cs="Arial"/>
                <w:color w:val="000000" w:themeColor="text1"/>
              </w:rPr>
            </w:r>
          </w:p>
        </w:tc>
        <w:tc>
          <w:tcPr>
            <w:tcBorders/>
            <w:tcW w:w="1232" w:type="dxa"/>
            <w:textDirection w:val="lrTb"/>
            <w:noWrap w:val="false"/>
          </w:tcPr>
          <w:p w14:paraId="5011E32B">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0.0670</w:t>
            </w:r>
            <w:r>
              <w:rPr>
                <w:rFonts w:ascii="Arial" w:hAnsi="Arial" w:cs="Arial"/>
                <w:color w:val="000000" w:themeColor="text1"/>
              </w:rPr>
            </w:r>
            <w:r>
              <w:rPr>
                <w:rFonts w:ascii="Arial" w:hAnsi="Arial" w:cs="Arial"/>
                <w:color w:val="000000" w:themeColor="text1"/>
              </w:rPr>
            </w:r>
          </w:p>
        </w:tc>
        <w:tc>
          <w:tcPr>
            <w:tcBorders/>
            <w:tcW w:w="910" w:type="dxa"/>
            <w:textDirection w:val="lrTb"/>
            <w:noWrap w:val="false"/>
          </w:tcPr>
          <w:p w14:paraId="1AEC49F1">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0.0899</w:t>
            </w:r>
            <w:r>
              <w:rPr>
                <w:rFonts w:ascii="Arial" w:hAnsi="Arial" w:cs="Arial"/>
                <w:color w:val="000000" w:themeColor="text1"/>
              </w:rPr>
            </w:r>
            <w:r>
              <w:rPr>
                <w:rFonts w:ascii="Arial" w:hAnsi="Arial" w:cs="Arial"/>
                <w:color w:val="000000" w:themeColor="text1"/>
              </w:rPr>
            </w:r>
          </w:p>
        </w:tc>
        <w:tc>
          <w:tcPr>
            <w:tcBorders/>
            <w:tcW w:w="842" w:type="dxa"/>
            <w:textDirection w:val="lrTb"/>
            <w:noWrap w:val="false"/>
          </w:tcPr>
          <w:p w14:paraId="45EAE149">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0.0379</w:t>
            </w:r>
            <w:r>
              <w:rPr>
                <w:rFonts w:ascii="Arial" w:hAnsi="Arial" w:cs="Arial"/>
                <w:color w:val="000000" w:themeColor="text1"/>
              </w:rPr>
            </w:r>
            <w:r>
              <w:rPr>
                <w:rFonts w:ascii="Arial" w:hAnsi="Arial" w:cs="Arial"/>
                <w:color w:val="000000" w:themeColor="text1"/>
              </w:rPr>
            </w:r>
          </w:p>
        </w:tc>
        <w:tc>
          <w:tcPr>
            <w:tcBorders/>
            <w:tcW w:w="800" w:type="dxa"/>
            <w:textDirection w:val="lrTb"/>
            <w:noWrap w:val="false"/>
          </w:tcPr>
          <w:p w14:paraId="054742BE">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-0.0296</w:t>
            </w:r>
            <w:r>
              <w:rPr>
                <w:rFonts w:ascii="Arial" w:hAnsi="Arial" w:cs="Arial"/>
                <w:color w:val="000000" w:themeColor="text1"/>
              </w:rPr>
            </w:r>
            <w:r>
              <w:rPr>
                <w:rFonts w:ascii="Arial" w:hAnsi="Arial" w:cs="Arial"/>
                <w:color w:val="000000" w:themeColor="text1"/>
              </w:rPr>
            </w:r>
          </w:p>
        </w:tc>
        <w:tc>
          <w:tcPr>
            <w:tcBorders/>
            <w:tcW w:w="800" w:type="dxa"/>
            <w:textDirection w:val="lrTb"/>
            <w:noWrap w:val="false"/>
          </w:tcPr>
          <w:p w14:paraId="08E4F399">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-0.0278</w:t>
            </w:r>
            <w:r>
              <w:rPr>
                <w:rFonts w:ascii="Arial" w:hAnsi="Arial" w:cs="Arial"/>
                <w:color w:val="000000" w:themeColor="text1"/>
              </w:rPr>
            </w:r>
            <w:r>
              <w:rPr>
                <w:rFonts w:ascii="Arial" w:hAnsi="Arial" w:cs="Arial"/>
                <w:color w:val="000000" w:themeColor="text1"/>
              </w:rPr>
            </w:r>
          </w:p>
        </w:tc>
      </w:tr>
    </w:tbl>
    <w:p w14:paraId="61452AD5">
      <w:pPr>
        <w:pStyle w:val="1128"/>
        <w:suppressLineNumbers w:val="false"/>
        <w:pBdr/>
        <w:spacing w:line="300" w:lineRule="auto"/>
        <w:ind w:firstLine="0" w:left="1440"/>
        <w:rPr>
          <w:bCs/>
          <w:i/>
          <w:highlight w:val="none"/>
          <w:lang w:val="en-US"/>
        </w:rPr>
      </w:pPr>
      <w:r>
        <w:rPr>
          <w:i/>
          <w:iCs/>
          <w:lang w:val="en-US"/>
        </w:rPr>
        <w:t xml:space="preserve">Table 3.9 </w:t>
      </w:r>
      <w:r>
        <w:rPr>
          <w:i/>
          <w:iCs/>
          <w:lang w:val="en-US"/>
        </w:rPr>
        <w:t xml:space="preserve">ImageCLEF MEDVQA-GI 2023 Validation Metrics</w:t>
      </w:r>
      <w:r>
        <w:rPr>
          <w:bCs/>
          <w:i/>
          <w:highlight w:val="none"/>
          <w:lang w:val="en-US"/>
        </w:rPr>
      </w:r>
      <w:r>
        <w:rPr>
          <w:bCs/>
          <w:i/>
          <w:highlight w:val="none"/>
          <w:lang w:val="en-US"/>
        </w:rPr>
      </w:r>
    </w:p>
    <w:p w14:paraId="64FB684C">
      <w:pPr>
        <w:pStyle w:val="1128"/>
        <w:suppressLineNumbers w:val="false"/>
        <w:pBdr/>
        <w:spacing w:line="300" w:lineRule="auto"/>
        <w:ind w:firstLine="0"/>
        <w:rPr/>
      </w:pPr>
      <w:r>
        <w:t xml:space="preserve">T</w:t>
      </w:r>
      <w:r>
        <w:t xml:space="preserve">he fine-tuned VQA model exhibits strong closed-label accuracy, while the raw zero-shot generative outputs score near zero under the label-ID evaluation format. Projection improves the zero-shot diagnostic score, indicating that some generated outputs can b</w:t>
      </w:r>
      <w:r>
        <w:t xml:space="preserve">e</w:t>
      </w:r>
      <w:r>
        <w:t xml:space="preserve"> mapped into the label space, but the projected accuracy and macro-F1 remain far below the fine-tuned baseline. The negative MCC/kappa values for the zero-shot variants are consistent with systematic mismatch under the constrained label-ID evaluation forma</w:t>
      </w:r>
      <w:r>
        <w:t xml:space="preserve">t, rather than random variation.</w:t>
      </w:r>
      <w:r/>
    </w:p>
    <w:p w14:paraId="410AE5D5">
      <w:pPr>
        <w:pStyle w:val="1128"/>
        <w:suppressLineNumbers w:val="false"/>
        <w:pBdr/>
        <w:spacing w:line="300" w:lineRule="auto"/>
        <w:ind w:firstLine="0"/>
        <w:rPr/>
      </w:pPr>
      <w:r>
        <w:t xml:space="preserve">To avoid hiding question-family brittleness, Table 3.10 reports family-level aggregates. This is important because some families (e.g., procedure or attribute) may require stricter ontology adherence than others.</w:t>
      </w:r>
      <w:r/>
    </w:p>
    <w:tbl>
      <w:tblPr>
        <w:tblStyle w:val="1185"/>
        <w:tblW w:w="0" w:type="auto"/>
        <w:tblBorders/>
        <w:tblLook w:val="04A0" w:firstRow="1" w:lastRow="0" w:firstColumn="1" w:lastColumn="0" w:noHBand="0" w:noVBand="1"/>
      </w:tblPr>
      <w:tblGrid>
        <w:gridCol w:w="1234"/>
        <w:gridCol w:w="1234"/>
        <w:gridCol w:w="1234"/>
        <w:gridCol w:w="1234"/>
        <w:gridCol w:w="1234"/>
        <w:gridCol w:w="1234"/>
        <w:gridCol w:w="1234"/>
      </w:tblGrid>
      <w:tr>
        <w:trPr/>
        <w:tc>
          <w:tcPr>
            <w:tcBorders/>
            <w:tcW w:w="1234" w:type="dxa"/>
            <w:textDirection w:val="lrTb"/>
            <w:noWrap w:val="false"/>
          </w:tcPr>
          <w:p w14:paraId="644508B8">
            <w:pPr>
              <w:pBdr/>
              <w:spacing w:after="0" w:before="0" w:line="240" w:lineRule="auto"/>
              <w:ind/>
              <w:rPr>
                <w:rFonts w:ascii="Arial" w:hAnsi="Arial" w:cs="Arial"/>
                <w:color w:val="000000" w:themeColor="text1"/>
              </w:rPr>
            </w:pPr>
            <w:r>
              <w:rPr>
                <w:rFonts w:ascii="Arial" w:hAnsi="Arial" w:eastAsia="Arial" w:cs="Arial"/>
                <w:b/>
                <w:color w:val="000000" w:themeColor="text1"/>
                <w:sz w:val="21"/>
              </w:rPr>
              <w:t xml:space="preserve">Question family</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2CD2202D">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Rows</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193B7B37">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ViLT acc</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5BDECFF0">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Qwen raw acc</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576CEFB9">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Qwen projected acc</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50FC5AB2">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ViLT macro-F1</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710487CF">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Qwen projected macro-F1</w:t>
            </w:r>
            <w:r>
              <w:rPr>
                <w:rFonts w:ascii="Arial" w:hAnsi="Arial" w:cs="Arial"/>
                <w:color w:val="000000" w:themeColor="text1"/>
              </w:rPr>
            </w:r>
            <w:r>
              <w:rPr>
                <w:rFonts w:ascii="Arial" w:hAnsi="Arial" w:cs="Arial"/>
                <w:color w:val="000000" w:themeColor="text1"/>
              </w:rPr>
            </w:r>
          </w:p>
        </w:tc>
      </w:tr>
      <w:tr>
        <w:trPr/>
        <w:tc>
          <w:tcPr>
            <w:tcBorders/>
            <w:tcW w:w="1234" w:type="dxa"/>
            <w:textDirection w:val="lrTb"/>
            <w:noWrap w:val="false"/>
          </w:tcPr>
          <w:p w14:paraId="72634DAC">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attribute</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08E26AF4">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1,600</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4061273B">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0.8488</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561E5C25">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0.0000</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16391F1C">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0.0225</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376D03C4">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0.5153</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7681EB5E">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0.0340</w:t>
            </w:r>
            <w:r>
              <w:rPr>
                <w:rFonts w:ascii="Arial" w:hAnsi="Arial" w:cs="Arial"/>
                <w:color w:val="000000" w:themeColor="text1"/>
              </w:rPr>
            </w:r>
            <w:r>
              <w:rPr>
                <w:rFonts w:ascii="Arial" w:hAnsi="Arial" w:cs="Arial"/>
                <w:color w:val="000000" w:themeColor="text1"/>
              </w:rPr>
            </w:r>
          </w:p>
        </w:tc>
      </w:tr>
      <w:tr>
        <w:trPr/>
        <w:tc>
          <w:tcPr>
            <w:tcBorders/>
            <w:tcW w:w="1234" w:type="dxa"/>
            <w:textDirection w:val="lrTb"/>
            <w:noWrap w:val="false"/>
          </w:tcPr>
          <w:p w14:paraId="65B183C7">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binary/boolean</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4A6CE290">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2,800</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41D0AECF">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0.9339</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65C389B7">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0.0004</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408244F6">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0.1168</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1F101CB2">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0.9222</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050D9099">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0.0906</w:t>
            </w:r>
            <w:r>
              <w:rPr>
                <w:rFonts w:ascii="Arial" w:hAnsi="Arial" w:cs="Arial"/>
                <w:color w:val="000000" w:themeColor="text1"/>
              </w:rPr>
            </w:r>
            <w:r>
              <w:rPr>
                <w:rFonts w:ascii="Arial" w:hAnsi="Arial" w:cs="Arial"/>
                <w:color w:val="000000" w:themeColor="text1"/>
              </w:rPr>
            </w:r>
          </w:p>
        </w:tc>
      </w:tr>
      <w:tr>
        <w:trPr/>
        <w:tc>
          <w:tcPr>
            <w:tcBorders/>
            <w:tcW w:w="1234" w:type="dxa"/>
            <w:textDirection w:val="lrTb"/>
            <w:noWrap w:val="false"/>
          </w:tcPr>
          <w:p w14:paraId="7A44536E">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count</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7CF5C4DE">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1,200</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17C6CD1C">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0.9008</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0F356A8F">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0.0017</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7A6C068F">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0.0400</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79A1694F">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0.3950</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012CD3A1">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0.0158</w:t>
            </w:r>
            <w:r>
              <w:rPr>
                <w:rFonts w:ascii="Arial" w:hAnsi="Arial" w:cs="Arial"/>
                <w:color w:val="000000" w:themeColor="text1"/>
              </w:rPr>
            </w:r>
            <w:r>
              <w:rPr>
                <w:rFonts w:ascii="Arial" w:hAnsi="Arial" w:cs="Arial"/>
                <w:color w:val="000000" w:themeColor="text1"/>
              </w:rPr>
            </w:r>
          </w:p>
        </w:tc>
      </w:tr>
      <w:tr>
        <w:trPr/>
        <w:tc>
          <w:tcPr>
            <w:tcBorders/>
            <w:tcW w:w="1234" w:type="dxa"/>
            <w:textDirection w:val="lrTb"/>
            <w:noWrap w:val="false"/>
          </w:tcPr>
          <w:p w14:paraId="7BB4099F">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location</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71176F96">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1,332</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493FC4B9">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0.9092</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75A2E760">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0.0015</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3FC5D9B1">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0.0601</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2B50363D">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0.3115</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0B58E912">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0.0205</w:t>
            </w:r>
            <w:r>
              <w:rPr>
                <w:rFonts w:ascii="Arial" w:hAnsi="Arial" w:cs="Arial"/>
                <w:color w:val="000000" w:themeColor="text1"/>
              </w:rPr>
            </w:r>
            <w:r>
              <w:rPr>
                <w:rFonts w:ascii="Arial" w:hAnsi="Arial" w:cs="Arial"/>
                <w:color w:val="000000" w:themeColor="text1"/>
              </w:rPr>
            </w:r>
          </w:p>
        </w:tc>
      </w:tr>
      <w:tr>
        <w:trPr/>
        <w:tc>
          <w:tcPr>
            <w:tcBorders/>
            <w:tcW w:w="1234" w:type="dxa"/>
            <w:textDirection w:val="lrTb"/>
            <w:noWrap w:val="false"/>
          </w:tcPr>
          <w:p w14:paraId="176DBDC2">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procedure</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6E2384E7">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400</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34AB51F2">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0.9975</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7C4933C1">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0.0000</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7568DCD8">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0.0000</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3C9739FB">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0.9969</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378A6CBD">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0.0000</w:t>
            </w:r>
            <w:r>
              <w:rPr>
                <w:rFonts w:ascii="Arial" w:hAnsi="Arial" w:cs="Arial"/>
                <w:color w:val="000000" w:themeColor="text1"/>
              </w:rPr>
            </w:r>
            <w:r>
              <w:rPr>
                <w:rFonts w:ascii="Arial" w:hAnsi="Arial" w:cs="Arial"/>
                <w:color w:val="000000" w:themeColor="text1"/>
              </w:rPr>
            </w:r>
          </w:p>
        </w:tc>
      </w:tr>
    </w:tbl>
    <w:p w14:paraId="4069DEF9">
      <w:pPr>
        <w:pStyle w:val="1128"/>
        <w:suppressLineNumbers w:val="false"/>
        <w:pBdr/>
        <w:spacing w:line="300" w:lineRule="auto"/>
        <w:ind w:firstLine="0" w:left="1440"/>
        <w:rPr>
          <w:bCs/>
          <w:i/>
          <w:highlight w:val="none"/>
          <w:lang w:val="en-US"/>
        </w:rPr>
      </w:pPr>
      <w:r>
        <w:rPr>
          <w:i/>
          <w:iCs/>
          <w:lang w:val="en-US"/>
        </w:rPr>
        <w:t xml:space="preserve">Table </w:t>
      </w:r>
      <w:r>
        <w:rPr>
          <w:i/>
          <w:iCs/>
          <w:lang w:val="en-US"/>
        </w:rPr>
        <w:t xml:space="preserve">3.10 Family-Level Aggregates on ImageCLEF Validation</w:t>
      </w:r>
      <w:r>
        <w:rPr>
          <w:bCs/>
          <w:i/>
          <w:highlight w:val="none"/>
          <w:lang w:val="en-US"/>
        </w:rPr>
      </w:r>
      <w:r>
        <w:rPr>
          <w:bCs/>
          <w:i/>
          <w:highlight w:val="none"/>
          <w:lang w:val="en-US"/>
        </w:rPr>
      </w:r>
    </w:p>
    <w:p w14:paraId="7840095B">
      <w:pPr>
        <w:pStyle w:val="1128"/>
        <w:suppressLineNumbers w:val="false"/>
        <w:pBdr/>
        <w:spacing w:line="300" w:lineRule="auto"/>
        <w:ind w:firstLine="0"/>
        <w:rPr/>
      </w:pPr>
      <w:r>
        <w:rPr>
          <w:rFonts w:ascii="Arial" w:hAnsi="Arial" w:eastAsia="Arial" w:cs="Arial"/>
          <w:color w:val="000000" w:themeColor="text1"/>
        </w:rPr>
        <w:t xml:space="preserve">T</w:t>
      </w:r>
      <w:r>
        <w:rPr>
          <w:rFonts w:ascii="Arial" w:hAnsi="Arial" w:eastAsia="Arial" w:cs="Arial"/>
          <w:color w:val="000000" w:themeColor="text1"/>
        </w:rPr>
        <w:t xml:space="preserve">wo patterns are visible. First, the fine-tuned model remains consistently strong across families in accuracy terms, but macro-F1 varies substantially across families (notably count/location), indicating that even strong aggregate accuracy can conceal intra</w:t>
      </w:r>
      <w:r>
        <w:rPr>
          <w:rFonts w:ascii="Arial" w:hAnsi="Arial" w:eastAsia="Arial" w:cs="Arial"/>
          <w:color w:val="000000" w:themeColor="text1"/>
        </w:rPr>
        <w:t xml:space="preserve">-</w:t>
      </w:r>
      <w:r>
        <w:rPr>
          <w:rFonts w:ascii="Arial" w:hAnsi="Arial" w:eastAsia="Arial" w:cs="Arial"/>
          <w:color w:val="000000" w:themeColor="text1"/>
        </w:rPr>
        <w:t xml:space="preserve">family imbalance or difficulty. Second, the zero-shot model’s raw outputs perform near zero across families, and projection yields partial recovery mainly for binary/boolean questions, with minimal gains for attribute, count, and location and no recovery f</w:t>
      </w:r>
      <w:r>
        <w:rPr>
          <w:rFonts w:ascii="Arial" w:hAnsi="Arial" w:eastAsia="Arial" w:cs="Arial"/>
          <w:color w:val="000000" w:themeColor="text1"/>
        </w:rPr>
        <w:t xml:space="preserve">or the procedure family in the persisted artifacts. This indicates that projection can rescue some format mismatch, but it does not resolve the core reliability gap under structured families.</w:t>
      </w:r>
      <w:r>
        <w:rPr>
          <w:rFonts w:ascii="Arial" w:hAnsi="Arial" w:eastAsia="Arial" w:cs="Arial"/>
          <w:color w:val="000000" w:themeColor="text1"/>
        </w:rPr>
      </w:r>
      <w:r/>
    </w:p>
    <w:p w14:paraId="0E81384E">
      <w:pPr>
        <w:pStyle w:val="1128"/>
        <w:suppressLineNumbers w:val="false"/>
        <w:pBdr/>
        <w:spacing w:line="300" w:lineRule="auto"/>
        <w:ind w:firstLine="0"/>
        <w:rPr>
          <w:rFonts w:ascii="Arial" w:hAnsi="Arial" w:cs="Arial"/>
          <w:color w:val="000000" w:themeColor="text1"/>
        </w:rPr>
      </w:pPr>
      <w:r>
        <w:rPr>
          <w:rFonts w:ascii="Arial" w:hAnsi="Arial" w:eastAsia="Arial" w:cs="Arial"/>
          <w:color w:val="000000" w:themeColor="text1"/>
        </w:rPr>
        <w:t xml:space="preserve">To illustrate where projection helps most, Table 3.11 lists the questions with the largest raw→projected accuracy gains in the persisted validation outputs.</w:t>
      </w:r>
      <w:r>
        <w:rPr>
          <w:rFonts w:ascii="Arial" w:hAnsi="Arial" w:cs="Arial"/>
          <w:color w:val="000000" w:themeColor="text1"/>
        </w:rPr>
      </w:r>
      <w:r>
        <w:rPr>
          <w:rFonts w:ascii="Arial" w:hAnsi="Arial" w:cs="Arial"/>
          <w:color w:val="000000" w:themeColor="text1"/>
        </w:rPr>
      </w:r>
    </w:p>
    <w:p w14:paraId="41572D08">
      <w:pPr>
        <w:pStyle w:val="1128"/>
        <w:suppressLineNumbers w:val="false"/>
        <w:pBdr/>
        <w:spacing w:line="300" w:lineRule="auto"/>
        <w:ind w:firstLine="0"/>
        <w:rPr>
          <w:rFonts w:ascii="Arial" w:hAnsi="Arial" w:cs="Arial"/>
          <w:color w:val="000000" w:themeColor="text1"/>
        </w:rPr>
      </w:pPr>
      <w:r>
        <w:rPr>
          <w:rFonts w:ascii="Arial" w:hAnsi="Arial" w:cs="Arial"/>
          <w:color w:val="000000" w:themeColor="text1"/>
        </w:rPr>
      </w:r>
      <w:r>
        <w:rPr>
          <w:rFonts w:ascii="Arial" w:hAnsi="Arial" w:cs="Arial"/>
          <w:color w:val="000000" w:themeColor="text1"/>
        </w:rPr>
      </w:r>
      <w:r>
        <w:rPr>
          <w:rFonts w:ascii="Arial" w:hAnsi="Arial" w:cs="Arial"/>
          <w:color w:val="000000" w:themeColor="text1"/>
        </w:rPr>
      </w:r>
    </w:p>
    <w:p w14:paraId="25C9D381">
      <w:pPr>
        <w:pStyle w:val="1128"/>
        <w:suppressLineNumbers w:val="false"/>
        <w:pBdr/>
        <w:spacing w:line="300" w:lineRule="auto"/>
        <w:ind w:firstLine="0"/>
        <w:rPr>
          <w:rFonts w:ascii="Arial" w:hAnsi="Arial" w:cs="Arial"/>
          <w:color w:val="000000" w:themeColor="text1"/>
        </w:rPr>
      </w:pPr>
      <w:r>
        <w:rPr>
          <w:rFonts w:ascii="Arial" w:hAnsi="Arial" w:cs="Arial"/>
          <w:color w:val="000000" w:themeColor="text1"/>
        </w:rPr>
      </w:r>
      <w:r>
        <w:rPr>
          <w:rFonts w:ascii="Arial" w:hAnsi="Arial" w:cs="Arial"/>
          <w:color w:val="000000" w:themeColor="text1"/>
        </w:rPr>
      </w:r>
      <w:r>
        <w:rPr>
          <w:rFonts w:ascii="Arial" w:hAnsi="Arial" w:cs="Arial"/>
          <w:color w:val="000000" w:themeColor="text1"/>
        </w:rPr>
      </w:r>
    </w:p>
    <w:tbl>
      <w:tblPr>
        <w:tblStyle w:val="1185"/>
        <w:tblW w:w="0" w:type="auto"/>
        <w:tblBorders/>
        <w:tblLook w:val="04A0" w:firstRow="1" w:lastRow="0" w:firstColumn="1" w:lastColumn="0" w:noHBand="0" w:noVBand="1"/>
      </w:tblPr>
      <w:tblGrid>
        <w:gridCol w:w="2160"/>
        <w:gridCol w:w="2160"/>
        <w:gridCol w:w="2160"/>
        <w:gridCol w:w="2160"/>
      </w:tblGrid>
      <w:tr>
        <w:trPr/>
        <w:tc>
          <w:tcPr>
            <w:tcBorders/>
            <w:tcW w:w="2160" w:type="dxa"/>
            <w:textDirection w:val="lrTb"/>
            <w:noWrap w:val="false"/>
          </w:tcPr>
          <w:p w14:paraId="3BC7C75D">
            <w:pPr>
              <w:pBdr/>
              <w:spacing w:after="0" w:before="0" w:line="240" w:lineRule="auto"/>
              <w:ind/>
              <w:rPr>
                <w:color w:val="000000" w:themeColor="text1"/>
              </w:rPr>
            </w:pPr>
            <w:r>
              <w:rPr>
                <w:rFonts w:ascii="Arial" w:hAnsi="Arial" w:eastAsia="Arial" w:cs="Arial"/>
                <w:b/>
                <w:color w:val="000000" w:themeColor="text1"/>
                <w:sz w:val="21"/>
              </w:rPr>
              <w:t xml:space="preserve">Question</w:t>
            </w:r>
            <w:r>
              <w:rPr>
                <w:color w:val="000000" w:themeColor="text1"/>
              </w:rPr>
            </w:r>
            <w:r>
              <w:rPr>
                <w:color w:val="000000" w:themeColor="text1"/>
              </w:rPr>
            </w:r>
          </w:p>
        </w:tc>
        <w:tc>
          <w:tcPr>
            <w:tcBorders/>
            <w:tcW w:w="2160" w:type="dxa"/>
            <w:textDirection w:val="lrTb"/>
            <w:noWrap w:val="false"/>
          </w:tcPr>
          <w:p w14:paraId="7B3F1B32">
            <w:pPr>
              <w:pBdr/>
              <w:spacing w:after="0" w:before="0" w:line="240" w:lineRule="auto"/>
              <w:ind/>
              <w:jc w:val="right"/>
              <w:rPr>
                <w:color w:val="000000" w:themeColor="text1"/>
              </w:rPr>
            </w:pPr>
            <w:r>
              <w:rPr>
                <w:rFonts w:ascii="Arial" w:hAnsi="Arial" w:eastAsia="Arial" w:cs="Arial"/>
                <w:b/>
                <w:color w:val="000000" w:themeColor="text1"/>
                <w:sz w:val="21"/>
              </w:rPr>
              <w:t xml:space="preserve">Raw acc</w:t>
            </w:r>
            <w:r>
              <w:rPr>
                <w:color w:val="000000" w:themeColor="text1"/>
              </w:rPr>
            </w:r>
            <w:r>
              <w:rPr>
                <w:color w:val="000000" w:themeColor="text1"/>
              </w:rPr>
            </w:r>
          </w:p>
        </w:tc>
        <w:tc>
          <w:tcPr>
            <w:tcBorders/>
            <w:tcW w:w="2160" w:type="dxa"/>
            <w:textDirection w:val="lrTb"/>
            <w:noWrap w:val="false"/>
          </w:tcPr>
          <w:p w14:paraId="5E8D1980">
            <w:pPr>
              <w:pBdr/>
              <w:spacing w:after="0" w:before="0" w:line="240" w:lineRule="auto"/>
              <w:ind/>
              <w:jc w:val="right"/>
              <w:rPr>
                <w:color w:val="000000" w:themeColor="text1"/>
              </w:rPr>
            </w:pPr>
            <w:r>
              <w:rPr>
                <w:rFonts w:ascii="Arial" w:hAnsi="Arial" w:eastAsia="Arial" w:cs="Arial"/>
                <w:b/>
                <w:color w:val="000000" w:themeColor="text1"/>
                <w:sz w:val="21"/>
              </w:rPr>
              <w:t xml:space="preserve">Projected acc</w:t>
            </w:r>
            <w:r>
              <w:rPr>
                <w:color w:val="000000" w:themeColor="text1"/>
              </w:rPr>
            </w:r>
            <w:r>
              <w:rPr>
                <w:color w:val="000000" w:themeColor="text1"/>
              </w:rPr>
            </w:r>
          </w:p>
        </w:tc>
        <w:tc>
          <w:tcPr>
            <w:tcBorders/>
            <w:tcW w:w="2160" w:type="dxa"/>
            <w:textDirection w:val="lrTb"/>
            <w:noWrap w:val="false"/>
          </w:tcPr>
          <w:p w14:paraId="500B16C4">
            <w:pPr>
              <w:pBdr/>
              <w:spacing w:after="0" w:before="0" w:line="240" w:lineRule="auto"/>
              <w:ind/>
              <w:jc w:val="right"/>
              <w:rPr>
                <w:color w:val="000000" w:themeColor="text1"/>
              </w:rPr>
            </w:pPr>
            <w:r>
              <w:rPr>
                <w:rFonts w:ascii="Arial" w:hAnsi="Arial" w:eastAsia="Arial" w:cs="Arial"/>
                <w:b/>
                <w:color w:val="000000" w:themeColor="text1"/>
                <w:sz w:val="21"/>
              </w:rPr>
              <w:t xml:space="preserve">Absolute gain</w:t>
            </w:r>
            <w:r>
              <w:rPr>
                <w:color w:val="000000" w:themeColor="text1"/>
              </w:rPr>
            </w:r>
            <w:r>
              <w:rPr>
                <w:color w:val="000000" w:themeColor="text1"/>
              </w:rPr>
            </w:r>
          </w:p>
        </w:tc>
      </w:tr>
      <w:tr>
        <w:trPr/>
        <w:tc>
          <w:tcPr>
            <w:tcBorders/>
            <w:tcW w:w="2160" w:type="dxa"/>
            <w:textDirection w:val="lrTb"/>
            <w:noWrap w:val="false"/>
          </w:tcPr>
          <w:p w14:paraId="774EE4ED">
            <w:pPr>
              <w:pBdr/>
              <w:spacing w:after="0" w:before="0" w:line="240" w:lineRule="auto"/>
              <w:ind/>
              <w:rPr>
                <w:color w:val="000000" w:themeColor="text1"/>
              </w:rPr>
            </w:pPr>
            <w:r>
              <w:rPr>
                <w:rFonts w:ascii="Arial" w:hAnsi="Arial" w:eastAsia="Arial" w:cs="Arial"/>
                <w:color w:val="000000" w:themeColor="text1"/>
                <w:sz w:val="21"/>
              </w:rPr>
              <w:t xml:space="preserve">Is there a green/black box artefact?</w:t>
            </w:r>
            <w:r>
              <w:rPr>
                <w:color w:val="000000" w:themeColor="text1"/>
              </w:rPr>
            </w:r>
            <w:r>
              <w:rPr>
                <w:color w:val="000000" w:themeColor="text1"/>
              </w:rPr>
            </w:r>
          </w:p>
        </w:tc>
        <w:tc>
          <w:tcPr>
            <w:tcBorders/>
            <w:tcW w:w="2160" w:type="dxa"/>
            <w:textDirection w:val="lrTb"/>
            <w:noWrap w:val="false"/>
          </w:tcPr>
          <w:p w14:paraId="283B24BB">
            <w:pPr>
              <w:pBdr/>
              <w:spacing w:after="0" w:before="0" w:line="240" w:lineRule="auto"/>
              <w:ind/>
              <w:jc w:val="right"/>
              <w:rPr>
                <w:color w:val="000000" w:themeColor="text1"/>
              </w:rPr>
            </w:pPr>
            <w:r>
              <w:rPr>
                <w:rFonts w:ascii="Arial" w:hAnsi="Arial" w:eastAsia="Arial" w:cs="Arial"/>
                <w:color w:val="000000" w:themeColor="text1"/>
                <w:sz w:val="21"/>
              </w:rPr>
              <w:t xml:space="preserve">0.0000</w:t>
            </w:r>
            <w:r>
              <w:rPr>
                <w:color w:val="000000" w:themeColor="text1"/>
              </w:rPr>
            </w:r>
            <w:r>
              <w:rPr>
                <w:color w:val="000000" w:themeColor="text1"/>
              </w:rPr>
            </w:r>
          </w:p>
        </w:tc>
        <w:tc>
          <w:tcPr>
            <w:tcBorders/>
            <w:tcW w:w="2160" w:type="dxa"/>
            <w:textDirection w:val="lrTb"/>
            <w:noWrap w:val="false"/>
          </w:tcPr>
          <w:p w14:paraId="05B3F95D">
            <w:pPr>
              <w:pBdr/>
              <w:spacing w:after="0" w:before="0" w:line="240" w:lineRule="auto"/>
              <w:ind/>
              <w:jc w:val="right"/>
              <w:rPr>
                <w:color w:val="000000" w:themeColor="text1"/>
              </w:rPr>
            </w:pPr>
            <w:r>
              <w:rPr>
                <w:rFonts w:ascii="Arial" w:hAnsi="Arial" w:eastAsia="Arial" w:cs="Arial"/>
                <w:color w:val="000000" w:themeColor="text1"/>
                <w:sz w:val="21"/>
              </w:rPr>
              <w:t xml:space="preserve">0.5475</w:t>
            </w:r>
            <w:r>
              <w:rPr>
                <w:color w:val="000000" w:themeColor="text1"/>
              </w:rPr>
            </w:r>
            <w:r>
              <w:rPr>
                <w:color w:val="000000" w:themeColor="text1"/>
              </w:rPr>
            </w:r>
          </w:p>
        </w:tc>
        <w:tc>
          <w:tcPr>
            <w:tcBorders/>
            <w:tcW w:w="2160" w:type="dxa"/>
            <w:textDirection w:val="lrTb"/>
            <w:noWrap w:val="false"/>
          </w:tcPr>
          <w:p w14:paraId="44BC4FA4">
            <w:pPr>
              <w:pBdr/>
              <w:spacing w:after="0" w:before="0" w:line="240" w:lineRule="auto"/>
              <w:ind/>
              <w:jc w:val="right"/>
              <w:rPr>
                <w:color w:val="000000" w:themeColor="text1"/>
              </w:rPr>
            </w:pPr>
            <w:r>
              <w:rPr>
                <w:rFonts w:ascii="Arial" w:hAnsi="Arial" w:eastAsia="Arial" w:cs="Arial"/>
                <w:color w:val="000000" w:themeColor="text1"/>
                <w:sz w:val="21"/>
              </w:rPr>
              <w:t xml:space="preserve">+0.5475</w:t>
            </w:r>
            <w:r>
              <w:rPr>
                <w:color w:val="000000" w:themeColor="text1"/>
              </w:rPr>
            </w:r>
            <w:r>
              <w:rPr>
                <w:color w:val="000000" w:themeColor="text1"/>
              </w:rPr>
            </w:r>
          </w:p>
        </w:tc>
      </w:tr>
      <w:tr>
        <w:trPr/>
        <w:tc>
          <w:tcPr>
            <w:tcBorders/>
            <w:tcW w:w="2160" w:type="dxa"/>
            <w:textDirection w:val="lrTb"/>
            <w:noWrap w:val="false"/>
          </w:tcPr>
          <w:p w14:paraId="16D500B0">
            <w:pPr>
              <w:pBdr/>
              <w:spacing w:after="0" w:before="0" w:line="240" w:lineRule="auto"/>
              <w:ind/>
              <w:rPr>
                <w:color w:val="000000" w:themeColor="text1"/>
              </w:rPr>
            </w:pPr>
            <w:r>
              <w:rPr>
                <w:rFonts w:ascii="Arial" w:hAnsi="Arial" w:eastAsia="Arial" w:cs="Arial"/>
                <w:color w:val="000000" w:themeColor="text1"/>
                <w:sz w:val="21"/>
              </w:rPr>
              <w:t xml:space="preserve">Are there any instruments in the image?</w:t>
            </w:r>
            <w:r>
              <w:rPr>
                <w:color w:val="000000" w:themeColor="text1"/>
              </w:rPr>
            </w:r>
            <w:r>
              <w:rPr>
                <w:color w:val="000000" w:themeColor="text1"/>
              </w:rPr>
            </w:r>
          </w:p>
        </w:tc>
        <w:tc>
          <w:tcPr>
            <w:tcBorders/>
            <w:tcW w:w="2160" w:type="dxa"/>
            <w:textDirection w:val="lrTb"/>
            <w:noWrap w:val="false"/>
          </w:tcPr>
          <w:p w14:paraId="032BB3E9">
            <w:pPr>
              <w:pBdr/>
              <w:spacing w:after="0" w:before="0" w:line="240" w:lineRule="auto"/>
              <w:ind/>
              <w:jc w:val="right"/>
              <w:rPr>
                <w:color w:val="000000" w:themeColor="text1"/>
              </w:rPr>
            </w:pPr>
            <w:r>
              <w:rPr>
                <w:rFonts w:ascii="Arial" w:hAnsi="Arial" w:eastAsia="Arial" w:cs="Arial"/>
                <w:color w:val="000000" w:themeColor="text1"/>
                <w:sz w:val="21"/>
              </w:rPr>
              <w:t xml:space="preserve">0.0000</w:t>
            </w:r>
            <w:r>
              <w:rPr>
                <w:color w:val="000000" w:themeColor="text1"/>
              </w:rPr>
            </w:r>
            <w:r>
              <w:rPr>
                <w:color w:val="000000" w:themeColor="text1"/>
              </w:rPr>
            </w:r>
          </w:p>
        </w:tc>
        <w:tc>
          <w:tcPr>
            <w:tcBorders/>
            <w:tcW w:w="2160" w:type="dxa"/>
            <w:textDirection w:val="lrTb"/>
            <w:noWrap w:val="false"/>
          </w:tcPr>
          <w:p w14:paraId="39023C36">
            <w:pPr>
              <w:pBdr/>
              <w:spacing w:after="0" w:before="0" w:line="240" w:lineRule="auto"/>
              <w:ind/>
              <w:jc w:val="right"/>
              <w:rPr>
                <w:color w:val="000000" w:themeColor="text1"/>
              </w:rPr>
            </w:pPr>
            <w:r>
              <w:rPr>
                <w:rFonts w:ascii="Arial" w:hAnsi="Arial" w:eastAsia="Arial" w:cs="Arial"/>
                <w:color w:val="000000" w:themeColor="text1"/>
                <w:sz w:val="21"/>
              </w:rPr>
              <w:t xml:space="preserve">0.1800</w:t>
            </w:r>
            <w:r>
              <w:rPr>
                <w:color w:val="000000" w:themeColor="text1"/>
              </w:rPr>
            </w:r>
            <w:r>
              <w:rPr>
                <w:color w:val="000000" w:themeColor="text1"/>
              </w:rPr>
            </w:r>
          </w:p>
        </w:tc>
        <w:tc>
          <w:tcPr>
            <w:tcBorders/>
            <w:tcW w:w="2160" w:type="dxa"/>
            <w:textDirection w:val="lrTb"/>
            <w:noWrap w:val="false"/>
          </w:tcPr>
          <w:p w14:paraId="79947817">
            <w:pPr>
              <w:pBdr/>
              <w:spacing w:after="0" w:before="0" w:line="240" w:lineRule="auto"/>
              <w:ind/>
              <w:jc w:val="right"/>
              <w:rPr>
                <w:color w:val="000000" w:themeColor="text1"/>
              </w:rPr>
            </w:pPr>
            <w:r>
              <w:rPr>
                <w:rFonts w:ascii="Arial" w:hAnsi="Arial" w:eastAsia="Arial" w:cs="Arial"/>
                <w:color w:val="000000" w:themeColor="text1"/>
                <w:sz w:val="21"/>
              </w:rPr>
              <w:t xml:space="preserve">+0.1800</w:t>
            </w:r>
            <w:r>
              <w:rPr>
                <w:color w:val="000000" w:themeColor="text1"/>
              </w:rPr>
            </w:r>
            <w:r>
              <w:rPr>
                <w:color w:val="000000" w:themeColor="text1"/>
              </w:rPr>
            </w:r>
          </w:p>
        </w:tc>
      </w:tr>
      <w:tr>
        <w:trPr/>
        <w:tc>
          <w:tcPr>
            <w:tcBorders/>
            <w:tcW w:w="2160" w:type="dxa"/>
            <w:textDirection w:val="lrTb"/>
            <w:noWrap w:val="false"/>
          </w:tcPr>
          <w:p w14:paraId="5030BC32">
            <w:pPr>
              <w:pBdr/>
              <w:spacing w:after="0" w:before="0" w:line="240" w:lineRule="auto"/>
              <w:ind/>
              <w:rPr>
                <w:color w:val="000000" w:themeColor="text1"/>
              </w:rPr>
            </w:pPr>
            <w:r>
              <w:rPr>
                <w:rFonts w:ascii="Arial" w:hAnsi="Arial" w:eastAsia="Arial" w:cs="Arial"/>
                <w:color w:val="000000" w:themeColor="text1"/>
                <w:sz w:val="21"/>
              </w:rPr>
              <w:t xml:space="preserve">Where in the image is the abnormality?</w:t>
            </w:r>
            <w:r>
              <w:rPr>
                <w:color w:val="000000" w:themeColor="text1"/>
              </w:rPr>
            </w:r>
            <w:r>
              <w:rPr>
                <w:color w:val="000000" w:themeColor="text1"/>
              </w:rPr>
            </w:r>
          </w:p>
        </w:tc>
        <w:tc>
          <w:tcPr>
            <w:tcBorders/>
            <w:tcW w:w="2160" w:type="dxa"/>
            <w:textDirection w:val="lrTb"/>
            <w:noWrap w:val="false"/>
          </w:tcPr>
          <w:p w14:paraId="3630002A">
            <w:pPr>
              <w:pBdr/>
              <w:spacing w:after="0" w:before="0" w:line="240" w:lineRule="auto"/>
              <w:ind/>
              <w:jc w:val="right"/>
              <w:rPr>
                <w:color w:val="000000" w:themeColor="text1"/>
              </w:rPr>
            </w:pPr>
            <w:r>
              <w:rPr>
                <w:rFonts w:ascii="Arial" w:hAnsi="Arial" w:eastAsia="Arial" w:cs="Arial"/>
                <w:color w:val="000000" w:themeColor="text1"/>
                <w:sz w:val="21"/>
              </w:rPr>
              <w:t xml:space="preserve">0.0000</w:t>
            </w:r>
            <w:r>
              <w:rPr>
                <w:color w:val="000000" w:themeColor="text1"/>
              </w:rPr>
            </w:r>
            <w:r>
              <w:rPr>
                <w:color w:val="000000" w:themeColor="text1"/>
              </w:rPr>
            </w:r>
          </w:p>
        </w:tc>
        <w:tc>
          <w:tcPr>
            <w:tcBorders/>
            <w:tcW w:w="2160" w:type="dxa"/>
            <w:textDirection w:val="lrTb"/>
            <w:noWrap w:val="false"/>
          </w:tcPr>
          <w:p w14:paraId="0709F54B">
            <w:pPr>
              <w:pBdr/>
              <w:spacing w:after="0" w:before="0" w:line="240" w:lineRule="auto"/>
              <w:ind/>
              <w:jc w:val="right"/>
              <w:rPr>
                <w:color w:val="000000" w:themeColor="text1"/>
              </w:rPr>
            </w:pPr>
            <w:r>
              <w:rPr>
                <w:rFonts w:ascii="Arial" w:hAnsi="Arial" w:eastAsia="Arial" w:cs="Arial"/>
                <w:color w:val="000000" w:themeColor="text1"/>
                <w:sz w:val="21"/>
              </w:rPr>
              <w:t xml:space="preserve">0.1400</w:t>
            </w:r>
            <w:r>
              <w:rPr>
                <w:color w:val="000000" w:themeColor="text1"/>
              </w:rPr>
            </w:r>
            <w:r>
              <w:rPr>
                <w:color w:val="000000" w:themeColor="text1"/>
              </w:rPr>
            </w:r>
          </w:p>
        </w:tc>
        <w:tc>
          <w:tcPr>
            <w:tcBorders/>
            <w:tcW w:w="2160" w:type="dxa"/>
            <w:textDirection w:val="lrTb"/>
            <w:noWrap w:val="false"/>
          </w:tcPr>
          <w:p w14:paraId="177B55D0">
            <w:pPr>
              <w:pBdr/>
              <w:spacing w:after="0" w:before="0" w:line="240" w:lineRule="auto"/>
              <w:ind/>
              <w:jc w:val="right"/>
              <w:rPr>
                <w:color w:val="000000" w:themeColor="text1"/>
              </w:rPr>
            </w:pPr>
            <w:r>
              <w:rPr>
                <w:rFonts w:ascii="Arial" w:hAnsi="Arial" w:eastAsia="Arial" w:cs="Arial"/>
                <w:color w:val="000000" w:themeColor="text1"/>
                <w:sz w:val="21"/>
              </w:rPr>
              <w:t xml:space="preserve">+0.1400</w:t>
            </w:r>
            <w:r>
              <w:rPr>
                <w:color w:val="000000" w:themeColor="text1"/>
              </w:rPr>
            </w:r>
            <w:r>
              <w:rPr>
                <w:color w:val="000000" w:themeColor="text1"/>
              </w:rPr>
            </w:r>
          </w:p>
        </w:tc>
      </w:tr>
      <w:tr>
        <w:trPr/>
        <w:tc>
          <w:tcPr>
            <w:tcBorders/>
            <w:tcW w:w="2160" w:type="dxa"/>
            <w:textDirection w:val="lrTb"/>
            <w:noWrap w:val="false"/>
          </w:tcPr>
          <w:p w14:paraId="7A3DFC21">
            <w:pPr>
              <w:pBdr/>
              <w:spacing w:after="0" w:before="0" w:line="240" w:lineRule="auto"/>
              <w:ind/>
              <w:rPr>
                <w:color w:val="000000" w:themeColor="text1"/>
              </w:rPr>
            </w:pPr>
            <w:r>
              <w:rPr>
                <w:rFonts w:ascii="Arial" w:hAnsi="Arial" w:eastAsia="Arial" w:cs="Arial"/>
                <w:color w:val="000000" w:themeColor="text1"/>
                <w:sz w:val="21"/>
              </w:rPr>
              <w:t xml:space="preserve">What color is the abnormality?</w:t>
            </w:r>
            <w:r>
              <w:rPr>
                <w:color w:val="000000" w:themeColor="text1"/>
              </w:rPr>
            </w:r>
            <w:r>
              <w:rPr>
                <w:color w:val="000000" w:themeColor="text1"/>
              </w:rPr>
            </w:r>
          </w:p>
        </w:tc>
        <w:tc>
          <w:tcPr>
            <w:tcBorders/>
            <w:tcW w:w="2160" w:type="dxa"/>
            <w:textDirection w:val="lrTb"/>
            <w:noWrap w:val="false"/>
          </w:tcPr>
          <w:p w14:paraId="5279457E">
            <w:pPr>
              <w:pBdr/>
              <w:spacing w:after="0" w:before="0" w:line="240" w:lineRule="auto"/>
              <w:ind/>
              <w:jc w:val="right"/>
              <w:rPr>
                <w:color w:val="000000" w:themeColor="text1"/>
              </w:rPr>
            </w:pPr>
            <w:r>
              <w:rPr>
                <w:rFonts w:ascii="Arial" w:hAnsi="Arial" w:eastAsia="Arial" w:cs="Arial"/>
                <w:color w:val="000000" w:themeColor="text1"/>
                <w:sz w:val="21"/>
              </w:rPr>
              <w:t xml:space="preserve">0.0000</w:t>
            </w:r>
            <w:r>
              <w:rPr>
                <w:color w:val="000000" w:themeColor="text1"/>
              </w:rPr>
            </w:r>
            <w:r>
              <w:rPr>
                <w:color w:val="000000" w:themeColor="text1"/>
              </w:rPr>
            </w:r>
          </w:p>
        </w:tc>
        <w:tc>
          <w:tcPr>
            <w:tcBorders/>
            <w:tcW w:w="2160" w:type="dxa"/>
            <w:textDirection w:val="lrTb"/>
            <w:noWrap w:val="false"/>
          </w:tcPr>
          <w:p w14:paraId="52C78849">
            <w:pPr>
              <w:pBdr/>
              <w:spacing w:after="0" w:before="0" w:line="240" w:lineRule="auto"/>
              <w:ind/>
              <w:jc w:val="right"/>
              <w:rPr>
                <w:color w:val="000000" w:themeColor="text1"/>
              </w:rPr>
            </w:pPr>
            <w:r>
              <w:rPr>
                <w:rFonts w:ascii="Arial" w:hAnsi="Arial" w:eastAsia="Arial" w:cs="Arial"/>
                <w:color w:val="000000" w:themeColor="text1"/>
                <w:sz w:val="21"/>
              </w:rPr>
              <w:t xml:space="preserve">0.0800</w:t>
            </w:r>
            <w:r>
              <w:rPr>
                <w:color w:val="000000" w:themeColor="text1"/>
              </w:rPr>
            </w:r>
            <w:r>
              <w:rPr>
                <w:color w:val="000000" w:themeColor="text1"/>
              </w:rPr>
            </w:r>
          </w:p>
        </w:tc>
        <w:tc>
          <w:tcPr>
            <w:tcBorders/>
            <w:tcW w:w="2160" w:type="dxa"/>
            <w:textDirection w:val="lrTb"/>
            <w:noWrap w:val="false"/>
          </w:tcPr>
          <w:p w14:paraId="2304028D">
            <w:pPr>
              <w:pBdr/>
              <w:spacing w:after="0" w:before="0" w:line="240" w:lineRule="auto"/>
              <w:ind/>
              <w:jc w:val="right"/>
              <w:rPr>
                <w:color w:val="000000" w:themeColor="text1"/>
              </w:rPr>
            </w:pPr>
            <w:r>
              <w:rPr>
                <w:rFonts w:ascii="Arial" w:hAnsi="Arial" w:eastAsia="Arial" w:cs="Arial"/>
                <w:color w:val="000000" w:themeColor="text1"/>
                <w:sz w:val="21"/>
              </w:rPr>
              <w:t xml:space="preserve">+0.0800</w:t>
            </w:r>
            <w:r>
              <w:rPr>
                <w:color w:val="000000" w:themeColor="text1"/>
              </w:rPr>
            </w:r>
            <w:r>
              <w:rPr>
                <w:color w:val="000000" w:themeColor="text1"/>
              </w:rPr>
            </w:r>
          </w:p>
        </w:tc>
      </w:tr>
      <w:tr>
        <w:trPr/>
        <w:tc>
          <w:tcPr>
            <w:tcBorders/>
            <w:tcW w:w="2160" w:type="dxa"/>
            <w:textDirection w:val="lrTb"/>
            <w:noWrap w:val="false"/>
          </w:tcPr>
          <w:p w14:paraId="623B75A8">
            <w:pPr>
              <w:pBdr/>
              <w:spacing w:after="0" w:before="0" w:line="240" w:lineRule="auto"/>
              <w:ind/>
              <w:rPr>
                <w:color w:val="000000" w:themeColor="text1"/>
              </w:rPr>
            </w:pPr>
            <w:r>
              <w:rPr>
                <w:rFonts w:ascii="Arial" w:hAnsi="Arial" w:eastAsia="Arial" w:cs="Arial"/>
                <w:color w:val="000000" w:themeColor="text1"/>
                <w:sz w:val="21"/>
              </w:rPr>
              <w:t xml:space="preserve">How many polyps are in the image?</w:t>
            </w:r>
            <w:r>
              <w:rPr>
                <w:color w:val="000000" w:themeColor="text1"/>
              </w:rPr>
            </w:r>
            <w:r>
              <w:rPr>
                <w:color w:val="000000" w:themeColor="text1"/>
              </w:rPr>
            </w:r>
          </w:p>
        </w:tc>
        <w:tc>
          <w:tcPr>
            <w:tcBorders/>
            <w:tcW w:w="2160" w:type="dxa"/>
            <w:textDirection w:val="lrTb"/>
            <w:noWrap w:val="false"/>
          </w:tcPr>
          <w:p w14:paraId="4C9C4C80">
            <w:pPr>
              <w:pBdr/>
              <w:spacing w:after="0" w:before="0" w:line="240" w:lineRule="auto"/>
              <w:ind/>
              <w:jc w:val="right"/>
              <w:rPr>
                <w:color w:val="000000" w:themeColor="text1"/>
              </w:rPr>
            </w:pPr>
            <w:r>
              <w:rPr>
                <w:rFonts w:ascii="Arial" w:hAnsi="Arial" w:eastAsia="Arial" w:cs="Arial"/>
                <w:color w:val="000000" w:themeColor="text1"/>
                <w:sz w:val="21"/>
              </w:rPr>
              <w:t xml:space="preserve">0.0025</w:t>
            </w:r>
            <w:r>
              <w:rPr>
                <w:color w:val="000000" w:themeColor="text1"/>
              </w:rPr>
            </w:r>
            <w:r>
              <w:rPr>
                <w:color w:val="000000" w:themeColor="text1"/>
              </w:rPr>
            </w:r>
          </w:p>
        </w:tc>
        <w:tc>
          <w:tcPr>
            <w:tcBorders/>
            <w:tcW w:w="2160" w:type="dxa"/>
            <w:textDirection w:val="lrTb"/>
            <w:noWrap w:val="false"/>
          </w:tcPr>
          <w:p w14:paraId="0406EF4D">
            <w:pPr>
              <w:pBdr/>
              <w:spacing w:after="0" w:before="0" w:line="240" w:lineRule="auto"/>
              <w:ind/>
              <w:jc w:val="right"/>
              <w:rPr>
                <w:color w:val="000000" w:themeColor="text1"/>
              </w:rPr>
            </w:pPr>
            <w:r>
              <w:rPr>
                <w:rFonts w:ascii="Arial" w:hAnsi="Arial" w:eastAsia="Arial" w:cs="Arial"/>
                <w:color w:val="000000" w:themeColor="text1"/>
                <w:sz w:val="21"/>
              </w:rPr>
              <w:t xml:space="preserve">0.0600</w:t>
            </w:r>
            <w:r>
              <w:rPr>
                <w:color w:val="000000" w:themeColor="text1"/>
              </w:rPr>
            </w:r>
            <w:r>
              <w:rPr>
                <w:color w:val="000000" w:themeColor="text1"/>
              </w:rPr>
            </w:r>
          </w:p>
        </w:tc>
        <w:tc>
          <w:tcPr>
            <w:tcBorders/>
            <w:tcW w:w="2160" w:type="dxa"/>
            <w:textDirection w:val="lrTb"/>
            <w:noWrap w:val="false"/>
          </w:tcPr>
          <w:p w14:paraId="34B76607">
            <w:pPr>
              <w:pBdr/>
              <w:spacing w:after="0" w:before="0" w:line="240" w:lineRule="auto"/>
              <w:ind/>
              <w:jc w:val="right"/>
              <w:rPr>
                <w:color w:val="000000" w:themeColor="text1"/>
              </w:rPr>
            </w:pPr>
            <w:r>
              <w:rPr>
                <w:rFonts w:ascii="Arial" w:hAnsi="Arial" w:eastAsia="Arial" w:cs="Arial"/>
                <w:color w:val="000000" w:themeColor="text1"/>
                <w:sz w:val="21"/>
              </w:rPr>
              <w:t xml:space="preserve">+0.0575</w:t>
            </w:r>
            <w:r>
              <w:rPr>
                <w:color w:val="000000" w:themeColor="text1"/>
              </w:rPr>
            </w:r>
            <w:r>
              <w:rPr>
                <w:color w:val="000000" w:themeColor="text1"/>
              </w:rPr>
            </w:r>
          </w:p>
        </w:tc>
      </w:tr>
    </w:tbl>
    <w:p w14:paraId="4069DEF9">
      <w:pPr>
        <w:pStyle w:val="1128"/>
        <w:suppressLineNumbers w:val="false"/>
        <w:pBdr/>
        <w:spacing w:line="300" w:lineRule="auto"/>
        <w:ind w:firstLine="0" w:left="0"/>
        <w:rPr>
          <w:bCs/>
          <w:i/>
          <w:highlight w:val="none"/>
          <w:lang w:val="en-US"/>
        </w:rPr>
      </w:pPr>
      <w:r>
        <w:rPr>
          <w:i/>
          <w:iCs/>
          <w:lang w:val="en-US"/>
        </w:rPr>
        <w:t xml:space="preserve">         Table </w:t>
      </w:r>
      <w:r>
        <w:rPr>
          <w:i/>
          <w:iCs/>
          <w:lang w:val="en-US"/>
        </w:rPr>
        <w:t xml:space="preserve">3.11. Largest Qwen Lexical-Projection Gains (Validation Accuracy)</w:t>
      </w:r>
      <w:r>
        <w:rPr>
          <w:bCs/>
          <w:i/>
          <w:highlight w:val="none"/>
          <w:lang w:val="en-US"/>
        </w:rPr>
      </w:r>
      <w:r>
        <w:rPr>
          <w:bCs/>
          <w:i/>
          <w:highlight w:val="none"/>
          <w:lang w:val="en-US"/>
        </w:rPr>
      </w:r>
    </w:p>
    <w:p w14:paraId="09E5FCDC">
      <w:pPr>
        <w:pStyle w:val="1128"/>
        <w:suppressLineNumbers w:val="false"/>
        <w:pBdr/>
        <w:spacing w:line="300" w:lineRule="auto"/>
        <w:ind w:firstLine="0"/>
        <w:rPr/>
      </w:pPr>
      <w:r>
        <w:rPr>
          <w:rFonts w:ascii="Arial" w:hAnsi="Arial" w:cs="Arial"/>
          <w:color w:val="000000" w:themeColor="text1"/>
        </w:rPr>
        <w:t xml:space="preserve">T</w:t>
      </w:r>
      <w:r>
        <w:rPr>
          <w:rFonts w:ascii="Arial" w:hAnsi="Arial" w:cs="Arial"/>
          <w:color w:val="000000" w:themeColor="text1"/>
        </w:rPr>
        <w:t xml:space="preserve">hese examples show that deterministic mapping can substantially improve measurable label accuracy for specific prompts, suggesting that the raw outputs sometimes contain recoverable information that is not expressed in the expected label form. However, as </w:t>
      </w:r>
      <w:r>
        <w:rPr>
          <w:rFonts w:ascii="Arial" w:hAnsi="Arial" w:cs="Arial"/>
          <w:color w:val="000000" w:themeColor="text1"/>
        </w:rPr>
        <w:t xml:space="preserve">e</w:t>
      </w:r>
      <w:r>
        <w:rPr>
          <w:rFonts w:ascii="Arial" w:hAnsi="Arial" w:cs="Arial"/>
          <w:color w:val="000000" w:themeColor="text1"/>
        </w:rPr>
        <w:t xml:space="preserve">mphasized in Section 3.3, projection remains a diagnostic and can overestimate correctness when matches are shallow or purely lexical. The key reliability result for this chapter is therefore the persistent gap in Table 3.9 and Table 3.10: even after proje</w:t>
      </w:r>
      <w:r>
        <w:rPr>
          <w:rFonts w:ascii="Arial" w:hAnsi="Arial" w:cs="Arial"/>
          <w:color w:val="000000" w:themeColor="text1"/>
        </w:rPr>
        <w:t xml:space="preserve">ction, zero-shot outputs remain far below a fine-tuned closed-label baseline across major question families.</w:t>
      </w:r>
      <w:r>
        <w:rPr>
          <w:rFonts w:ascii="Arial" w:hAnsi="Arial" w:cs="Arial"/>
          <w:color w:val="000000" w:themeColor="text1"/>
        </w:rPr>
      </w:r>
      <w:r/>
    </w:p>
    <w:p w14:paraId="741852E7">
      <w:pPr>
        <w:pStyle w:val="1128"/>
        <w:suppressLineNumbers w:val="false"/>
        <w:pBdr/>
        <w:spacing w:line="300" w:lineRule="auto"/>
        <w:ind w:firstLine="0"/>
        <w:rPr>
          <w:rFonts w:ascii="Arial" w:hAnsi="Arial" w:cs="Arial"/>
          <w:color w:val="000000" w:themeColor="text1"/>
        </w:rPr>
      </w:pPr>
      <w:r>
        <w:rPr>
          <w:rFonts w:ascii="Arial" w:hAnsi="Arial" w:cs="Arial"/>
          <w:color w:val="000000" w:themeColor="text1"/>
        </w:rPr>
        <w:t xml:space="preserve">L</w:t>
      </w:r>
      <w:r>
        <w:rPr>
          <w:rFonts w:ascii="Arial" w:hAnsi="Arial" w:cs="Arial"/>
          <w:color w:val="000000" w:themeColor="text1"/>
        </w:rPr>
        <w:t xml:space="preserve">imitations and implications. This subsection compares a fine-tuned transformer baseline to one zero-shot model under the persisted evaluation configuration. It does not claim universal generalization to all VLMs or all GI datasets. Moreover, because paired</w:t>
      </w:r>
      <w:r>
        <w:rPr>
          <w:rFonts w:ascii="Arial" w:hAnsi="Arial" w:cs="Arial"/>
          <w:color w:val="000000" w:themeColor="text1"/>
        </w:rPr>
        <w:t xml:space="preserve"> </w:t>
      </w:r>
      <w:r>
        <w:rPr>
          <w:rFonts w:ascii="Arial" w:hAnsi="Arial" w:cs="Arial"/>
          <w:color w:val="000000" w:themeColor="text1"/>
        </w:rPr>
        <w:t xml:space="preserve">statistical tests are not reported for this dataset in the included tables, this chapter avoids “significance” wording here and interprets differences as large observed gaps under the available evidence. The practical implication is that for label-ID GI VQ</w:t>
      </w:r>
      <w:r>
        <w:rPr>
          <w:rFonts w:ascii="Arial" w:hAnsi="Arial" w:cs="Arial"/>
          <w:color w:val="000000" w:themeColor="text1"/>
        </w:rPr>
        <w:t xml:space="preserve">A settings, reliable performance requires answer-space governance (constrained decoding, ontology compliance) and likely supervision or adaptation; these conclusions motivate the controlled generative design decisions introduced in Chapter 4.</w:t>
      </w:r>
      <w:r>
        <w:rPr>
          <w:rFonts w:ascii="Arial" w:hAnsi="Arial" w:cs="Arial"/>
          <w:color w:val="000000" w:themeColor="text1"/>
        </w:rPr>
      </w:r>
      <w:r>
        <w:rPr>
          <w:rFonts w:ascii="Arial" w:hAnsi="Arial" w:cs="Arial"/>
          <w:color w:val="000000" w:themeColor="text1"/>
        </w:rPr>
      </w:r>
    </w:p>
    <w:p w14:paraId="721CD9AD">
      <w:pPr>
        <w:pStyle w:val="1128"/>
        <w:suppressLineNumbers w:val="false"/>
        <w:pBdr/>
        <w:spacing w:line="300" w:lineRule="auto"/>
        <w:ind w:firstLine="0"/>
        <w:rPr>
          <w:b/>
          <w:bCs/>
        </w:rPr>
      </w:pPr>
      <w:r>
        <w:rPr>
          <w:rFonts w:ascii="Arial" w:hAnsi="Arial" w:cs="Arial"/>
          <w:b/>
          <w:bCs/>
          <w:color w:val="000000" w:themeColor="text1"/>
        </w:rPr>
        <w:t xml:space="preserve">3.4.3 Kvasir-VQA: Subset Reliability and Answer-Format Stability</w:t>
      </w:r>
      <w:r>
        <w:rPr>
          <w:b/>
          <w:bCs/>
        </w:rPr>
      </w:r>
      <w:r>
        <w:rPr>
          <w:b/>
          <w:bCs/>
        </w:rPr>
      </w:r>
    </w:p>
    <w:p w14:paraId="2BD1A01A">
      <w:pPr>
        <w:pStyle w:val="1128"/>
        <w:suppressLineNumbers w:val="false"/>
        <w:pBdr/>
        <w:spacing w:line="300" w:lineRule="auto"/>
        <w:ind w:firstLine="0"/>
        <w:rPr>
          <w:rFonts w:ascii="Arial" w:hAnsi="Arial" w:cs="Arial"/>
          <w:color w:val="000000" w:themeColor="text1"/>
        </w:rPr>
      </w:pPr>
      <w:r>
        <w:rPr>
          <w:rFonts w:ascii="Arial" w:hAnsi="Arial" w:cs="Arial"/>
          <w:color w:val="000000" w:themeColor="text1"/>
        </w:rPr>
      </w:r>
      <w:r>
        <w:rPr>
          <w:rFonts w:ascii="Arial" w:hAnsi="Arial" w:cs="Arial"/>
          <w:color w:val="000000" w:themeColor="text1"/>
        </w:rPr>
        <w:t xml:space="preserve">K</w:t>
      </w:r>
      <w:r>
        <w:rPr>
          <w:rFonts w:ascii="Arial" w:hAnsi="Arial" w:cs="Arial"/>
          <w:color w:val="000000" w:themeColor="text1"/>
        </w:rPr>
        <w:t xml:space="preserve">vasir-VQA is a colonoscopy-oriented VQA resource and is central to the supervisor-directed empirical pathway for this dissertation</w:t>
      </w:r>
      <w:r>
        <w:rPr>
          <w:rFonts w:ascii="Arial" w:hAnsi="Arial" w:cs="Arial"/>
          <w:color w:val="000000" w:themeColor="text1"/>
          <w:lang w:val="en-US"/>
        </w:rPr>
        <w:t xml:space="preserve">[52], [68]</w:t>
      </w:r>
      <w:r>
        <w:rPr>
          <w:rFonts w:ascii="Arial" w:hAnsi="Arial" w:cs="Arial"/>
          <w:color w:val="000000" w:themeColor="text1"/>
        </w:rPr>
        <w:t xml:space="preserve">. The persisted artifacts available for this chapter include (i) structured subset evaluations for yes/no and attribute-style </w:t>
      </w:r>
      <w:r>
        <w:rPr>
          <w:rFonts w:ascii="Arial" w:hAnsi="Arial" w:cs="Arial"/>
          <w:color w:val="000000" w:themeColor="text1"/>
        </w:rPr>
        <w:t xml:space="preserve">q</w:t>
      </w:r>
      <w:r>
        <w:rPr>
          <w:rFonts w:ascii="Arial" w:hAnsi="Arial" w:cs="Arial"/>
          <w:color w:val="000000" w:themeColor="text1"/>
        </w:rPr>
        <w:t xml:space="preserve">uestions and (ii) a reformatted phase-3 generative snapshot intended to capture runtime status</w:t>
      </w:r>
      <w:r>
        <w:rPr>
          <w:rFonts w:ascii="Arial" w:hAnsi="Arial" w:cs="Arial"/>
          <w:color w:val="000000" w:themeColor="text1"/>
          <w:lang w:val="en-US"/>
        </w:rPr>
        <w:t xml:space="preserve">[73]</w:t>
      </w:r>
      <w:r>
        <w:rPr>
          <w:rFonts w:ascii="Arial" w:hAnsi="Arial" w:cs="Arial"/>
          <w:color w:val="000000" w:themeColor="text1"/>
        </w:rPr>
        <w:t xml:space="preserve">. This subsection focuses on two reliability themes relevant to GI MedVQA: (1) how strong constrained/fusion pipelines can be on structured question families, and</w:t>
      </w:r>
      <w:r>
        <w:rPr>
          <w:rFonts w:ascii="Arial" w:hAnsi="Arial" w:cs="Arial"/>
          <w:color w:val="000000" w:themeColor="text1"/>
        </w:rPr>
        <w:t xml:space="preserve"> (2) how fragile unconstrained generation can become when output format is not governed.</w:t>
      </w:r>
      <w:r>
        <w:rPr>
          <w:rFonts w:ascii="Arial" w:hAnsi="Arial" w:cs="Arial"/>
          <w:color w:val="000000" w:themeColor="text1"/>
        </w:rPr>
      </w:r>
      <w:r>
        <w:rPr>
          <w:rFonts w:ascii="Arial" w:hAnsi="Arial" w:cs="Arial"/>
          <w:color w:val="000000" w:themeColor="text1"/>
        </w:rPr>
      </w:r>
    </w:p>
    <w:p w14:paraId="7E395024">
      <w:pPr>
        <w:pStyle w:val="1128"/>
        <w:suppressLineNumbers w:val="false"/>
        <w:pBdr/>
        <w:spacing w:line="300" w:lineRule="auto"/>
        <w:ind w:firstLine="0"/>
        <w:rPr>
          <w:rFonts w:ascii="Arial" w:hAnsi="Arial" w:cs="Arial"/>
          <w:color w:val="000000" w:themeColor="text1"/>
        </w:rPr>
      </w:pPr>
      <w:r>
        <w:rPr>
          <w:rFonts w:ascii="Arial" w:hAnsi="Arial" w:cs="Arial"/>
          <w:color w:val="000000" w:themeColor="text1"/>
        </w:rPr>
      </w:r>
      <w:r>
        <w:rPr>
          <w:rFonts w:ascii="Arial" w:hAnsi="Arial" w:cs="Arial"/>
          <w:color w:val="000000" w:themeColor="text1"/>
        </w:rPr>
      </w:r>
      <w:r>
        <w:rPr>
          <w:rFonts w:ascii="Arial" w:hAnsi="Arial" w:cs="Arial"/>
          <w:color w:val="000000" w:themeColor="text1"/>
        </w:rPr>
      </w:r>
    </w:p>
    <w:tbl>
      <w:tblPr>
        <w:tblStyle w:val="1185"/>
        <w:tblW w:w="0" w:type="auto"/>
        <w:tblBorders/>
        <w:tblLook w:val="04A0" w:firstRow="1" w:lastRow="0" w:firstColumn="1" w:lastColumn="0" w:noHBand="0" w:noVBand="1"/>
      </w:tblPr>
      <w:tblGrid>
        <w:gridCol w:w="1234"/>
        <w:gridCol w:w="1234"/>
        <w:gridCol w:w="1234"/>
        <w:gridCol w:w="1234"/>
        <w:gridCol w:w="1234"/>
        <w:gridCol w:w="1234"/>
        <w:gridCol w:w="1234"/>
      </w:tblGrid>
      <w:tr>
        <w:trPr/>
        <w:tc>
          <w:tcPr>
            <w:tcBorders/>
            <w:tcW w:w="1234" w:type="dxa"/>
            <w:textDirection w:val="lrTb"/>
            <w:noWrap w:val="false"/>
          </w:tcPr>
          <w:p w14:paraId="42D2FE12">
            <w:pPr>
              <w:pBdr/>
              <w:spacing w:after="0" w:before="0" w:line="240" w:lineRule="auto"/>
              <w:ind/>
              <w:rPr>
                <w:rFonts w:ascii="Arial" w:hAnsi="Arial" w:cs="Arial"/>
                <w:color w:val="000000" w:themeColor="text1"/>
              </w:rPr>
            </w:pPr>
            <w:r>
              <w:rPr>
                <w:rFonts w:ascii="Arial" w:hAnsi="Arial" w:eastAsia="Arial" w:cs="Arial"/>
                <w:b/>
                <w:color w:val="000000" w:themeColor="text1"/>
                <w:sz w:val="21"/>
              </w:rPr>
              <w:t xml:space="preserve">Model</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42521D6A">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N</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7576F8DB">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Accuracy</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70CE0F6C">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Balanced Acc</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1BCDFF4A">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Macro-F1</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05ABE2ED">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MCC</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75B19E4C">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Unknown rate</w:t>
            </w:r>
            <w:r>
              <w:rPr>
                <w:rFonts w:ascii="Arial" w:hAnsi="Arial" w:cs="Arial"/>
                <w:color w:val="000000" w:themeColor="text1"/>
              </w:rPr>
            </w:r>
            <w:r>
              <w:rPr>
                <w:rFonts w:ascii="Arial" w:hAnsi="Arial" w:cs="Arial"/>
                <w:color w:val="000000" w:themeColor="text1"/>
              </w:rPr>
            </w:r>
          </w:p>
        </w:tc>
      </w:tr>
      <w:tr>
        <w:trPr/>
        <w:tc>
          <w:tcPr>
            <w:tcBorders/>
            <w:tcW w:w="1234" w:type="dxa"/>
            <w:textDirection w:val="lrTb"/>
            <w:noWrap w:val="false"/>
          </w:tcPr>
          <w:p w14:paraId="5DBF3FC3">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resnet_gru_m1_yesno</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6B054C96">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443</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167FDEA3">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0.986456</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60BA2905">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0.973673</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32CF4D4C">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0.964953</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7B011152">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0.930163</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217A954D">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0.0000</w:t>
            </w:r>
            <w:r>
              <w:rPr>
                <w:rFonts w:ascii="Arial" w:hAnsi="Arial" w:cs="Arial"/>
                <w:color w:val="000000" w:themeColor="text1"/>
              </w:rPr>
            </w:r>
            <w:r>
              <w:rPr>
                <w:rFonts w:ascii="Arial" w:hAnsi="Arial" w:cs="Arial"/>
                <w:color w:val="000000" w:themeColor="text1"/>
              </w:rPr>
            </w:r>
          </w:p>
        </w:tc>
      </w:tr>
      <w:tr>
        <w:trPr/>
        <w:tc>
          <w:tcPr>
            <w:tcBorders/>
            <w:tcW w:w="1234" w:type="dxa"/>
            <w:textDirection w:val="lrTb"/>
            <w:noWrap w:val="false"/>
          </w:tcPr>
          <w:p w14:paraId="4DA10193">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vit_bertlite_m2_yesno</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10BA6B63">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443</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4CA6FBE6">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0.950339</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32586D23">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0.906593</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4E7A4157">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0.878126</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0D1C6AB9">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0.759432</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5AEF82B1">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0.0000</w:t>
            </w:r>
            <w:r>
              <w:rPr>
                <w:rFonts w:ascii="Arial" w:hAnsi="Arial" w:cs="Arial"/>
                <w:color w:val="000000" w:themeColor="text1"/>
              </w:rPr>
            </w:r>
            <w:r>
              <w:rPr>
                <w:rFonts w:ascii="Arial" w:hAnsi="Arial" w:cs="Arial"/>
                <w:color w:val="000000" w:themeColor="text1"/>
              </w:rPr>
            </w:r>
          </w:p>
        </w:tc>
      </w:tr>
      <w:tr>
        <w:trPr/>
        <w:tc>
          <w:tcPr>
            <w:tcBorders/>
            <w:tcW w:w="1234" w:type="dxa"/>
            <w:textDirection w:val="lrTb"/>
            <w:noWrap w:val="false"/>
          </w:tcPr>
          <w:p w14:paraId="2AC93E4D">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blip2_zeroshot_yesno</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608B0081">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443</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3A89EB9E">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0.893905</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1B65367A">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0.509376</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078C9FAE">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0.492332</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727132BA">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0.086138</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5EFE6283">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0.0000</w:t>
            </w:r>
            <w:r>
              <w:rPr>
                <w:rFonts w:ascii="Arial" w:hAnsi="Arial" w:cs="Arial"/>
                <w:color w:val="000000" w:themeColor="text1"/>
              </w:rPr>
            </w:r>
            <w:r>
              <w:rPr>
                <w:rFonts w:ascii="Arial" w:hAnsi="Arial" w:cs="Arial"/>
                <w:color w:val="000000" w:themeColor="text1"/>
              </w:rPr>
            </w:r>
          </w:p>
        </w:tc>
      </w:tr>
      <w:tr>
        <w:trPr/>
        <w:tc>
          <w:tcPr>
            <w:tcBorders/>
            <w:tcW w:w="1234" w:type="dxa"/>
            <w:textDirection w:val="lrTb"/>
            <w:noWrap w:val="false"/>
          </w:tcPr>
          <w:p w14:paraId="79495943">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blip_vqa_base_yesno_forced_choice</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4FBEB0BF">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12,267</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4DEB1D2C">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0.518301</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4462639D">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0.514587</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7E527C33">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0.502888</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23F174E8">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0.030894</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1E7B3B41">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0.0000</w:t>
            </w:r>
            <w:r>
              <w:rPr>
                <w:rFonts w:ascii="Arial" w:hAnsi="Arial" w:cs="Arial"/>
                <w:color w:val="000000" w:themeColor="text1"/>
              </w:rPr>
            </w:r>
            <w:r>
              <w:rPr>
                <w:rFonts w:ascii="Arial" w:hAnsi="Arial" w:cs="Arial"/>
                <w:color w:val="000000" w:themeColor="text1"/>
              </w:rPr>
            </w:r>
          </w:p>
        </w:tc>
      </w:tr>
      <w:tr>
        <w:trPr/>
        <w:tc>
          <w:tcPr>
            <w:tcBorders/>
            <w:tcW w:w="1234" w:type="dxa"/>
            <w:textDirection w:val="lrTb"/>
            <w:noWrap w:val="false"/>
          </w:tcPr>
          <w:p w14:paraId="6FF0958A">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blip_vqa_base_yesno_freegen</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14FB356F">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500</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18F3697C">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0.000000</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587B495D">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NA</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2D02DA7A">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0.000000</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56C9BDB7">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NA</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3FD6C91C">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1.0000</w:t>
            </w:r>
            <w:r>
              <w:rPr>
                <w:rFonts w:ascii="Arial" w:hAnsi="Arial" w:cs="Arial"/>
                <w:color w:val="000000" w:themeColor="text1"/>
              </w:rPr>
            </w:r>
            <w:r>
              <w:rPr>
                <w:rFonts w:ascii="Arial" w:hAnsi="Arial" w:cs="Arial"/>
                <w:color w:val="000000" w:themeColor="text1"/>
              </w:rPr>
            </w:r>
          </w:p>
        </w:tc>
      </w:tr>
    </w:tbl>
    <w:p w14:paraId="581347D3">
      <w:pPr>
        <w:pStyle w:val="1128"/>
        <w:suppressLineNumbers w:val="false"/>
        <w:pBdr/>
        <w:spacing w:line="300" w:lineRule="auto"/>
        <w:ind w:firstLine="0" w:left="0"/>
        <w:rPr>
          <w:bCs/>
          <w:i/>
          <w:highlight w:val="none"/>
          <w:lang w:val="en-US"/>
        </w:rPr>
      </w:pPr>
      <w:r>
        <w:rPr>
          <w:i/>
          <w:iCs/>
          <w:lang w:val="en-US"/>
        </w:rPr>
        <w:t xml:space="preserve">         </w:t>
        <w:tab/>
        <w:tab/>
        <w:tab/>
        <w:t xml:space="preserve">Table </w:t>
      </w:r>
      <w:r>
        <w:rPr>
          <w:i/>
          <w:iCs/>
          <w:lang w:val="en-US"/>
        </w:rPr>
        <w:t xml:space="preserve">3.12 </w:t>
      </w:r>
      <w:r>
        <w:rPr>
          <w:i/>
          <w:iCs/>
          <w:lang w:val="en-US"/>
        </w:rPr>
        <w:t xml:space="preserve">Kvasir-VQA Yes/No Results</w:t>
      </w:r>
      <w:r>
        <w:rPr>
          <w:bCs/>
          <w:i/>
          <w:highlight w:val="none"/>
          <w:lang w:val="en-US"/>
        </w:rPr>
      </w:r>
      <w:r>
        <w:rPr>
          <w:bCs/>
          <w:i/>
          <w:highlight w:val="none"/>
          <w:lang w:val="en-US"/>
        </w:rPr>
      </w:r>
    </w:p>
    <w:p w14:paraId="323FA4E8">
      <w:pPr>
        <w:pStyle w:val="1128"/>
        <w:suppressLineNumbers w:val="false"/>
        <w:pBdr/>
        <w:spacing w:line="300" w:lineRule="auto"/>
        <w:ind w:firstLine="0"/>
        <w:rPr/>
      </w:pPr>
      <w:r>
        <w:rPr>
          <w:rFonts w:ascii="Arial" w:hAnsi="Arial" w:cs="Arial"/>
          <w:color w:val="000000" w:themeColor="text1"/>
        </w:rPr>
        <w:t xml:space="preserve">T</w:t>
      </w:r>
      <w:r>
        <w:rPr>
          <w:rFonts w:ascii="Arial" w:hAnsi="Arial" w:cs="Arial"/>
          <w:color w:val="000000" w:themeColor="text1"/>
        </w:rPr>
        <w:t xml:space="preserve">wo distinct patterns appear. First, constrained fusion models (resnet_gru_m1_yesno, vit_bertlite_m2_yesno) achieve high accuracy and high balanced metrics on this persisted subset, indicating that structured yes/no questions can be handled reliably when th</w:t>
      </w:r>
      <w:r>
        <w:rPr>
          <w:rFonts w:ascii="Arial" w:hAnsi="Arial" w:cs="Arial"/>
          <w:color w:val="000000" w:themeColor="text1"/>
        </w:rPr>
        <w:t xml:space="preserve">e</w:t>
      </w:r>
      <w:r>
        <w:rPr>
          <w:rFonts w:ascii="Arial" w:hAnsi="Arial" w:cs="Arial"/>
          <w:color w:val="000000" w:themeColor="text1"/>
        </w:rPr>
        <w:t xml:space="preserve"> output space is controlled. Second, the zero-shot model (blip2_zeroshot_yesno) achieves high accuracy but near-chance balanced accuracy and low MCC, which is consistent with majority-class bias in an imbalanced yes/no distribution—an example of why macro-</w:t>
      </w:r>
      <w:r>
        <w:rPr>
          <w:rFonts w:ascii="Arial" w:hAnsi="Arial" w:cs="Arial"/>
          <w:color w:val="000000" w:themeColor="text1"/>
        </w:rPr>
        <w:t xml:space="preserve">F</w:t>
      </w:r>
      <w:r>
        <w:rPr>
          <w:rFonts w:ascii="Arial" w:hAnsi="Arial" w:cs="Arial"/>
          <w:color w:val="000000" w:themeColor="text1"/>
        </w:rPr>
        <w:t xml:space="preserve">1, balanced accuracy, and MCC are necessary complements to raw accuracy. Finally, the free-generation variant (blip_vqa_base_yesno_freegen) collapses under this evaluation format with unknown-rate = 1.0, indicating complete answer-format noncompliance unde</w:t>
      </w:r>
      <w:r>
        <w:rPr>
          <w:rFonts w:ascii="Arial" w:hAnsi="Arial" w:cs="Arial"/>
          <w:color w:val="000000" w:themeColor="text1"/>
        </w:rPr>
        <w:t xml:space="preserve">r the persisted scoring rules.</w:t>
      </w:r>
      <w:r>
        <w:rPr>
          <w:rFonts w:ascii="Arial" w:hAnsi="Arial" w:cs="Arial"/>
          <w:color w:val="000000" w:themeColor="text1"/>
        </w:rPr>
      </w:r>
      <w:r/>
    </w:p>
    <w:p w14:paraId="53EF3516">
      <w:pPr>
        <w:pStyle w:val="1128"/>
        <w:suppressLineNumbers w:val="false"/>
        <w:pBdr/>
        <w:spacing w:line="300" w:lineRule="auto"/>
        <w:ind w:firstLine="0"/>
        <w:rPr>
          <w:rFonts w:ascii="Arial" w:hAnsi="Arial" w:cs="Arial"/>
          <w:color w:val="000000" w:themeColor="text1"/>
        </w:rPr>
      </w:pPr>
      <w:r>
        <w:rPr>
          <w:rFonts w:ascii="Arial" w:hAnsi="Arial" w:cs="Arial"/>
          <w:color w:val="000000" w:themeColor="text1"/>
        </w:rPr>
        <w:t xml:space="preserve">Table 3.13 reports results for an attribute subset, which is more challenging than yes/no because it typically expands the answer vocabulary and increases ambiguity.</w:t>
      </w:r>
      <w:r>
        <w:rPr>
          <w:rFonts w:ascii="Arial" w:hAnsi="Arial" w:cs="Arial"/>
          <w:color w:val="000000" w:themeColor="text1"/>
        </w:rPr>
      </w:r>
      <w:r>
        <w:rPr>
          <w:rFonts w:ascii="Arial" w:hAnsi="Arial" w:cs="Arial"/>
          <w:color w:val="000000" w:themeColor="text1"/>
        </w:rPr>
      </w:r>
    </w:p>
    <w:p w14:paraId="30B142FD">
      <w:pPr>
        <w:pStyle w:val="1128"/>
        <w:suppressLineNumbers w:val="false"/>
        <w:pBdr/>
        <w:spacing w:line="300" w:lineRule="auto"/>
        <w:ind w:firstLine="0"/>
        <w:rPr>
          <w:rFonts w:ascii="Arial" w:hAnsi="Arial" w:cs="Arial"/>
          <w:color w:val="000000" w:themeColor="text1"/>
        </w:rPr>
      </w:pPr>
      <w:r>
        <w:rPr>
          <w:rFonts w:ascii="Arial" w:hAnsi="Arial" w:eastAsia="Arial" w:cs="Arial"/>
          <w:color w:val="000000" w:themeColor="text1"/>
        </w:rPr>
      </w:r>
      <w:r>
        <w:rPr>
          <w:rFonts w:ascii="Arial" w:hAnsi="Arial" w:cs="Arial"/>
          <w:color w:val="000000" w:themeColor="text1"/>
        </w:rPr>
      </w:r>
      <w:r>
        <w:rPr>
          <w:rFonts w:ascii="Arial" w:hAnsi="Arial" w:cs="Arial"/>
          <w:color w:val="000000" w:themeColor="text1"/>
        </w:rPr>
      </w:r>
    </w:p>
    <w:tbl>
      <w:tblPr>
        <w:tblStyle w:val="1185"/>
        <w:tblW w:w="0" w:type="auto"/>
        <w:tblBorders/>
        <w:tblLook w:val="04A0" w:firstRow="1" w:lastRow="0" w:firstColumn="1" w:lastColumn="0" w:noHBand="0" w:noVBand="1"/>
      </w:tblPr>
      <w:tblGrid>
        <w:gridCol w:w="1728"/>
        <w:gridCol w:w="1728"/>
        <w:gridCol w:w="1728"/>
        <w:gridCol w:w="1728"/>
        <w:gridCol w:w="1728"/>
      </w:tblGrid>
      <w:tr>
        <w:trPr/>
        <w:tc>
          <w:tcPr>
            <w:tcBorders/>
            <w:tcW w:w="1728" w:type="dxa"/>
            <w:textDirection w:val="lrTb"/>
            <w:noWrap w:val="false"/>
          </w:tcPr>
          <w:p w14:paraId="7B224C51">
            <w:pPr>
              <w:pBdr/>
              <w:spacing w:after="0" w:before="0" w:line="240" w:lineRule="auto"/>
              <w:ind/>
              <w:rPr>
                <w:rFonts w:ascii="Arial" w:hAnsi="Arial" w:cs="Arial"/>
                <w:color w:val="000000" w:themeColor="text1"/>
              </w:rPr>
            </w:pPr>
            <w:r>
              <w:rPr>
                <w:rFonts w:ascii="Arial" w:hAnsi="Arial" w:eastAsia="Arial" w:cs="Arial"/>
                <w:b/>
                <w:color w:val="000000" w:themeColor="text1"/>
                <w:sz w:val="21"/>
              </w:rPr>
              <w:t xml:space="preserve">Model</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5795EE7A">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N</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16524ECB">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Accuracy</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739AFA00">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Balanced Acc</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06AE3EED">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Macro-F1</w:t>
            </w:r>
            <w:r>
              <w:rPr>
                <w:rFonts w:ascii="Arial" w:hAnsi="Arial" w:cs="Arial"/>
                <w:color w:val="000000" w:themeColor="text1"/>
              </w:rPr>
            </w:r>
            <w:r>
              <w:rPr>
                <w:rFonts w:ascii="Arial" w:hAnsi="Arial" w:cs="Arial"/>
                <w:color w:val="000000" w:themeColor="text1"/>
              </w:rPr>
            </w:r>
          </w:p>
        </w:tc>
      </w:tr>
      <w:tr>
        <w:trPr/>
        <w:tc>
          <w:tcPr>
            <w:tcBorders/>
            <w:tcW w:w="1728" w:type="dxa"/>
            <w:textDirection w:val="lrTb"/>
            <w:noWrap w:val="false"/>
          </w:tcPr>
          <w:p w14:paraId="69D9447E">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resnet_gru_m1_attribute</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7286A96B">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352</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7EC161A5">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0.670455</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723560BA">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0.376936</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63605189">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0.367341</w:t>
            </w:r>
            <w:r>
              <w:rPr>
                <w:rFonts w:ascii="Arial" w:hAnsi="Arial" w:cs="Arial"/>
                <w:color w:val="000000" w:themeColor="text1"/>
              </w:rPr>
            </w:r>
            <w:r>
              <w:rPr>
                <w:rFonts w:ascii="Arial" w:hAnsi="Arial" w:cs="Arial"/>
                <w:color w:val="000000" w:themeColor="text1"/>
              </w:rPr>
            </w:r>
          </w:p>
        </w:tc>
      </w:tr>
      <w:tr>
        <w:trPr/>
        <w:tc>
          <w:tcPr>
            <w:tcBorders/>
            <w:tcW w:w="1728" w:type="dxa"/>
            <w:textDirection w:val="lrTb"/>
            <w:noWrap w:val="false"/>
          </w:tcPr>
          <w:p w14:paraId="37081613">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vit_bertlite_m2_attribute</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7C2789F6">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352</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5C2B4023">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0.656250</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3A8BC0D6">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0.374696</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3915BEB6">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0.355586</w:t>
            </w:r>
            <w:r>
              <w:rPr>
                <w:rFonts w:ascii="Arial" w:hAnsi="Arial" w:cs="Arial"/>
                <w:color w:val="000000" w:themeColor="text1"/>
              </w:rPr>
            </w:r>
            <w:r>
              <w:rPr>
                <w:rFonts w:ascii="Arial" w:hAnsi="Arial" w:cs="Arial"/>
                <w:color w:val="000000" w:themeColor="text1"/>
              </w:rPr>
            </w:r>
          </w:p>
        </w:tc>
      </w:tr>
    </w:tbl>
    <w:p w14:paraId="57E4D044">
      <w:pPr>
        <w:pStyle w:val="1128"/>
        <w:suppressLineNumbers w:val="false"/>
        <w:pBdr/>
        <w:spacing w:line="300" w:lineRule="auto"/>
        <w:ind w:firstLine="0" w:left="0"/>
        <w:rPr>
          <w:bCs/>
          <w:i/>
          <w:highlight w:val="none"/>
          <w:lang w:val="en-US"/>
        </w:rPr>
      </w:pPr>
      <w:r>
        <w:rPr>
          <w:i/>
          <w:iCs/>
          <w:lang w:val="en-US"/>
        </w:rPr>
        <w:t xml:space="preserve">         </w:t>
        <w:tab/>
        <w:tab/>
        <w:tab/>
        <w:t xml:space="preserve">Table </w:t>
      </w:r>
      <w:r>
        <w:rPr>
          <w:i/>
          <w:iCs/>
          <w:lang w:val="en-US"/>
        </w:rPr>
        <w:t xml:space="preserve">3.13 </w:t>
      </w:r>
      <w:r>
        <w:rPr>
          <w:i/>
          <w:iCs/>
          <w:lang w:val="en-US"/>
        </w:rPr>
        <w:t xml:space="preserve">Kvasir-VQA Attribute Subset</w:t>
      </w:r>
      <w:r>
        <w:rPr>
          <w:bCs/>
          <w:i/>
          <w:highlight w:val="none"/>
          <w:lang w:val="en-US"/>
        </w:rPr>
      </w:r>
      <w:r>
        <w:rPr>
          <w:bCs/>
          <w:i/>
          <w:highlight w:val="none"/>
          <w:lang w:val="en-US"/>
        </w:rPr>
      </w:r>
    </w:p>
    <w:p w14:paraId="67C27618">
      <w:pPr>
        <w:pStyle w:val="1128"/>
        <w:suppressLineNumbers w:val="false"/>
        <w:pBdr/>
        <w:spacing w:line="300" w:lineRule="auto"/>
        <w:ind w:firstLine="0"/>
        <w:rPr/>
      </w:pPr>
      <w:r>
        <w:rPr>
          <w:rFonts w:ascii="Arial" w:hAnsi="Arial" w:eastAsia="Arial" w:cs="Arial"/>
          <w:color w:val="000000" w:themeColor="text1"/>
          <w:highlight w:val="none"/>
        </w:rPr>
        <w:t xml:space="preserve">W</w:t>
      </w:r>
      <w:r>
        <w:rPr>
          <w:rFonts w:ascii="Arial" w:hAnsi="Arial" w:eastAsia="Arial" w:cs="Arial"/>
          <w:color w:val="000000" w:themeColor="text1"/>
          <w:highlight w:val="none"/>
        </w:rPr>
        <w:t xml:space="preserve">hile accuracy remains moderate, balanced accuracy and macro-F1 are substantially lower, indicating that the attribute subset exhibits stronger imbalance and/or class confusability than the yes/no subset. This aligns with the broader reliability view adopte</w:t>
      </w:r>
      <w:r>
        <w:rPr>
          <w:rFonts w:ascii="Arial" w:hAnsi="Arial" w:eastAsia="Arial" w:cs="Arial"/>
          <w:color w:val="000000" w:themeColor="text1"/>
          <w:highlight w:val="none"/>
        </w:rPr>
        <w:t xml:space="preserve">d in this dissertation: even when constrained pipelines perform strongly on a dominant family (yes/no), harder families can remain bottlenecks and require separate analysis rather than extrapolation from the easiest subset.</w:t>
      </w:r>
      <w:r/>
    </w:p>
    <w:p w14:paraId="1AB75AE7">
      <w:pPr>
        <w:pStyle w:val="1128"/>
        <w:suppressLineNumbers w:val="false"/>
        <w:pBdr/>
        <w:spacing w:line="300" w:lineRule="auto"/>
        <w:ind w:firstLine="0"/>
        <w:rPr/>
      </w:pPr>
      <w:r>
        <w:rPr>
          <w:rFonts w:ascii="Arial" w:hAnsi="Arial" w:eastAsia="Arial" w:cs="Arial"/>
          <w:color w:val="000000" w:themeColor="text1"/>
          <w:highlight w:val="none"/>
        </w:rPr>
      </w:r>
      <w:r>
        <w:rPr>
          <w:rFonts w:ascii="Arial" w:hAnsi="Arial" w:eastAsia="Arial" w:cs="Arial"/>
          <w:color w:val="000000" w:themeColor="text1"/>
          <w:highlight w:val="none"/>
        </w:rPr>
        <w:t xml:space="preserve">T</w:t>
      </w:r>
      <w:r>
        <w:rPr>
          <w:rFonts w:ascii="Arial" w:hAnsi="Arial" w:eastAsia="Arial" w:cs="Arial"/>
          <w:color w:val="000000" w:themeColor="text1"/>
          <w:highlight w:val="none"/>
        </w:rPr>
        <w:t xml:space="preserve">his subsection reports subset-level evidence rather than a full Kvasir-VQA benchmark sweep. The yes/no subset (N=443) and the larger forced-choice evaluation (N=12,267) are not directly comparable as a controlled experiment because they differ in evaluatio</w:t>
      </w:r>
      <w:r>
        <w:rPr>
          <w:rFonts w:ascii="Arial" w:hAnsi="Arial" w:eastAsia="Arial" w:cs="Arial"/>
          <w:color w:val="000000" w:themeColor="text1"/>
          <w:highlight w:val="none"/>
        </w:rPr>
        <w:t xml:space="preserve">n</w:t>
      </w:r>
      <w:r>
        <w:rPr>
          <w:rFonts w:ascii="Arial" w:hAnsi="Arial" w:eastAsia="Arial" w:cs="Arial"/>
          <w:color w:val="000000" w:themeColor="text1"/>
          <w:highlight w:val="none"/>
        </w:rPr>
        <w:t xml:space="preserve"> set size and possibly in subset construction. Nevertheless, the reliability message is consistent across the persisted artifacts: (i) constrained/fusion pipelines can be very strong on structured subsets, and (ii) unconstrained generation can collapse und</w:t>
      </w:r>
      <w:r>
        <w:rPr>
          <w:rFonts w:ascii="Arial" w:hAnsi="Arial" w:eastAsia="Arial" w:cs="Arial"/>
          <w:color w:val="000000" w:themeColor="text1"/>
          <w:highlight w:val="none"/>
        </w:rPr>
        <w:t xml:space="preserve">e</w:t>
      </w:r>
      <w:r>
        <w:rPr>
          <w:rFonts w:ascii="Arial" w:hAnsi="Arial" w:eastAsia="Arial" w:cs="Arial"/>
          <w:color w:val="000000" w:themeColor="text1"/>
          <w:highlight w:val="none"/>
        </w:rPr>
        <w:t xml:space="preserve">r closed-label evaluation due to answer-format instability. These results motivate the design stance used in subsequent chapters: preserve constrained pathways for high-reliability sub-questions and introduce generative answering only under explicit output</w:t>
      </w:r>
      <w:r>
        <w:rPr>
          <w:rFonts w:ascii="Arial" w:hAnsi="Arial" w:eastAsia="Arial" w:cs="Arial"/>
          <w:color w:val="000000" w:themeColor="text1"/>
          <w:highlight w:val="none"/>
        </w:rPr>
        <w:t xml:space="preserve"> governance (constraints, mapping, or abstention behavior).</w:t>
      </w:r>
      <w:r>
        <w:rPr>
          <w:rFonts w:ascii="Arial" w:hAnsi="Arial" w:eastAsia="Arial" w:cs="Arial"/>
          <w:color w:val="000000" w:themeColor="text1"/>
          <w:highlight w:val="none"/>
        </w:rPr>
      </w:r>
      <w:r/>
    </w:p>
    <w:p w14:paraId="42B139AD">
      <w:pPr>
        <w:pStyle w:val="1128"/>
        <w:suppressLineNumbers w:val="false"/>
        <w:pBdr/>
        <w:spacing w:line="300" w:lineRule="auto"/>
        <w:ind w:firstLine="0"/>
        <w:rPr>
          <w:b/>
          <w:bCs/>
        </w:rPr>
      </w:pPr>
      <w:r>
        <w:rPr>
          <w:rFonts w:ascii="Arial" w:hAnsi="Arial" w:eastAsia="Arial" w:cs="Arial"/>
          <w:b/>
          <w:bCs/>
          <w:color w:val="000000" w:themeColor="text1"/>
        </w:rPr>
        <w:t xml:space="preserve">3.4.4 Kvasir-VQA-x1: Large-Scale Generative Reasoning Benchmark</w:t>
      </w:r>
      <w:r>
        <w:rPr>
          <w:b/>
          <w:bCs/>
        </w:rPr>
      </w:r>
      <w:r>
        <w:rPr>
          <w:b/>
          <w:bCs/>
        </w:rPr>
      </w:r>
    </w:p>
    <w:p w14:paraId="72362C82">
      <w:pPr>
        <w:pStyle w:val="1128"/>
        <w:suppressLineNumbers w:val="false"/>
        <w:pBdr/>
        <w:spacing w:line="300" w:lineRule="auto"/>
        <w:ind w:firstLine="0"/>
        <w:rPr/>
      </w:pPr>
      <w:r>
        <w:rPr>
          <w:rFonts w:ascii="Arial" w:hAnsi="Arial" w:eastAsia="Arial" w:cs="Arial"/>
          <w:color w:val="000000" w:themeColor="text1"/>
          <w:highlight w:val="none"/>
        </w:rPr>
        <w:t xml:space="preserve">K</w:t>
      </w:r>
      <w:r>
        <w:rPr>
          <w:rFonts w:ascii="Arial" w:hAnsi="Arial" w:eastAsia="Arial" w:cs="Arial"/>
          <w:color w:val="000000" w:themeColor="text1"/>
          <w:highlight w:val="none"/>
        </w:rPr>
        <w:t xml:space="preserve">vasir-VQA-x1 is the largest QA setting used in this thesis repository evidence and serves as the strongest stress test for open-ended generative answering under increased question variety and difficulty</w:t>
      </w:r>
      <w:r>
        <w:rPr>
          <w:rFonts w:ascii="Arial" w:hAnsi="Arial" w:eastAsia="Arial" w:cs="Arial"/>
          <w:color w:val="000000" w:themeColor="text1"/>
          <w:highlight w:val="none"/>
          <w:lang w:val="en-US"/>
        </w:rPr>
        <w:t xml:space="preserve">[53], [69]</w:t>
      </w:r>
      <w:r>
        <w:rPr>
          <w:rFonts w:ascii="Arial" w:hAnsi="Arial" w:eastAsia="Arial" w:cs="Arial"/>
          <w:color w:val="000000" w:themeColor="text1"/>
          <w:highlight w:val="none"/>
        </w:rPr>
        <w:t xml:space="preserve">. Unlike closed-label tasks (where answers are selecte</w:t>
      </w:r>
      <w:r>
        <w:rPr>
          <w:rFonts w:ascii="Arial" w:hAnsi="Arial" w:eastAsia="Arial" w:cs="Arial"/>
          <w:color w:val="000000" w:themeColor="text1"/>
          <w:highlight w:val="none"/>
        </w:rPr>
        <w:t xml:space="preserve">d</w:t>
      </w:r>
      <w:r>
        <w:rPr>
          <w:rFonts w:ascii="Arial" w:hAnsi="Arial" w:eastAsia="Arial" w:cs="Arial"/>
          <w:color w:val="000000" w:themeColor="text1"/>
          <w:highlight w:val="none"/>
        </w:rPr>
        <w:t xml:space="preserve"> from a fixed ontology), Kvasir-VQA-x1 evaluates free-text generation. As a result, reliability in this setting depends not only on underlying visual reasoning, but also on answer-format stability, lexical normalization, and ontology alignment—all of which</w:t>
      </w:r>
      <w:r>
        <w:rPr>
          <w:rFonts w:ascii="Arial" w:hAnsi="Arial" w:eastAsia="Arial" w:cs="Arial"/>
          <w:color w:val="000000" w:themeColor="text1"/>
          <w:highlight w:val="none"/>
        </w:rPr>
        <w:t xml:space="preserve"> can fail even when a model produces plausible text.</w:t>
      </w:r>
      <w:r>
        <w:rPr>
          <w:rFonts w:ascii="Arial" w:hAnsi="Arial" w:eastAsia="Arial" w:cs="Arial"/>
          <w:color w:val="000000" w:themeColor="text1"/>
          <w:highlight w:val="none"/>
        </w:rPr>
      </w:r>
      <w:r/>
    </w:p>
    <w:p w14:paraId="046DD09A">
      <w:pPr>
        <w:pStyle w:val="1128"/>
        <w:suppressLineNumbers w:val="false"/>
        <w:pBdr/>
        <w:spacing w:line="300" w:lineRule="auto"/>
        <w:ind w:firstLine="0"/>
        <w:rPr/>
      </w:pPr>
      <w:r>
        <w:rPr>
          <w:rFonts w:ascii="Arial" w:hAnsi="Arial" w:eastAsia="Arial" w:cs="Arial"/>
          <w:color w:val="000000" w:themeColor="text1"/>
          <w:highlight w:val="none"/>
        </w:rPr>
        <w:t xml:space="preserve">This subsection reports three complementary views of behavior:</w:t>
      </w:r>
      <w:r>
        <w:rPr>
          <w:rFonts w:ascii="Arial" w:hAnsi="Arial" w:eastAsia="Arial" w:cs="Arial"/>
          <w:color w:val="000000" w:themeColor="text1"/>
          <w:highlight w:val="none"/>
        </w:rPr>
      </w:r>
      <w:r/>
    </w:p>
    <w:p w14:paraId="45D42765">
      <w:pPr>
        <w:pStyle w:val="1128"/>
        <w:numPr>
          <w:ilvl w:val="0"/>
          <w:numId w:val="71"/>
        </w:numPr>
        <w:suppressLineNumbers w:val="false"/>
        <w:pBdr/>
        <w:spacing w:line="300" w:lineRule="auto"/>
        <w:ind/>
        <w:rPr/>
      </w:pPr>
      <w:r>
        <w:rPr>
          <w:rFonts w:ascii="Arial" w:hAnsi="Arial" w:eastAsia="Arial" w:cs="Arial"/>
          <w:b/>
          <w:bCs/>
          <w:color w:val="000000" w:themeColor="text1"/>
          <w:highlight w:val="none"/>
        </w:rPr>
        <w:t xml:space="preserve">Generative overlap diagnostics</w:t>
      </w:r>
      <w:r>
        <w:rPr>
          <w:rFonts w:ascii="Arial" w:hAnsi="Arial" w:eastAsia="Arial" w:cs="Arial"/>
          <w:color w:val="000000" w:themeColor="text1"/>
          <w:highlight w:val="none"/>
        </w:rPr>
        <w:t xml:space="preserve"> quantify lexical similarity between generated text and references under the evaluation conventions used in the persisted artifacts.</w:t>
      </w:r>
      <w:r>
        <w:rPr>
          <w:rFonts w:ascii="Arial" w:hAnsi="Arial" w:eastAsia="Arial" w:cs="Arial"/>
          <w:color w:val="000000" w:themeColor="text1"/>
          <w:highlight w:val="none"/>
        </w:rPr>
      </w:r>
      <w:r/>
    </w:p>
    <w:p w14:paraId="328EFE62">
      <w:pPr>
        <w:pStyle w:val="1128"/>
        <w:numPr>
          <w:ilvl w:val="0"/>
          <w:numId w:val="71"/>
        </w:numPr>
        <w:suppressLineNumbers w:val="false"/>
        <w:pBdr/>
        <w:spacing w:line="300" w:lineRule="auto"/>
        <w:ind/>
        <w:rPr/>
      </w:pPr>
      <w:r>
        <w:rPr>
          <w:rFonts w:ascii="Arial" w:hAnsi="Arial" w:eastAsia="Arial" w:cs="Arial"/>
          <w:b/>
          <w:bCs/>
          <w:color w:val="000000" w:themeColor="text1"/>
          <w:highlight w:val="none"/>
        </w:rPr>
        <w:t xml:space="preserve">Closed-set style diagnostics and baselines</w:t>
      </w:r>
      <w:r>
        <w:rPr>
          <w:rFonts w:ascii="Arial" w:hAnsi="Arial" w:eastAsia="Arial" w:cs="Arial"/>
          <w:color w:val="000000" w:themeColor="text1"/>
          <w:highlight w:val="none"/>
        </w:rPr>
        <w:t xml:space="preserve"> illustrate how mapping and answer-space governance can affect apparent performance, including failure patterns such as high OOV (out-of-vocabulary) or unknown mapping rates.</w:t>
      </w:r>
      <w:r>
        <w:rPr>
          <w:rFonts w:ascii="Arial" w:hAnsi="Arial" w:eastAsia="Arial" w:cs="Arial"/>
          <w:color w:val="000000" w:themeColor="text1"/>
          <w:highlight w:val="none"/>
        </w:rPr>
      </w:r>
      <w:r/>
    </w:p>
    <w:p w14:paraId="694C43ED">
      <w:pPr>
        <w:pStyle w:val="1128"/>
        <w:numPr>
          <w:ilvl w:val="0"/>
          <w:numId w:val="71"/>
        </w:numPr>
        <w:suppressLineNumbers w:val="false"/>
        <w:pBdr/>
        <w:spacing w:line="300" w:lineRule="auto"/>
        <w:ind/>
        <w:rPr/>
      </w:pPr>
      <w:r>
        <w:rPr>
          <w:rFonts w:ascii="Arial" w:hAnsi="Arial" w:eastAsia="Arial" w:cs="Arial"/>
          <w:b/>
          <w:bCs/>
          <w:color w:val="000000" w:themeColor="text1"/>
          <w:highlight w:val="none"/>
        </w:rPr>
        <w:t xml:space="preserve">Complexity-level breakdown</w:t>
      </w:r>
      <w:r>
        <w:rPr>
          <w:rFonts w:ascii="Arial" w:hAnsi="Arial" w:eastAsia="Arial" w:cs="Arial"/>
          <w:color w:val="000000" w:themeColor="text1"/>
          <w:highlight w:val="none"/>
        </w:rPr>
        <w:t xml:space="preserve"> provides a descriptive diagnostic of how token-level overlap varies with question complexity (as recorded in the persisted summaries).</w:t>
      </w:r>
      <w:r>
        <w:rPr>
          <w:rFonts w:ascii="Arial" w:hAnsi="Arial" w:eastAsia="Arial" w:cs="Arial"/>
          <w:color w:val="000000" w:themeColor="text1"/>
          <w:highlight w:val="none"/>
        </w:rPr>
      </w:r>
      <w:r/>
    </w:p>
    <w:p w14:paraId="6116C2D9">
      <w:pPr>
        <w:pStyle w:val="1128"/>
        <w:suppressLineNumbers w:val="false"/>
        <w:pBdr/>
        <w:spacing w:line="300" w:lineRule="auto"/>
        <w:ind w:firstLine="0"/>
        <w:rPr/>
      </w:pPr>
      <w:r>
        <w:rPr>
          <w:rFonts w:ascii="Arial" w:hAnsi="Arial" w:eastAsia="Arial" w:cs="Arial"/>
          <w:color w:val="000000" w:themeColor="text1"/>
          <w:highlight w:val="none"/>
        </w:rPr>
      </w:r>
      <w:r>
        <w:rPr>
          <w:rFonts w:ascii="Arial" w:hAnsi="Arial" w:eastAsia="Arial" w:cs="Arial"/>
          <w:color w:val="000000" w:themeColor="text1"/>
          <w:highlight w:val="none"/>
        </w:rPr>
        <w:t xml:space="preserve">Generative overlap and adaptation effects</w:t>
      </w:r>
      <w:r>
        <w:rPr>
          <w:rFonts w:ascii="Arial" w:hAnsi="Arial" w:eastAsia="Arial" w:cs="Arial"/>
          <w:color w:val="000000" w:themeColor="text1"/>
          <w:highlight w:val="none"/>
        </w:rPr>
      </w:r>
      <w:r/>
    </w:p>
    <w:tbl>
      <w:tblPr>
        <w:tblStyle w:val="1185"/>
        <w:tblW w:w="0" w:type="auto"/>
        <w:tblBorders/>
        <w:tblLook w:val="04A0" w:firstRow="1" w:lastRow="0" w:firstColumn="1" w:lastColumn="0" w:noHBand="0" w:noVBand="1"/>
      </w:tblPr>
      <w:tblGrid>
        <w:gridCol w:w="1080"/>
        <w:gridCol w:w="1080"/>
        <w:gridCol w:w="1080"/>
        <w:gridCol w:w="1080"/>
        <w:gridCol w:w="1080"/>
        <w:gridCol w:w="1080"/>
        <w:gridCol w:w="1080"/>
        <w:gridCol w:w="1080"/>
      </w:tblGrid>
      <w:tr>
        <w:trPr/>
        <w:tc>
          <w:tcPr>
            <w:tcBorders/>
            <w:tcW w:w="1080" w:type="dxa"/>
            <w:textDirection w:val="lrTb"/>
            <w:noWrap w:val="false"/>
          </w:tcPr>
          <w:p w14:paraId="796E18C3">
            <w:pPr>
              <w:pBdr/>
              <w:spacing w:after="0" w:before="0" w:line="240" w:lineRule="auto"/>
              <w:ind/>
              <w:rPr>
                <w:rFonts w:ascii="Arial" w:hAnsi="Arial" w:cs="Arial"/>
                <w:color w:val="000000" w:themeColor="text1"/>
              </w:rPr>
            </w:pPr>
            <w:r>
              <w:rPr>
                <w:rFonts w:ascii="Arial" w:hAnsi="Arial" w:eastAsia="Arial" w:cs="Arial"/>
                <w:b/>
                <w:color w:val="000000" w:themeColor="text1"/>
                <w:sz w:val="21"/>
              </w:rPr>
              <w:t xml:space="preserve">Model</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384BB5D8">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EM</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3E9EA32C">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Token-F1</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1D73B273">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ANLS</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02614775">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BLEU</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505CEB0E">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ROUGE-L</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4655312D">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METEOR</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192EFE13">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Count</w:t>
            </w:r>
            <w:r>
              <w:rPr>
                <w:rFonts w:ascii="Arial" w:hAnsi="Arial" w:cs="Arial"/>
                <w:color w:val="000000" w:themeColor="text1"/>
              </w:rPr>
            </w:r>
            <w:r>
              <w:rPr>
                <w:rFonts w:ascii="Arial" w:hAnsi="Arial" w:cs="Arial"/>
                <w:color w:val="000000" w:themeColor="text1"/>
              </w:rPr>
            </w:r>
          </w:p>
        </w:tc>
      </w:tr>
      <w:tr>
        <w:trPr/>
        <w:tc>
          <w:tcPr>
            <w:tcBorders/>
            <w:tcW w:w="1080" w:type="dxa"/>
            <w:textDirection w:val="lrTb"/>
            <w:noWrap w:val="false"/>
          </w:tcPr>
          <w:p w14:paraId="7B925004">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medgemma_lora_original</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4CC5427C">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0.000000</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4904BD63">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0.508473</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14CC75FD">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0.340755</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31D79AFE">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NA</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6ED05C27">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NA</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1F76928A">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NA</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0C90AFA9">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15,955</w:t>
            </w:r>
            <w:r>
              <w:rPr>
                <w:rFonts w:ascii="Arial" w:hAnsi="Arial" w:cs="Arial"/>
                <w:color w:val="000000" w:themeColor="text1"/>
              </w:rPr>
            </w:r>
            <w:r>
              <w:rPr>
                <w:rFonts w:ascii="Arial" w:hAnsi="Arial" w:cs="Arial"/>
                <w:color w:val="000000" w:themeColor="text1"/>
              </w:rPr>
            </w:r>
          </w:p>
        </w:tc>
      </w:tr>
      <w:tr>
        <w:trPr/>
        <w:tc>
          <w:tcPr>
            <w:tcBorders/>
            <w:tcW w:w="1080" w:type="dxa"/>
            <w:textDirection w:val="lrTb"/>
            <w:noWrap w:val="false"/>
          </w:tcPr>
          <w:p w14:paraId="2B2C8318">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medgemma_zeroshot</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5E64294D">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0.000063</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0C0FDCA3">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0.213080</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682D969C">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0.017498</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6F1BFF03">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0.033341</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2F054D76">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0.158501</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6D3ECEB9">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0.141180</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4A149F13">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15,955</w:t>
            </w:r>
            <w:r>
              <w:rPr>
                <w:rFonts w:ascii="Arial" w:hAnsi="Arial" w:cs="Arial"/>
                <w:color w:val="000000" w:themeColor="text1"/>
              </w:rPr>
            </w:r>
            <w:r>
              <w:rPr>
                <w:rFonts w:ascii="Arial" w:hAnsi="Arial" w:cs="Arial"/>
                <w:color w:val="000000" w:themeColor="text1"/>
              </w:rPr>
            </w:r>
          </w:p>
        </w:tc>
      </w:tr>
      <w:tr>
        <w:trPr/>
        <w:tc>
          <w:tcPr>
            <w:tcBorders/>
            <w:tcW w:w="1080" w:type="dxa"/>
            <w:textDirection w:val="lrTb"/>
            <w:noWrap w:val="false"/>
          </w:tcPr>
          <w:p w14:paraId="32FE8BCD">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llava_zeroshot</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7FEFC5E1">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0.000000</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74A9CB70">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0.212437</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4C3E72D0">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0.007032</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25EE9CDD">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0.025760</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65479B56">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0.163942</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0D8F1874">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0.150097</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13FA5935">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15,955</w:t>
            </w:r>
            <w:r>
              <w:rPr>
                <w:rFonts w:ascii="Arial" w:hAnsi="Arial" w:cs="Arial"/>
                <w:color w:val="000000" w:themeColor="text1"/>
              </w:rPr>
            </w:r>
            <w:r>
              <w:rPr>
                <w:rFonts w:ascii="Arial" w:hAnsi="Arial" w:cs="Arial"/>
                <w:color w:val="000000" w:themeColor="text1"/>
              </w:rPr>
            </w:r>
          </w:p>
        </w:tc>
      </w:tr>
      <w:tr>
        <w:trPr/>
        <w:tc>
          <w:tcPr>
            <w:tcBorders/>
            <w:tcW w:w="1080" w:type="dxa"/>
            <w:textDirection w:val="lrTb"/>
            <w:noWrap w:val="false"/>
          </w:tcPr>
          <w:p w14:paraId="154223E0">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qwen2_5_vl_zeroshot</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0D9F5708">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0.000000</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4E5CD57C">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0.172788</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6DCEF3F4">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0.000000</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5F00789E">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0.017084</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47174656">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0.123496</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2F32D55A">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0.187288</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74BCFDAD">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15,955</w:t>
            </w:r>
            <w:r>
              <w:rPr>
                <w:rFonts w:ascii="Arial" w:hAnsi="Arial" w:cs="Arial"/>
                <w:color w:val="000000" w:themeColor="text1"/>
              </w:rPr>
            </w:r>
            <w:r>
              <w:rPr>
                <w:rFonts w:ascii="Arial" w:hAnsi="Arial" w:cs="Arial"/>
                <w:color w:val="000000" w:themeColor="text1"/>
              </w:rPr>
            </w:r>
          </w:p>
        </w:tc>
      </w:tr>
    </w:tbl>
    <w:p w14:paraId="08D2CB17">
      <w:pPr>
        <w:pStyle w:val="1128"/>
        <w:suppressLineNumbers w:val="false"/>
        <w:pBdr/>
        <w:spacing w:line="300" w:lineRule="auto"/>
        <w:ind w:firstLine="0" w:left="0"/>
        <w:rPr>
          <w:bCs/>
          <w:i/>
          <w:highlight w:val="none"/>
          <w:lang w:val="en-US"/>
        </w:rPr>
      </w:pPr>
      <w:r>
        <w:rPr>
          <w:i/>
          <w:iCs/>
          <w:lang w:val="en-US"/>
        </w:rPr>
        <w:t xml:space="preserve">         </w:t>
        <w:tab/>
        <w:tab/>
        <w:tab/>
        <w:t xml:space="preserve">Table </w:t>
      </w:r>
      <w:r>
        <w:rPr>
          <w:i/>
          <w:iCs/>
          <w:lang w:val="en-US"/>
        </w:rPr>
        <w:t xml:space="preserve">3.14 </w:t>
      </w:r>
      <w:r>
        <w:rPr>
          <w:i/>
          <w:iCs/>
          <w:lang w:val="en-US"/>
        </w:rPr>
        <w:t xml:space="preserve">Kvasir-VQA-x1 Generative Metrics</w:t>
      </w:r>
      <w:r>
        <w:rPr>
          <w:bCs/>
          <w:i/>
          <w:highlight w:val="none"/>
          <w:lang w:val="en-US"/>
        </w:rPr>
      </w:r>
      <w:r>
        <w:rPr>
          <w:bCs/>
          <w:i/>
          <w:highlight w:val="none"/>
          <w:lang w:val="en-US"/>
        </w:rPr>
      </w:r>
    </w:p>
    <w:p w14:paraId="031078DB">
      <w:pPr>
        <w:pStyle w:val="1128"/>
        <w:suppressLineNumbers w:val="false"/>
        <w:pBdr/>
        <w:spacing w:line="300" w:lineRule="auto"/>
        <w:ind w:firstLine="0"/>
        <w:rPr/>
      </w:pPr>
      <w:r>
        <w:rPr>
          <w:rFonts w:ascii="Arial" w:hAnsi="Arial" w:eastAsia="Arial" w:cs="Arial"/>
          <w:color w:val="000000" w:themeColor="text1"/>
        </w:rPr>
        <w:t xml:space="preserve">E</w:t>
      </w:r>
      <w:r>
        <w:rPr>
          <w:rFonts w:ascii="Arial" w:hAnsi="Arial" w:eastAsia="Arial" w:cs="Arial"/>
          <w:color w:val="000000" w:themeColor="text1"/>
        </w:rPr>
        <w:t xml:space="preserve">xact match (EM) is near zero across all runs, which is consistent with strict string matching under free-text generation where minor lexical differences can prevent EM even when the meaning is similar. Token-F1 and ANLS provide more tolerant diagnostics an</w:t>
      </w:r>
      <w:r>
        <w:rPr>
          <w:rFonts w:ascii="Arial" w:hAnsi="Arial" w:eastAsia="Arial" w:cs="Arial"/>
          <w:color w:val="000000" w:themeColor="text1"/>
        </w:rPr>
        <w:t xml:space="preserve">d</w:t>
      </w:r>
      <w:r>
        <w:rPr>
          <w:rFonts w:ascii="Arial" w:hAnsi="Arial" w:eastAsia="Arial" w:cs="Arial"/>
          <w:color w:val="000000" w:themeColor="text1"/>
        </w:rPr>
        <w:t xml:space="preserve"> show a clear adaptation effect: the LoRA-adapted run substantially improves token-level overlap compared with the zero-shot runs in the persisted artifacts. Where BLEU/ROUGE/METEOR are marked NA, the metric was not computed in the persisted outputs and is</w:t>
      </w:r>
      <w:r>
        <w:rPr>
          <w:rFonts w:ascii="Arial" w:hAnsi="Arial" w:eastAsia="Arial" w:cs="Arial"/>
          <w:color w:val="000000" w:themeColor="text1"/>
        </w:rPr>
        <w:t xml:space="preserve"> not inferred.</w:t>
      </w:r>
      <w:r>
        <w:rPr>
          <w:rFonts w:ascii="Arial" w:hAnsi="Arial" w:eastAsia="Arial" w:cs="Arial"/>
          <w:color w:val="000000" w:themeColor="text1"/>
        </w:rPr>
      </w:r>
      <w:r/>
    </w:p>
    <w:p w14:paraId="5773066A">
      <w:pPr>
        <w:pStyle w:val="1128"/>
        <w:suppressLineNumbers w:val="false"/>
        <w:pBdr/>
        <w:spacing w:line="300" w:lineRule="auto"/>
        <w:ind w:firstLine="0"/>
        <w:rPr>
          <w:rFonts w:ascii="Arial" w:hAnsi="Arial" w:eastAsia="Arial" w:cs="Arial"/>
          <w:color w:val="000000" w:themeColor="text1"/>
          <w:highlight w:val="none"/>
        </w:rPr>
      </w:pPr>
      <w:r>
        <w:rPr>
          <w:rFonts w:ascii="Arial" w:hAnsi="Arial" w:eastAsia="Arial" w:cs="Arial"/>
          <w:b/>
          <w:bCs/>
          <w:color w:val="000000" w:themeColor="text1"/>
        </w:rPr>
        <w:t xml:space="preserve">Reliability boundary. </w:t>
      </w:r>
      <w:r>
        <w:rPr>
          <w:rFonts w:ascii="Arial" w:hAnsi="Arial" w:eastAsia="Arial" w:cs="Arial"/>
          <w:color w:val="000000" w:themeColor="text1"/>
        </w:rPr>
        <w:t xml:space="preserve">These overlap metrics quantify surface-level fidelity and answer-format adherence, but they do not guarantee clinical correctness or visual grounding (Section 3.3)</w:t>
      </w:r>
      <w:r>
        <w:rPr>
          <w:rFonts w:ascii="Arial" w:hAnsi="Arial" w:eastAsia="Arial" w:cs="Arial"/>
          <w:color w:val="000000" w:themeColor="text1"/>
          <w:lang w:val="en-US"/>
        </w:rPr>
        <w:t xml:space="preserve">[57], [60], [61]</w:t>
      </w:r>
      <w:r>
        <w:rPr>
          <w:rFonts w:ascii="Arial" w:hAnsi="Arial" w:eastAsia="Arial" w:cs="Arial"/>
          <w:color w:val="000000" w:themeColor="text1"/>
        </w:rPr>
        <w:t xml:space="preserve">. Accordingly, they are treated as diagnostic indicators and interpreted</w:t>
      </w:r>
      <w:r>
        <w:rPr>
          <w:rFonts w:ascii="Arial" w:hAnsi="Arial" w:eastAsia="Arial" w:cs="Arial"/>
          <w:color w:val="000000" w:themeColor="text1"/>
        </w:rPr>
        <w:t xml:space="preserve"> alongside mapping/OOV signals and class-balanced behavior.</w:t>
      </w:r>
      <w:r>
        <w:rPr>
          <w:rFonts w:ascii="Arial" w:hAnsi="Arial" w:eastAsia="Arial" w:cs="Arial"/>
          <w:color w:val="000000" w:themeColor="text1"/>
          <w:highlight w:val="none"/>
        </w:rPr>
      </w:r>
      <w:r>
        <w:rPr>
          <w:rFonts w:ascii="Arial" w:hAnsi="Arial" w:eastAsia="Arial" w:cs="Arial"/>
          <w:color w:val="000000" w:themeColor="text1"/>
          <w:highlight w:val="none"/>
        </w:rPr>
      </w:r>
    </w:p>
    <w:p w14:paraId="751F0107">
      <w:pPr>
        <w:pStyle w:val="1128"/>
        <w:suppressLineNumbers w:val="false"/>
        <w:pBdr/>
        <w:spacing w:line="300" w:lineRule="auto"/>
        <w:ind w:firstLine="0"/>
        <w:rPr>
          <w:b/>
          <w:bCs/>
        </w:rPr>
      </w:pPr>
      <w:r>
        <w:rPr>
          <w:rFonts w:ascii="Arial" w:hAnsi="Arial" w:eastAsia="Arial" w:cs="Arial"/>
          <w:b/>
          <w:bCs/>
          <w:color w:val="000000" w:themeColor="text1"/>
          <w:highlight w:val="none"/>
        </w:rPr>
        <w:t xml:space="preserve">Closed-set style baselines and mapping fragility</w:t>
      </w:r>
      <w:r>
        <w:rPr>
          <w:b/>
          <w:bCs/>
        </w:rPr>
      </w:r>
      <w:r>
        <w:rPr>
          <w:b/>
          <w:bCs/>
        </w:rPr>
      </w:r>
    </w:p>
    <w:p w14:paraId="502284F1">
      <w:pPr>
        <w:pStyle w:val="1128"/>
        <w:suppressLineNumbers w:val="false"/>
        <w:pBdr/>
        <w:spacing w:line="300" w:lineRule="auto"/>
        <w:ind w:firstLine="0"/>
        <w:rPr>
          <w:rFonts w:ascii="Arial" w:hAnsi="Arial" w:cs="Arial"/>
          <w:color w:val="000000" w:themeColor="text1"/>
        </w:rPr>
      </w:pPr>
      <w:r>
        <w:rPr>
          <w:rFonts w:ascii="Arial" w:hAnsi="Arial" w:eastAsia="Arial" w:cs="Arial"/>
          <w:color w:val="000000" w:themeColor="text1"/>
          <w:highlight w:val="none"/>
        </w:rPr>
        <w:t xml:space="preserve">To expose how answer-space governance affects apparent performance, the persisted artifacts include additional diagnostics and baselines that map outputs into constrained spaces or evaluate alternative non-generative approaches.</w:t>
      </w:r>
      <w:r>
        <w:rPr>
          <w:rFonts w:ascii="Arial" w:hAnsi="Arial" w:cs="Arial"/>
          <w:color w:val="000000" w:themeColor="text1"/>
        </w:rPr>
      </w:r>
      <w:r>
        <w:rPr>
          <w:rFonts w:ascii="Arial" w:hAnsi="Arial" w:cs="Arial"/>
          <w:color w:val="000000" w:themeColor="text1"/>
        </w:rPr>
      </w:r>
    </w:p>
    <w:tbl>
      <w:tblPr>
        <w:tblStyle w:val="1185"/>
        <w:tblW w:w="0" w:type="auto"/>
        <w:tblBorders/>
        <w:tblLayout w:type="fixed"/>
        <w:tblLook w:val="04A0" w:firstRow="1" w:lastRow="0" w:firstColumn="1" w:lastColumn="0" w:noHBand="0" w:noVBand="1"/>
      </w:tblPr>
      <w:tblGrid>
        <w:gridCol w:w="2735"/>
        <w:gridCol w:w="992"/>
        <w:gridCol w:w="1320"/>
        <w:gridCol w:w="1098"/>
        <w:gridCol w:w="1043"/>
        <w:gridCol w:w="1451"/>
      </w:tblGrid>
      <w:tr>
        <w:trPr/>
        <w:tc>
          <w:tcPr>
            <w:tcBorders/>
            <w:tcW w:w="2735" w:type="dxa"/>
            <w:textDirection w:val="lrTb"/>
            <w:noWrap w:val="false"/>
          </w:tcPr>
          <w:p w14:paraId="40A01859">
            <w:pPr>
              <w:pBdr/>
              <w:spacing w:after="0" w:before="0" w:line="240" w:lineRule="auto"/>
              <w:ind/>
              <w:rPr>
                <w:rFonts w:ascii="Arial" w:hAnsi="Arial" w:cs="Arial"/>
                <w:color w:val="000000" w:themeColor="text1"/>
              </w:rPr>
            </w:pPr>
            <w:r>
              <w:rPr>
                <w:rFonts w:ascii="Arial" w:hAnsi="Arial" w:eastAsia="Arial" w:cs="Arial"/>
                <w:b/>
                <w:color w:val="000000" w:themeColor="text1"/>
                <w:sz w:val="21"/>
              </w:rPr>
              <w:t xml:space="preserve">Model</w:t>
            </w:r>
            <w:r>
              <w:rPr>
                <w:rFonts w:ascii="Arial" w:hAnsi="Arial" w:cs="Arial"/>
                <w:color w:val="000000" w:themeColor="text1"/>
              </w:rPr>
            </w:r>
            <w:r>
              <w:rPr>
                <w:rFonts w:ascii="Arial" w:hAnsi="Arial" w:cs="Arial"/>
                <w:color w:val="000000" w:themeColor="text1"/>
              </w:rPr>
            </w:r>
          </w:p>
        </w:tc>
        <w:tc>
          <w:tcPr>
            <w:tcBorders/>
            <w:tcW w:w="992" w:type="dxa"/>
            <w:textDirection w:val="lrTb"/>
            <w:noWrap w:val="false"/>
          </w:tcPr>
          <w:p w14:paraId="5C4DF537">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N</w:t>
            </w:r>
            <w:r>
              <w:rPr>
                <w:rFonts w:ascii="Arial" w:hAnsi="Arial" w:cs="Arial"/>
                <w:color w:val="000000" w:themeColor="text1"/>
              </w:rPr>
            </w:r>
            <w:r>
              <w:rPr>
                <w:rFonts w:ascii="Arial" w:hAnsi="Arial" w:cs="Arial"/>
                <w:color w:val="000000" w:themeColor="text1"/>
              </w:rPr>
            </w:r>
          </w:p>
        </w:tc>
        <w:tc>
          <w:tcPr>
            <w:tcBorders/>
            <w:tcW w:w="1320" w:type="dxa"/>
            <w:textDirection w:val="lrTb"/>
            <w:noWrap w:val="false"/>
          </w:tcPr>
          <w:p w14:paraId="5141297D">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Accuracy</w:t>
            </w:r>
            <w:r>
              <w:rPr>
                <w:rFonts w:ascii="Arial" w:hAnsi="Arial" w:cs="Arial"/>
                <w:color w:val="000000" w:themeColor="text1"/>
              </w:rPr>
            </w:r>
            <w:r>
              <w:rPr>
                <w:rFonts w:ascii="Arial" w:hAnsi="Arial" w:cs="Arial"/>
                <w:color w:val="000000" w:themeColor="text1"/>
              </w:rPr>
            </w:r>
          </w:p>
        </w:tc>
        <w:tc>
          <w:tcPr>
            <w:tcBorders/>
            <w:tcW w:w="1098" w:type="dxa"/>
            <w:textDirection w:val="lrTb"/>
            <w:noWrap w:val="false"/>
          </w:tcPr>
          <w:p w14:paraId="241711C2">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Balanced Acc</w:t>
            </w:r>
            <w:r>
              <w:rPr>
                <w:rFonts w:ascii="Arial" w:hAnsi="Arial" w:cs="Arial"/>
                <w:color w:val="000000" w:themeColor="text1"/>
              </w:rPr>
            </w:r>
            <w:r>
              <w:rPr>
                <w:rFonts w:ascii="Arial" w:hAnsi="Arial" w:cs="Arial"/>
                <w:color w:val="000000" w:themeColor="text1"/>
              </w:rPr>
            </w:r>
          </w:p>
        </w:tc>
        <w:tc>
          <w:tcPr>
            <w:tcBorders/>
            <w:tcW w:w="1043" w:type="dxa"/>
            <w:textDirection w:val="lrTb"/>
            <w:noWrap w:val="false"/>
          </w:tcPr>
          <w:p w14:paraId="13727AEB">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Macro-F1</w:t>
            </w:r>
            <w:r>
              <w:rPr>
                <w:rFonts w:ascii="Arial" w:hAnsi="Arial" w:cs="Arial"/>
                <w:color w:val="000000" w:themeColor="text1"/>
              </w:rPr>
            </w:r>
            <w:r>
              <w:rPr>
                <w:rFonts w:ascii="Arial" w:hAnsi="Arial" w:cs="Arial"/>
                <w:color w:val="000000" w:themeColor="text1"/>
              </w:rPr>
            </w:r>
          </w:p>
        </w:tc>
        <w:tc>
          <w:tcPr>
            <w:tcBorders/>
            <w:tcW w:w="1451" w:type="dxa"/>
            <w:textDirection w:val="lrTb"/>
            <w:noWrap w:val="false"/>
          </w:tcPr>
          <w:p w14:paraId="60D17D65">
            <w:pPr>
              <w:pBdr/>
              <w:spacing w:after="0" w:before="0" w:line="240" w:lineRule="auto"/>
              <w:ind/>
              <w:rPr>
                <w:rFonts w:ascii="Arial" w:hAnsi="Arial" w:cs="Arial"/>
                <w:color w:val="000000" w:themeColor="text1"/>
              </w:rPr>
            </w:pPr>
            <w:r>
              <w:rPr>
                <w:rFonts w:ascii="Arial" w:hAnsi="Arial" w:eastAsia="Arial" w:cs="Arial"/>
                <w:b/>
                <w:color w:val="000000" w:themeColor="text1"/>
                <w:sz w:val="21"/>
              </w:rPr>
              <w:t xml:space="preserve">Notes</w:t>
            </w:r>
            <w:r>
              <w:rPr>
                <w:rFonts w:ascii="Arial" w:hAnsi="Arial" w:cs="Arial"/>
                <w:color w:val="000000" w:themeColor="text1"/>
              </w:rPr>
            </w:r>
            <w:r>
              <w:rPr>
                <w:rFonts w:ascii="Arial" w:hAnsi="Arial" w:cs="Arial"/>
                <w:color w:val="000000" w:themeColor="text1"/>
              </w:rPr>
            </w:r>
          </w:p>
        </w:tc>
      </w:tr>
      <w:tr>
        <w:trPr/>
        <w:tc>
          <w:tcPr>
            <w:tcBorders/>
            <w:tcW w:w="2735" w:type="dxa"/>
            <w:textDirection w:val="lrTb"/>
            <w:noWrap w:val="false"/>
          </w:tcPr>
          <w:p w14:paraId="7A563F85">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fusion_tfidf_vit_logreg</w:t>
            </w:r>
            <w:r>
              <w:rPr>
                <w:rFonts w:ascii="Arial" w:hAnsi="Arial" w:cs="Arial"/>
                <w:color w:val="000000" w:themeColor="text1"/>
              </w:rPr>
            </w:r>
            <w:r>
              <w:rPr>
                <w:rFonts w:ascii="Arial" w:hAnsi="Arial" w:cs="Arial"/>
                <w:color w:val="000000" w:themeColor="text1"/>
              </w:rPr>
            </w:r>
          </w:p>
        </w:tc>
        <w:tc>
          <w:tcPr>
            <w:tcBorders/>
            <w:tcW w:w="992" w:type="dxa"/>
            <w:textDirection w:val="lrTb"/>
            <w:noWrap w:val="false"/>
          </w:tcPr>
          <w:p w14:paraId="27A0D42D">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5,893</w:t>
            </w:r>
            <w:r>
              <w:rPr>
                <w:rFonts w:ascii="Arial" w:hAnsi="Arial" w:cs="Arial"/>
                <w:color w:val="000000" w:themeColor="text1"/>
              </w:rPr>
            </w:r>
            <w:r>
              <w:rPr>
                <w:rFonts w:ascii="Arial" w:hAnsi="Arial" w:cs="Arial"/>
                <w:color w:val="000000" w:themeColor="text1"/>
              </w:rPr>
            </w:r>
          </w:p>
        </w:tc>
        <w:tc>
          <w:tcPr>
            <w:tcBorders/>
            <w:tcW w:w="1320" w:type="dxa"/>
            <w:textDirection w:val="lrTb"/>
            <w:noWrap w:val="false"/>
          </w:tcPr>
          <w:p w14:paraId="36E8E78A">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0.814865</w:t>
            </w:r>
            <w:r>
              <w:rPr>
                <w:rFonts w:ascii="Arial" w:hAnsi="Arial" w:cs="Arial"/>
                <w:color w:val="000000" w:themeColor="text1"/>
              </w:rPr>
            </w:r>
            <w:r>
              <w:rPr>
                <w:rFonts w:ascii="Arial" w:hAnsi="Arial" w:cs="Arial"/>
                <w:color w:val="000000" w:themeColor="text1"/>
              </w:rPr>
            </w:r>
          </w:p>
        </w:tc>
        <w:tc>
          <w:tcPr>
            <w:tcBorders/>
            <w:tcW w:w="1098" w:type="dxa"/>
            <w:textDirection w:val="lrTb"/>
            <w:noWrap w:val="false"/>
          </w:tcPr>
          <w:p w14:paraId="008BFF80">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NA</w:t>
            </w:r>
            <w:r>
              <w:rPr>
                <w:rFonts w:ascii="Arial" w:hAnsi="Arial" w:cs="Arial"/>
                <w:color w:val="000000" w:themeColor="text1"/>
              </w:rPr>
            </w:r>
            <w:r>
              <w:rPr>
                <w:rFonts w:ascii="Arial" w:hAnsi="Arial" w:cs="Arial"/>
                <w:color w:val="000000" w:themeColor="text1"/>
              </w:rPr>
            </w:r>
          </w:p>
        </w:tc>
        <w:tc>
          <w:tcPr>
            <w:tcBorders/>
            <w:tcW w:w="1043" w:type="dxa"/>
            <w:textDirection w:val="lrTb"/>
            <w:noWrap w:val="false"/>
          </w:tcPr>
          <w:p w14:paraId="651750D6">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0.150749</w:t>
            </w:r>
            <w:r>
              <w:rPr>
                <w:rFonts w:ascii="Arial" w:hAnsi="Arial" w:cs="Arial"/>
                <w:color w:val="000000" w:themeColor="text1"/>
              </w:rPr>
            </w:r>
            <w:r>
              <w:rPr>
                <w:rFonts w:ascii="Arial" w:hAnsi="Arial" w:cs="Arial"/>
                <w:color w:val="000000" w:themeColor="text1"/>
              </w:rPr>
            </w:r>
          </w:p>
        </w:tc>
        <w:tc>
          <w:tcPr>
            <w:tcBorders/>
            <w:tcW w:w="1451" w:type="dxa"/>
            <w:textDirection w:val="lrTb"/>
            <w:noWrap w:val="false"/>
          </w:tcPr>
          <w:p w14:paraId="1F2A2205">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fusion baseline</w:t>
            </w:r>
            <w:r>
              <w:rPr>
                <w:rFonts w:ascii="Arial" w:hAnsi="Arial" w:cs="Arial"/>
                <w:color w:val="000000" w:themeColor="text1"/>
              </w:rPr>
            </w:r>
            <w:r>
              <w:rPr>
                <w:rFonts w:ascii="Arial" w:hAnsi="Arial" w:cs="Arial"/>
                <w:color w:val="000000" w:themeColor="text1"/>
              </w:rPr>
            </w:r>
          </w:p>
        </w:tc>
      </w:tr>
      <w:tr>
        <w:trPr/>
        <w:tc>
          <w:tcPr>
            <w:tcBorders/>
            <w:tcW w:w="2735" w:type="dxa"/>
            <w:textDirection w:val="lrTb"/>
            <w:noWrap w:val="false"/>
          </w:tcPr>
          <w:p w14:paraId="35B4D744">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text_yesno_tfidf_logreg</w:t>
            </w:r>
            <w:r>
              <w:rPr>
                <w:rFonts w:ascii="Arial" w:hAnsi="Arial" w:cs="Arial"/>
                <w:color w:val="000000" w:themeColor="text1"/>
              </w:rPr>
            </w:r>
            <w:r>
              <w:rPr>
                <w:rFonts w:ascii="Arial" w:hAnsi="Arial" w:cs="Arial"/>
                <w:color w:val="000000" w:themeColor="text1"/>
              </w:rPr>
            </w:r>
          </w:p>
        </w:tc>
        <w:tc>
          <w:tcPr>
            <w:tcBorders/>
            <w:tcW w:w="992" w:type="dxa"/>
            <w:textDirection w:val="lrTb"/>
            <w:noWrap w:val="false"/>
          </w:tcPr>
          <w:p w14:paraId="1007205F">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1,540</w:t>
            </w:r>
            <w:r>
              <w:rPr>
                <w:rFonts w:ascii="Arial" w:hAnsi="Arial" w:cs="Arial"/>
                <w:color w:val="000000" w:themeColor="text1"/>
              </w:rPr>
            </w:r>
            <w:r>
              <w:rPr>
                <w:rFonts w:ascii="Arial" w:hAnsi="Arial" w:cs="Arial"/>
                <w:color w:val="000000" w:themeColor="text1"/>
              </w:rPr>
            </w:r>
          </w:p>
        </w:tc>
        <w:tc>
          <w:tcPr>
            <w:tcBorders/>
            <w:tcW w:w="1320" w:type="dxa"/>
            <w:textDirection w:val="lrTb"/>
            <w:noWrap w:val="false"/>
          </w:tcPr>
          <w:p w14:paraId="116C7E00">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0.777922</w:t>
            </w:r>
            <w:r>
              <w:rPr>
                <w:rFonts w:ascii="Arial" w:hAnsi="Arial" w:cs="Arial"/>
                <w:color w:val="000000" w:themeColor="text1"/>
              </w:rPr>
            </w:r>
            <w:r>
              <w:rPr>
                <w:rFonts w:ascii="Arial" w:hAnsi="Arial" w:cs="Arial"/>
                <w:color w:val="000000" w:themeColor="text1"/>
              </w:rPr>
            </w:r>
          </w:p>
        </w:tc>
        <w:tc>
          <w:tcPr>
            <w:tcBorders/>
            <w:tcW w:w="1098" w:type="dxa"/>
            <w:textDirection w:val="lrTb"/>
            <w:noWrap w:val="false"/>
          </w:tcPr>
          <w:p w14:paraId="36ADC284">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NA</w:t>
            </w:r>
            <w:r>
              <w:rPr>
                <w:rFonts w:ascii="Arial" w:hAnsi="Arial" w:cs="Arial"/>
                <w:color w:val="000000" w:themeColor="text1"/>
              </w:rPr>
            </w:r>
            <w:r>
              <w:rPr>
                <w:rFonts w:ascii="Arial" w:hAnsi="Arial" w:cs="Arial"/>
                <w:color w:val="000000" w:themeColor="text1"/>
              </w:rPr>
            </w:r>
          </w:p>
        </w:tc>
        <w:tc>
          <w:tcPr>
            <w:tcBorders/>
            <w:tcW w:w="1043" w:type="dxa"/>
            <w:textDirection w:val="lrTb"/>
            <w:noWrap w:val="false"/>
          </w:tcPr>
          <w:p w14:paraId="1ADE4AFC">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0.777291</w:t>
            </w:r>
            <w:r>
              <w:rPr>
                <w:rFonts w:ascii="Arial" w:hAnsi="Arial" w:cs="Arial"/>
                <w:color w:val="000000" w:themeColor="text1"/>
              </w:rPr>
            </w:r>
            <w:r>
              <w:rPr>
                <w:rFonts w:ascii="Arial" w:hAnsi="Arial" w:cs="Arial"/>
                <w:color w:val="000000" w:themeColor="text1"/>
              </w:rPr>
            </w:r>
          </w:p>
        </w:tc>
        <w:tc>
          <w:tcPr>
            <w:tcBorders/>
            <w:tcW w:w="1451" w:type="dxa"/>
            <w:textDirection w:val="lrTb"/>
            <w:noWrap w:val="false"/>
          </w:tcPr>
          <w:p w14:paraId="2FDDE893">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yes/no-specific</w:t>
            </w:r>
            <w:r>
              <w:rPr>
                <w:rFonts w:ascii="Arial" w:hAnsi="Arial" w:cs="Arial"/>
                <w:color w:val="000000" w:themeColor="text1"/>
              </w:rPr>
            </w:r>
            <w:r>
              <w:rPr>
                <w:rFonts w:ascii="Arial" w:hAnsi="Arial" w:cs="Arial"/>
                <w:color w:val="000000" w:themeColor="text1"/>
              </w:rPr>
            </w:r>
          </w:p>
        </w:tc>
      </w:tr>
      <w:tr>
        <w:trPr/>
        <w:tc>
          <w:tcPr>
            <w:tcBorders/>
            <w:tcW w:w="2735" w:type="dxa"/>
            <w:textDirection w:val="lrTb"/>
            <w:noWrap w:val="false"/>
          </w:tcPr>
          <w:p w14:paraId="2C2691ED">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vlm_zeroshot_label_mapped</w:t>
            </w:r>
            <w:r>
              <w:rPr>
                <w:rFonts w:ascii="Arial" w:hAnsi="Arial" w:cs="Arial"/>
                <w:color w:val="000000" w:themeColor="text1"/>
              </w:rPr>
            </w:r>
            <w:r>
              <w:rPr>
                <w:rFonts w:ascii="Arial" w:hAnsi="Arial" w:cs="Arial"/>
                <w:color w:val="000000" w:themeColor="text1"/>
              </w:rPr>
            </w:r>
          </w:p>
        </w:tc>
        <w:tc>
          <w:tcPr>
            <w:tcBorders/>
            <w:tcW w:w="992" w:type="dxa"/>
            <w:textDirection w:val="lrTb"/>
            <w:noWrap w:val="false"/>
          </w:tcPr>
          <w:p w14:paraId="1AB22E07">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15,955</w:t>
            </w:r>
            <w:r>
              <w:rPr>
                <w:rFonts w:ascii="Arial" w:hAnsi="Arial" w:cs="Arial"/>
                <w:color w:val="000000" w:themeColor="text1"/>
              </w:rPr>
            </w:r>
            <w:r>
              <w:rPr>
                <w:rFonts w:ascii="Arial" w:hAnsi="Arial" w:cs="Arial"/>
                <w:color w:val="000000" w:themeColor="text1"/>
              </w:rPr>
            </w:r>
          </w:p>
        </w:tc>
        <w:tc>
          <w:tcPr>
            <w:tcBorders/>
            <w:tcW w:w="1320" w:type="dxa"/>
            <w:textDirection w:val="lrTb"/>
            <w:noWrap w:val="false"/>
          </w:tcPr>
          <w:p w14:paraId="544B2ACE">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0.561642</w:t>
            </w:r>
            <w:r>
              <w:rPr>
                <w:rFonts w:ascii="Arial" w:hAnsi="Arial" w:cs="Arial"/>
                <w:color w:val="000000" w:themeColor="text1"/>
              </w:rPr>
            </w:r>
            <w:r>
              <w:rPr>
                <w:rFonts w:ascii="Arial" w:hAnsi="Arial" w:cs="Arial"/>
                <w:color w:val="000000" w:themeColor="text1"/>
              </w:rPr>
            </w:r>
          </w:p>
        </w:tc>
        <w:tc>
          <w:tcPr>
            <w:tcBorders/>
            <w:tcW w:w="1098" w:type="dxa"/>
            <w:textDirection w:val="lrTb"/>
            <w:noWrap w:val="false"/>
          </w:tcPr>
          <w:p w14:paraId="6A85D8CF">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NA</w:t>
            </w:r>
            <w:r>
              <w:rPr>
                <w:rFonts w:ascii="Arial" w:hAnsi="Arial" w:cs="Arial"/>
                <w:color w:val="000000" w:themeColor="text1"/>
              </w:rPr>
            </w:r>
            <w:r>
              <w:rPr>
                <w:rFonts w:ascii="Arial" w:hAnsi="Arial" w:cs="Arial"/>
                <w:color w:val="000000" w:themeColor="text1"/>
              </w:rPr>
            </w:r>
          </w:p>
        </w:tc>
        <w:tc>
          <w:tcPr>
            <w:tcBorders/>
            <w:tcW w:w="1043" w:type="dxa"/>
            <w:textDirection w:val="lrTb"/>
            <w:noWrap w:val="false"/>
          </w:tcPr>
          <w:p w14:paraId="1A8BFF27">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0.005817</w:t>
            </w:r>
            <w:r>
              <w:rPr>
                <w:rFonts w:ascii="Arial" w:hAnsi="Arial" w:cs="Arial"/>
                <w:color w:val="000000" w:themeColor="text1"/>
              </w:rPr>
            </w:r>
            <w:r>
              <w:rPr>
                <w:rFonts w:ascii="Arial" w:hAnsi="Arial" w:cs="Arial"/>
                <w:color w:val="000000" w:themeColor="text1"/>
              </w:rPr>
            </w:r>
          </w:p>
        </w:tc>
        <w:tc>
          <w:tcPr>
            <w:tcBorders/>
            <w:tcW w:w="1451" w:type="dxa"/>
            <w:textDirection w:val="lrTb"/>
            <w:noWrap w:val="false"/>
          </w:tcPr>
          <w:p w14:paraId="04A29E98">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OOV rate 0.973</w:t>
            </w:r>
            <w:r>
              <w:rPr>
                <w:rFonts w:ascii="Arial" w:hAnsi="Arial" w:cs="Arial"/>
                <w:color w:val="000000" w:themeColor="text1"/>
              </w:rPr>
            </w:r>
            <w:r>
              <w:rPr>
                <w:rFonts w:ascii="Arial" w:hAnsi="Arial" w:cs="Arial"/>
                <w:color w:val="000000" w:themeColor="text1"/>
              </w:rPr>
            </w:r>
          </w:p>
        </w:tc>
      </w:tr>
      <w:tr>
        <w:trPr/>
        <w:tc>
          <w:tcPr>
            <w:tcBorders/>
            <w:tcW w:w="2735" w:type="dxa"/>
            <w:textDirection w:val="lrTb"/>
            <w:noWrap w:val="false"/>
          </w:tcPr>
          <w:p w14:paraId="64472327">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text_topk_tfidf_logreg</w:t>
            </w:r>
            <w:r>
              <w:rPr>
                <w:rFonts w:ascii="Arial" w:hAnsi="Arial" w:cs="Arial"/>
                <w:color w:val="000000" w:themeColor="text1"/>
              </w:rPr>
            </w:r>
            <w:r>
              <w:rPr>
                <w:rFonts w:ascii="Arial" w:hAnsi="Arial" w:cs="Arial"/>
                <w:color w:val="000000" w:themeColor="text1"/>
              </w:rPr>
            </w:r>
          </w:p>
        </w:tc>
        <w:tc>
          <w:tcPr>
            <w:tcBorders/>
            <w:tcW w:w="992" w:type="dxa"/>
            <w:textDirection w:val="lrTb"/>
            <w:noWrap w:val="false"/>
          </w:tcPr>
          <w:p w14:paraId="6CD9AF3C">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4,252</w:t>
            </w:r>
            <w:r>
              <w:rPr>
                <w:rFonts w:ascii="Arial" w:hAnsi="Arial" w:cs="Arial"/>
                <w:color w:val="000000" w:themeColor="text1"/>
              </w:rPr>
            </w:r>
            <w:r>
              <w:rPr>
                <w:rFonts w:ascii="Arial" w:hAnsi="Arial" w:cs="Arial"/>
                <w:color w:val="000000" w:themeColor="text1"/>
              </w:rPr>
            </w:r>
          </w:p>
        </w:tc>
        <w:tc>
          <w:tcPr>
            <w:tcBorders/>
            <w:tcW w:w="1320" w:type="dxa"/>
            <w:textDirection w:val="lrTb"/>
            <w:noWrap w:val="false"/>
          </w:tcPr>
          <w:p w14:paraId="0031999C">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0.422389</w:t>
            </w:r>
            <w:r>
              <w:rPr>
                <w:rFonts w:ascii="Arial" w:hAnsi="Arial" w:cs="Arial"/>
                <w:color w:val="000000" w:themeColor="text1"/>
              </w:rPr>
            </w:r>
            <w:r>
              <w:rPr>
                <w:rFonts w:ascii="Arial" w:hAnsi="Arial" w:cs="Arial"/>
                <w:color w:val="000000" w:themeColor="text1"/>
              </w:rPr>
            </w:r>
          </w:p>
        </w:tc>
        <w:tc>
          <w:tcPr>
            <w:tcBorders/>
            <w:tcW w:w="1098" w:type="dxa"/>
            <w:textDirection w:val="lrTb"/>
            <w:noWrap w:val="false"/>
          </w:tcPr>
          <w:p w14:paraId="73C828F5">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0.235698</w:t>
            </w:r>
            <w:r>
              <w:rPr>
                <w:rFonts w:ascii="Arial" w:hAnsi="Arial" w:cs="Arial"/>
                <w:color w:val="000000" w:themeColor="text1"/>
              </w:rPr>
            </w:r>
            <w:r>
              <w:rPr>
                <w:rFonts w:ascii="Arial" w:hAnsi="Arial" w:cs="Arial"/>
                <w:color w:val="000000" w:themeColor="text1"/>
              </w:rPr>
            </w:r>
          </w:p>
        </w:tc>
        <w:tc>
          <w:tcPr>
            <w:tcBorders/>
            <w:tcW w:w="1043" w:type="dxa"/>
            <w:textDirection w:val="lrTb"/>
            <w:noWrap w:val="false"/>
          </w:tcPr>
          <w:p w14:paraId="63CC01B1">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0.204103</w:t>
            </w:r>
            <w:r>
              <w:rPr>
                <w:rFonts w:ascii="Arial" w:hAnsi="Arial" w:cs="Arial"/>
                <w:color w:val="000000" w:themeColor="text1"/>
              </w:rPr>
            </w:r>
            <w:r>
              <w:rPr>
                <w:rFonts w:ascii="Arial" w:hAnsi="Arial" w:cs="Arial"/>
                <w:color w:val="000000" w:themeColor="text1"/>
              </w:rPr>
            </w:r>
          </w:p>
        </w:tc>
        <w:tc>
          <w:tcPr>
            <w:tcBorders/>
            <w:tcW w:w="1451" w:type="dxa"/>
            <w:textDirection w:val="lrTb"/>
            <w:noWrap w:val="false"/>
          </w:tcPr>
          <w:p w14:paraId="51BE9E27">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top-3 0.7408</w:t>
            </w:r>
            <w:r>
              <w:rPr>
                <w:rFonts w:ascii="Arial" w:hAnsi="Arial" w:cs="Arial"/>
                <w:color w:val="000000" w:themeColor="text1"/>
              </w:rPr>
            </w:r>
            <w:r>
              <w:rPr>
                <w:rFonts w:ascii="Arial" w:hAnsi="Arial" w:cs="Arial"/>
                <w:color w:val="000000" w:themeColor="text1"/>
              </w:rPr>
            </w:r>
          </w:p>
        </w:tc>
      </w:tr>
      <w:tr>
        <w:trPr/>
        <w:tc>
          <w:tcPr>
            <w:tcBorders/>
            <w:tcW w:w="2735" w:type="dxa"/>
            <w:textDirection w:val="lrTb"/>
            <w:noWrap w:val="false"/>
          </w:tcPr>
          <w:p w14:paraId="0A273210">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image_resnet50_logreg</w:t>
            </w:r>
            <w:r>
              <w:rPr>
                <w:rFonts w:ascii="Arial" w:hAnsi="Arial" w:cs="Arial"/>
                <w:color w:val="000000" w:themeColor="text1"/>
              </w:rPr>
            </w:r>
            <w:r>
              <w:rPr>
                <w:rFonts w:ascii="Arial" w:hAnsi="Arial" w:cs="Arial"/>
                <w:color w:val="000000" w:themeColor="text1"/>
              </w:rPr>
            </w:r>
          </w:p>
        </w:tc>
        <w:tc>
          <w:tcPr>
            <w:tcBorders/>
            <w:tcW w:w="992" w:type="dxa"/>
            <w:textDirection w:val="lrTb"/>
            <w:noWrap w:val="false"/>
          </w:tcPr>
          <w:p w14:paraId="26518F5B">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5,952</w:t>
            </w:r>
            <w:r>
              <w:rPr>
                <w:rFonts w:ascii="Arial" w:hAnsi="Arial" w:cs="Arial"/>
                <w:color w:val="000000" w:themeColor="text1"/>
              </w:rPr>
            </w:r>
            <w:r>
              <w:rPr>
                <w:rFonts w:ascii="Arial" w:hAnsi="Arial" w:cs="Arial"/>
                <w:color w:val="000000" w:themeColor="text1"/>
              </w:rPr>
            </w:r>
          </w:p>
        </w:tc>
        <w:tc>
          <w:tcPr>
            <w:tcBorders/>
            <w:tcW w:w="1320" w:type="dxa"/>
            <w:textDirection w:val="lrTb"/>
            <w:noWrap w:val="false"/>
          </w:tcPr>
          <w:p w14:paraId="19698149">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0.233535</w:t>
            </w:r>
            <w:r>
              <w:rPr>
                <w:rFonts w:ascii="Arial" w:hAnsi="Arial" w:cs="Arial"/>
                <w:color w:val="000000" w:themeColor="text1"/>
              </w:rPr>
            </w:r>
            <w:r>
              <w:rPr>
                <w:rFonts w:ascii="Arial" w:hAnsi="Arial" w:cs="Arial"/>
                <w:color w:val="000000" w:themeColor="text1"/>
              </w:rPr>
            </w:r>
          </w:p>
        </w:tc>
        <w:tc>
          <w:tcPr>
            <w:tcBorders/>
            <w:tcW w:w="1098" w:type="dxa"/>
            <w:textDirection w:val="lrTb"/>
            <w:noWrap w:val="false"/>
          </w:tcPr>
          <w:p w14:paraId="625A6D30">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NA</w:t>
            </w:r>
            <w:r>
              <w:rPr>
                <w:rFonts w:ascii="Arial" w:hAnsi="Arial" w:cs="Arial"/>
                <w:color w:val="000000" w:themeColor="text1"/>
              </w:rPr>
            </w:r>
            <w:r>
              <w:rPr>
                <w:rFonts w:ascii="Arial" w:hAnsi="Arial" w:cs="Arial"/>
                <w:color w:val="000000" w:themeColor="text1"/>
              </w:rPr>
            </w:r>
          </w:p>
        </w:tc>
        <w:tc>
          <w:tcPr>
            <w:tcBorders/>
            <w:tcW w:w="1043" w:type="dxa"/>
            <w:textDirection w:val="lrTb"/>
            <w:noWrap w:val="false"/>
          </w:tcPr>
          <w:p w14:paraId="59EFE96F">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0.008556</w:t>
            </w:r>
            <w:r>
              <w:rPr>
                <w:rFonts w:ascii="Arial" w:hAnsi="Arial" w:cs="Arial"/>
                <w:color w:val="000000" w:themeColor="text1"/>
              </w:rPr>
            </w:r>
            <w:r>
              <w:rPr>
                <w:rFonts w:ascii="Arial" w:hAnsi="Arial" w:cs="Arial"/>
                <w:color w:val="000000" w:themeColor="text1"/>
              </w:rPr>
            </w:r>
          </w:p>
        </w:tc>
        <w:tc>
          <w:tcPr>
            <w:tcBorders/>
            <w:tcW w:w="1451" w:type="dxa"/>
            <w:textDirection w:val="lrTb"/>
            <w:noWrap w:val="false"/>
          </w:tcPr>
          <w:p w14:paraId="54127024">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image-only</w:t>
            </w:r>
            <w:r>
              <w:rPr>
                <w:rFonts w:ascii="Arial" w:hAnsi="Arial" w:cs="Arial"/>
                <w:color w:val="000000" w:themeColor="text1"/>
              </w:rPr>
            </w:r>
            <w:r>
              <w:rPr>
                <w:rFonts w:ascii="Arial" w:hAnsi="Arial" w:cs="Arial"/>
                <w:color w:val="000000" w:themeColor="text1"/>
              </w:rPr>
            </w:r>
          </w:p>
        </w:tc>
      </w:tr>
      <w:tr>
        <w:trPr/>
        <w:tc>
          <w:tcPr>
            <w:tcBorders/>
            <w:tcW w:w="2735" w:type="dxa"/>
            <w:textDirection w:val="lrTb"/>
            <w:noWrap w:val="false"/>
          </w:tcPr>
          <w:p w14:paraId="46B448FE">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text_bert_classifier</w:t>
            </w:r>
            <w:r>
              <w:rPr>
                <w:rFonts w:ascii="Arial" w:hAnsi="Arial" w:cs="Arial"/>
                <w:color w:val="000000" w:themeColor="text1"/>
              </w:rPr>
            </w:r>
            <w:r>
              <w:rPr>
                <w:rFonts w:ascii="Arial" w:hAnsi="Arial" w:cs="Arial"/>
                <w:color w:val="000000" w:themeColor="text1"/>
              </w:rPr>
            </w:r>
          </w:p>
        </w:tc>
        <w:tc>
          <w:tcPr>
            <w:tcBorders/>
            <w:tcW w:w="992" w:type="dxa"/>
            <w:textDirection w:val="lrTb"/>
            <w:noWrap w:val="false"/>
          </w:tcPr>
          <w:p w14:paraId="66A68ECA">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9,148</w:t>
            </w:r>
            <w:r>
              <w:rPr>
                <w:rFonts w:ascii="Arial" w:hAnsi="Arial" w:cs="Arial"/>
                <w:color w:val="000000" w:themeColor="text1"/>
              </w:rPr>
            </w:r>
            <w:r>
              <w:rPr>
                <w:rFonts w:ascii="Arial" w:hAnsi="Arial" w:cs="Arial"/>
                <w:color w:val="000000" w:themeColor="text1"/>
              </w:rPr>
            </w:r>
          </w:p>
        </w:tc>
        <w:tc>
          <w:tcPr>
            <w:tcBorders/>
            <w:tcW w:w="1320" w:type="dxa"/>
            <w:textDirection w:val="lrTb"/>
            <w:noWrap w:val="false"/>
          </w:tcPr>
          <w:p w14:paraId="07E133AE">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0.158942</w:t>
            </w:r>
            <w:r>
              <w:rPr>
                <w:rFonts w:ascii="Arial" w:hAnsi="Arial" w:cs="Arial"/>
                <w:color w:val="000000" w:themeColor="text1"/>
              </w:rPr>
            </w:r>
            <w:r>
              <w:rPr>
                <w:rFonts w:ascii="Arial" w:hAnsi="Arial" w:cs="Arial"/>
                <w:color w:val="000000" w:themeColor="text1"/>
              </w:rPr>
            </w:r>
          </w:p>
        </w:tc>
        <w:tc>
          <w:tcPr>
            <w:tcBorders/>
            <w:tcW w:w="1098" w:type="dxa"/>
            <w:textDirection w:val="lrTb"/>
            <w:noWrap w:val="false"/>
          </w:tcPr>
          <w:p w14:paraId="237211A4">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0.006654</w:t>
            </w:r>
            <w:r>
              <w:rPr>
                <w:rFonts w:ascii="Arial" w:hAnsi="Arial" w:cs="Arial"/>
                <w:color w:val="000000" w:themeColor="text1"/>
              </w:rPr>
            </w:r>
            <w:r>
              <w:rPr>
                <w:rFonts w:ascii="Arial" w:hAnsi="Arial" w:cs="Arial"/>
                <w:color w:val="000000" w:themeColor="text1"/>
              </w:rPr>
            </w:r>
          </w:p>
        </w:tc>
        <w:tc>
          <w:tcPr>
            <w:tcBorders/>
            <w:tcW w:w="1043" w:type="dxa"/>
            <w:textDirection w:val="lrTb"/>
            <w:noWrap w:val="false"/>
          </w:tcPr>
          <w:p w14:paraId="59A43308">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0.002327</w:t>
            </w:r>
            <w:r>
              <w:rPr>
                <w:rFonts w:ascii="Arial" w:hAnsi="Arial" w:cs="Arial"/>
                <w:color w:val="000000" w:themeColor="text1"/>
              </w:rPr>
            </w:r>
            <w:r>
              <w:rPr>
                <w:rFonts w:ascii="Arial" w:hAnsi="Arial" w:cs="Arial"/>
                <w:color w:val="000000" w:themeColor="text1"/>
              </w:rPr>
            </w:r>
          </w:p>
        </w:tc>
        <w:tc>
          <w:tcPr>
            <w:tcBorders/>
            <w:tcW w:w="1451" w:type="dxa"/>
            <w:textDirection w:val="lrTb"/>
            <w:noWrap w:val="false"/>
          </w:tcPr>
          <w:p w14:paraId="328DD4B8">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weak generalization</w:t>
            </w:r>
            <w:r>
              <w:rPr>
                <w:rFonts w:ascii="Arial" w:hAnsi="Arial" w:cs="Arial"/>
                <w:color w:val="000000" w:themeColor="text1"/>
              </w:rPr>
            </w:r>
            <w:r>
              <w:rPr>
                <w:rFonts w:ascii="Arial" w:hAnsi="Arial" w:cs="Arial"/>
                <w:color w:val="000000" w:themeColor="text1"/>
              </w:rPr>
            </w:r>
          </w:p>
        </w:tc>
      </w:tr>
      <w:tr>
        <w:trPr/>
        <w:tc>
          <w:tcPr>
            <w:tcBorders/>
            <w:tcW w:w="2735" w:type="dxa"/>
            <w:textDirection w:val="lrTb"/>
            <w:noWrap w:val="false"/>
          </w:tcPr>
          <w:p w14:paraId="038C58E5">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image_vit_logreg</w:t>
            </w:r>
            <w:r>
              <w:rPr>
                <w:rFonts w:ascii="Arial" w:hAnsi="Arial" w:cs="Arial"/>
                <w:color w:val="000000" w:themeColor="text1"/>
              </w:rPr>
            </w:r>
            <w:r>
              <w:rPr>
                <w:rFonts w:ascii="Arial" w:hAnsi="Arial" w:cs="Arial"/>
                <w:color w:val="000000" w:themeColor="text1"/>
              </w:rPr>
            </w:r>
          </w:p>
        </w:tc>
        <w:tc>
          <w:tcPr>
            <w:tcBorders/>
            <w:tcW w:w="992" w:type="dxa"/>
            <w:textDirection w:val="lrTb"/>
            <w:noWrap w:val="false"/>
          </w:tcPr>
          <w:p w14:paraId="6352148C">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4,252</w:t>
            </w:r>
            <w:r>
              <w:rPr>
                <w:rFonts w:ascii="Arial" w:hAnsi="Arial" w:cs="Arial"/>
                <w:color w:val="000000" w:themeColor="text1"/>
              </w:rPr>
            </w:r>
            <w:r>
              <w:rPr>
                <w:rFonts w:ascii="Arial" w:hAnsi="Arial" w:cs="Arial"/>
                <w:color w:val="000000" w:themeColor="text1"/>
              </w:rPr>
            </w:r>
          </w:p>
        </w:tc>
        <w:tc>
          <w:tcPr>
            <w:tcBorders/>
            <w:tcW w:w="1320" w:type="dxa"/>
            <w:textDirection w:val="lrTb"/>
            <w:noWrap w:val="false"/>
          </w:tcPr>
          <w:p w14:paraId="22764C45">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0.020461</w:t>
            </w:r>
            <w:r>
              <w:rPr>
                <w:rFonts w:ascii="Arial" w:hAnsi="Arial" w:cs="Arial"/>
                <w:color w:val="000000" w:themeColor="text1"/>
              </w:rPr>
            </w:r>
            <w:r>
              <w:rPr>
                <w:rFonts w:ascii="Arial" w:hAnsi="Arial" w:cs="Arial"/>
                <w:color w:val="000000" w:themeColor="text1"/>
              </w:rPr>
            </w:r>
          </w:p>
        </w:tc>
        <w:tc>
          <w:tcPr>
            <w:tcBorders/>
            <w:tcW w:w="1098" w:type="dxa"/>
            <w:textDirection w:val="lrTb"/>
            <w:noWrap w:val="false"/>
          </w:tcPr>
          <w:p w14:paraId="5E0E1B4F">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NA</w:t>
            </w:r>
            <w:r>
              <w:rPr>
                <w:rFonts w:ascii="Arial" w:hAnsi="Arial" w:cs="Arial"/>
                <w:color w:val="000000" w:themeColor="text1"/>
              </w:rPr>
            </w:r>
            <w:r>
              <w:rPr>
                <w:rFonts w:ascii="Arial" w:hAnsi="Arial" w:cs="Arial"/>
                <w:color w:val="000000" w:themeColor="text1"/>
              </w:rPr>
            </w:r>
          </w:p>
        </w:tc>
        <w:tc>
          <w:tcPr>
            <w:tcBorders/>
            <w:tcW w:w="1043" w:type="dxa"/>
            <w:textDirection w:val="lrTb"/>
            <w:noWrap w:val="false"/>
          </w:tcPr>
          <w:p w14:paraId="5E6EBD67">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0.006352</w:t>
            </w:r>
            <w:r>
              <w:rPr>
                <w:rFonts w:ascii="Arial" w:hAnsi="Arial" w:cs="Arial"/>
                <w:color w:val="000000" w:themeColor="text1"/>
              </w:rPr>
            </w:r>
            <w:r>
              <w:rPr>
                <w:rFonts w:ascii="Arial" w:hAnsi="Arial" w:cs="Arial"/>
                <w:color w:val="000000" w:themeColor="text1"/>
              </w:rPr>
            </w:r>
          </w:p>
        </w:tc>
        <w:tc>
          <w:tcPr>
            <w:tcBorders/>
            <w:tcW w:w="1451" w:type="dxa"/>
            <w:textDirection w:val="lrTb"/>
            <w:noWrap w:val="false"/>
          </w:tcPr>
          <w:p w14:paraId="6C8B32CE">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image-only</w:t>
            </w:r>
            <w:r>
              <w:rPr>
                <w:rFonts w:ascii="Arial" w:hAnsi="Arial" w:cs="Arial"/>
                <w:color w:val="000000" w:themeColor="text1"/>
              </w:rPr>
            </w:r>
            <w:r>
              <w:rPr>
                <w:rFonts w:ascii="Arial" w:hAnsi="Arial" w:cs="Arial"/>
                <w:color w:val="000000" w:themeColor="text1"/>
              </w:rPr>
            </w:r>
          </w:p>
        </w:tc>
      </w:tr>
    </w:tbl>
    <w:p w14:paraId="08D2CB17">
      <w:pPr>
        <w:pStyle w:val="1128"/>
        <w:suppressLineNumbers w:val="false"/>
        <w:pBdr/>
        <w:spacing w:line="300" w:lineRule="auto"/>
        <w:ind w:firstLine="0" w:left="0"/>
        <w:rPr>
          <w:bCs/>
          <w:i/>
          <w:highlight w:val="none"/>
          <w:lang w:val="en-US"/>
        </w:rPr>
      </w:pPr>
      <w:r>
        <w:rPr>
          <w:i/>
          <w:iCs/>
          <w:lang w:val="en-US"/>
        </w:rPr>
        <w:t xml:space="preserve">         </w:t>
        <w:tab/>
        <w:tab/>
        <w:t xml:space="preserve">Table </w:t>
      </w:r>
      <w:r>
        <w:rPr>
          <w:i/>
          <w:iCs/>
          <w:lang w:val="en-US"/>
        </w:rPr>
        <w:t xml:space="preserve">3.15 </w:t>
      </w:r>
      <w:r>
        <w:rPr>
          <w:i/>
          <w:iCs/>
          <w:lang w:val="en-US"/>
        </w:rPr>
        <w:t xml:space="preserve">Kvasir-VQA-x1 Mapped/Baseline Diagnostics</w:t>
      </w:r>
      <w:r>
        <w:rPr>
          <w:bCs/>
          <w:i/>
          <w:highlight w:val="none"/>
          <w:lang w:val="en-US"/>
        </w:rPr>
      </w:r>
      <w:r>
        <w:rPr>
          <w:bCs/>
          <w:i/>
          <w:highlight w:val="none"/>
          <w:lang w:val="en-US"/>
        </w:rPr>
      </w:r>
    </w:p>
    <w:p w14:paraId="4FA4BE98">
      <w:pPr>
        <w:pStyle w:val="1128"/>
        <w:suppressLineNumbers w:val="false"/>
        <w:pBdr/>
        <w:spacing w:line="300" w:lineRule="auto"/>
        <w:ind w:firstLine="0"/>
        <w:rPr/>
      </w:pPr>
      <w:r>
        <w:rPr>
          <w:highlight w:val="none"/>
        </w:rPr>
      </w:r>
      <w:r>
        <w:rPr>
          <w:highlight w:val="none"/>
        </w:rPr>
      </w:r>
      <w:r/>
    </w:p>
    <w:p w14:paraId="5A84B595">
      <w:pPr>
        <w:pStyle w:val="1128"/>
        <w:suppressLineNumbers w:val="false"/>
        <w:pBdr/>
        <w:spacing w:line="300" w:lineRule="auto"/>
        <w:ind w:firstLine="0"/>
        <w:rPr>
          <w:highlight w:val="none"/>
        </w:rPr>
      </w:pPr>
      <w:r>
        <w:rPr>
          <w:highlight w:val="none"/>
        </w:rPr>
      </w:r>
      <w:r>
        <w:rPr>
          <w:highlight w:val="none"/>
        </w:rPr>
      </w:r>
      <w:r>
        <w:rPr>
          <w:highlight w:val="none"/>
        </w:rPr>
      </w:r>
    </w:p>
    <w:p w14:paraId="67AD313F">
      <w:pPr>
        <w:pStyle w:val="1128"/>
        <w:suppressLineNumbers w:val="false"/>
        <w:pBdr/>
        <w:spacing w:line="300" w:lineRule="auto"/>
        <w:ind w:firstLine="0"/>
        <w:rPr>
          <w:highlight w:val="none"/>
        </w:rPr>
      </w:pPr>
      <w:r>
        <w:t xml:space="preserve">Two reliability signals are important here:</w:t>
      </w:r>
      <w:r>
        <w:rPr>
          <w:highlight w:val="none"/>
        </w:rPr>
      </w:r>
      <w:r>
        <w:rPr>
          <w:highlight w:val="none"/>
        </w:rPr>
      </w:r>
    </w:p>
    <w:p w14:paraId="32C232E6">
      <w:pPr>
        <w:pStyle w:val="1128"/>
        <w:suppressLineNumbers w:val="false"/>
        <w:pBdr/>
        <w:spacing w:line="300" w:lineRule="auto"/>
        <w:ind w:firstLine="0"/>
        <w:rPr/>
      </w:pPr>
      <w:r/>
      <w:r/>
    </w:p>
    <w:p w14:paraId="0BAD3CBD">
      <w:pPr>
        <w:pStyle w:val="1128"/>
        <w:numPr>
          <w:ilvl w:val="0"/>
          <w:numId w:val="72"/>
        </w:numPr>
        <w:suppressLineNumbers w:val="false"/>
        <w:pBdr/>
        <w:spacing w:line="300" w:lineRule="auto"/>
        <w:ind/>
        <w:rPr/>
      </w:pPr>
      <w:r>
        <w:rPr>
          <w:b/>
          <w:bCs/>
        </w:rPr>
        <w:t xml:space="preserve">Moderate mapped accuracy can be misleading. </w:t>
      </w:r>
      <w:r>
        <w:t xml:space="preserve">The mapped VLM diagnostic reports accuracy above 0.5 while macro-F1 is near zero, alongside an extremely high OOV rate. This indicates severe answer-space mismatch: many outputs cannot be mapped to the expected la</w:t>
      </w:r>
      <w:r>
        <w:t xml:space="preserve">bel space, and the mapped subset does not support balanced performance. As emphasized in Section 3.3, mapped accuracy is a format/ontology diagnostic, not evidence of clinically reliable reasoning.</w:t>
      </w:r>
      <w:r/>
    </w:p>
    <w:p w14:paraId="35687A2A">
      <w:pPr>
        <w:pStyle w:val="1128"/>
        <w:numPr>
          <w:ilvl w:val="0"/>
          <w:numId w:val="72"/>
        </w:numPr>
        <w:suppressLineNumbers w:val="false"/>
        <w:pBdr/>
        <w:spacing w:line="300" w:lineRule="auto"/>
        <w:ind/>
        <w:rPr/>
      </w:pPr>
      <w:r>
        <w:rPr>
          <w:b/>
          <w:bCs/>
        </w:rPr>
        <w:t xml:space="preserve">Subset-specific baselines can look strong due to question-family skew.</w:t>
      </w:r>
      <w:r>
        <w:t xml:space="preserve"> The yes/no-specific baseline reports high macro-F1 within that restricted subset, reinforcing the need to report results by task regime and avoid extrapolating from easier subsets to ove</w:t>
      </w:r>
      <w:r>
        <w:t xml:space="preserve">rall reliability.</w:t>
      </w:r>
      <w:r/>
    </w:p>
    <w:p w14:paraId="0883DA62">
      <w:pPr>
        <w:pStyle w:val="1128"/>
        <w:suppressLineNumbers w:val="false"/>
        <w:pBdr/>
        <w:spacing w:line="300" w:lineRule="auto"/>
        <w:ind w:firstLine="0"/>
        <w:rPr>
          <w:b/>
          <w:bCs/>
        </w:rPr>
      </w:pPr>
      <w:r>
        <w:rPr>
          <w:b/>
          <w:bCs/>
        </w:rPr>
      </w:r>
      <w:r>
        <w:rPr>
          <w:b/>
          <w:bCs/>
        </w:rPr>
        <w:t xml:space="preserve">Complexity effects (descriptive diagnostic)</w:t>
      </w:r>
      <w:r>
        <w:rPr>
          <w:b/>
          <w:bCs/>
        </w:rPr>
      </w:r>
      <w:r>
        <w:rPr>
          <w:b/>
          <w:bCs/>
        </w:rPr>
      </w:r>
    </w:p>
    <w:tbl>
      <w:tblPr>
        <w:tblStyle w:val="1185"/>
        <w:tblW w:w="0" w:type="auto"/>
        <w:tblBorders/>
        <w:tblLook w:val="04A0" w:firstRow="1" w:lastRow="0" w:firstColumn="1" w:lastColumn="0" w:noHBand="0" w:noVBand="1"/>
      </w:tblPr>
      <w:tblGrid>
        <w:gridCol w:w="2160"/>
        <w:gridCol w:w="2160"/>
        <w:gridCol w:w="2160"/>
        <w:gridCol w:w="2160"/>
      </w:tblGrid>
      <w:tr>
        <w:trPr/>
        <w:tc>
          <w:tcPr>
            <w:tcBorders/>
            <w:tcW w:w="2160" w:type="dxa"/>
            <w:textDirection w:val="lrTb"/>
            <w:noWrap w:val="false"/>
          </w:tcPr>
          <w:p w14:paraId="44DFBB51">
            <w:pPr>
              <w:pBdr/>
              <w:spacing w:after="0" w:before="0" w:line="240" w:lineRule="auto"/>
              <w:ind/>
              <w:rPr>
                <w:rFonts w:ascii="Arial" w:hAnsi="Arial" w:cs="Arial"/>
                <w:color w:val="000000" w:themeColor="text1"/>
              </w:rPr>
            </w:pPr>
            <w:r>
              <w:rPr>
                <w:rFonts w:ascii="Arial" w:hAnsi="Arial" w:eastAsia="Arial" w:cs="Arial"/>
                <w:b/>
                <w:color w:val="000000" w:themeColor="text1"/>
                <w:sz w:val="21"/>
              </w:rPr>
              <w:t xml:space="preserve">Complexity</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42487984">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4"/>
                <w:highlight w:val="white"/>
              </w:rPr>
              <w:t xml:space="preserve">llava_zeroshot</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1711A46B">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4"/>
                <w:highlight w:val="white"/>
              </w:rPr>
              <w:t xml:space="preserve">medgemma_zeroshot</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05F77ED5">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4"/>
                <w:highlight w:val="white"/>
              </w:rPr>
              <w:t xml:space="preserve">qwen2_5_vl_zeroshot</w:t>
            </w:r>
            <w:r>
              <w:rPr>
                <w:rFonts w:ascii="Arial" w:hAnsi="Arial" w:cs="Arial"/>
                <w:color w:val="000000" w:themeColor="text1"/>
              </w:rPr>
            </w:r>
            <w:r>
              <w:rPr>
                <w:rFonts w:ascii="Arial" w:hAnsi="Arial" w:cs="Arial"/>
                <w:color w:val="000000" w:themeColor="text1"/>
              </w:rPr>
            </w:r>
          </w:p>
        </w:tc>
      </w:tr>
      <w:tr>
        <w:trPr/>
        <w:tc>
          <w:tcPr>
            <w:tcBorders/>
            <w:tcW w:w="2160" w:type="dxa"/>
            <w:textDirection w:val="lrTb"/>
            <w:noWrap w:val="false"/>
          </w:tcPr>
          <w:p w14:paraId="499C8945">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1</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187BEC6C">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0.151298</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1BDEB1B5">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0.145365</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7B620313">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0.079875</w:t>
            </w:r>
            <w:r>
              <w:rPr>
                <w:rFonts w:ascii="Arial" w:hAnsi="Arial" w:cs="Arial"/>
                <w:color w:val="000000" w:themeColor="text1"/>
              </w:rPr>
            </w:r>
            <w:r>
              <w:rPr>
                <w:rFonts w:ascii="Arial" w:hAnsi="Arial" w:cs="Arial"/>
                <w:color w:val="000000" w:themeColor="text1"/>
              </w:rPr>
            </w:r>
          </w:p>
        </w:tc>
      </w:tr>
      <w:tr>
        <w:trPr/>
        <w:tc>
          <w:tcPr>
            <w:tcBorders/>
            <w:tcW w:w="2160" w:type="dxa"/>
            <w:textDirection w:val="lrTb"/>
            <w:noWrap w:val="false"/>
          </w:tcPr>
          <w:p w14:paraId="36745E58">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2</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2076B0B5">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0.217874</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34B58847">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0.216663</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3787A6FC">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0.171684</w:t>
            </w:r>
            <w:r>
              <w:rPr>
                <w:rFonts w:ascii="Arial" w:hAnsi="Arial" w:cs="Arial"/>
                <w:color w:val="000000" w:themeColor="text1"/>
              </w:rPr>
            </w:r>
            <w:r>
              <w:rPr>
                <w:rFonts w:ascii="Arial" w:hAnsi="Arial" w:cs="Arial"/>
                <w:color w:val="000000" w:themeColor="text1"/>
              </w:rPr>
            </w:r>
          </w:p>
        </w:tc>
      </w:tr>
      <w:tr>
        <w:trPr/>
        <w:tc>
          <w:tcPr>
            <w:tcBorders/>
            <w:tcW w:w="2160" w:type="dxa"/>
            <w:textDirection w:val="lrTb"/>
            <w:noWrap w:val="false"/>
          </w:tcPr>
          <w:p w14:paraId="3766A579">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3</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4197CDF5">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0.271474</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19F82940">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0.280927</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144ECDD1">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0.271952</w:t>
            </w:r>
            <w:r>
              <w:rPr>
                <w:rFonts w:ascii="Arial" w:hAnsi="Arial" w:cs="Arial"/>
                <w:color w:val="000000" w:themeColor="text1"/>
              </w:rPr>
            </w:r>
            <w:r>
              <w:rPr>
                <w:rFonts w:ascii="Arial" w:hAnsi="Arial" w:cs="Arial"/>
                <w:color w:val="000000" w:themeColor="text1"/>
              </w:rPr>
            </w:r>
          </w:p>
        </w:tc>
      </w:tr>
    </w:tbl>
    <w:p w14:paraId="08D2CB17">
      <w:pPr>
        <w:pStyle w:val="1128"/>
        <w:suppressLineNumbers w:val="false"/>
        <w:pBdr/>
        <w:spacing w:line="300" w:lineRule="auto"/>
        <w:ind w:firstLine="0" w:left="0"/>
        <w:rPr>
          <w:bCs/>
          <w:i/>
          <w:highlight w:val="none"/>
          <w:lang w:val="en-US"/>
        </w:rPr>
      </w:pPr>
      <w:r>
        <w:rPr>
          <w:i/>
          <w:iCs/>
          <w:lang w:val="en-US"/>
        </w:rPr>
        <w:t xml:space="preserve">         </w:t>
        <w:tab/>
        <w:tab/>
        <w:tab/>
      </w:r>
      <w:r>
        <w:rPr>
          <w:b/>
          <w:bCs/>
          <w:i/>
          <w:iCs/>
          <w:lang w:val="en-US"/>
        </w:rPr>
        <w:t xml:space="preserve">Table </w:t>
      </w:r>
      <w:r>
        <w:rPr>
          <w:b/>
          <w:bCs/>
          <w:i/>
          <w:iCs/>
          <w:lang w:val="en-US"/>
        </w:rPr>
        <w:t xml:space="preserve">3.16 </w:t>
      </w:r>
      <w:r>
        <w:rPr>
          <w:b/>
          <w:bCs/>
          <w:i/>
          <w:iCs/>
          <w:lang w:val="en-US"/>
        </w:rPr>
        <w:t xml:space="preserve">Token-F1 by Complexity Level</w:t>
      </w:r>
      <w:r>
        <w:rPr>
          <w:bCs/>
          <w:i/>
          <w:highlight w:val="none"/>
          <w:lang w:val="en-US"/>
        </w:rPr>
      </w:r>
      <w:r>
        <w:rPr>
          <w:bCs/>
          <w:i/>
          <w:highlight w:val="none"/>
          <w:lang w:val="en-US"/>
        </w:rPr>
      </w:r>
    </w:p>
    <w:p w14:paraId="795BCCF5">
      <w:pPr>
        <w:pStyle w:val="1128"/>
        <w:suppressLineNumbers w:val="false"/>
        <w:pBdr/>
        <w:spacing w:line="300" w:lineRule="auto"/>
        <w:ind w:firstLine="0"/>
        <w:rPr/>
      </w:pPr>
      <w:r>
        <w:t xml:space="preserve">T</w:t>
      </w:r>
      <w:r>
        <w:t xml:space="preserve">oken-F1 increases with complexity level in these persisted summaries. This trend is reported descriptively only: complexity can correlate with longer outputs or repeated lexical cues that inflate overlap scores without necessarily indicating better grounde</w:t>
      </w:r>
      <w:r>
        <w:t xml:space="preserve">d reasoning. Therefore, complexity-level overlap trends should be interpreted alongside OOV behavior and family-level diagnostics.</w:t>
      </w:r>
      <w:r/>
    </w:p>
    <w:p w14:paraId="221AD5FC">
      <w:pPr>
        <w:pStyle w:val="1128"/>
        <w:suppressLineNumbers w:val="false"/>
        <w:pBdr/>
        <w:spacing w:line="300" w:lineRule="auto"/>
        <w:ind w:firstLine="0"/>
        <w:rPr>
          <w:highlight w:val="none"/>
        </w:rPr>
      </w:pPr>
      <w:r>
        <w:rPr>
          <w:b/>
          <w:bCs/>
        </w:rPr>
        <w:t xml:space="preserve">Limitations and implications.</w:t>
      </w:r>
      <w:r>
        <w:t xml:space="preserve"> Kvasir-VQA-x1 demonstrates a common generative MedVQA pattern under repository evidence: strict EM collapses; token-level overlap improves with adaptation; and deterministic mapping can yield moderate accuracy while macro-F1 re</w:t>
      </w:r>
      <w:r>
        <w:t xml:space="preserve">m</w:t>
      </w:r>
      <w:r>
        <w:t xml:space="preserve">ains extremely low due to OOV behavior and answer-space skew. The practical implication for Chapter 4 is that generative capability must be introduced with answer-space governance (controlled decoding, normalization/mapping safeguards, and abstention behav</w:t>
      </w:r>
      <w:r>
        <w:t xml:space="preserve">ior) rather than being used as an unconstrained answer path.</w:t>
      </w:r>
      <w:r>
        <w:rPr>
          <w:highlight w:val="none"/>
        </w:rPr>
      </w:r>
      <w:r>
        <w:rPr>
          <w:highlight w:val="none"/>
        </w:rPr>
      </w:r>
    </w:p>
    <w:p w14:paraId="70EC6758">
      <w:pPr>
        <w:pStyle w:val="1128"/>
        <w:suppressLineNumbers w:val="false"/>
        <w:pBdr/>
        <w:spacing w:line="300" w:lineRule="auto"/>
        <w:ind w:firstLine="0"/>
        <w:rPr>
          <w:b/>
          <w:bCs/>
        </w:rPr>
      </w:pPr>
      <w:r>
        <w:rPr>
          <w:b/>
          <w:bCs/>
        </w:rPr>
        <w:t xml:space="preserve">3.4.5 LIMUC: UC Severity Reliability (Flagship Clinical Axis)</w:t>
      </w:r>
      <w:r>
        <w:rPr>
          <w:b/>
          <w:bCs/>
        </w:rPr>
      </w:r>
      <w:r>
        <w:rPr>
          <w:b/>
          <w:bCs/>
        </w:rPr>
      </w:r>
    </w:p>
    <w:p w14:paraId="4FC88D72">
      <w:pPr>
        <w:pStyle w:val="1128"/>
        <w:suppressLineNumbers w:val="false"/>
        <w:pBdr/>
        <w:spacing w:line="300" w:lineRule="auto"/>
        <w:ind w:firstLine="0"/>
        <w:rPr>
          <w:highlight w:val="none"/>
        </w:rPr>
      </w:pPr>
      <w:r>
        <w:t xml:space="preserve">L</w:t>
      </w:r>
      <w:r>
        <w:t xml:space="preserve">IMUC provides the most clinically direct evidence in Chapter 3 because it targets UC severity grading (Mayo 0–3), which is ordinal and clinically high-stakes</w:t>
      </w:r>
      <w:r>
        <w:t xml:space="preserve">[55], [62]-[65], [70]</w:t>
      </w:r>
      <w:r>
        <w:t xml:space="preserve">. In this setting, reliability cannot be summarized by accuracy alone: ordinal distance matters (0↔</w:t>
      </w:r>
      <w:r>
        <w:t xml:space="preserve">1</w:t>
      </w:r>
      <w:r>
        <w:t xml:space="preserve"> differs from 0↔3), and clinically meaningful threshold behavior (e.g., remission vs active disease) must be audited explicitly. Therefore, this subsection emphasizes ordinal agreement (QWK), error magnitude (MAE/RMSE), and a remission-oriented slice along</w:t>
      </w:r>
      <w:r>
        <w:t xml:space="preserve">side standard classification metrics.</w:t>
      </w:r>
      <w:r>
        <w:rPr>
          <w:highlight w:val="none"/>
        </w:rPr>
      </w:r>
      <w:r>
        <w:rPr>
          <w:highlight w:val="none"/>
        </w:rPr>
      </w:r>
    </w:p>
    <w:p w14:paraId="4E4EA11A">
      <w:pPr>
        <w:pStyle w:val="1128"/>
        <w:suppressLineNumbers w:val="false"/>
        <w:pBdr/>
        <w:spacing w:line="300" w:lineRule="auto"/>
        <w:ind w:firstLine="0"/>
        <w:rPr>
          <w:b/>
          <w:bCs/>
        </w:rPr>
      </w:pPr>
      <w:r>
        <w:rPr>
          <w:b/>
          <w:bCs/>
          <w:highlight w:val="none"/>
        </w:rPr>
      </w:r>
      <w:r>
        <w:rPr>
          <w:b/>
          <w:bCs/>
          <w:highlight w:val="none"/>
        </w:rPr>
        <w:t xml:space="preserve">Ordinal and classification metrics</w:t>
      </w:r>
      <w:r>
        <w:rPr>
          <w:b/>
          <w:bCs/>
        </w:rPr>
      </w:r>
      <w:r>
        <w:rPr>
          <w:b/>
          <w:bCs/>
        </w:rPr>
      </w:r>
    </w:p>
    <w:tbl>
      <w:tblPr>
        <w:tblStyle w:val="1185"/>
        <w:tblInd w:w="-383" w:type="dxa"/>
        <w:tblW w:w="0" w:type="auto"/>
        <w:tblBorders/>
        <w:tblLayout w:type="fixed"/>
        <w:tblLook w:val="04A0" w:firstRow="1" w:lastRow="0" w:firstColumn="1" w:lastColumn="0" w:noHBand="0" w:noVBand="1"/>
      </w:tblPr>
      <w:tblGrid>
        <w:gridCol w:w="2835"/>
        <w:gridCol w:w="1134"/>
        <w:gridCol w:w="1276"/>
        <w:gridCol w:w="1276"/>
        <w:gridCol w:w="850"/>
        <w:gridCol w:w="992"/>
        <w:gridCol w:w="850"/>
      </w:tblGrid>
      <w:tr>
        <w:trPr/>
        <w:tc>
          <w:tcPr>
            <w:tcBorders/>
            <w:tcW w:w="2835" w:type="dxa"/>
            <w:textDirection w:val="lrTb"/>
            <w:noWrap w:val="false"/>
          </w:tcPr>
          <w:p w14:paraId="79EA7E29">
            <w:pPr>
              <w:pBdr/>
              <w:spacing w:after="0" w:before="0" w:line="240" w:lineRule="auto"/>
              <w:ind/>
              <w:rPr>
                <w:rFonts w:ascii="Arial" w:hAnsi="Arial" w:cs="Arial"/>
                <w:color w:val="000000" w:themeColor="text1"/>
              </w:rPr>
            </w:pPr>
            <w:r>
              <w:rPr>
                <w:rFonts w:ascii="Arial" w:hAnsi="Arial" w:eastAsia="Arial" w:cs="Arial"/>
                <w:b/>
                <w:color w:val="000000" w:themeColor="text1"/>
                <w:sz w:val="21"/>
              </w:rPr>
              <w:t xml:space="preserve">Model</w:t>
            </w:r>
            <w:r>
              <w:rPr>
                <w:rFonts w:ascii="Arial" w:hAnsi="Arial" w:cs="Arial"/>
                <w:color w:val="000000" w:themeColor="text1"/>
              </w:rPr>
            </w:r>
            <w:r>
              <w:rPr>
                <w:rFonts w:ascii="Arial" w:hAnsi="Arial" w:cs="Arial"/>
                <w:color w:val="000000" w:themeColor="text1"/>
              </w:rPr>
            </w:r>
          </w:p>
        </w:tc>
        <w:tc>
          <w:tcPr>
            <w:tcBorders/>
            <w:tcW w:w="1134" w:type="dxa"/>
            <w:textDirection w:val="lrTb"/>
            <w:noWrap w:val="false"/>
          </w:tcPr>
          <w:p w14:paraId="4D4CEF71">
            <w:pPr>
              <w:pBdr/>
              <w:spacing w:after="0" w:before="0" w:line="240" w:lineRule="auto"/>
              <w:ind/>
              <w:jc w:val="right"/>
              <w:rPr>
                <w:rFonts w:ascii="Arial" w:hAnsi="Arial" w:cs="Arial"/>
                <w:color w:val="000000" w:themeColor="text1"/>
                <w:sz w:val="20"/>
                <w:szCs w:val="20"/>
              </w:rPr>
            </w:pPr>
            <w:r>
              <w:rPr>
                <w:rFonts w:ascii="Arial" w:hAnsi="Arial" w:eastAsia="Arial" w:cs="Arial"/>
                <w:b/>
                <w:color w:val="000000" w:themeColor="text1"/>
                <w:sz w:val="20"/>
                <w:szCs w:val="20"/>
              </w:rPr>
              <w:t xml:space="preserve">Accuracy</w:t>
            </w:r>
            <w:r>
              <w:rPr>
                <w:rFonts w:ascii="Arial" w:hAnsi="Arial" w:cs="Arial"/>
                <w:color w:val="000000" w:themeColor="text1"/>
                <w:sz w:val="20"/>
                <w:szCs w:val="20"/>
              </w:rPr>
            </w:r>
            <w:r>
              <w:rPr>
                <w:rFonts w:ascii="Arial" w:hAnsi="Arial" w:cs="Arial"/>
                <w:color w:val="000000" w:themeColor="text1"/>
                <w:sz w:val="20"/>
                <w:szCs w:val="20"/>
              </w:rPr>
            </w:r>
          </w:p>
        </w:tc>
        <w:tc>
          <w:tcPr>
            <w:tcBorders/>
            <w:tcW w:w="1276" w:type="dxa"/>
            <w:textDirection w:val="lrTb"/>
            <w:noWrap w:val="false"/>
          </w:tcPr>
          <w:p w14:paraId="468B6774">
            <w:pPr>
              <w:pBdr/>
              <w:spacing w:after="0" w:before="0" w:line="240" w:lineRule="auto"/>
              <w:ind/>
              <w:jc w:val="right"/>
              <w:rPr>
                <w:rFonts w:ascii="Arial" w:hAnsi="Arial" w:cs="Arial"/>
                <w:color w:val="000000" w:themeColor="text1"/>
                <w:sz w:val="20"/>
                <w:szCs w:val="20"/>
              </w:rPr>
            </w:pPr>
            <w:r>
              <w:rPr>
                <w:rFonts w:ascii="Arial" w:hAnsi="Arial" w:eastAsia="Arial" w:cs="Arial"/>
                <w:b/>
                <w:color w:val="000000" w:themeColor="text1"/>
                <w:sz w:val="20"/>
                <w:szCs w:val="20"/>
              </w:rPr>
              <w:t xml:space="preserve">Balanced Acc</w:t>
            </w:r>
            <w:r>
              <w:rPr>
                <w:rFonts w:ascii="Arial" w:hAnsi="Arial" w:cs="Arial"/>
                <w:color w:val="000000" w:themeColor="text1"/>
                <w:sz w:val="20"/>
                <w:szCs w:val="20"/>
              </w:rPr>
            </w:r>
            <w:r>
              <w:rPr>
                <w:rFonts w:ascii="Arial" w:hAnsi="Arial" w:cs="Arial"/>
                <w:color w:val="000000" w:themeColor="text1"/>
                <w:sz w:val="20"/>
                <w:szCs w:val="20"/>
              </w:rPr>
            </w:r>
          </w:p>
        </w:tc>
        <w:tc>
          <w:tcPr>
            <w:tcBorders/>
            <w:tcW w:w="1276" w:type="dxa"/>
            <w:textDirection w:val="lrTb"/>
            <w:noWrap w:val="false"/>
          </w:tcPr>
          <w:p w14:paraId="104B99EA">
            <w:pPr>
              <w:pBdr/>
              <w:spacing w:after="0" w:before="0" w:line="240" w:lineRule="auto"/>
              <w:ind/>
              <w:jc w:val="right"/>
              <w:rPr>
                <w:rFonts w:ascii="Arial" w:hAnsi="Arial" w:cs="Arial"/>
                <w:color w:val="000000" w:themeColor="text1"/>
                <w:sz w:val="20"/>
                <w:szCs w:val="20"/>
              </w:rPr>
            </w:pPr>
            <w:r>
              <w:rPr>
                <w:rFonts w:ascii="Arial" w:hAnsi="Arial" w:eastAsia="Arial" w:cs="Arial"/>
                <w:b/>
                <w:color w:val="000000" w:themeColor="text1"/>
                <w:sz w:val="20"/>
                <w:szCs w:val="20"/>
              </w:rPr>
              <w:t xml:space="preserve">Macro-F1</w:t>
            </w:r>
            <w:r>
              <w:rPr>
                <w:rFonts w:ascii="Arial" w:hAnsi="Arial" w:cs="Arial"/>
                <w:color w:val="000000" w:themeColor="text1"/>
                <w:sz w:val="20"/>
                <w:szCs w:val="20"/>
              </w:rPr>
            </w:r>
            <w:r>
              <w:rPr>
                <w:rFonts w:ascii="Arial" w:hAnsi="Arial" w:cs="Arial"/>
                <w:color w:val="000000" w:themeColor="text1"/>
                <w:sz w:val="20"/>
                <w:szCs w:val="20"/>
              </w:rPr>
            </w:r>
          </w:p>
        </w:tc>
        <w:tc>
          <w:tcPr>
            <w:tcBorders/>
            <w:tcW w:w="850" w:type="dxa"/>
            <w:textDirection w:val="lrTb"/>
            <w:noWrap w:val="false"/>
          </w:tcPr>
          <w:p w14:paraId="39A044B8">
            <w:pPr>
              <w:pBdr/>
              <w:spacing w:after="0" w:before="0" w:line="240" w:lineRule="auto"/>
              <w:ind/>
              <w:jc w:val="right"/>
              <w:rPr>
                <w:rFonts w:ascii="Arial" w:hAnsi="Arial" w:cs="Arial"/>
                <w:color w:val="000000" w:themeColor="text1"/>
                <w:sz w:val="20"/>
                <w:szCs w:val="20"/>
              </w:rPr>
            </w:pPr>
            <w:r>
              <w:rPr>
                <w:rFonts w:ascii="Arial" w:hAnsi="Arial" w:eastAsia="Arial" w:cs="Arial"/>
                <w:b/>
                <w:color w:val="000000" w:themeColor="text1"/>
                <w:sz w:val="20"/>
                <w:szCs w:val="20"/>
              </w:rPr>
              <w:t xml:space="preserve">QWK</w:t>
            </w:r>
            <w:r>
              <w:rPr>
                <w:rFonts w:ascii="Arial" w:hAnsi="Arial" w:cs="Arial"/>
                <w:color w:val="000000" w:themeColor="text1"/>
                <w:sz w:val="20"/>
                <w:szCs w:val="20"/>
              </w:rPr>
            </w:r>
            <w:r>
              <w:rPr>
                <w:rFonts w:ascii="Arial" w:hAnsi="Arial" w:cs="Arial"/>
                <w:color w:val="000000" w:themeColor="text1"/>
                <w:sz w:val="20"/>
                <w:szCs w:val="20"/>
              </w:rPr>
            </w:r>
          </w:p>
        </w:tc>
        <w:tc>
          <w:tcPr>
            <w:tcBorders/>
            <w:tcW w:w="992" w:type="dxa"/>
            <w:textDirection w:val="lrTb"/>
            <w:noWrap w:val="false"/>
          </w:tcPr>
          <w:p w14:paraId="170730FF">
            <w:pPr>
              <w:pBdr/>
              <w:spacing w:after="0" w:before="0" w:line="240" w:lineRule="auto"/>
              <w:ind/>
              <w:jc w:val="right"/>
              <w:rPr>
                <w:rFonts w:ascii="Arial" w:hAnsi="Arial" w:cs="Arial"/>
                <w:color w:val="000000" w:themeColor="text1"/>
                <w:sz w:val="20"/>
                <w:szCs w:val="20"/>
              </w:rPr>
            </w:pPr>
            <w:r>
              <w:rPr>
                <w:rFonts w:ascii="Arial" w:hAnsi="Arial" w:eastAsia="Arial" w:cs="Arial"/>
                <w:b/>
                <w:color w:val="000000" w:themeColor="text1"/>
                <w:sz w:val="20"/>
                <w:szCs w:val="20"/>
              </w:rPr>
              <w:t xml:space="preserve">MAE</w:t>
            </w:r>
            <w:r>
              <w:rPr>
                <w:rFonts w:ascii="Arial" w:hAnsi="Arial" w:cs="Arial"/>
                <w:color w:val="000000" w:themeColor="text1"/>
                <w:sz w:val="20"/>
                <w:szCs w:val="20"/>
              </w:rPr>
            </w:r>
            <w:r>
              <w:rPr>
                <w:rFonts w:ascii="Arial" w:hAnsi="Arial" w:cs="Arial"/>
                <w:color w:val="000000" w:themeColor="text1"/>
                <w:sz w:val="20"/>
                <w:szCs w:val="20"/>
              </w:rPr>
            </w:r>
          </w:p>
        </w:tc>
        <w:tc>
          <w:tcPr>
            <w:tcBorders/>
            <w:tcW w:w="850" w:type="dxa"/>
            <w:textDirection w:val="lrTb"/>
            <w:noWrap w:val="false"/>
          </w:tcPr>
          <w:p w14:paraId="78BBA186">
            <w:pPr>
              <w:pBdr/>
              <w:spacing w:after="0" w:before="0" w:line="240" w:lineRule="auto"/>
              <w:ind/>
              <w:jc w:val="right"/>
              <w:rPr>
                <w:rFonts w:ascii="Arial" w:hAnsi="Arial" w:cs="Arial"/>
                <w:color w:val="000000" w:themeColor="text1"/>
                <w:sz w:val="20"/>
                <w:szCs w:val="20"/>
              </w:rPr>
            </w:pPr>
            <w:r>
              <w:rPr>
                <w:rFonts w:ascii="Arial" w:hAnsi="Arial" w:eastAsia="Arial" w:cs="Arial"/>
                <w:b/>
                <w:color w:val="000000" w:themeColor="text1"/>
                <w:sz w:val="20"/>
                <w:szCs w:val="20"/>
              </w:rPr>
              <w:t xml:space="preserve">RMSE</w:t>
            </w:r>
            <w:r>
              <w:rPr>
                <w:rFonts w:ascii="Arial" w:hAnsi="Arial" w:cs="Arial"/>
                <w:color w:val="000000" w:themeColor="text1"/>
                <w:sz w:val="20"/>
                <w:szCs w:val="20"/>
              </w:rPr>
            </w:r>
            <w:r>
              <w:rPr>
                <w:rFonts w:ascii="Arial" w:hAnsi="Arial" w:cs="Arial"/>
                <w:color w:val="000000" w:themeColor="text1"/>
                <w:sz w:val="20"/>
                <w:szCs w:val="20"/>
              </w:rPr>
            </w:r>
          </w:p>
        </w:tc>
      </w:tr>
      <w:tr>
        <w:trPr/>
        <w:tc>
          <w:tcPr>
            <w:tcBorders/>
            <w:tcW w:w="2835" w:type="dxa"/>
            <w:textDirection w:val="lrTb"/>
            <w:noWrap w:val="false"/>
          </w:tcPr>
          <w:p w14:paraId="1BA29D96">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finetune_resnet50</w:t>
            </w:r>
            <w:r>
              <w:rPr>
                <w:rFonts w:ascii="Arial" w:hAnsi="Arial" w:cs="Arial"/>
                <w:color w:val="000000" w:themeColor="text1"/>
              </w:rPr>
            </w:r>
            <w:r>
              <w:rPr>
                <w:rFonts w:ascii="Arial" w:hAnsi="Arial" w:cs="Arial"/>
                <w:color w:val="000000" w:themeColor="text1"/>
              </w:rPr>
            </w:r>
          </w:p>
        </w:tc>
        <w:tc>
          <w:tcPr>
            <w:tcBorders/>
            <w:tcW w:w="1134" w:type="dxa"/>
            <w:textDirection w:val="lrTb"/>
            <w:noWrap w:val="false"/>
          </w:tcPr>
          <w:p w14:paraId="0943F09E">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0.753855</w:t>
            </w:r>
            <w:r>
              <w:rPr>
                <w:rFonts w:ascii="Arial" w:hAnsi="Arial" w:cs="Arial"/>
                <w:color w:val="000000" w:themeColor="text1"/>
              </w:rPr>
            </w:r>
            <w:r>
              <w:rPr>
                <w:rFonts w:ascii="Arial" w:hAnsi="Arial" w:cs="Arial"/>
                <w:color w:val="000000" w:themeColor="text1"/>
              </w:rPr>
            </w:r>
          </w:p>
        </w:tc>
        <w:tc>
          <w:tcPr>
            <w:tcBorders/>
            <w:tcW w:w="1276" w:type="dxa"/>
            <w:textDirection w:val="lrTb"/>
            <w:noWrap w:val="false"/>
          </w:tcPr>
          <w:p w14:paraId="56CE6CD7">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0.695008</w:t>
            </w:r>
            <w:r>
              <w:rPr>
                <w:rFonts w:ascii="Arial" w:hAnsi="Arial" w:cs="Arial"/>
                <w:color w:val="000000" w:themeColor="text1"/>
              </w:rPr>
            </w:r>
            <w:r>
              <w:rPr>
                <w:rFonts w:ascii="Arial" w:hAnsi="Arial" w:cs="Arial"/>
                <w:color w:val="000000" w:themeColor="text1"/>
              </w:rPr>
            </w:r>
          </w:p>
        </w:tc>
        <w:tc>
          <w:tcPr>
            <w:tcBorders/>
            <w:tcW w:w="1276" w:type="dxa"/>
            <w:textDirection w:val="lrTb"/>
            <w:noWrap w:val="false"/>
          </w:tcPr>
          <w:p w14:paraId="035D0531">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0.682889</w:t>
            </w:r>
            <w:r>
              <w:rPr>
                <w:rFonts w:ascii="Arial" w:hAnsi="Arial" w:cs="Arial"/>
                <w:color w:val="000000" w:themeColor="text1"/>
              </w:rPr>
            </w:r>
            <w:r>
              <w:rPr>
                <w:rFonts w:ascii="Arial" w:hAnsi="Arial" w:cs="Arial"/>
                <w:color w:val="000000" w:themeColor="text1"/>
              </w:rPr>
            </w:r>
          </w:p>
        </w:tc>
        <w:tc>
          <w:tcPr>
            <w:tcBorders/>
            <w:tcW w:w="850" w:type="dxa"/>
            <w:textDirection w:val="lrTb"/>
            <w:noWrap w:val="false"/>
          </w:tcPr>
          <w:p w14:paraId="752315D3">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0.835097</w:t>
            </w:r>
            <w:r>
              <w:rPr>
                <w:rFonts w:ascii="Arial" w:hAnsi="Arial" w:cs="Arial"/>
                <w:color w:val="000000" w:themeColor="text1"/>
              </w:rPr>
            </w:r>
            <w:r>
              <w:rPr>
                <w:rFonts w:ascii="Arial" w:hAnsi="Arial" w:cs="Arial"/>
                <w:color w:val="000000" w:themeColor="text1"/>
              </w:rPr>
            </w:r>
          </w:p>
        </w:tc>
        <w:tc>
          <w:tcPr>
            <w:tcBorders/>
            <w:tcW w:w="992" w:type="dxa"/>
            <w:textDirection w:val="lrTb"/>
            <w:noWrap w:val="false"/>
          </w:tcPr>
          <w:p w14:paraId="7DDFEA63">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0.256821</w:t>
            </w:r>
            <w:r>
              <w:rPr>
                <w:rFonts w:ascii="Arial" w:hAnsi="Arial" w:cs="Arial"/>
                <w:color w:val="000000" w:themeColor="text1"/>
              </w:rPr>
            </w:r>
            <w:r>
              <w:rPr>
                <w:rFonts w:ascii="Arial" w:hAnsi="Arial" w:cs="Arial"/>
                <w:color w:val="000000" w:themeColor="text1"/>
              </w:rPr>
            </w:r>
          </w:p>
        </w:tc>
        <w:tc>
          <w:tcPr>
            <w:tcBorders/>
            <w:tcW w:w="850" w:type="dxa"/>
            <w:textDirection w:val="lrTb"/>
            <w:noWrap w:val="false"/>
          </w:tcPr>
          <w:p w14:paraId="60376B24">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0.528545</w:t>
            </w:r>
            <w:r>
              <w:rPr>
                <w:rFonts w:ascii="Arial" w:hAnsi="Arial" w:cs="Arial"/>
                <w:color w:val="000000" w:themeColor="text1"/>
              </w:rPr>
            </w:r>
            <w:r>
              <w:rPr>
                <w:rFonts w:ascii="Arial" w:hAnsi="Arial" w:cs="Arial"/>
                <w:color w:val="000000" w:themeColor="text1"/>
              </w:rPr>
            </w:r>
          </w:p>
        </w:tc>
      </w:tr>
      <w:tr>
        <w:trPr/>
        <w:tc>
          <w:tcPr>
            <w:tcBorders/>
            <w:tcW w:w="2835" w:type="dxa"/>
            <w:textDirection w:val="lrTb"/>
            <w:noWrap w:val="false"/>
          </w:tcPr>
          <w:p w14:paraId="6D4CA98A">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finetune_vit_or_swin</w:t>
            </w:r>
            <w:r>
              <w:rPr>
                <w:rFonts w:ascii="Arial" w:hAnsi="Arial" w:cs="Arial"/>
                <w:color w:val="000000" w:themeColor="text1"/>
              </w:rPr>
            </w:r>
            <w:r>
              <w:rPr>
                <w:rFonts w:ascii="Arial" w:hAnsi="Arial" w:cs="Arial"/>
                <w:color w:val="000000" w:themeColor="text1"/>
              </w:rPr>
            </w:r>
          </w:p>
        </w:tc>
        <w:tc>
          <w:tcPr>
            <w:tcBorders/>
            <w:tcW w:w="1134" w:type="dxa"/>
            <w:textDirection w:val="lrTb"/>
            <w:noWrap w:val="false"/>
          </w:tcPr>
          <w:p w14:paraId="79C4B813">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0.727165</w:t>
            </w:r>
            <w:r>
              <w:rPr>
                <w:rFonts w:ascii="Arial" w:hAnsi="Arial" w:cs="Arial"/>
                <w:color w:val="000000" w:themeColor="text1"/>
              </w:rPr>
            </w:r>
            <w:r>
              <w:rPr>
                <w:rFonts w:ascii="Arial" w:hAnsi="Arial" w:cs="Arial"/>
                <w:color w:val="000000" w:themeColor="text1"/>
              </w:rPr>
            </w:r>
          </w:p>
        </w:tc>
        <w:tc>
          <w:tcPr>
            <w:tcBorders/>
            <w:tcW w:w="1276" w:type="dxa"/>
            <w:textDirection w:val="lrTb"/>
            <w:noWrap w:val="false"/>
          </w:tcPr>
          <w:p w14:paraId="68704163">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0.673848</w:t>
            </w:r>
            <w:r>
              <w:rPr>
                <w:rFonts w:ascii="Arial" w:hAnsi="Arial" w:cs="Arial"/>
                <w:color w:val="000000" w:themeColor="text1"/>
              </w:rPr>
            </w:r>
            <w:r>
              <w:rPr>
                <w:rFonts w:ascii="Arial" w:hAnsi="Arial" w:cs="Arial"/>
                <w:color w:val="000000" w:themeColor="text1"/>
              </w:rPr>
            </w:r>
          </w:p>
        </w:tc>
        <w:tc>
          <w:tcPr>
            <w:tcBorders/>
            <w:tcW w:w="1276" w:type="dxa"/>
            <w:textDirection w:val="lrTb"/>
            <w:noWrap w:val="false"/>
          </w:tcPr>
          <w:p w14:paraId="389D0C2A">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0.672142</w:t>
            </w:r>
            <w:r>
              <w:rPr>
                <w:rFonts w:ascii="Arial" w:hAnsi="Arial" w:cs="Arial"/>
                <w:color w:val="000000" w:themeColor="text1"/>
              </w:rPr>
            </w:r>
            <w:r>
              <w:rPr>
                <w:rFonts w:ascii="Arial" w:hAnsi="Arial" w:cs="Arial"/>
                <w:color w:val="000000" w:themeColor="text1"/>
              </w:rPr>
            </w:r>
          </w:p>
        </w:tc>
        <w:tc>
          <w:tcPr>
            <w:tcBorders/>
            <w:tcW w:w="850" w:type="dxa"/>
            <w:textDirection w:val="lrTb"/>
            <w:noWrap w:val="false"/>
          </w:tcPr>
          <w:p w14:paraId="44CAFF3D">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0.806259</w:t>
            </w:r>
            <w:r>
              <w:rPr>
                <w:rFonts w:ascii="Arial" w:hAnsi="Arial" w:cs="Arial"/>
                <w:color w:val="000000" w:themeColor="text1"/>
              </w:rPr>
            </w:r>
            <w:r>
              <w:rPr>
                <w:rFonts w:ascii="Arial" w:hAnsi="Arial" w:cs="Arial"/>
                <w:color w:val="000000" w:themeColor="text1"/>
              </w:rPr>
            </w:r>
          </w:p>
        </w:tc>
        <w:tc>
          <w:tcPr>
            <w:tcBorders/>
            <w:tcW w:w="992" w:type="dxa"/>
            <w:textDirection w:val="lrTb"/>
            <w:noWrap w:val="false"/>
          </w:tcPr>
          <w:p w14:paraId="561528E6">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0.287070</w:t>
            </w:r>
            <w:r>
              <w:rPr>
                <w:rFonts w:ascii="Arial" w:hAnsi="Arial" w:cs="Arial"/>
                <w:color w:val="000000" w:themeColor="text1"/>
              </w:rPr>
            </w:r>
            <w:r>
              <w:rPr>
                <w:rFonts w:ascii="Arial" w:hAnsi="Arial" w:cs="Arial"/>
                <w:color w:val="000000" w:themeColor="text1"/>
              </w:rPr>
            </w:r>
          </w:p>
        </w:tc>
        <w:tc>
          <w:tcPr>
            <w:tcBorders/>
            <w:tcW w:w="850" w:type="dxa"/>
            <w:textDirection w:val="lrTb"/>
            <w:noWrap w:val="false"/>
          </w:tcPr>
          <w:p w14:paraId="6A455093">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0.564888</w:t>
            </w:r>
            <w:r>
              <w:rPr>
                <w:rFonts w:ascii="Arial" w:hAnsi="Arial" w:cs="Arial"/>
                <w:color w:val="000000" w:themeColor="text1"/>
              </w:rPr>
            </w:r>
            <w:r>
              <w:rPr>
                <w:rFonts w:ascii="Arial" w:hAnsi="Arial" w:cs="Arial"/>
                <w:color w:val="000000" w:themeColor="text1"/>
              </w:rPr>
            </w:r>
          </w:p>
        </w:tc>
      </w:tr>
      <w:tr>
        <w:trPr/>
        <w:tc>
          <w:tcPr>
            <w:tcBorders/>
            <w:tcW w:w="2835" w:type="dxa"/>
            <w:textDirection w:val="lrTb"/>
            <w:noWrap w:val="false"/>
          </w:tcPr>
          <w:p w14:paraId="6E8C2FC9">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vit_frozen_logreg</w:t>
            </w:r>
            <w:r>
              <w:rPr>
                <w:rFonts w:ascii="Arial" w:hAnsi="Arial" w:cs="Arial"/>
                <w:color w:val="000000" w:themeColor="text1"/>
              </w:rPr>
            </w:r>
            <w:r>
              <w:rPr>
                <w:rFonts w:ascii="Arial" w:hAnsi="Arial" w:cs="Arial"/>
                <w:color w:val="000000" w:themeColor="text1"/>
              </w:rPr>
            </w:r>
          </w:p>
        </w:tc>
        <w:tc>
          <w:tcPr>
            <w:tcBorders/>
            <w:tcW w:w="1134" w:type="dxa"/>
            <w:textDirection w:val="lrTb"/>
            <w:noWrap w:val="false"/>
          </w:tcPr>
          <w:p w14:paraId="25C54637">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0.689798</w:t>
            </w:r>
            <w:r>
              <w:rPr>
                <w:rFonts w:ascii="Arial" w:hAnsi="Arial" w:cs="Arial"/>
                <w:color w:val="000000" w:themeColor="text1"/>
              </w:rPr>
            </w:r>
            <w:r>
              <w:rPr>
                <w:rFonts w:ascii="Arial" w:hAnsi="Arial" w:cs="Arial"/>
                <w:color w:val="000000" w:themeColor="text1"/>
              </w:rPr>
            </w:r>
          </w:p>
        </w:tc>
        <w:tc>
          <w:tcPr>
            <w:tcBorders/>
            <w:tcW w:w="1276" w:type="dxa"/>
            <w:textDirection w:val="lrTb"/>
            <w:noWrap w:val="false"/>
          </w:tcPr>
          <w:p w14:paraId="6F8EA0F9">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0.641650</w:t>
            </w:r>
            <w:r>
              <w:rPr>
                <w:rFonts w:ascii="Arial" w:hAnsi="Arial" w:cs="Arial"/>
                <w:color w:val="000000" w:themeColor="text1"/>
              </w:rPr>
            </w:r>
            <w:r>
              <w:rPr>
                <w:rFonts w:ascii="Arial" w:hAnsi="Arial" w:cs="Arial"/>
                <w:color w:val="000000" w:themeColor="text1"/>
              </w:rPr>
            </w:r>
          </w:p>
        </w:tc>
        <w:tc>
          <w:tcPr>
            <w:tcBorders/>
            <w:tcW w:w="1276" w:type="dxa"/>
            <w:textDirection w:val="lrTb"/>
            <w:noWrap w:val="false"/>
          </w:tcPr>
          <w:p w14:paraId="49CE4FCB">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0.618454</w:t>
            </w:r>
            <w:r>
              <w:rPr>
                <w:rFonts w:ascii="Arial" w:hAnsi="Arial" w:cs="Arial"/>
                <w:color w:val="000000" w:themeColor="text1"/>
              </w:rPr>
            </w:r>
            <w:r>
              <w:rPr>
                <w:rFonts w:ascii="Arial" w:hAnsi="Arial" w:cs="Arial"/>
                <w:color w:val="000000" w:themeColor="text1"/>
              </w:rPr>
            </w:r>
          </w:p>
        </w:tc>
        <w:tc>
          <w:tcPr>
            <w:tcBorders/>
            <w:tcW w:w="850" w:type="dxa"/>
            <w:textDirection w:val="lrTb"/>
            <w:noWrap w:val="false"/>
          </w:tcPr>
          <w:p w14:paraId="5DB33833">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0.758806</w:t>
            </w:r>
            <w:r>
              <w:rPr>
                <w:rFonts w:ascii="Arial" w:hAnsi="Arial" w:cs="Arial"/>
                <w:color w:val="000000" w:themeColor="text1"/>
              </w:rPr>
            </w:r>
            <w:r>
              <w:rPr>
                <w:rFonts w:ascii="Arial" w:hAnsi="Arial" w:cs="Arial"/>
                <w:color w:val="000000" w:themeColor="text1"/>
              </w:rPr>
            </w:r>
          </w:p>
        </w:tc>
        <w:tc>
          <w:tcPr>
            <w:tcBorders/>
            <w:tcW w:w="992" w:type="dxa"/>
            <w:textDirection w:val="lrTb"/>
            <w:noWrap w:val="false"/>
          </w:tcPr>
          <w:p w14:paraId="62550F0E">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0.348161</w:t>
            </w:r>
            <w:r>
              <w:rPr>
                <w:rFonts w:ascii="Arial" w:hAnsi="Arial" w:cs="Arial"/>
                <w:color w:val="000000" w:themeColor="text1"/>
              </w:rPr>
            </w:r>
            <w:r>
              <w:rPr>
                <w:rFonts w:ascii="Arial" w:hAnsi="Arial" w:cs="Arial"/>
                <w:color w:val="000000" w:themeColor="text1"/>
              </w:rPr>
            </w:r>
          </w:p>
        </w:tc>
        <w:tc>
          <w:tcPr>
            <w:tcBorders/>
            <w:tcW w:w="850" w:type="dxa"/>
            <w:textDirection w:val="lrTb"/>
            <w:noWrap w:val="false"/>
          </w:tcPr>
          <w:p w14:paraId="241EB238">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0.654848</w:t>
            </w:r>
            <w:r>
              <w:rPr>
                <w:rFonts w:ascii="Arial" w:hAnsi="Arial" w:cs="Arial"/>
                <w:color w:val="000000" w:themeColor="text1"/>
              </w:rPr>
            </w:r>
            <w:r>
              <w:rPr>
                <w:rFonts w:ascii="Arial" w:hAnsi="Arial" w:cs="Arial"/>
                <w:color w:val="000000" w:themeColor="text1"/>
              </w:rPr>
            </w:r>
          </w:p>
        </w:tc>
      </w:tr>
      <w:tr>
        <w:trPr/>
        <w:tc>
          <w:tcPr>
            <w:tcBorders/>
            <w:tcW w:w="2835" w:type="dxa"/>
            <w:textDirection w:val="lrTb"/>
            <w:noWrap w:val="false"/>
          </w:tcPr>
          <w:p w14:paraId="6B2FF069">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clip_linear_baseline</w:t>
            </w:r>
            <w:r>
              <w:rPr>
                <w:rFonts w:ascii="Arial" w:hAnsi="Arial" w:cs="Arial"/>
                <w:color w:val="000000" w:themeColor="text1"/>
              </w:rPr>
            </w:r>
            <w:r>
              <w:rPr>
                <w:rFonts w:ascii="Arial" w:hAnsi="Arial" w:cs="Arial"/>
                <w:color w:val="000000" w:themeColor="text1"/>
              </w:rPr>
            </w:r>
          </w:p>
        </w:tc>
        <w:tc>
          <w:tcPr>
            <w:tcBorders/>
            <w:tcW w:w="1134" w:type="dxa"/>
            <w:textDirection w:val="lrTb"/>
            <w:noWrap w:val="false"/>
          </w:tcPr>
          <w:p w14:paraId="329F3AAA">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0.679122</w:t>
            </w:r>
            <w:r>
              <w:rPr>
                <w:rFonts w:ascii="Arial" w:hAnsi="Arial" w:cs="Arial"/>
                <w:color w:val="000000" w:themeColor="text1"/>
              </w:rPr>
            </w:r>
            <w:r>
              <w:rPr>
                <w:rFonts w:ascii="Arial" w:hAnsi="Arial" w:cs="Arial"/>
                <w:color w:val="000000" w:themeColor="text1"/>
              </w:rPr>
            </w:r>
          </w:p>
        </w:tc>
        <w:tc>
          <w:tcPr>
            <w:tcBorders/>
            <w:tcW w:w="1276" w:type="dxa"/>
            <w:textDirection w:val="lrTb"/>
            <w:noWrap w:val="false"/>
          </w:tcPr>
          <w:p w14:paraId="0F7A6A78">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0.635709</w:t>
            </w:r>
            <w:r>
              <w:rPr>
                <w:rFonts w:ascii="Arial" w:hAnsi="Arial" w:cs="Arial"/>
                <w:color w:val="000000" w:themeColor="text1"/>
              </w:rPr>
            </w:r>
            <w:r>
              <w:rPr>
                <w:rFonts w:ascii="Arial" w:hAnsi="Arial" w:cs="Arial"/>
                <w:color w:val="000000" w:themeColor="text1"/>
              </w:rPr>
            </w:r>
          </w:p>
        </w:tc>
        <w:tc>
          <w:tcPr>
            <w:tcBorders/>
            <w:tcW w:w="1276" w:type="dxa"/>
            <w:textDirection w:val="lrTb"/>
            <w:noWrap w:val="false"/>
          </w:tcPr>
          <w:p w14:paraId="5DB74D46">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0.602016</w:t>
            </w:r>
            <w:r>
              <w:rPr>
                <w:rFonts w:ascii="Arial" w:hAnsi="Arial" w:cs="Arial"/>
                <w:color w:val="000000" w:themeColor="text1"/>
              </w:rPr>
            </w:r>
            <w:r>
              <w:rPr>
                <w:rFonts w:ascii="Arial" w:hAnsi="Arial" w:cs="Arial"/>
                <w:color w:val="000000" w:themeColor="text1"/>
              </w:rPr>
            </w:r>
          </w:p>
        </w:tc>
        <w:tc>
          <w:tcPr>
            <w:tcBorders/>
            <w:tcW w:w="850" w:type="dxa"/>
            <w:textDirection w:val="lrTb"/>
            <w:noWrap w:val="false"/>
          </w:tcPr>
          <w:p w14:paraId="3E2FB22E">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0.745502</w:t>
            </w:r>
            <w:r>
              <w:rPr>
                <w:rFonts w:ascii="Arial" w:hAnsi="Arial" w:cs="Arial"/>
                <w:color w:val="000000" w:themeColor="text1"/>
              </w:rPr>
            </w:r>
            <w:r>
              <w:rPr>
                <w:rFonts w:ascii="Arial" w:hAnsi="Arial" w:cs="Arial"/>
                <w:color w:val="000000" w:themeColor="text1"/>
              </w:rPr>
            </w:r>
          </w:p>
        </w:tc>
        <w:tc>
          <w:tcPr>
            <w:tcBorders/>
            <w:tcW w:w="992" w:type="dxa"/>
            <w:textDirection w:val="lrTb"/>
            <w:noWrap w:val="false"/>
          </w:tcPr>
          <w:p w14:paraId="16A4E9E5">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0.367734</w:t>
            </w:r>
            <w:r>
              <w:rPr>
                <w:rFonts w:ascii="Arial" w:hAnsi="Arial" w:cs="Arial"/>
                <w:color w:val="000000" w:themeColor="text1"/>
              </w:rPr>
            </w:r>
            <w:r>
              <w:rPr>
                <w:rFonts w:ascii="Arial" w:hAnsi="Arial" w:cs="Arial"/>
                <w:color w:val="000000" w:themeColor="text1"/>
              </w:rPr>
            </w:r>
          </w:p>
        </w:tc>
        <w:tc>
          <w:tcPr>
            <w:tcBorders/>
            <w:tcW w:w="850" w:type="dxa"/>
            <w:textDirection w:val="lrTb"/>
            <w:noWrap w:val="false"/>
          </w:tcPr>
          <w:p w14:paraId="63388642">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0.687112</w:t>
            </w:r>
            <w:r>
              <w:rPr>
                <w:rFonts w:ascii="Arial" w:hAnsi="Arial" w:cs="Arial"/>
                <w:color w:val="000000" w:themeColor="text1"/>
              </w:rPr>
            </w:r>
            <w:r>
              <w:rPr>
                <w:rFonts w:ascii="Arial" w:hAnsi="Arial" w:cs="Arial"/>
                <w:color w:val="000000" w:themeColor="text1"/>
              </w:rPr>
            </w:r>
          </w:p>
        </w:tc>
      </w:tr>
      <w:tr>
        <w:trPr/>
        <w:tc>
          <w:tcPr>
            <w:tcBorders/>
            <w:tcW w:w="2835" w:type="dxa"/>
            <w:textDirection w:val="lrTb"/>
            <w:noWrap w:val="false"/>
          </w:tcPr>
          <w:p w14:paraId="2F9A9EDB">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resnet50_frozen_logreg</w:t>
            </w:r>
            <w:r>
              <w:rPr>
                <w:rFonts w:ascii="Arial" w:hAnsi="Arial" w:cs="Arial"/>
                <w:color w:val="000000" w:themeColor="text1"/>
              </w:rPr>
            </w:r>
            <w:r>
              <w:rPr>
                <w:rFonts w:ascii="Arial" w:hAnsi="Arial" w:cs="Arial"/>
                <w:color w:val="000000" w:themeColor="text1"/>
              </w:rPr>
            </w:r>
          </w:p>
        </w:tc>
        <w:tc>
          <w:tcPr>
            <w:tcBorders/>
            <w:tcW w:w="1134" w:type="dxa"/>
            <w:textDirection w:val="lrTb"/>
            <w:noWrap w:val="false"/>
          </w:tcPr>
          <w:p w14:paraId="1925C97C">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0.619217</w:t>
            </w:r>
            <w:r>
              <w:rPr>
                <w:rFonts w:ascii="Arial" w:hAnsi="Arial" w:cs="Arial"/>
                <w:color w:val="000000" w:themeColor="text1"/>
              </w:rPr>
            </w:r>
            <w:r>
              <w:rPr>
                <w:rFonts w:ascii="Arial" w:hAnsi="Arial" w:cs="Arial"/>
                <w:color w:val="000000" w:themeColor="text1"/>
              </w:rPr>
            </w:r>
          </w:p>
        </w:tc>
        <w:tc>
          <w:tcPr>
            <w:tcBorders/>
            <w:tcW w:w="1276" w:type="dxa"/>
            <w:textDirection w:val="lrTb"/>
            <w:noWrap w:val="false"/>
          </w:tcPr>
          <w:p w14:paraId="04D31325">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0.542258</w:t>
            </w:r>
            <w:r>
              <w:rPr>
                <w:rFonts w:ascii="Arial" w:hAnsi="Arial" w:cs="Arial"/>
                <w:color w:val="000000" w:themeColor="text1"/>
              </w:rPr>
            </w:r>
            <w:r>
              <w:rPr>
                <w:rFonts w:ascii="Arial" w:hAnsi="Arial" w:cs="Arial"/>
                <w:color w:val="000000" w:themeColor="text1"/>
              </w:rPr>
            </w:r>
          </w:p>
        </w:tc>
        <w:tc>
          <w:tcPr>
            <w:tcBorders/>
            <w:tcW w:w="1276" w:type="dxa"/>
            <w:textDirection w:val="lrTb"/>
            <w:noWrap w:val="false"/>
          </w:tcPr>
          <w:p w14:paraId="2C8C93DD">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0.533958</w:t>
            </w:r>
            <w:r>
              <w:rPr>
                <w:rFonts w:ascii="Arial" w:hAnsi="Arial" w:cs="Arial"/>
                <w:color w:val="000000" w:themeColor="text1"/>
              </w:rPr>
            </w:r>
            <w:r>
              <w:rPr>
                <w:rFonts w:ascii="Arial" w:hAnsi="Arial" w:cs="Arial"/>
                <w:color w:val="000000" w:themeColor="text1"/>
              </w:rPr>
            </w:r>
          </w:p>
        </w:tc>
        <w:tc>
          <w:tcPr>
            <w:tcBorders/>
            <w:tcW w:w="850" w:type="dxa"/>
            <w:textDirection w:val="lrTb"/>
            <w:noWrap w:val="false"/>
          </w:tcPr>
          <w:p w14:paraId="4186DDB4">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0.679280</w:t>
            </w:r>
            <w:r>
              <w:rPr>
                <w:rFonts w:ascii="Arial" w:hAnsi="Arial" w:cs="Arial"/>
                <w:color w:val="000000" w:themeColor="text1"/>
              </w:rPr>
            </w:r>
            <w:r>
              <w:rPr>
                <w:rFonts w:ascii="Arial" w:hAnsi="Arial" w:cs="Arial"/>
                <w:color w:val="000000" w:themeColor="text1"/>
              </w:rPr>
            </w:r>
          </w:p>
        </w:tc>
        <w:tc>
          <w:tcPr>
            <w:tcBorders/>
            <w:tcW w:w="992" w:type="dxa"/>
            <w:textDirection w:val="lrTb"/>
            <w:noWrap w:val="false"/>
          </w:tcPr>
          <w:p w14:paraId="19DA81DE">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0.434757</w:t>
            </w:r>
            <w:r>
              <w:rPr>
                <w:rFonts w:ascii="Arial" w:hAnsi="Arial" w:cs="Arial"/>
                <w:color w:val="000000" w:themeColor="text1"/>
              </w:rPr>
            </w:r>
            <w:r>
              <w:rPr>
                <w:rFonts w:ascii="Arial" w:hAnsi="Arial" w:cs="Arial"/>
                <w:color w:val="000000" w:themeColor="text1"/>
              </w:rPr>
            </w:r>
          </w:p>
        </w:tc>
        <w:tc>
          <w:tcPr>
            <w:tcBorders/>
            <w:tcW w:w="850" w:type="dxa"/>
            <w:textDirection w:val="lrTb"/>
            <w:noWrap w:val="false"/>
          </w:tcPr>
          <w:p w14:paraId="06AFE88B">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0.742299</w:t>
            </w:r>
            <w:r>
              <w:rPr>
                <w:rFonts w:ascii="Arial" w:hAnsi="Arial" w:cs="Arial"/>
                <w:color w:val="000000" w:themeColor="text1"/>
              </w:rPr>
            </w:r>
            <w:r>
              <w:rPr>
                <w:rFonts w:ascii="Arial" w:hAnsi="Arial" w:cs="Arial"/>
                <w:color w:val="000000" w:themeColor="text1"/>
              </w:rPr>
            </w:r>
          </w:p>
        </w:tc>
      </w:tr>
      <w:tr>
        <w:trPr/>
        <w:tc>
          <w:tcPr>
            <w:tcBorders/>
            <w:tcW w:w="2835" w:type="dxa"/>
            <w:textDirection w:val="lrTb"/>
            <w:noWrap w:val="false"/>
          </w:tcPr>
          <w:p w14:paraId="443F579C">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vlm_zero_shot_mayo</w:t>
            </w:r>
            <w:r>
              <w:rPr>
                <w:rFonts w:ascii="Arial" w:hAnsi="Arial" w:cs="Arial"/>
                <w:color w:val="000000" w:themeColor="text1"/>
              </w:rPr>
            </w:r>
            <w:r>
              <w:rPr>
                <w:rFonts w:ascii="Arial" w:hAnsi="Arial" w:cs="Arial"/>
                <w:color w:val="000000" w:themeColor="text1"/>
              </w:rPr>
            </w:r>
          </w:p>
        </w:tc>
        <w:tc>
          <w:tcPr>
            <w:tcBorders/>
            <w:tcW w:w="1134" w:type="dxa"/>
            <w:textDirection w:val="lrTb"/>
            <w:noWrap w:val="false"/>
          </w:tcPr>
          <w:p w14:paraId="460D6F48">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0.548636</w:t>
            </w:r>
            <w:r>
              <w:rPr>
                <w:rFonts w:ascii="Arial" w:hAnsi="Arial" w:cs="Arial"/>
                <w:color w:val="000000" w:themeColor="text1"/>
              </w:rPr>
            </w:r>
            <w:r>
              <w:rPr>
                <w:rFonts w:ascii="Arial" w:hAnsi="Arial" w:cs="Arial"/>
                <w:color w:val="000000" w:themeColor="text1"/>
              </w:rPr>
            </w:r>
          </w:p>
        </w:tc>
        <w:tc>
          <w:tcPr>
            <w:tcBorders/>
            <w:tcW w:w="1276" w:type="dxa"/>
            <w:textDirection w:val="lrTb"/>
            <w:noWrap w:val="false"/>
          </w:tcPr>
          <w:p w14:paraId="62943028">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0.250000</w:t>
            </w:r>
            <w:r>
              <w:rPr>
                <w:rFonts w:ascii="Arial" w:hAnsi="Arial" w:cs="Arial"/>
                <w:color w:val="000000" w:themeColor="text1"/>
              </w:rPr>
            </w:r>
            <w:r>
              <w:rPr>
                <w:rFonts w:ascii="Arial" w:hAnsi="Arial" w:cs="Arial"/>
                <w:color w:val="000000" w:themeColor="text1"/>
              </w:rPr>
            </w:r>
          </w:p>
        </w:tc>
        <w:tc>
          <w:tcPr>
            <w:tcBorders/>
            <w:tcW w:w="1276" w:type="dxa"/>
            <w:textDirection w:val="lrTb"/>
            <w:noWrap w:val="false"/>
          </w:tcPr>
          <w:p w14:paraId="3EFEFCD0">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0.177135</w:t>
            </w:r>
            <w:r>
              <w:rPr>
                <w:rFonts w:ascii="Arial" w:hAnsi="Arial" w:cs="Arial"/>
                <w:color w:val="000000" w:themeColor="text1"/>
              </w:rPr>
            </w:r>
            <w:r>
              <w:rPr>
                <w:rFonts w:ascii="Arial" w:hAnsi="Arial" w:cs="Arial"/>
                <w:color w:val="000000" w:themeColor="text1"/>
              </w:rPr>
            </w:r>
          </w:p>
        </w:tc>
        <w:tc>
          <w:tcPr>
            <w:tcBorders/>
            <w:tcW w:w="850" w:type="dxa"/>
            <w:textDirection w:val="lrTb"/>
            <w:noWrap w:val="false"/>
          </w:tcPr>
          <w:p w14:paraId="6D8C8B1A">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0.000000</w:t>
            </w:r>
            <w:r>
              <w:rPr>
                <w:rFonts w:ascii="Arial" w:hAnsi="Arial" w:cs="Arial"/>
                <w:color w:val="000000" w:themeColor="text1"/>
              </w:rPr>
            </w:r>
            <w:r>
              <w:rPr>
                <w:rFonts w:ascii="Arial" w:hAnsi="Arial" w:cs="Arial"/>
                <w:color w:val="000000" w:themeColor="text1"/>
              </w:rPr>
            </w:r>
          </w:p>
        </w:tc>
        <w:tc>
          <w:tcPr>
            <w:tcBorders/>
            <w:tcW w:w="992" w:type="dxa"/>
            <w:textDirection w:val="lrTb"/>
            <w:noWrap w:val="false"/>
          </w:tcPr>
          <w:p w14:paraId="1B1478FB">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0.698695</w:t>
            </w:r>
            <w:r>
              <w:rPr>
                <w:rFonts w:ascii="Arial" w:hAnsi="Arial" w:cs="Arial"/>
                <w:color w:val="000000" w:themeColor="text1"/>
              </w:rPr>
            </w:r>
            <w:r>
              <w:rPr>
                <w:rFonts w:ascii="Arial" w:hAnsi="Arial" w:cs="Arial"/>
                <w:color w:val="000000" w:themeColor="text1"/>
              </w:rPr>
            </w:r>
          </w:p>
        </w:tc>
        <w:tc>
          <w:tcPr>
            <w:tcBorders/>
            <w:tcW w:w="850" w:type="dxa"/>
            <w:textDirection w:val="lrTb"/>
            <w:noWrap w:val="false"/>
          </w:tcPr>
          <w:p w14:paraId="4649C42B">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1.155727</w:t>
            </w:r>
            <w:r>
              <w:rPr>
                <w:rFonts w:ascii="Arial" w:hAnsi="Arial" w:cs="Arial"/>
                <w:color w:val="000000" w:themeColor="text1"/>
              </w:rPr>
            </w:r>
            <w:r>
              <w:rPr>
                <w:rFonts w:ascii="Arial" w:hAnsi="Arial" w:cs="Arial"/>
                <w:color w:val="000000" w:themeColor="text1"/>
              </w:rPr>
            </w:r>
          </w:p>
        </w:tc>
      </w:tr>
    </w:tbl>
    <w:p w14:paraId="08D2CB17">
      <w:pPr>
        <w:pStyle w:val="1128"/>
        <w:suppressLineNumbers w:val="false"/>
        <w:pBdr/>
        <w:spacing w:line="300" w:lineRule="auto"/>
        <w:ind w:firstLine="0" w:left="0"/>
        <w:rPr>
          <w:bCs/>
          <w:i/>
          <w:highlight w:val="none"/>
          <w:lang w:val="en-US"/>
        </w:rPr>
      </w:pPr>
      <w:r>
        <w:rPr>
          <w:i/>
          <w:iCs/>
          <w:lang w:val="en-US"/>
        </w:rPr>
        <w:t xml:space="preserve">         </w:t>
        <w:tab/>
        <w:tab/>
        <w:tab/>
        <w:t xml:space="preserve">Table </w:t>
      </w:r>
      <w:r>
        <w:rPr>
          <w:i/>
          <w:iCs/>
          <w:lang w:val="en-US"/>
        </w:rPr>
        <w:t xml:space="preserve">3.17 </w:t>
      </w:r>
      <w:r>
        <w:rPr>
          <w:i/>
          <w:iCs/>
          <w:lang w:val="en-US"/>
        </w:rPr>
        <w:t xml:space="preserve">LIMUC Overall Test Metrics</w:t>
      </w:r>
      <w:r>
        <w:rPr>
          <w:bCs/>
          <w:i/>
          <w:highlight w:val="none"/>
          <w:lang w:val="en-US"/>
        </w:rPr>
      </w:r>
      <w:r>
        <w:rPr>
          <w:bCs/>
          <w:i/>
          <w:highlight w:val="none"/>
          <w:lang w:val="en-US"/>
        </w:rPr>
      </w:r>
    </w:p>
    <w:p w14:paraId="51D84333">
      <w:pPr>
        <w:pStyle w:val="1128"/>
        <w:suppressLineNumbers w:val="false"/>
        <w:pBdr/>
        <w:spacing w:line="300" w:lineRule="auto"/>
        <w:ind w:firstLine="0"/>
        <w:rPr/>
      </w:pPr>
      <w:r>
        <w:t xml:space="preserve">F</w:t>
      </w:r>
      <w:r>
        <w:t xml:space="preserve">ine-tuned visual backbones lead across accuracy, macro-F1, ordinal agreement (QWK), and error magnitude (MAE/RMSE), indicating more consistent severity grading and fewer large ordinal errors. The zero-shot severity prompt baseline shows substantially weake</w:t>
      </w:r>
      <w:r>
        <w:t xml:space="preserve">r balanced metrics and collapses on ordinal agreement (QWK = 0.0) under the persisted evaluation configuration, indicating that ordinal consistency is not preserved under this zero-shot prompting setup.</w:t>
      </w:r>
      <w:r/>
    </w:p>
    <w:p w14:paraId="0A9640B2">
      <w:pPr>
        <w:pStyle w:val="1128"/>
        <w:suppressLineNumbers w:val="false"/>
        <w:pBdr/>
        <w:spacing w:line="300" w:lineRule="auto"/>
        <w:ind w:firstLine="0"/>
        <w:rPr>
          <w:b/>
          <w:bCs/>
        </w:rPr>
      </w:pPr>
      <w:r>
        <w:rPr>
          <w:b/>
          <w:bCs/>
        </w:rPr>
        <w:t xml:space="preserve">Clinical threshold slice (remission vs active disease)</w:t>
      </w:r>
      <w:r>
        <w:rPr>
          <w:b/>
          <w:bCs/>
        </w:rPr>
      </w:r>
      <w:r>
        <w:rPr>
          <w:b/>
          <w:bCs/>
        </w:rPr>
      </w:r>
    </w:p>
    <w:p w14:paraId="6F3B0194">
      <w:pPr>
        <w:pStyle w:val="1128"/>
        <w:suppressLineNumbers w:val="false"/>
        <w:pBdr/>
        <w:spacing w:line="300" w:lineRule="auto"/>
        <w:ind w:firstLine="0"/>
        <w:rPr/>
      </w:pPr>
      <w:r>
        <w:t xml:space="preserve">Because clinical workflows often use thresholded reasoning (e.g., remission vs active disease), the persisted artifacts include a remission-oriented slice (as defined in the LIMUC report).</w:t>
      </w:r>
      <w:r>
        <w:rPr>
          <w:b/>
          <w:bCs/>
        </w:rPr>
      </w:r>
      <w:r/>
    </w:p>
    <w:tbl>
      <w:tblPr>
        <w:tblStyle w:val="1185"/>
        <w:tblW w:w="0" w:type="auto"/>
        <w:tblBorders/>
        <w:tblLook w:val="04A0" w:firstRow="1" w:lastRow="0" w:firstColumn="1" w:lastColumn="0" w:noHBand="0" w:noVBand="1"/>
      </w:tblPr>
      <w:tblGrid>
        <w:gridCol w:w="1728"/>
        <w:gridCol w:w="1728"/>
        <w:gridCol w:w="1728"/>
        <w:gridCol w:w="1728"/>
        <w:gridCol w:w="1728"/>
      </w:tblGrid>
      <w:tr>
        <w:trPr/>
        <w:tc>
          <w:tcPr>
            <w:tcBorders/>
            <w:tcW w:w="1728" w:type="dxa"/>
            <w:textDirection w:val="lrTb"/>
            <w:noWrap w:val="false"/>
          </w:tcPr>
          <w:p w14:paraId="437B4127">
            <w:pPr>
              <w:pBdr/>
              <w:spacing w:after="0" w:before="0" w:line="240" w:lineRule="auto"/>
              <w:ind/>
              <w:rPr>
                <w:rFonts w:ascii="Arial" w:hAnsi="Arial" w:cs="Arial"/>
                <w:color w:val="000000" w:themeColor="text1"/>
              </w:rPr>
            </w:pPr>
            <w:r>
              <w:rPr>
                <w:rFonts w:ascii="Arial" w:hAnsi="Arial" w:eastAsia="Arial" w:cs="Arial"/>
                <w:b/>
                <w:color w:val="000000" w:themeColor="text1"/>
                <w:sz w:val="21"/>
              </w:rPr>
              <w:t xml:space="preserve">Model</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32D26270">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Remission accuracy</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371D8124">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Sensitivity</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0D3EA5A8">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Specificity</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615A4DB4">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Remission F1</w:t>
            </w:r>
            <w:r>
              <w:rPr>
                <w:rFonts w:ascii="Arial" w:hAnsi="Arial" w:cs="Arial"/>
                <w:color w:val="000000" w:themeColor="text1"/>
              </w:rPr>
            </w:r>
            <w:r>
              <w:rPr>
                <w:rFonts w:ascii="Arial" w:hAnsi="Arial" w:cs="Arial"/>
                <w:color w:val="000000" w:themeColor="text1"/>
              </w:rPr>
            </w:r>
          </w:p>
        </w:tc>
      </w:tr>
      <w:tr>
        <w:trPr/>
        <w:tc>
          <w:tcPr>
            <w:tcBorders/>
            <w:tcW w:w="1728" w:type="dxa"/>
            <w:textDirection w:val="lrTb"/>
            <w:noWrap w:val="false"/>
          </w:tcPr>
          <w:p w14:paraId="2D621A16">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finetune_resnet50</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2F5F63F4">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0.947805</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6123C078">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0.967603</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12ABD35A">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0.855219</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7F793888">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0.968300</w:t>
            </w:r>
            <w:r>
              <w:rPr>
                <w:rFonts w:ascii="Arial" w:hAnsi="Arial" w:cs="Arial"/>
                <w:color w:val="000000" w:themeColor="text1"/>
              </w:rPr>
            </w:r>
            <w:r>
              <w:rPr>
                <w:rFonts w:ascii="Arial" w:hAnsi="Arial" w:cs="Arial"/>
                <w:color w:val="000000" w:themeColor="text1"/>
              </w:rPr>
            </w:r>
          </w:p>
        </w:tc>
      </w:tr>
      <w:tr>
        <w:trPr/>
        <w:tc>
          <w:tcPr>
            <w:tcBorders/>
            <w:tcW w:w="1728" w:type="dxa"/>
            <w:textDirection w:val="lrTb"/>
            <w:noWrap w:val="false"/>
          </w:tcPr>
          <w:p w14:paraId="0DFD2F03">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finetune_vit_or_swin</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497984C6">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0.937722</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2A4D8F9D">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0.968323</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4882FE16">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0.794613</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2B1DD6C0">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0.962433</w:t>
            </w:r>
            <w:r>
              <w:rPr>
                <w:rFonts w:ascii="Arial" w:hAnsi="Arial" w:cs="Arial"/>
                <w:color w:val="000000" w:themeColor="text1"/>
              </w:rPr>
            </w:r>
            <w:r>
              <w:rPr>
                <w:rFonts w:ascii="Arial" w:hAnsi="Arial" w:cs="Arial"/>
                <w:color w:val="000000" w:themeColor="text1"/>
              </w:rPr>
            </w:r>
          </w:p>
        </w:tc>
      </w:tr>
      <w:tr>
        <w:trPr/>
        <w:tc>
          <w:tcPr>
            <w:tcBorders/>
            <w:tcW w:w="1728" w:type="dxa"/>
            <w:textDirection w:val="lrTb"/>
            <w:noWrap w:val="false"/>
          </w:tcPr>
          <w:p w14:paraId="1EF357CE">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vit_frozen_logreg</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1E04DDB0">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0.902135</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590B64FB">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0.917207</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2BFC013D">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0.831650</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1737E57E">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0.939182</w:t>
            </w:r>
            <w:r>
              <w:rPr>
                <w:rFonts w:ascii="Arial" w:hAnsi="Arial" w:cs="Arial"/>
                <w:color w:val="000000" w:themeColor="text1"/>
              </w:rPr>
            </w:r>
            <w:r>
              <w:rPr>
                <w:rFonts w:ascii="Arial" w:hAnsi="Arial" w:cs="Arial"/>
                <w:color w:val="000000" w:themeColor="text1"/>
              </w:rPr>
            </w:r>
          </w:p>
        </w:tc>
      </w:tr>
      <w:tr>
        <w:trPr/>
        <w:tc>
          <w:tcPr>
            <w:tcBorders/>
            <w:tcW w:w="1728" w:type="dxa"/>
            <w:textDirection w:val="lrTb"/>
            <w:noWrap w:val="false"/>
          </w:tcPr>
          <w:p w14:paraId="2E96EE85">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resnet50_frozen_logreg</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7AE5BBA3">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0.886714</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03E60D31">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0.917927</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04D34896">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0.740741</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46812D58">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0.930317</w:t>
            </w:r>
            <w:r>
              <w:rPr>
                <w:rFonts w:ascii="Arial" w:hAnsi="Arial" w:cs="Arial"/>
                <w:color w:val="000000" w:themeColor="text1"/>
              </w:rPr>
            </w:r>
            <w:r>
              <w:rPr>
                <w:rFonts w:ascii="Arial" w:hAnsi="Arial" w:cs="Arial"/>
                <w:color w:val="000000" w:themeColor="text1"/>
              </w:rPr>
            </w:r>
          </w:p>
        </w:tc>
      </w:tr>
      <w:tr>
        <w:trPr/>
        <w:tc>
          <w:tcPr>
            <w:tcBorders/>
            <w:tcW w:w="1728" w:type="dxa"/>
            <w:textDirection w:val="lrTb"/>
            <w:noWrap w:val="false"/>
          </w:tcPr>
          <w:p w14:paraId="5D3BB5C3">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clip_linear_baseline</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759F1498">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0.886714</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3620D905">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0.895608</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2009FF3B">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0.845118</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529C80D8">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0.928705</w:t>
            </w:r>
            <w:r>
              <w:rPr>
                <w:rFonts w:ascii="Arial" w:hAnsi="Arial" w:cs="Arial"/>
                <w:color w:val="000000" w:themeColor="text1"/>
              </w:rPr>
            </w:r>
            <w:r>
              <w:rPr>
                <w:rFonts w:ascii="Arial" w:hAnsi="Arial" w:cs="Arial"/>
                <w:color w:val="000000" w:themeColor="text1"/>
              </w:rPr>
            </w:r>
          </w:p>
        </w:tc>
      </w:tr>
      <w:tr>
        <w:trPr/>
        <w:tc>
          <w:tcPr>
            <w:tcBorders/>
            <w:tcW w:w="1728" w:type="dxa"/>
            <w:textDirection w:val="lrTb"/>
            <w:noWrap w:val="false"/>
          </w:tcPr>
          <w:p w14:paraId="54CE55CC">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vlm_zero_shot_mayo</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3906CA77">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0.823843</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48155A29">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1.000000</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5EF7E91C">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0.000000</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26FAF37B">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0.903415</w:t>
            </w:r>
            <w:r>
              <w:rPr>
                <w:rFonts w:ascii="Arial" w:hAnsi="Arial" w:cs="Arial"/>
                <w:color w:val="000000" w:themeColor="text1"/>
              </w:rPr>
            </w:r>
            <w:r>
              <w:rPr>
                <w:rFonts w:ascii="Arial" w:hAnsi="Arial" w:cs="Arial"/>
                <w:color w:val="000000" w:themeColor="text1"/>
              </w:rPr>
            </w:r>
          </w:p>
        </w:tc>
      </w:tr>
    </w:tbl>
    <w:p w14:paraId="08D2CB17">
      <w:pPr>
        <w:pStyle w:val="1128"/>
        <w:suppressLineNumbers w:val="false"/>
        <w:pBdr/>
        <w:spacing w:line="300" w:lineRule="auto"/>
        <w:ind w:firstLine="0" w:left="0"/>
        <w:rPr>
          <w:bCs/>
          <w:i/>
          <w:highlight w:val="none"/>
          <w:lang w:val="en-US"/>
        </w:rPr>
      </w:pPr>
      <w:r>
        <w:rPr>
          <w:i/>
          <w:iCs/>
          <w:lang w:val="en-US"/>
        </w:rPr>
        <w:t xml:space="preserve">         </w:t>
        <w:tab/>
        <w:tab/>
        <w:tab/>
        <w:t xml:space="preserve">Table </w:t>
      </w:r>
      <w:r>
        <w:rPr>
          <w:i/>
          <w:iCs/>
          <w:lang w:val="en-US"/>
        </w:rPr>
        <w:t xml:space="preserve">3.18</w:t>
      </w:r>
      <w:r>
        <w:rPr>
          <w:i/>
          <w:iCs/>
          <w:lang w:val="en-US"/>
        </w:rPr>
        <w:t xml:space="preserve"> LIMUC Remission Slice Metrics</w:t>
      </w:r>
      <w:r>
        <w:rPr>
          <w:bCs/>
          <w:i/>
          <w:highlight w:val="none"/>
          <w:lang w:val="en-US"/>
        </w:rPr>
      </w:r>
      <w:r>
        <w:rPr>
          <w:bCs/>
          <w:i/>
          <w:highlight w:val="none"/>
          <w:lang w:val="en-US"/>
        </w:rPr>
      </w:r>
    </w:p>
    <w:p w14:paraId="285BBA50">
      <w:pPr>
        <w:pStyle w:val="1128"/>
        <w:suppressLineNumbers w:val="false"/>
        <w:pBdr/>
        <w:spacing w:line="300" w:lineRule="auto"/>
        <w:ind w:firstLine="0"/>
        <w:rPr>
          <w:rFonts w:ascii="Arial" w:hAnsi="Arial" w:cs="Arial"/>
          <w:color w:val="000000" w:themeColor="text1"/>
          <w:highlight w:val="none"/>
        </w:rPr>
      </w:pPr>
      <w:r>
        <w:rPr>
          <w:rFonts w:ascii="Arial" w:hAnsi="Arial" w:cs="Arial"/>
          <w:color w:val="000000" w:themeColor="text1"/>
        </w:rPr>
        <w:t xml:space="preserve">T</w:t>
      </w:r>
      <w:r>
        <w:rPr>
          <w:rFonts w:ascii="Arial" w:hAnsi="Arial" w:cs="Arial"/>
          <w:color w:val="000000" w:themeColor="text1"/>
        </w:rPr>
        <w:t xml:space="preserve">uned and frozen-feature baselines maintain both sensitivity and specificity at usable levels under this slice. In contrast, the zero-shot baseline exhibits a critical threshold failure: sensitivity is 1.0 while specificity is 0.0, indicating complete inabi</w:t>
      </w:r>
      <w:r>
        <w:rPr>
          <w:rFonts w:ascii="Arial" w:hAnsi="Arial" w:cs="Arial"/>
          <w:color w:val="000000" w:themeColor="text1"/>
        </w:rPr>
        <w:t xml:space="preserve">lity to discriminate the negative class under this operational definition. This is precisely the kind of high-risk behavior that accuracy alone can hide and illustrates why clinical slice analysis is required for severity-oriented MedVQA.</w:t>
      </w:r>
      <w:r>
        <w:rPr>
          <w:rFonts w:ascii="Arial" w:hAnsi="Arial" w:cs="Arial"/>
          <w:color w:val="000000" w:themeColor="text1"/>
          <w:highlight w:val="none"/>
        </w:rPr>
      </w:r>
      <w:r>
        <w:rPr>
          <w:rFonts w:ascii="Arial" w:hAnsi="Arial" w:cs="Arial"/>
          <w:color w:val="000000" w:themeColor="text1"/>
          <w:highlight w:val="none"/>
        </w:rPr>
      </w:r>
    </w:p>
    <w:p w14:paraId="234FE57B">
      <w:pPr>
        <w:pStyle w:val="1128"/>
        <w:suppressLineNumbers w:val="false"/>
        <w:pBdr/>
        <w:spacing w:line="300" w:lineRule="auto"/>
        <w:ind w:firstLine="0"/>
        <w:rPr>
          <w:rFonts w:ascii="Arial" w:hAnsi="Arial" w:cs="Arial"/>
          <w:color w:val="000000" w:themeColor="text1"/>
          <w:highlight w:val="none"/>
        </w:rPr>
      </w:pPr>
      <w:r>
        <w:rPr>
          <w:rFonts w:ascii="Arial" w:hAnsi="Arial" w:cs="Arial"/>
          <w:color w:val="000000" w:themeColor="text1"/>
          <w:highlight w:val="none"/>
        </w:rPr>
      </w:r>
      <w:r>
        <mc:AlternateContent>
          <mc:Choice Requires="wpg">
            <w:drawing>
              <wp:inline xmlns:wp="http://schemas.openxmlformats.org/drawingml/2006/wordprocessingDrawing" distT="0" distB="0" distL="0" distR="0">
                <wp:extent cx="5029200" cy="3448050"/>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770408" name=""/>
                        <pic:cNvPicPr>
                          <a:picLocks noChangeAspect="1"/>
                        </pic:cNvPicPr>
                        <pic:nvPr/>
                      </pic:nvPicPr>
                      <pic:blipFill rotWithShape="1">
                        <a:blip r:embed="rId20"/>
                        <a:stretch/>
                      </pic:blipFill>
                      <pic:spPr bwMode="auto">
                        <a:xfrm>
                          <a:off x="0" y="0"/>
                          <a:ext cx="5029199" cy="34480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396.00pt;height:271.50pt;mso-wrap-distance-left:0.00pt;mso-wrap-distance-top:0.00pt;mso-wrap-distance-right:0.00pt;mso-wrap-distance-bottom:0.00pt;z-index:1;" stroked="false">
                <v:imagedata r:id="rId20" o:title=""/>
                <o:lock v:ext="edit" rotation="t"/>
              </v:shape>
            </w:pict>
          </mc:Fallback>
        </mc:AlternateContent>
      </w:r>
      <w:r>
        <w:rPr>
          <w:rFonts w:ascii="Arial" w:hAnsi="Arial" w:cs="Arial"/>
          <w:color w:val="000000" w:themeColor="text1"/>
          <w:highlight w:val="none"/>
        </w:rPr>
      </w:r>
      <w:r>
        <w:rPr>
          <w:rFonts w:ascii="Arial" w:hAnsi="Arial" w:cs="Arial"/>
          <w:color w:val="000000" w:themeColor="text1"/>
          <w:highlight w:val="none"/>
        </w:rPr>
      </w:r>
    </w:p>
    <w:p w14:paraId="4AA7B2A8">
      <w:pPr>
        <w:pStyle w:val="1128"/>
        <w:suppressLineNumbers w:val="false"/>
        <w:pBdr/>
        <w:spacing w:line="300" w:lineRule="auto"/>
        <w:ind w:firstLine="0"/>
        <w:rPr>
          <w:bCs/>
          <w:i/>
        </w:rPr>
      </w:pPr>
      <w:r>
        <w:rPr>
          <w:rFonts w:ascii="Arial" w:hAnsi="Arial" w:cs="Arial"/>
          <w:color w:val="000000" w:themeColor="text1"/>
          <w:highlight w:val="none"/>
        </w:rPr>
        <w:tab/>
      </w:r>
      <w:r>
        <w:rPr>
          <w:rFonts w:ascii="Arial" w:hAnsi="Arial" w:cs="Arial"/>
          <w:color w:val="000000" w:themeColor="text1"/>
          <w:highlight w:val="none"/>
          <w:lang w:val="en-US"/>
        </w:rPr>
        <w:t xml:space="preserve">             </w:t>
      </w:r>
      <w:r>
        <w:rPr>
          <w:rFonts w:ascii="Arial" w:hAnsi="Arial" w:cs="Arial"/>
          <w:i/>
          <w:iCs/>
          <w:color w:val="000000" w:themeColor="text1"/>
          <w:highlight w:val="none"/>
        </w:rPr>
        <w:t xml:space="preserve">Figure 3.</w:t>
      </w:r>
      <w:r>
        <w:rPr>
          <w:rFonts w:ascii="Arial" w:hAnsi="Arial" w:cs="Arial"/>
          <w:i/>
          <w:iCs/>
          <w:color w:val="000000" w:themeColor="text1"/>
          <w:highlight w:val="none"/>
          <w:lang w:val="en-US"/>
        </w:rPr>
        <w:t xml:space="preserve">7</w:t>
      </w:r>
      <w:r>
        <w:rPr>
          <w:rFonts w:ascii="Arial" w:hAnsi="Arial" w:cs="Arial"/>
          <w:i/>
          <w:iCs/>
          <w:color w:val="000000" w:themeColor="text1"/>
          <w:highlight w:val="none"/>
        </w:rPr>
        <w:t xml:space="preserve"> — UC severity evaluation workflow (LIMUC)</w:t>
      </w:r>
      <w:r>
        <w:rPr>
          <w:bCs/>
          <w:i/>
        </w:rPr>
      </w:r>
      <w:r>
        <w:rPr>
          <w:bCs/>
          <w:i/>
        </w:rPr>
      </w:r>
    </w:p>
    <w:p w14:paraId="67F5630D">
      <w:pPr>
        <w:pStyle w:val="1128"/>
        <w:suppressLineNumbers w:val="false"/>
        <w:pBdr/>
        <w:spacing w:line="300" w:lineRule="auto"/>
        <w:ind w:firstLine="0"/>
        <w:rPr>
          <w:b/>
          <w:bCs/>
        </w:rPr>
      </w:pPr>
      <w:r>
        <w:rPr>
          <w:rFonts w:ascii="Arial" w:hAnsi="Arial" w:cs="Arial"/>
          <w:b/>
          <w:bCs/>
          <w:color w:val="000000" w:themeColor="text1"/>
        </w:rPr>
        <w:t xml:space="preserve">Per-class bottlenecks</w:t>
      </w:r>
      <w:r>
        <w:rPr>
          <w:b/>
          <w:bCs/>
        </w:rPr>
      </w:r>
      <w:r>
        <w:rPr>
          <w:b/>
          <w:bCs/>
        </w:rPr>
      </w:r>
    </w:p>
    <w:p w14:paraId="44F8D672">
      <w:pPr>
        <w:pStyle w:val="1128"/>
        <w:suppressLineNumbers w:val="false"/>
        <w:pBdr/>
        <w:spacing w:line="300" w:lineRule="auto"/>
        <w:ind w:firstLine="0"/>
        <w:rPr>
          <w:rFonts w:ascii="Arial" w:hAnsi="Arial" w:cs="Arial"/>
          <w:color w:val="000000" w:themeColor="text1"/>
        </w:rPr>
      </w:pPr>
      <w:r>
        <w:rPr>
          <w:rFonts w:ascii="Arial" w:hAnsi="Arial" w:cs="Arial"/>
          <w:color w:val="000000" w:themeColor="text1"/>
        </w:rPr>
        <w:t xml:space="preserve">To make minority-class behavior explicit, the persisted artifacts include a best-per-class summary.</w:t>
      </w:r>
      <w:r>
        <w:rPr>
          <w:rFonts w:ascii="Arial" w:hAnsi="Arial" w:cs="Arial"/>
          <w:color w:val="000000" w:themeColor="text1"/>
        </w:rPr>
      </w:r>
      <w:r>
        <w:rPr>
          <w:rFonts w:ascii="Arial" w:hAnsi="Arial" w:cs="Arial"/>
          <w:color w:val="000000" w:themeColor="text1"/>
        </w:rPr>
      </w:r>
    </w:p>
    <w:tbl>
      <w:tblPr>
        <w:tblStyle w:val="1185"/>
        <w:tblW w:w="0" w:type="auto"/>
        <w:tblBorders/>
        <w:tblLook w:val="04A0" w:firstRow="1" w:lastRow="0" w:firstColumn="1" w:lastColumn="0" w:noHBand="0" w:noVBand="1"/>
      </w:tblPr>
      <w:tblGrid>
        <w:gridCol w:w="1728"/>
        <w:gridCol w:w="1728"/>
        <w:gridCol w:w="1728"/>
        <w:gridCol w:w="1728"/>
        <w:gridCol w:w="1728"/>
      </w:tblGrid>
      <w:tr>
        <w:trPr/>
        <w:tc>
          <w:tcPr>
            <w:tcBorders/>
            <w:tcW w:w="1728" w:type="dxa"/>
            <w:textDirection w:val="lrTb"/>
            <w:noWrap w:val="false"/>
          </w:tcPr>
          <w:p w14:paraId="38CF6FCA">
            <w:pPr>
              <w:pBdr/>
              <w:spacing w:after="0" w:before="0" w:line="240" w:lineRule="auto"/>
              <w:ind/>
              <w:rPr>
                <w:rFonts w:ascii="Arial" w:hAnsi="Arial" w:cs="Arial"/>
                <w:color w:val="000000" w:themeColor="text1"/>
              </w:rPr>
            </w:pPr>
            <w:r>
              <w:rPr>
                <w:rFonts w:ascii="Arial" w:hAnsi="Arial" w:eastAsia="Arial" w:cs="Arial"/>
                <w:b/>
                <w:color w:val="000000" w:themeColor="text1"/>
                <w:sz w:val="21"/>
              </w:rPr>
              <w:t xml:space="preserve">Mayo class</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115DC1CF">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Support</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1F69F7CB">
            <w:pPr>
              <w:pBdr/>
              <w:spacing w:after="0" w:before="0" w:line="240" w:lineRule="auto"/>
              <w:ind/>
              <w:rPr>
                <w:rFonts w:ascii="Arial" w:hAnsi="Arial" w:cs="Arial"/>
                <w:color w:val="000000" w:themeColor="text1"/>
              </w:rPr>
            </w:pPr>
            <w:r>
              <w:rPr>
                <w:rFonts w:ascii="Arial" w:hAnsi="Arial" w:eastAsia="Arial" w:cs="Arial"/>
                <w:b/>
                <w:color w:val="000000" w:themeColor="text1"/>
                <w:sz w:val="21"/>
              </w:rPr>
              <w:t xml:space="preserve">Best model</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1F7459F0">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Best F1</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65FD4DFD">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Best recall</w:t>
            </w:r>
            <w:r>
              <w:rPr>
                <w:rFonts w:ascii="Arial" w:hAnsi="Arial" w:cs="Arial"/>
                <w:color w:val="000000" w:themeColor="text1"/>
              </w:rPr>
            </w:r>
            <w:r>
              <w:rPr>
                <w:rFonts w:ascii="Arial" w:hAnsi="Arial" w:cs="Arial"/>
                <w:color w:val="000000" w:themeColor="text1"/>
              </w:rPr>
            </w:r>
          </w:p>
        </w:tc>
      </w:tr>
      <w:tr>
        <w:trPr/>
        <w:tc>
          <w:tcPr>
            <w:tcBorders/>
            <w:tcW w:w="1728" w:type="dxa"/>
            <w:textDirection w:val="lrTb"/>
            <w:noWrap w:val="false"/>
          </w:tcPr>
          <w:p w14:paraId="57C04443">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0</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5569C582">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925</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330FF463">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finetune_resnet50</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7EB69B38">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0.852516</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242B394D">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0.796757</w:t>
            </w:r>
            <w:r>
              <w:rPr>
                <w:rFonts w:ascii="Arial" w:hAnsi="Arial" w:cs="Arial"/>
                <w:color w:val="000000" w:themeColor="text1"/>
              </w:rPr>
            </w:r>
            <w:r>
              <w:rPr>
                <w:rFonts w:ascii="Arial" w:hAnsi="Arial" w:cs="Arial"/>
                <w:color w:val="000000" w:themeColor="text1"/>
              </w:rPr>
            </w:r>
          </w:p>
        </w:tc>
      </w:tr>
      <w:tr>
        <w:trPr/>
        <w:tc>
          <w:tcPr>
            <w:tcBorders/>
            <w:tcW w:w="1728" w:type="dxa"/>
            <w:textDirection w:val="lrTb"/>
            <w:noWrap w:val="false"/>
          </w:tcPr>
          <w:p w14:paraId="6534269A">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1</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689EE692">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464</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2966F573">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finetune_resnet50</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444726E5">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0.683859</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59C4CA7D">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0.771552</w:t>
            </w:r>
            <w:r>
              <w:rPr>
                <w:rFonts w:ascii="Arial" w:hAnsi="Arial" w:cs="Arial"/>
                <w:color w:val="000000" w:themeColor="text1"/>
              </w:rPr>
            </w:r>
            <w:r>
              <w:rPr>
                <w:rFonts w:ascii="Arial" w:hAnsi="Arial" w:cs="Arial"/>
                <w:color w:val="000000" w:themeColor="text1"/>
              </w:rPr>
            </w:r>
          </w:p>
        </w:tc>
      </w:tr>
      <w:tr>
        <w:trPr/>
        <w:tc>
          <w:tcPr>
            <w:tcBorders/>
            <w:tcW w:w="1728" w:type="dxa"/>
            <w:textDirection w:val="lrTb"/>
            <w:noWrap w:val="false"/>
          </w:tcPr>
          <w:p w14:paraId="42F52FD5">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2</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53455A63">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177</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52322A65">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finetune_resnet50</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4E2C23F4">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0.552326</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2D5D176A">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0.536723</w:t>
            </w:r>
            <w:r>
              <w:rPr>
                <w:rFonts w:ascii="Arial" w:hAnsi="Arial" w:cs="Arial"/>
                <w:color w:val="000000" w:themeColor="text1"/>
              </w:rPr>
            </w:r>
            <w:r>
              <w:rPr>
                <w:rFonts w:ascii="Arial" w:hAnsi="Arial" w:cs="Arial"/>
                <w:color w:val="000000" w:themeColor="text1"/>
              </w:rPr>
            </w:r>
          </w:p>
        </w:tc>
      </w:tr>
      <w:tr>
        <w:trPr/>
        <w:tc>
          <w:tcPr>
            <w:tcBorders/>
            <w:tcW w:w="1728" w:type="dxa"/>
            <w:textDirection w:val="lrTb"/>
            <w:noWrap w:val="false"/>
          </w:tcPr>
          <w:p w14:paraId="123C5395">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3</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50940F3D">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120</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020E1B1E">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finetune_vit_or_swin</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41120EE0">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0.683544</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406C4A77">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0.675000</w:t>
            </w:r>
            <w:r>
              <w:rPr>
                <w:rFonts w:ascii="Arial" w:hAnsi="Arial" w:cs="Arial"/>
                <w:color w:val="000000" w:themeColor="text1"/>
              </w:rPr>
            </w:r>
            <w:r>
              <w:rPr>
                <w:rFonts w:ascii="Arial" w:hAnsi="Arial" w:cs="Arial"/>
                <w:color w:val="000000" w:themeColor="text1"/>
              </w:rPr>
            </w:r>
          </w:p>
        </w:tc>
      </w:tr>
    </w:tbl>
    <w:p w14:paraId="08D2CB17">
      <w:pPr>
        <w:pStyle w:val="1128"/>
        <w:suppressLineNumbers w:val="false"/>
        <w:pBdr/>
        <w:spacing w:line="300" w:lineRule="auto"/>
        <w:ind w:firstLine="0" w:left="0"/>
        <w:rPr>
          <w:bCs/>
          <w:i/>
          <w:highlight w:val="none"/>
          <w:lang w:val="en-US"/>
        </w:rPr>
      </w:pPr>
      <w:r>
        <w:rPr>
          <w:i/>
          <w:iCs/>
          <w:lang w:val="en-US"/>
        </w:rPr>
        <w:t xml:space="preserve">         </w:t>
        <w:tab/>
        <w:tab/>
        <w:t xml:space="preserve">  Table </w:t>
      </w:r>
      <w:r>
        <w:rPr>
          <w:i/>
          <w:iCs/>
          <w:lang w:val="en-US"/>
        </w:rPr>
        <w:t xml:space="preserve">3.19 </w:t>
      </w:r>
      <w:r>
        <w:rPr>
          <w:i/>
          <w:iCs/>
          <w:lang w:val="en-US"/>
        </w:rPr>
        <w:t xml:space="preserve">LIMUC Per-Class Best Model Summary</w:t>
      </w:r>
      <w:r>
        <w:rPr>
          <w:bCs/>
          <w:i/>
          <w:highlight w:val="none"/>
          <w:lang w:val="en-US"/>
        </w:rPr>
      </w:r>
      <w:r>
        <w:rPr>
          <w:bCs/>
          <w:i/>
          <w:highlight w:val="none"/>
          <w:lang w:val="en-US"/>
        </w:rPr>
      </w:r>
    </w:p>
    <w:p w14:paraId="71354722">
      <w:pPr>
        <w:pStyle w:val="1128"/>
        <w:suppressLineNumbers w:val="false"/>
        <w:pBdr/>
        <w:spacing w:line="300" w:lineRule="auto"/>
        <w:ind w:firstLine="0"/>
        <w:rPr/>
      </w:pPr>
      <w:r>
        <w:rPr>
          <w:rFonts w:ascii="Arial" w:hAnsi="Arial" w:cs="Arial"/>
          <w:color w:val="000000" w:themeColor="text1"/>
        </w:rPr>
        <w:t xml:space="preserve">S</w:t>
      </w:r>
      <w:r>
        <w:rPr>
          <w:rFonts w:ascii="Arial" w:hAnsi="Arial" w:cs="Arial"/>
          <w:color w:val="000000" w:themeColor="text1"/>
        </w:rPr>
        <w:t xml:space="preserve">upport is strongly imbalanced across Mayo classes, and performance remains weakest for intermediate-to-severe classes (notably Mayo 2) even for the best-performing models. This supports the thesis motivation that minority severe classes remain the principa</w:t>
      </w:r>
      <w:r>
        <w:rPr>
          <w:rFonts w:ascii="Arial" w:hAnsi="Arial" w:cs="Arial"/>
          <w:color w:val="000000" w:themeColor="text1"/>
        </w:rPr>
        <w:t xml:space="preserve">l reliability bottleneck and require explicit attention in both evaluation and method design.</w:t>
      </w:r>
      <w:r>
        <w:rPr>
          <w:rFonts w:ascii="Arial" w:hAnsi="Arial" w:cs="Arial"/>
          <w:color w:val="000000" w:themeColor="text1"/>
        </w:rPr>
      </w:r>
      <w:r/>
    </w:p>
    <w:p w14:paraId="0DA5A1C1">
      <w:pPr>
        <w:pStyle w:val="1128"/>
        <w:suppressLineNumbers w:val="false"/>
        <w:pBdr/>
        <w:spacing w:line="300" w:lineRule="auto"/>
        <w:ind w:firstLine="0"/>
        <w:rPr>
          <w:rFonts w:ascii="Arial" w:hAnsi="Arial" w:cs="Arial"/>
          <w:color w:val="000000" w:themeColor="text1"/>
        </w:rPr>
      </w:pPr>
      <w:r>
        <w:rPr>
          <w:rFonts w:ascii="Arial" w:hAnsi="Arial" w:cs="Arial"/>
          <w:b/>
          <w:bCs/>
          <w:color w:val="000000" w:themeColor="text1"/>
        </w:rPr>
        <w:t xml:space="preserve">Limitations and implications. </w:t>
      </w:r>
      <w:r>
        <w:rPr>
          <w:rFonts w:ascii="Arial" w:hAnsi="Arial" w:cs="Arial"/>
          <w:color w:val="000000" w:themeColor="text1"/>
        </w:rPr>
        <w:t xml:space="preserve">LIMUC provides the most clinically actionable evidence in Chapter 3: supervised domain-tuned pipelines substantially outperform the zero-shot baseline on ordinal and clinical-slice metrics under the persisted evaluation configu</w:t>
      </w:r>
      <w:r>
        <w:rPr>
          <w:rFonts w:ascii="Arial" w:hAnsi="Arial" w:cs="Arial"/>
          <w:color w:val="000000" w:themeColor="text1"/>
        </w:rPr>
        <w:t xml:space="preserve">ration. The practical implication for Chapter 4 is direct: UC severity generation must preserve ordinal structure, maintain clinically meaningful threshold behavior (especially specificity), and avoid relying on raw zero-shot generation without safeguards.</w:t>
      </w:r>
      <w:r>
        <w:rPr>
          <w:rFonts w:ascii="Arial" w:hAnsi="Arial" w:cs="Arial"/>
          <w:color w:val="000000" w:themeColor="text1"/>
        </w:rPr>
      </w:r>
      <w:r>
        <w:rPr>
          <w:rFonts w:ascii="Arial" w:hAnsi="Arial" w:cs="Arial"/>
          <w:color w:val="000000" w:themeColor="text1"/>
        </w:rPr>
      </w:r>
    </w:p>
    <w:p w14:paraId="5DEA3D25">
      <w:pPr>
        <w:pStyle w:val="1128"/>
        <w:suppressLineNumbers w:val="false"/>
        <w:pBdr/>
        <w:spacing w:line="300" w:lineRule="auto"/>
        <w:ind w:firstLine="0"/>
        <w:rPr>
          <w:b/>
          <w:bCs/>
          <w:sz w:val="28"/>
          <w:szCs w:val="28"/>
        </w:rPr>
      </w:pPr>
      <w:r>
        <w:rPr>
          <w:b/>
          <w:bCs/>
          <w:sz w:val="28"/>
          <w:szCs w:val="28"/>
        </w:rPr>
        <w:t xml:space="preserve">3.5 Cross-Dataset Synthesis and Findings</w:t>
      </w:r>
      <w:r>
        <w:rPr>
          <w:b/>
          <w:bCs/>
          <w:sz w:val="28"/>
          <w:szCs w:val="28"/>
        </w:rPr>
      </w:r>
      <w:r>
        <w:rPr>
          <w:b/>
          <w:bCs/>
          <w:sz w:val="28"/>
          <w:szCs w:val="28"/>
        </w:rPr>
      </w:r>
    </w:p>
    <w:p w14:paraId="52D9C294">
      <w:pPr>
        <w:pStyle w:val="1128"/>
        <w:suppressLineNumbers w:val="false"/>
        <w:pBdr/>
        <w:spacing w:line="300" w:lineRule="auto"/>
        <w:ind w:firstLine="0"/>
        <w:rPr>
          <w:rFonts w:ascii="Arial" w:hAnsi="Arial" w:cs="Arial"/>
          <w:color w:val="000000" w:themeColor="text1"/>
        </w:rPr>
      </w:pPr>
      <w:r>
        <w:rPr>
          <w:rFonts w:ascii="Arial" w:hAnsi="Arial" w:cs="Arial"/>
          <w:color w:val="000000" w:themeColor="text1"/>
        </w:rPr>
      </w:r>
      <w:r>
        <w:rPr>
          <w:rFonts w:ascii="Arial" w:hAnsi="Arial" w:cs="Arial"/>
          <w:color w:val="000000" w:themeColor="text1"/>
        </w:rPr>
        <w:t xml:space="preserve">T</w:t>
      </w:r>
      <w:r>
        <w:rPr>
          <w:rFonts w:ascii="Arial" w:hAnsi="Arial" w:cs="Arial"/>
          <w:color w:val="000000" w:themeColor="text1"/>
        </w:rPr>
        <w:t xml:space="preserve">his section synthesizes dataset-wise results into thesis-level findings tied to the research questions. Because datasets differ in answer space and task regime, cross-dataset comparisons are used primarily to identify consistent reliability hierarchies and</w:t>
      </w:r>
      <w:r>
        <w:rPr>
          <w:rFonts w:ascii="Arial" w:hAnsi="Arial" w:cs="Arial"/>
          <w:color w:val="000000" w:themeColor="text1"/>
        </w:rPr>
        <w:t xml:space="preserve"> failure modes, not to claim a single global ranking.</w:t>
      </w:r>
      <w:r>
        <w:rPr>
          <w:rFonts w:ascii="Arial" w:hAnsi="Arial" w:cs="Arial"/>
          <w:color w:val="000000" w:themeColor="text1"/>
        </w:rPr>
      </w:r>
      <w:r>
        <w:rPr>
          <w:rFonts w:ascii="Arial" w:hAnsi="Arial" w:cs="Arial"/>
          <w:color w:val="000000" w:themeColor="text1"/>
        </w:rPr>
      </w:r>
    </w:p>
    <w:p w14:paraId="7BEA0704">
      <w:pPr>
        <w:pStyle w:val="1128"/>
        <w:suppressLineNumbers w:val="false"/>
        <w:pBdr/>
        <w:spacing w:line="300" w:lineRule="auto"/>
        <w:ind w:firstLine="0"/>
        <w:rPr>
          <w:b/>
          <w:bCs/>
          <w:highlight w:val="none"/>
        </w:rPr>
      </w:pPr>
      <w:r>
        <w:rPr>
          <w:b/>
          <w:bCs/>
        </w:rPr>
        <w:t xml:space="preserve">3.5.1 Comparative Reliability: Constrained vs Zero-Shot</w:t>
      </w:r>
      <w:r>
        <w:rPr>
          <w:b/>
          <w:bCs/>
          <w:highlight w:val="none"/>
        </w:rPr>
      </w:r>
      <w:r>
        <w:rPr>
          <w:b/>
          <w:bCs/>
          <w:highlight w:val="none"/>
        </w:rPr>
      </w:r>
    </w:p>
    <w:tbl>
      <w:tblPr>
        <w:tblStyle w:val="1185"/>
        <w:tblW w:w="0" w:type="auto"/>
        <w:tblBorders/>
        <w:tblLook w:val="04A0" w:firstRow="1" w:lastRow="0" w:firstColumn="1" w:lastColumn="0" w:noHBand="0" w:noVBand="1"/>
      </w:tblPr>
      <w:tblGrid>
        <w:gridCol w:w="2160"/>
        <w:gridCol w:w="2160"/>
        <w:gridCol w:w="2160"/>
        <w:gridCol w:w="2160"/>
      </w:tblGrid>
      <w:tr>
        <w:trPr/>
        <w:tc>
          <w:tcPr>
            <w:tcBorders/>
            <w:tcW w:w="2160" w:type="dxa"/>
            <w:textDirection w:val="lrTb"/>
            <w:noWrap w:val="false"/>
          </w:tcPr>
          <w:p w14:paraId="7A03D26D">
            <w:pPr>
              <w:pBdr/>
              <w:spacing w:after="0" w:before="0" w:line="240" w:lineRule="auto"/>
              <w:ind/>
              <w:rPr>
                <w:rFonts w:ascii="Arial" w:hAnsi="Arial" w:cs="Arial"/>
                <w:color w:val="000000" w:themeColor="text1"/>
              </w:rPr>
            </w:pPr>
            <w:r>
              <w:rPr>
                <w:rFonts w:ascii="Arial" w:hAnsi="Arial" w:eastAsia="Arial" w:cs="Arial"/>
                <w:b/>
                <w:color w:val="000000" w:themeColor="text1"/>
                <w:sz w:val="21"/>
              </w:rPr>
              <w:t xml:space="preserve">Dataset</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7BEC0981">
            <w:pPr>
              <w:pBdr/>
              <w:spacing w:after="0" w:before="0" w:line="240" w:lineRule="auto"/>
              <w:ind/>
              <w:rPr>
                <w:rFonts w:ascii="Arial" w:hAnsi="Arial" w:cs="Arial"/>
                <w:color w:val="000000" w:themeColor="text1"/>
              </w:rPr>
            </w:pPr>
            <w:r>
              <w:rPr>
                <w:rFonts w:ascii="Arial" w:hAnsi="Arial" w:eastAsia="Arial" w:cs="Arial"/>
                <w:b/>
                <w:color w:val="000000" w:themeColor="text1"/>
                <w:sz w:val="21"/>
              </w:rPr>
              <w:t xml:space="preserve">Strongest constrained/tuned result</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7E930229">
            <w:pPr>
              <w:pBdr/>
              <w:spacing w:after="0" w:before="0" w:line="240" w:lineRule="auto"/>
              <w:ind/>
              <w:rPr>
                <w:rFonts w:ascii="Arial" w:hAnsi="Arial" w:cs="Arial"/>
                <w:color w:val="000000" w:themeColor="text1"/>
              </w:rPr>
            </w:pPr>
            <w:r>
              <w:rPr>
                <w:rFonts w:ascii="Arial" w:hAnsi="Arial" w:eastAsia="Arial" w:cs="Arial"/>
                <w:b/>
                <w:color w:val="000000" w:themeColor="text1"/>
                <w:sz w:val="21"/>
              </w:rPr>
              <w:t xml:space="preserve">Zero-shot/open baseline result</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2ABBD9CF">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Absolute gap</w:t>
            </w:r>
            <w:r>
              <w:rPr>
                <w:rFonts w:ascii="Arial" w:hAnsi="Arial" w:cs="Arial"/>
                <w:color w:val="000000" w:themeColor="text1"/>
              </w:rPr>
            </w:r>
            <w:r>
              <w:rPr>
                <w:rFonts w:ascii="Arial" w:hAnsi="Arial" w:cs="Arial"/>
                <w:color w:val="000000" w:themeColor="text1"/>
              </w:rPr>
            </w:r>
          </w:p>
        </w:tc>
      </w:tr>
      <w:tr>
        <w:trPr/>
        <w:tc>
          <w:tcPr>
            <w:tcBorders/>
            <w:tcW w:w="2160" w:type="dxa"/>
            <w:textDirection w:val="lrTb"/>
            <w:noWrap w:val="false"/>
          </w:tcPr>
          <w:p w14:paraId="26477E69">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HyperKvasir</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7957424D">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resnet50_supervised</w:t>
            </w:r>
            <w:r>
              <w:rPr>
                <w:rFonts w:ascii="Arial" w:hAnsi="Arial" w:eastAsia="Arial" w:cs="Arial"/>
                <w:color w:val="000000" w:themeColor="text1"/>
                <w:sz w:val="21"/>
              </w:rPr>
              <w:t xml:space="preserve"> acc 0.8789</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7642BA30">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blip2_zero_shot_clip</w:t>
            </w:r>
            <w:r>
              <w:rPr>
                <w:rFonts w:ascii="Arial" w:hAnsi="Arial" w:eastAsia="Arial" w:cs="Arial"/>
                <w:color w:val="000000" w:themeColor="text1"/>
                <w:sz w:val="21"/>
              </w:rPr>
              <w:t xml:space="preserve"> acc 0.0638</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6E9431E1">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-0.8151</w:t>
            </w:r>
            <w:r>
              <w:rPr>
                <w:rFonts w:ascii="Arial" w:hAnsi="Arial" w:cs="Arial"/>
                <w:color w:val="000000" w:themeColor="text1"/>
              </w:rPr>
            </w:r>
            <w:r>
              <w:rPr>
                <w:rFonts w:ascii="Arial" w:hAnsi="Arial" w:cs="Arial"/>
                <w:color w:val="000000" w:themeColor="text1"/>
              </w:rPr>
            </w:r>
          </w:p>
        </w:tc>
      </w:tr>
      <w:tr>
        <w:trPr/>
        <w:tc>
          <w:tcPr>
            <w:tcBorders/>
            <w:tcW w:w="2160" w:type="dxa"/>
            <w:textDirection w:val="lrTb"/>
            <w:noWrap w:val="false"/>
          </w:tcPr>
          <w:p w14:paraId="680E435C">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ImageCLEF MEDVQA-GI 2023</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09B4968A">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vilt_finetune</w:t>
            </w:r>
            <w:r>
              <w:rPr>
                <w:rFonts w:ascii="Arial" w:hAnsi="Arial" w:eastAsia="Arial" w:cs="Arial"/>
                <w:color w:val="000000" w:themeColor="text1"/>
                <w:sz w:val="21"/>
              </w:rPr>
              <w:t xml:space="preserve"> acc 0.9089</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5F8385D6">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qwen_projected</w:t>
            </w:r>
            <w:r>
              <w:rPr>
                <w:rFonts w:ascii="Arial" w:hAnsi="Arial" w:eastAsia="Arial" w:cs="Arial"/>
                <w:color w:val="000000" w:themeColor="text1"/>
                <w:sz w:val="21"/>
              </w:rPr>
              <w:t xml:space="preserve"> acc 0.0670</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57A72039">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-0.8419</w:t>
            </w:r>
            <w:r>
              <w:rPr>
                <w:rFonts w:ascii="Arial" w:hAnsi="Arial" w:cs="Arial"/>
                <w:color w:val="000000" w:themeColor="text1"/>
              </w:rPr>
            </w:r>
            <w:r>
              <w:rPr>
                <w:rFonts w:ascii="Arial" w:hAnsi="Arial" w:cs="Arial"/>
                <w:color w:val="000000" w:themeColor="text1"/>
              </w:rPr>
            </w:r>
          </w:p>
        </w:tc>
      </w:tr>
      <w:tr>
        <w:trPr/>
        <w:tc>
          <w:tcPr>
            <w:tcBorders/>
            <w:tcW w:w="2160" w:type="dxa"/>
            <w:textDirection w:val="lrTb"/>
            <w:noWrap w:val="false"/>
          </w:tcPr>
          <w:p w14:paraId="2099F2A6">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Kvasir-VQA yes/no subset</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75CF745D">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resnet_gru_m1</w:t>
            </w:r>
            <w:r>
              <w:rPr>
                <w:rFonts w:ascii="Arial" w:hAnsi="Arial" w:eastAsia="Arial" w:cs="Arial"/>
                <w:color w:val="000000" w:themeColor="text1"/>
                <w:sz w:val="21"/>
              </w:rPr>
              <w:t xml:space="preserve"> acc 0.9865</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2C2091EA">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blip2_zeroshot_yesno</w:t>
            </w:r>
            <w:r>
              <w:rPr>
                <w:rFonts w:ascii="Arial" w:hAnsi="Arial" w:eastAsia="Arial" w:cs="Arial"/>
                <w:color w:val="000000" w:themeColor="text1"/>
                <w:sz w:val="21"/>
              </w:rPr>
              <w:t xml:space="preserve"> acc 0.8939</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03413BCC">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-0.0926</w:t>
            </w:r>
            <w:r>
              <w:rPr>
                <w:rFonts w:ascii="Arial" w:hAnsi="Arial" w:cs="Arial"/>
                <w:color w:val="000000" w:themeColor="text1"/>
              </w:rPr>
            </w:r>
            <w:r>
              <w:rPr>
                <w:rFonts w:ascii="Arial" w:hAnsi="Arial" w:cs="Arial"/>
                <w:color w:val="000000" w:themeColor="text1"/>
              </w:rPr>
            </w:r>
          </w:p>
        </w:tc>
      </w:tr>
      <w:tr>
        <w:trPr/>
        <w:tc>
          <w:tcPr>
            <w:tcBorders/>
            <w:tcW w:w="2160" w:type="dxa"/>
            <w:textDirection w:val="lrTb"/>
            <w:noWrap w:val="false"/>
          </w:tcPr>
          <w:p w14:paraId="6A19F86C">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LIMUC severity</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7D5A662D">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finetune_resnet50</w:t>
            </w:r>
            <w:r>
              <w:rPr>
                <w:rFonts w:ascii="Arial" w:hAnsi="Arial" w:eastAsia="Arial" w:cs="Arial"/>
                <w:color w:val="000000" w:themeColor="text1"/>
                <w:sz w:val="21"/>
              </w:rPr>
              <w:t xml:space="preserve"> acc 0.7539</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3A588ECC">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vlm_zero_shot_mayo</w:t>
            </w:r>
            <w:r>
              <w:rPr>
                <w:rFonts w:ascii="Arial" w:hAnsi="Arial" w:eastAsia="Arial" w:cs="Arial"/>
                <w:color w:val="000000" w:themeColor="text1"/>
                <w:sz w:val="21"/>
              </w:rPr>
              <w:t xml:space="preserve"> acc 0.5486</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2E145147">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-0.2052</w:t>
            </w:r>
            <w:r>
              <w:rPr>
                <w:rFonts w:ascii="Arial" w:hAnsi="Arial" w:cs="Arial"/>
                <w:color w:val="000000" w:themeColor="text1"/>
              </w:rPr>
            </w:r>
            <w:r>
              <w:rPr>
                <w:rFonts w:ascii="Arial" w:hAnsi="Arial" w:cs="Arial"/>
                <w:color w:val="000000" w:themeColor="text1"/>
              </w:rPr>
            </w:r>
          </w:p>
        </w:tc>
      </w:tr>
      <w:tr>
        <w:trPr/>
        <w:tc>
          <w:tcPr>
            <w:tcBorders/>
            <w:tcW w:w="2160" w:type="dxa"/>
            <w:textDirection w:val="lrTb"/>
            <w:noWrap w:val="false"/>
          </w:tcPr>
          <w:p w14:paraId="2C83F13B">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Kvasir-VQA-x1 generative</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5C06B125">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medgemma_lora</w:t>
            </w:r>
            <w:r>
              <w:rPr>
                <w:rFonts w:ascii="Arial" w:hAnsi="Arial" w:eastAsia="Arial" w:cs="Arial"/>
                <w:color w:val="000000" w:themeColor="text1"/>
                <w:sz w:val="21"/>
              </w:rPr>
              <w:t xml:space="preserve"> token-F1 0.5085</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5D48C34A">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qwen_zeroshot</w:t>
            </w:r>
            <w:r>
              <w:rPr>
                <w:rFonts w:ascii="Arial" w:hAnsi="Arial" w:eastAsia="Arial" w:cs="Arial"/>
                <w:color w:val="000000" w:themeColor="text1"/>
                <w:sz w:val="21"/>
              </w:rPr>
              <w:t xml:space="preserve"> token-F1 0.1728</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091EA0C8">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+0.3357 (adaptation gain)</w:t>
            </w:r>
            <w:r>
              <w:rPr>
                <w:rFonts w:ascii="Arial" w:hAnsi="Arial" w:cs="Arial"/>
                <w:color w:val="000000" w:themeColor="text1"/>
              </w:rPr>
            </w:r>
            <w:r>
              <w:rPr>
                <w:rFonts w:ascii="Arial" w:hAnsi="Arial" w:cs="Arial"/>
                <w:color w:val="000000" w:themeColor="text1"/>
              </w:rPr>
            </w:r>
          </w:p>
        </w:tc>
      </w:tr>
    </w:tbl>
    <w:p w14:paraId="08D2CB17">
      <w:pPr>
        <w:pStyle w:val="1128"/>
        <w:suppressLineNumbers w:val="false"/>
        <w:pBdr/>
        <w:spacing w:line="300" w:lineRule="auto"/>
        <w:ind w:firstLine="0" w:left="0"/>
        <w:rPr>
          <w:bCs/>
          <w:i/>
          <w:highlight w:val="none"/>
          <w:lang w:val="en-US"/>
        </w:rPr>
      </w:pPr>
      <w:r>
        <w:rPr>
          <w:i/>
          <w:iCs/>
          <w:lang w:val="en-US"/>
        </w:rPr>
        <w:t xml:space="preserve">         </w:t>
        <w:tab/>
        <w:tab/>
        <w:t xml:space="preserve">Table </w:t>
      </w:r>
      <w:r>
        <w:rPr>
          <w:i/>
          <w:iCs/>
          <w:lang w:val="en-US"/>
        </w:rPr>
        <w:t xml:space="preserve">3.20 </w:t>
      </w:r>
      <w:r>
        <w:rPr>
          <w:i/>
          <w:iCs/>
          <w:lang w:val="en-US"/>
        </w:rPr>
        <w:t xml:space="preserve">Reliability Gap Snapshot Across Datasets</w:t>
      </w:r>
      <w:r>
        <w:rPr>
          <w:bCs/>
          <w:i/>
          <w:highlight w:val="none"/>
          <w:lang w:val="en-US"/>
        </w:rPr>
      </w:r>
      <w:r>
        <w:rPr>
          <w:bCs/>
          <w:i/>
          <w:highlight w:val="none"/>
          <w:lang w:val="en-US"/>
        </w:rPr>
      </w:r>
    </w:p>
    <w:p w14:paraId="305EA60E">
      <w:pPr>
        <w:pStyle w:val="1128"/>
        <w:suppressLineNumbers w:val="false"/>
        <w:pBdr/>
        <w:spacing w:line="300" w:lineRule="auto"/>
        <w:ind w:firstLine="0"/>
        <w:rPr/>
      </w:pPr>
      <w:r>
        <w:t xml:space="preserve">T</w:t>
      </w:r>
      <w:r>
        <w:t xml:space="preserve">he repository evidence consistently indicates that constrained/supervised pipelines remain the reliability baseline for structured GI tasks, while raw zero-shot generation is weaker and more format-unstable. The Kvasir-VQA-x1 row summarizes a generative ov</w:t>
      </w:r>
      <w:r>
        <w:t xml:space="preserve">erlap diagnostic (token-F1) rather than accuracy; it shows that adaptation improves overlap fidelity but does not resolve answer-space governance and grounding issues identified in the dataset-wise analysis.</w:t>
      </w:r>
      <w:r/>
    </w:p>
    <w:p w14:paraId="626052AD">
      <w:pPr>
        <w:pStyle w:val="1128"/>
        <w:suppressLineNumbers w:val="false"/>
        <w:pBdr/>
        <w:spacing w:line="300" w:lineRule="auto"/>
        <w:ind w:firstLine="0"/>
        <w:rPr>
          <w:highlight w:val="none"/>
        </w:rPr>
      </w:pPr>
      <w:r>
        <w:t xml:space="preserve">Result for RQ2. Under the persisted evidence in this repository, constrained/supervised methods remain the most reliable core pathway for GI MedVQA, and zero-shot transfer is consistently weaker under strict evaluation conventions.</w:t>
      </w:r>
      <w:r>
        <w:rPr>
          <w:highlight w:val="none"/>
        </w:rPr>
      </w:r>
      <w:r>
        <w:rPr>
          <w:highlight w:val="none"/>
        </w:rPr>
      </w:r>
    </w:p>
    <w:p w14:paraId="257AE7A5">
      <w:pPr>
        <w:pStyle w:val="1128"/>
        <w:suppressLineNumbers w:val="false"/>
        <w:pBdr/>
        <w:spacing w:line="300" w:lineRule="auto"/>
        <w:ind w:firstLine="0"/>
        <w:rPr>
          <w:b/>
          <w:bCs/>
        </w:rPr>
      </w:pPr>
      <w:r>
        <w:rPr>
          <w:b/>
          <w:bCs/>
        </w:rPr>
        <w:t xml:space="preserve">3.5.2 Dominant Failure Modes (RQ3)</w:t>
      </w:r>
      <w:r>
        <w:rPr>
          <w:b/>
          <w:bCs/>
        </w:rPr>
      </w:r>
      <w:r>
        <w:rPr>
          <w:b/>
          <w:bCs/>
        </w:rPr>
      </w:r>
    </w:p>
    <w:tbl>
      <w:tblPr>
        <w:tblStyle w:val="1185"/>
        <w:tblW w:w="0" w:type="auto"/>
        <w:tblBorders/>
        <w:tblLook w:val="04A0" w:firstRow="1" w:lastRow="0" w:firstColumn="1" w:lastColumn="0" w:noHBand="0" w:noVBand="1"/>
      </w:tblPr>
      <w:tblGrid>
        <w:gridCol w:w="2880"/>
        <w:gridCol w:w="2880"/>
        <w:gridCol w:w="2880"/>
      </w:tblGrid>
      <w:tr>
        <w:trPr/>
        <w:tc>
          <w:tcPr>
            <w:tcBorders/>
            <w:tcW w:w="2880" w:type="dxa"/>
            <w:textDirection w:val="lrTb"/>
            <w:noWrap w:val="false"/>
          </w:tcPr>
          <w:p w14:paraId="59B531B1">
            <w:pPr>
              <w:pBdr/>
              <w:spacing w:after="0" w:before="0" w:line="240" w:lineRule="auto"/>
              <w:ind/>
              <w:rPr>
                <w:rFonts w:ascii="Arial" w:hAnsi="Arial" w:cs="Arial"/>
                <w:color w:val="000000" w:themeColor="text1"/>
              </w:rPr>
            </w:pPr>
            <w:r>
              <w:rPr>
                <w:rFonts w:ascii="Arial" w:hAnsi="Arial" w:eastAsia="Arial" w:cs="Arial"/>
                <w:b/>
                <w:color w:val="000000" w:themeColor="text1"/>
                <w:sz w:val="21"/>
              </w:rPr>
              <w:t xml:space="preserve">Failure mode</w:t>
            </w:r>
            <w:r>
              <w:rPr>
                <w:rFonts w:ascii="Arial" w:hAnsi="Arial" w:cs="Arial"/>
                <w:color w:val="000000" w:themeColor="text1"/>
              </w:rPr>
            </w:r>
            <w:r>
              <w:rPr>
                <w:rFonts w:ascii="Arial" w:hAnsi="Arial" w:cs="Arial"/>
                <w:color w:val="000000" w:themeColor="text1"/>
              </w:rPr>
            </w:r>
          </w:p>
        </w:tc>
        <w:tc>
          <w:tcPr>
            <w:tcBorders/>
            <w:tcW w:w="2880" w:type="dxa"/>
            <w:textDirection w:val="lrTb"/>
            <w:noWrap w:val="false"/>
          </w:tcPr>
          <w:p w14:paraId="6DEED83C">
            <w:pPr>
              <w:pBdr/>
              <w:spacing w:after="0" w:before="0" w:line="240" w:lineRule="auto"/>
              <w:ind/>
              <w:rPr>
                <w:rFonts w:ascii="Arial" w:hAnsi="Arial" w:cs="Arial"/>
                <w:color w:val="000000" w:themeColor="text1"/>
              </w:rPr>
            </w:pPr>
            <w:r>
              <w:rPr>
                <w:rFonts w:ascii="Arial" w:hAnsi="Arial" w:eastAsia="Arial" w:cs="Arial"/>
                <w:b/>
                <w:color w:val="000000" w:themeColor="text1"/>
                <w:sz w:val="21"/>
              </w:rPr>
              <w:t xml:space="preserve">Evidence in this chapter</w:t>
            </w:r>
            <w:r>
              <w:rPr>
                <w:rFonts w:ascii="Arial" w:hAnsi="Arial" w:cs="Arial"/>
                <w:color w:val="000000" w:themeColor="text1"/>
              </w:rPr>
            </w:r>
            <w:r>
              <w:rPr>
                <w:rFonts w:ascii="Arial" w:hAnsi="Arial" w:cs="Arial"/>
                <w:color w:val="000000" w:themeColor="text1"/>
              </w:rPr>
            </w:r>
          </w:p>
        </w:tc>
        <w:tc>
          <w:tcPr>
            <w:tcBorders/>
            <w:tcW w:w="2880" w:type="dxa"/>
            <w:textDirection w:val="lrTb"/>
            <w:noWrap w:val="false"/>
          </w:tcPr>
          <w:p w14:paraId="7BDD8792">
            <w:pPr>
              <w:pBdr/>
              <w:spacing w:after="0" w:before="0" w:line="240" w:lineRule="auto"/>
              <w:ind/>
              <w:rPr>
                <w:rFonts w:ascii="Arial" w:hAnsi="Arial" w:cs="Arial"/>
                <w:color w:val="000000" w:themeColor="text1"/>
              </w:rPr>
            </w:pPr>
            <w:r>
              <w:rPr>
                <w:rFonts w:ascii="Arial" w:hAnsi="Arial" w:eastAsia="Arial" w:cs="Arial"/>
                <w:b/>
                <w:color w:val="000000" w:themeColor="text1"/>
                <w:sz w:val="21"/>
              </w:rPr>
              <w:t xml:space="preserve">Practical implication</w:t>
            </w:r>
            <w:r>
              <w:rPr>
                <w:rFonts w:ascii="Arial" w:hAnsi="Arial" w:cs="Arial"/>
                <w:color w:val="000000" w:themeColor="text1"/>
              </w:rPr>
            </w:r>
            <w:r>
              <w:rPr>
                <w:rFonts w:ascii="Arial" w:hAnsi="Arial" w:cs="Arial"/>
                <w:color w:val="000000" w:themeColor="text1"/>
              </w:rPr>
            </w:r>
          </w:p>
        </w:tc>
      </w:tr>
      <w:tr>
        <w:trPr/>
        <w:tc>
          <w:tcPr>
            <w:tcBorders/>
            <w:tcW w:w="2880" w:type="dxa"/>
            <w:textDirection w:val="lrTb"/>
            <w:noWrap w:val="false"/>
          </w:tcPr>
          <w:p w14:paraId="3D716EC4">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Head-tail imbalance collapse</w:t>
            </w:r>
            <w:r>
              <w:rPr>
                <w:rFonts w:ascii="Arial" w:hAnsi="Arial" w:cs="Arial"/>
                <w:color w:val="000000" w:themeColor="text1"/>
              </w:rPr>
            </w:r>
            <w:r>
              <w:rPr>
                <w:rFonts w:ascii="Arial" w:hAnsi="Arial" w:cs="Arial"/>
                <w:color w:val="000000" w:themeColor="text1"/>
              </w:rPr>
            </w:r>
          </w:p>
        </w:tc>
        <w:tc>
          <w:tcPr>
            <w:tcBorders/>
            <w:tcW w:w="2880" w:type="dxa"/>
            <w:textDirection w:val="lrTb"/>
            <w:noWrap w:val="false"/>
          </w:tcPr>
          <w:p w14:paraId="3E10F7ED">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HyperKvasir rare recall near zero for multiple models</w:t>
            </w:r>
            <w:r>
              <w:rPr>
                <w:rFonts w:ascii="Arial" w:hAnsi="Arial" w:cs="Arial"/>
                <w:color w:val="000000" w:themeColor="text1"/>
              </w:rPr>
            </w:r>
            <w:r>
              <w:rPr>
                <w:rFonts w:ascii="Arial" w:hAnsi="Arial" w:cs="Arial"/>
                <w:color w:val="000000" w:themeColor="text1"/>
              </w:rPr>
            </w:r>
          </w:p>
        </w:tc>
        <w:tc>
          <w:tcPr>
            <w:tcBorders/>
            <w:tcW w:w="2880" w:type="dxa"/>
            <w:textDirection w:val="lrTb"/>
            <w:noWrap w:val="false"/>
          </w:tcPr>
          <w:p w14:paraId="177B31A0">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aggregate accuracy can mask clinically important misses</w:t>
            </w:r>
            <w:r>
              <w:rPr>
                <w:rFonts w:ascii="Arial" w:hAnsi="Arial" w:cs="Arial"/>
                <w:color w:val="000000" w:themeColor="text1"/>
              </w:rPr>
            </w:r>
            <w:r>
              <w:rPr>
                <w:rFonts w:ascii="Arial" w:hAnsi="Arial" w:cs="Arial"/>
                <w:color w:val="000000" w:themeColor="text1"/>
              </w:rPr>
            </w:r>
          </w:p>
        </w:tc>
      </w:tr>
      <w:tr>
        <w:trPr/>
        <w:tc>
          <w:tcPr>
            <w:tcBorders/>
            <w:tcW w:w="2880" w:type="dxa"/>
            <w:textDirection w:val="lrTb"/>
            <w:noWrap w:val="false"/>
          </w:tcPr>
          <w:p w14:paraId="4A7A8E05">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Lexical drift / non-answer generation</w:t>
            </w:r>
            <w:r>
              <w:rPr>
                <w:rFonts w:ascii="Arial" w:hAnsi="Arial" w:cs="Arial"/>
                <w:color w:val="000000" w:themeColor="text1"/>
              </w:rPr>
            </w:r>
            <w:r>
              <w:rPr>
                <w:rFonts w:ascii="Arial" w:hAnsi="Arial" w:cs="Arial"/>
                <w:color w:val="000000" w:themeColor="text1"/>
              </w:rPr>
            </w:r>
          </w:p>
        </w:tc>
        <w:tc>
          <w:tcPr>
            <w:tcBorders/>
            <w:tcW w:w="2880" w:type="dxa"/>
            <w:textDirection w:val="lrTb"/>
            <w:noWrap w:val="false"/>
          </w:tcPr>
          <w:p w14:paraId="729988E5">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Kvasir-VQA freegen unknown-rate 1.0</w:t>
            </w:r>
            <w:r>
              <w:rPr>
                <w:rFonts w:ascii="Arial" w:hAnsi="Arial" w:cs="Arial"/>
                <w:color w:val="000000" w:themeColor="text1"/>
              </w:rPr>
            </w:r>
            <w:r>
              <w:rPr>
                <w:rFonts w:ascii="Arial" w:hAnsi="Arial" w:cs="Arial"/>
                <w:color w:val="000000" w:themeColor="text1"/>
              </w:rPr>
            </w:r>
          </w:p>
        </w:tc>
        <w:tc>
          <w:tcPr>
            <w:tcBorders/>
            <w:tcW w:w="2880" w:type="dxa"/>
            <w:textDirection w:val="lrTb"/>
            <w:noWrap w:val="false"/>
          </w:tcPr>
          <w:p w14:paraId="2E2E49DE">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requires constrained decoding and output guards</w:t>
            </w:r>
            <w:r>
              <w:rPr>
                <w:rFonts w:ascii="Arial" w:hAnsi="Arial" w:cs="Arial"/>
                <w:color w:val="000000" w:themeColor="text1"/>
              </w:rPr>
            </w:r>
            <w:r>
              <w:rPr>
                <w:rFonts w:ascii="Arial" w:hAnsi="Arial" w:cs="Arial"/>
                <w:color w:val="000000" w:themeColor="text1"/>
              </w:rPr>
            </w:r>
          </w:p>
        </w:tc>
      </w:tr>
      <w:tr>
        <w:trPr/>
        <w:tc>
          <w:tcPr>
            <w:tcBorders/>
            <w:tcW w:w="2880" w:type="dxa"/>
            <w:textDirection w:val="lrTb"/>
            <w:noWrap w:val="false"/>
          </w:tcPr>
          <w:p w14:paraId="232B64CC">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OOV mapping fragility</w:t>
            </w:r>
            <w:r>
              <w:rPr>
                <w:rFonts w:ascii="Arial" w:hAnsi="Arial" w:cs="Arial"/>
                <w:color w:val="000000" w:themeColor="text1"/>
              </w:rPr>
            </w:r>
            <w:r>
              <w:rPr>
                <w:rFonts w:ascii="Arial" w:hAnsi="Arial" w:cs="Arial"/>
                <w:color w:val="000000" w:themeColor="text1"/>
              </w:rPr>
            </w:r>
          </w:p>
        </w:tc>
        <w:tc>
          <w:tcPr>
            <w:tcBorders/>
            <w:tcW w:w="2880" w:type="dxa"/>
            <w:textDirection w:val="lrTb"/>
            <w:noWrap w:val="false"/>
          </w:tcPr>
          <w:p w14:paraId="7121DDC0">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Kvasir-VQA-x1 mapped VLM acc 0.5616 but macro-F1 0.0058 with OOV 0.973</w:t>
            </w:r>
            <w:r>
              <w:rPr>
                <w:rFonts w:ascii="Arial" w:hAnsi="Arial" w:cs="Arial"/>
                <w:color w:val="000000" w:themeColor="text1"/>
              </w:rPr>
            </w:r>
            <w:r>
              <w:rPr>
                <w:rFonts w:ascii="Arial" w:hAnsi="Arial" w:cs="Arial"/>
                <w:color w:val="000000" w:themeColor="text1"/>
              </w:rPr>
            </w:r>
          </w:p>
        </w:tc>
        <w:tc>
          <w:tcPr>
            <w:tcBorders/>
            <w:tcW w:w="2880" w:type="dxa"/>
            <w:textDirection w:val="lrTb"/>
            <w:noWrap w:val="false"/>
          </w:tcPr>
          <w:p w14:paraId="66529D44">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mapped accuracy alone can be misleading</w:t>
            </w:r>
            <w:r>
              <w:rPr>
                <w:rFonts w:ascii="Arial" w:hAnsi="Arial" w:cs="Arial"/>
                <w:color w:val="000000" w:themeColor="text1"/>
              </w:rPr>
            </w:r>
            <w:r>
              <w:rPr>
                <w:rFonts w:ascii="Arial" w:hAnsi="Arial" w:cs="Arial"/>
                <w:color w:val="000000" w:themeColor="text1"/>
              </w:rPr>
            </w:r>
          </w:p>
        </w:tc>
      </w:tr>
      <w:tr>
        <w:trPr/>
        <w:tc>
          <w:tcPr>
            <w:tcBorders/>
            <w:tcW w:w="2880" w:type="dxa"/>
            <w:textDirection w:val="lrTb"/>
            <w:noWrap w:val="false"/>
          </w:tcPr>
          <w:p w14:paraId="15A2C80E">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Question-family brittleness</w:t>
            </w:r>
            <w:r>
              <w:rPr>
                <w:rFonts w:ascii="Arial" w:hAnsi="Arial" w:cs="Arial"/>
                <w:color w:val="000000" w:themeColor="text1"/>
              </w:rPr>
            </w:r>
            <w:r>
              <w:rPr>
                <w:rFonts w:ascii="Arial" w:hAnsi="Arial" w:cs="Arial"/>
                <w:color w:val="000000" w:themeColor="text1"/>
              </w:rPr>
            </w:r>
          </w:p>
        </w:tc>
        <w:tc>
          <w:tcPr>
            <w:tcBorders/>
            <w:tcW w:w="2880" w:type="dxa"/>
            <w:textDirection w:val="lrTb"/>
            <w:noWrap w:val="false"/>
          </w:tcPr>
          <w:p w14:paraId="259E2A97">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ImageCLEF: procedure/attribute families collapse for zero-shot raw/projected</w:t>
            </w:r>
            <w:r>
              <w:rPr>
                <w:rFonts w:ascii="Arial" w:hAnsi="Arial" w:cs="Arial"/>
                <w:color w:val="000000" w:themeColor="text1"/>
              </w:rPr>
            </w:r>
            <w:r>
              <w:rPr>
                <w:rFonts w:ascii="Arial" w:hAnsi="Arial" w:cs="Arial"/>
                <w:color w:val="000000" w:themeColor="text1"/>
              </w:rPr>
            </w:r>
          </w:p>
        </w:tc>
        <w:tc>
          <w:tcPr>
            <w:tcBorders/>
            <w:tcW w:w="2880" w:type="dxa"/>
            <w:textDirection w:val="lrTb"/>
            <w:noWrap w:val="false"/>
          </w:tcPr>
          <w:p w14:paraId="0F9332FB">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per-family reporting is mandatory</w:t>
            </w:r>
            <w:r>
              <w:rPr>
                <w:rFonts w:ascii="Arial" w:hAnsi="Arial" w:cs="Arial"/>
                <w:color w:val="000000" w:themeColor="text1"/>
              </w:rPr>
            </w:r>
            <w:r>
              <w:rPr>
                <w:rFonts w:ascii="Arial" w:hAnsi="Arial" w:cs="Arial"/>
                <w:color w:val="000000" w:themeColor="text1"/>
              </w:rPr>
            </w:r>
          </w:p>
        </w:tc>
      </w:tr>
      <w:tr>
        <w:trPr/>
        <w:tc>
          <w:tcPr>
            <w:tcBorders/>
            <w:tcW w:w="2880" w:type="dxa"/>
            <w:textDirection w:val="lrTb"/>
            <w:noWrap w:val="false"/>
          </w:tcPr>
          <w:p w14:paraId="17B49B26">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Clinical threshold blind spots</w:t>
            </w:r>
            <w:r>
              <w:rPr>
                <w:rFonts w:ascii="Arial" w:hAnsi="Arial" w:cs="Arial"/>
                <w:color w:val="000000" w:themeColor="text1"/>
              </w:rPr>
            </w:r>
            <w:r>
              <w:rPr>
                <w:rFonts w:ascii="Arial" w:hAnsi="Arial" w:cs="Arial"/>
                <w:color w:val="000000" w:themeColor="text1"/>
              </w:rPr>
            </w:r>
          </w:p>
        </w:tc>
        <w:tc>
          <w:tcPr>
            <w:tcBorders/>
            <w:tcW w:w="2880" w:type="dxa"/>
            <w:textDirection w:val="lrTb"/>
            <w:noWrap w:val="false"/>
          </w:tcPr>
          <w:p w14:paraId="32E211F8">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LIMUC zero-shot remission specificity 0.0</w:t>
            </w:r>
            <w:r>
              <w:rPr>
                <w:rFonts w:ascii="Arial" w:hAnsi="Arial" w:cs="Arial"/>
                <w:color w:val="000000" w:themeColor="text1"/>
              </w:rPr>
            </w:r>
            <w:r>
              <w:rPr>
                <w:rFonts w:ascii="Arial" w:hAnsi="Arial" w:cs="Arial"/>
                <w:color w:val="000000" w:themeColor="text1"/>
              </w:rPr>
            </w:r>
          </w:p>
        </w:tc>
        <w:tc>
          <w:tcPr>
            <w:tcBorders/>
            <w:tcW w:w="2880" w:type="dxa"/>
            <w:textDirection w:val="lrTb"/>
            <w:noWrap w:val="false"/>
          </w:tcPr>
          <w:p w14:paraId="4A89BB85">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unsafe threshold behavior without supervision</w:t>
            </w:r>
            <w:r>
              <w:rPr>
                <w:rFonts w:ascii="Arial" w:hAnsi="Arial" w:cs="Arial"/>
                <w:color w:val="000000" w:themeColor="text1"/>
              </w:rPr>
            </w:r>
            <w:r>
              <w:rPr>
                <w:rFonts w:ascii="Arial" w:hAnsi="Arial" w:cs="Arial"/>
                <w:color w:val="000000" w:themeColor="text1"/>
              </w:rPr>
            </w:r>
          </w:p>
        </w:tc>
      </w:tr>
      <w:tr>
        <w:trPr/>
        <w:tc>
          <w:tcPr>
            <w:tcBorders/>
            <w:tcW w:w="2880" w:type="dxa"/>
            <w:textDirection w:val="lrTb"/>
            <w:noWrap w:val="false"/>
          </w:tcPr>
          <w:p w14:paraId="52E9D61D">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Scenario evidence gap</w:t>
            </w:r>
            <w:r>
              <w:rPr>
                <w:rFonts w:ascii="Arial" w:hAnsi="Arial" w:cs="Arial"/>
                <w:color w:val="000000" w:themeColor="text1"/>
              </w:rPr>
            </w:r>
            <w:r>
              <w:rPr>
                <w:rFonts w:ascii="Arial" w:hAnsi="Arial" w:cs="Arial"/>
                <w:color w:val="000000" w:themeColor="text1"/>
              </w:rPr>
            </w:r>
          </w:p>
        </w:tc>
        <w:tc>
          <w:tcPr>
            <w:tcBorders/>
            <w:tcW w:w="2880" w:type="dxa"/>
            <w:textDirection w:val="lrTb"/>
            <w:noWrap w:val="false"/>
          </w:tcPr>
          <w:p w14:paraId="2C5727BD">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reformatted tree provides scenario config without scored outputs</w:t>
            </w:r>
            <w:r>
              <w:rPr>
                <w:rFonts w:ascii="Arial" w:hAnsi="Arial" w:cs="Arial"/>
                <w:color w:val="000000" w:themeColor="text1"/>
              </w:rPr>
            </w:r>
            <w:r>
              <w:rPr>
                <w:rFonts w:ascii="Arial" w:hAnsi="Arial" w:cs="Arial"/>
                <w:color w:val="000000" w:themeColor="text1"/>
              </w:rPr>
            </w:r>
          </w:p>
        </w:tc>
        <w:tc>
          <w:tcPr>
            <w:tcBorders/>
            <w:tcW w:w="2880" w:type="dxa"/>
            <w:textDirection w:val="lrTb"/>
            <w:noWrap w:val="false"/>
          </w:tcPr>
          <w:p w14:paraId="0DE09A63">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scenario-level failure conclusions are deferred until outputs are persisted</w:t>
            </w:r>
            <w:r>
              <w:rPr>
                <w:rFonts w:ascii="Arial" w:hAnsi="Arial" w:cs="Arial"/>
                <w:color w:val="000000" w:themeColor="text1"/>
              </w:rPr>
            </w:r>
            <w:r>
              <w:rPr>
                <w:rFonts w:ascii="Arial" w:hAnsi="Arial" w:cs="Arial"/>
                <w:color w:val="000000" w:themeColor="text1"/>
              </w:rPr>
            </w:r>
          </w:p>
        </w:tc>
      </w:tr>
    </w:tbl>
    <w:p w14:paraId="08D2CB17">
      <w:pPr>
        <w:pStyle w:val="1128"/>
        <w:suppressLineNumbers w:val="false"/>
        <w:pBdr/>
        <w:spacing w:line="300" w:lineRule="auto"/>
        <w:ind w:firstLine="0" w:left="0"/>
        <w:rPr>
          <w:bCs/>
          <w:i/>
          <w:highlight w:val="none"/>
          <w:lang w:val="en-US"/>
        </w:rPr>
      </w:pPr>
      <w:r>
        <w:rPr>
          <w:i/>
          <w:iCs/>
          <w:lang w:val="en-US"/>
        </w:rPr>
        <w:t xml:space="preserve">         </w:t>
        <w:tab/>
        <w:tab/>
        <w:tab/>
        <w:t xml:space="preserve">Table </w:t>
      </w:r>
      <w:r>
        <w:rPr>
          <w:i/>
          <w:iCs/>
          <w:lang w:val="en-US"/>
        </w:rPr>
        <w:t xml:space="preserve">3.21 </w:t>
      </w:r>
      <w:r>
        <w:rPr>
          <w:i/>
          <w:iCs/>
          <w:lang w:val="en-US"/>
        </w:rPr>
        <w:t xml:space="preserve">Observed Failure Taxonomy</w:t>
      </w:r>
      <w:r>
        <w:rPr>
          <w:bCs/>
          <w:i/>
          <w:highlight w:val="none"/>
          <w:lang w:val="en-US"/>
        </w:rPr>
      </w:r>
      <w:r>
        <w:rPr>
          <w:bCs/>
          <w:i/>
          <w:highlight w:val="none"/>
          <w:lang w:val="en-US"/>
        </w:rPr>
      </w:r>
    </w:p>
    <w:p w14:paraId="012116AB">
      <w:pPr>
        <w:pStyle w:val="1128"/>
        <w:suppressLineNumbers w:val="false"/>
        <w:pBdr/>
        <w:spacing w:line="300" w:lineRule="auto"/>
        <w:ind w:firstLine="0"/>
        <w:rPr>
          <w:highlight w:val="none"/>
        </w:rPr>
      </w:pPr>
      <w:r>
        <w:rPr>
          <w:highlight w:val="none"/>
        </w:rPr>
      </w:r>
      <w:r>
        <w:rPr>
          <w:highlight w:val="none"/>
        </w:rPr>
        <w:t xml:space="preserve">T</w:t>
      </w:r>
      <w:r>
        <w:rPr>
          <w:highlight w:val="none"/>
        </w:rPr>
        <w:t xml:space="preserve">hese failure modes explain why single-score reporting is insufficient for clinical MedVQA</w:t>
      </w:r>
      <w:r>
        <w:rPr>
          <w:highlight w:val="none"/>
          <w:lang w:val="en-US"/>
        </w:rPr>
        <w:t xml:space="preserve">[56]</w:t>
      </w:r>
      <w:r>
        <w:rPr>
          <w:highlight w:val="none"/>
        </w:rPr>
        <w:t xml:space="preserve">. Some failures are data-driven (long-tail imbalance), others are format-driven (unknown/OOV and mapping fragility), and others are clinically risk-driven (threshold f</w:t>
      </w:r>
      <w:r>
        <w:rPr>
          <w:highlight w:val="none"/>
        </w:rPr>
        <w:t xml:space="preserve">ailures and ordinal inconsistency). This taxonomy directly motivates the risk-control and evidence-governance design in later chapters.</w:t>
      </w:r>
      <w:r>
        <w:rPr>
          <w:highlight w:val="none"/>
        </w:rPr>
      </w:r>
      <w:r>
        <w:rPr>
          <w:highlight w:val="none"/>
        </w:rPr>
      </w:r>
    </w:p>
    <w:p w14:paraId="382A7E85">
      <w:pPr>
        <w:pStyle w:val="1128"/>
        <w:suppressLineNumbers w:val="false"/>
        <w:pBdr/>
        <w:spacing w:line="300" w:lineRule="auto"/>
        <w:ind w:firstLine="0"/>
        <w:rPr>
          <w:highlight w:val="none"/>
        </w:rPr>
      </w:pPr>
      <w:r>
        <w:rPr>
          <w:highlight w:val="none"/>
        </w:rPr>
      </w:r>
      <w:r>
        <mc:AlternateContent>
          <mc:Choice Requires="wpg">
            <w:drawing>
              <wp:inline xmlns:wp="http://schemas.openxmlformats.org/drawingml/2006/wordprocessingDrawing" distT="0" distB="0" distL="0" distR="0">
                <wp:extent cx="5486400" cy="3123027"/>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04607" name=""/>
                        <pic:cNvPicPr>
                          <a:picLocks noChangeAspect="1"/>
                        </pic:cNvPicPr>
                        <pic:nvPr/>
                      </pic:nvPicPr>
                      <pic:blipFill rotWithShape="1">
                        <a:blip r:embed="rId21"/>
                        <a:stretch/>
                      </pic:blipFill>
                      <pic:spPr bwMode="auto">
                        <a:xfrm>
                          <a:off x="0" y="0"/>
                          <a:ext cx="5486399" cy="312302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32.00pt;height:245.91pt;mso-wrap-distance-left:0.00pt;mso-wrap-distance-top:0.00pt;mso-wrap-distance-right:0.00pt;mso-wrap-distance-bottom:0.00pt;z-index:1;" stroked="false">
                <v:imagedata r:id="rId21" o:title=""/>
                <o:lock v:ext="edit" rotation="t"/>
              </v:shape>
            </w:pict>
          </mc:Fallback>
        </mc:AlternateContent>
      </w:r>
      <w:r>
        <w:rPr>
          <w:highlight w:val="none"/>
        </w:rPr>
      </w:r>
      <w:r>
        <w:rPr>
          <w:highlight w:val="none"/>
        </w:rPr>
      </w:r>
    </w:p>
    <w:p w14:paraId="227802FD">
      <w:pPr>
        <w:pStyle w:val="1128"/>
        <w:suppressLineNumbers w:val="false"/>
        <w:pBdr/>
        <w:spacing w:line="300" w:lineRule="auto"/>
        <w:ind w:firstLine="0"/>
        <w:rPr>
          <w:bCs/>
          <w:i/>
        </w:rPr>
      </w:pPr>
      <w:r>
        <w:rPr>
          <w:highlight w:val="none"/>
        </w:rPr>
        <w:tab/>
        <w:tab/>
        <w:tab/>
        <w:tab/>
      </w:r>
      <w:r>
        <w:rPr>
          <w:i/>
          <w:iCs/>
          <w:highlight w:val="none"/>
        </w:rPr>
        <w:t xml:space="preserve">Figure 3.</w:t>
      </w:r>
      <w:r>
        <w:rPr>
          <w:i/>
          <w:iCs/>
          <w:highlight w:val="none"/>
          <w:lang w:val="en-US"/>
        </w:rPr>
        <w:t xml:space="preserve">8</w:t>
      </w:r>
      <w:r>
        <w:rPr>
          <w:i/>
          <w:iCs/>
          <w:highlight w:val="none"/>
        </w:rPr>
        <w:t xml:space="preserve"> — Failure taxonomy tree</w:t>
      </w:r>
      <w:r>
        <w:rPr>
          <w:bCs/>
          <w:i/>
        </w:rPr>
      </w:r>
      <w:r>
        <w:rPr>
          <w:bCs/>
          <w:i/>
        </w:rPr>
      </w:r>
    </w:p>
    <w:p w14:paraId="3059B75B">
      <w:pPr>
        <w:pStyle w:val="1128"/>
        <w:suppressLineNumbers w:val="false"/>
        <w:pBdr/>
        <w:spacing w:line="300" w:lineRule="auto"/>
        <w:ind w:firstLine="0"/>
        <w:rPr>
          <w:b/>
          <w:bCs/>
        </w:rPr>
      </w:pPr>
      <w:r>
        <w:rPr>
          <w:b/>
          <w:bCs/>
        </w:rPr>
        <w:t xml:space="preserve">3.5.3 Severity Robustness (RQ4)</w:t>
      </w:r>
      <w:r>
        <w:rPr>
          <w:b/>
          <w:bCs/>
        </w:rPr>
      </w:r>
      <w:r>
        <w:rPr>
          <w:b/>
          <w:bCs/>
        </w:rPr>
      </w:r>
    </w:p>
    <w:p w14:paraId="057E441A">
      <w:pPr>
        <w:pStyle w:val="1128"/>
        <w:suppressLineNumbers w:val="false"/>
        <w:pBdr/>
        <w:spacing w:line="300" w:lineRule="auto"/>
        <w:ind w:firstLine="0"/>
        <w:rPr/>
      </w:pPr>
      <w:r>
        <w:t xml:space="preserve">T</w:t>
      </w:r>
      <w:r>
        <w:t xml:space="preserve">he LIMUC results provide the strongest empirical support for RQ4. The key conclusion is that severity-oriented MedVQA must be evaluated using ordinal and threshold-aligned metrics, not accuracy alone. Under the persisted evaluation configuration, tuned mod</w:t>
      </w:r>
      <w:r>
        <w:t xml:space="preserve">els achieve stronger ordinal agreement (QWK) and more stable remission-threshold behavior than the zero-shot baseline, while per-class results show that underrepresented moderate-to-severe classes remain the principal bottleneck.</w:t>
      </w:r>
      <w:r/>
    </w:p>
    <w:p w14:paraId="064D9BAD">
      <w:pPr>
        <w:pStyle w:val="1128"/>
        <w:suppressLineNumbers w:val="false"/>
        <w:pBdr/>
        <w:spacing w:line="300" w:lineRule="auto"/>
        <w:ind w:firstLine="0"/>
        <w:rPr>
          <w:b/>
          <w:bCs/>
        </w:rPr>
      </w:pPr>
      <w:r>
        <w:rPr>
          <w:b/>
          <w:bCs/>
        </w:rPr>
        <w:t xml:space="preserve">3.5.4 Statistical Stability</w:t>
      </w:r>
      <w:r>
        <w:rPr>
          <w:b/>
          <w:bCs/>
        </w:rPr>
      </w:r>
      <w:r>
        <w:rPr>
          <w:b/>
          <w:bCs/>
        </w:rPr>
      </w:r>
    </w:p>
    <w:p w14:paraId="2C28295E">
      <w:pPr>
        <w:pStyle w:val="1128"/>
        <w:suppressLineNumbers w:val="false"/>
        <w:pBdr/>
        <w:spacing w:line="300" w:lineRule="auto"/>
        <w:ind w:firstLine="0"/>
        <w:rPr/>
      </w:pPr>
      <w:r>
        <w:t xml:space="preserve">W</w:t>
      </w:r>
      <w:r>
        <w:t xml:space="preserve">here paired predictions and McNemar diagnostics are persisted and reported (e.g., within specific dataset blocks that include n01/n10/p-values), the evidence indicates that some large observed differences are not plausibly explained by noise-level fluctuat</w:t>
      </w:r>
      <w:r>
        <w:t xml:space="preserve">ions. For dataset blocks where paired tests are not included in the chapter tables, differences are interpreted conservatively as descriptive observed gaps rather than formal significance claims.</w:t>
      </w:r>
      <w:r/>
    </w:p>
    <w:p w14:paraId="0DDA4B41">
      <w:pPr>
        <w:pStyle w:val="1128"/>
        <w:suppressLineNumbers w:val="false"/>
        <w:pBdr/>
        <w:spacing w:line="300" w:lineRule="auto"/>
        <w:ind w:firstLine="0"/>
        <w:rPr>
          <w:b/>
          <w:bCs/>
          <w:highlight w:val="none"/>
        </w:rPr>
      </w:pPr>
      <w:r>
        <w:rPr>
          <w:b/>
          <w:bCs/>
        </w:rPr>
      </w:r>
      <w:r>
        <w:rPr>
          <w:b/>
          <w:bCs/>
        </w:rPr>
        <w:t xml:space="preserve">3.5.5 Threats to Validity and Boundaries</w:t>
      </w:r>
      <w:r>
        <w:rPr>
          <w:b/>
          <w:bCs/>
          <w:highlight w:val="none"/>
        </w:rPr>
      </w:r>
      <w:r>
        <w:rPr>
          <w:b/>
          <w:bCs/>
          <w:highlight w:val="none"/>
        </w:rPr>
      </w:r>
    </w:p>
    <w:tbl>
      <w:tblPr>
        <w:tblStyle w:val="1185"/>
        <w:tblW w:w="0" w:type="auto"/>
        <w:tblBorders/>
        <w:tblLook w:val="04A0" w:firstRow="1" w:lastRow="0" w:firstColumn="1" w:lastColumn="0" w:noHBand="0" w:noVBand="1"/>
      </w:tblPr>
      <w:tblGrid>
        <w:gridCol w:w="2880"/>
        <w:gridCol w:w="2880"/>
        <w:gridCol w:w="2880"/>
      </w:tblGrid>
      <w:tr>
        <w:trPr/>
        <w:tc>
          <w:tcPr>
            <w:tcBorders/>
            <w:tcW w:w="2880" w:type="dxa"/>
            <w:textDirection w:val="lrTb"/>
            <w:noWrap w:val="false"/>
          </w:tcPr>
          <w:p w14:paraId="0EB54C13">
            <w:pPr>
              <w:pBdr/>
              <w:spacing w:after="0" w:before="0" w:line="240" w:lineRule="auto"/>
              <w:ind/>
              <w:rPr>
                <w:rFonts w:ascii="Arial" w:hAnsi="Arial" w:cs="Arial"/>
                <w:color w:val="000000" w:themeColor="text1"/>
                <w:sz w:val="22"/>
                <w:szCs w:val="22"/>
              </w:rPr>
            </w:pPr>
            <w:r>
              <w:rPr>
                <w:rFonts w:ascii="Arial" w:hAnsi="Arial" w:eastAsia="Arial" w:cs="Arial"/>
                <w:b/>
                <w:color w:val="000000" w:themeColor="text1"/>
                <w:sz w:val="22"/>
                <w:szCs w:val="22"/>
              </w:rPr>
              <w:t xml:space="preserve">Threat</w:t>
            </w:r>
            <w:r>
              <w:rPr>
                <w:rFonts w:ascii="Arial" w:hAnsi="Arial" w:cs="Arial"/>
                <w:color w:val="000000" w:themeColor="text1"/>
                <w:sz w:val="22"/>
                <w:szCs w:val="22"/>
              </w:rPr>
            </w:r>
            <w:r>
              <w:rPr>
                <w:rFonts w:ascii="Arial" w:hAnsi="Arial" w:cs="Arial"/>
                <w:color w:val="000000" w:themeColor="text1"/>
                <w:sz w:val="22"/>
                <w:szCs w:val="22"/>
              </w:rPr>
            </w:r>
          </w:p>
        </w:tc>
        <w:tc>
          <w:tcPr>
            <w:tcBorders/>
            <w:tcW w:w="2880" w:type="dxa"/>
            <w:textDirection w:val="lrTb"/>
            <w:noWrap w:val="false"/>
          </w:tcPr>
          <w:p w14:paraId="1044511D">
            <w:pPr>
              <w:pBdr/>
              <w:spacing w:after="0" w:before="0" w:line="240" w:lineRule="auto"/>
              <w:ind/>
              <w:rPr>
                <w:rFonts w:ascii="Arial" w:hAnsi="Arial" w:cs="Arial"/>
                <w:color w:val="000000" w:themeColor="text1"/>
                <w:sz w:val="22"/>
                <w:szCs w:val="22"/>
              </w:rPr>
            </w:pPr>
            <w:r>
              <w:rPr>
                <w:rFonts w:ascii="Arial" w:hAnsi="Arial" w:eastAsia="Arial" w:cs="Arial"/>
                <w:b/>
                <w:color w:val="000000" w:themeColor="text1"/>
                <w:sz w:val="22"/>
                <w:szCs w:val="22"/>
              </w:rPr>
              <w:t xml:space="preserve">Potential bias</w:t>
            </w:r>
            <w:r>
              <w:rPr>
                <w:rFonts w:ascii="Arial" w:hAnsi="Arial" w:cs="Arial"/>
                <w:color w:val="000000" w:themeColor="text1"/>
                <w:sz w:val="22"/>
                <w:szCs w:val="22"/>
              </w:rPr>
            </w:r>
            <w:r>
              <w:rPr>
                <w:rFonts w:ascii="Arial" w:hAnsi="Arial" w:cs="Arial"/>
                <w:color w:val="000000" w:themeColor="text1"/>
                <w:sz w:val="22"/>
                <w:szCs w:val="22"/>
              </w:rPr>
            </w:r>
          </w:p>
        </w:tc>
        <w:tc>
          <w:tcPr>
            <w:tcBorders/>
            <w:tcW w:w="2880" w:type="dxa"/>
            <w:textDirection w:val="lrTb"/>
            <w:noWrap w:val="false"/>
          </w:tcPr>
          <w:p w14:paraId="047B9CD0">
            <w:pPr>
              <w:pBdr/>
              <w:spacing w:after="0" w:before="0" w:line="240" w:lineRule="auto"/>
              <w:ind/>
              <w:rPr>
                <w:rFonts w:ascii="Arial" w:hAnsi="Arial" w:cs="Arial"/>
                <w:color w:val="000000" w:themeColor="text1"/>
                <w:sz w:val="22"/>
                <w:szCs w:val="22"/>
              </w:rPr>
            </w:pPr>
            <w:r>
              <w:rPr>
                <w:rFonts w:ascii="Arial" w:hAnsi="Arial" w:eastAsia="Arial" w:cs="Arial"/>
                <w:b/>
                <w:color w:val="000000" w:themeColor="text1"/>
                <w:sz w:val="22"/>
                <w:szCs w:val="22"/>
              </w:rPr>
              <w:t xml:space="preserve">Mitigation applied</w:t>
            </w:r>
            <w:r>
              <w:rPr>
                <w:rFonts w:ascii="Arial" w:hAnsi="Arial" w:cs="Arial"/>
                <w:color w:val="000000" w:themeColor="text1"/>
                <w:sz w:val="22"/>
                <w:szCs w:val="22"/>
              </w:rPr>
            </w:r>
            <w:r>
              <w:rPr>
                <w:rFonts w:ascii="Arial" w:hAnsi="Arial" w:cs="Arial"/>
                <w:color w:val="000000" w:themeColor="text1"/>
                <w:sz w:val="22"/>
                <w:szCs w:val="22"/>
              </w:rPr>
            </w:r>
          </w:p>
        </w:tc>
      </w:tr>
      <w:tr>
        <w:trPr/>
        <w:tc>
          <w:tcPr>
            <w:tcBorders/>
            <w:tcW w:w="2880" w:type="dxa"/>
            <w:textDirection w:val="lrTb"/>
            <w:noWrap w:val="false"/>
          </w:tcPr>
          <w:p w14:paraId="22C3742F">
            <w:pPr>
              <w:pBdr/>
              <w:spacing w:after="0" w:before="0" w:line="240" w:lineRule="auto"/>
              <w:ind/>
              <w:rPr>
                <w:rFonts w:ascii="Arial" w:hAnsi="Arial" w:cs="Arial"/>
                <w:color w:val="000000" w:themeColor="text1"/>
                <w:sz w:val="22"/>
                <w:szCs w:val="22"/>
              </w:rPr>
            </w:pPr>
            <w:r>
              <w:rPr>
                <w:rFonts w:ascii="Arial" w:hAnsi="Arial" w:eastAsia="Arial" w:cs="Arial"/>
                <w:color w:val="000000" w:themeColor="text1"/>
                <w:sz w:val="22"/>
                <w:szCs w:val="22"/>
              </w:rPr>
              <w:t xml:space="preserve">Cross-dataset task heterogeneity</w:t>
            </w:r>
            <w:r>
              <w:rPr>
                <w:rFonts w:ascii="Arial" w:hAnsi="Arial" w:cs="Arial"/>
                <w:color w:val="000000" w:themeColor="text1"/>
                <w:sz w:val="22"/>
                <w:szCs w:val="22"/>
              </w:rPr>
            </w:r>
            <w:r>
              <w:rPr>
                <w:rFonts w:ascii="Arial" w:hAnsi="Arial" w:cs="Arial"/>
                <w:color w:val="000000" w:themeColor="text1"/>
                <w:sz w:val="22"/>
                <w:szCs w:val="22"/>
              </w:rPr>
            </w:r>
          </w:p>
        </w:tc>
        <w:tc>
          <w:tcPr>
            <w:tcBorders/>
            <w:tcW w:w="2880" w:type="dxa"/>
            <w:textDirection w:val="lrTb"/>
            <w:noWrap w:val="false"/>
          </w:tcPr>
          <w:p w14:paraId="6DF7A757">
            <w:pPr>
              <w:pBdr/>
              <w:spacing w:after="0" w:before="0" w:line="240" w:lineRule="auto"/>
              <w:ind/>
              <w:rPr>
                <w:rFonts w:ascii="Arial" w:hAnsi="Arial" w:cs="Arial"/>
                <w:color w:val="000000" w:themeColor="text1"/>
                <w:sz w:val="22"/>
                <w:szCs w:val="22"/>
              </w:rPr>
            </w:pPr>
            <w:r>
              <w:rPr>
                <w:rFonts w:ascii="Arial" w:hAnsi="Arial" w:eastAsia="Arial" w:cs="Arial"/>
                <w:color w:val="000000" w:themeColor="text1"/>
                <w:sz w:val="22"/>
                <w:szCs w:val="22"/>
              </w:rPr>
              <w:t xml:space="preserve">direct metric comparison may be invalid</w:t>
            </w:r>
            <w:r>
              <w:rPr>
                <w:rFonts w:ascii="Arial" w:hAnsi="Arial" w:cs="Arial"/>
                <w:color w:val="000000" w:themeColor="text1"/>
                <w:sz w:val="22"/>
                <w:szCs w:val="22"/>
              </w:rPr>
            </w:r>
            <w:r>
              <w:rPr>
                <w:rFonts w:ascii="Arial" w:hAnsi="Arial" w:cs="Arial"/>
                <w:color w:val="000000" w:themeColor="text1"/>
                <w:sz w:val="22"/>
                <w:szCs w:val="22"/>
              </w:rPr>
            </w:r>
          </w:p>
        </w:tc>
        <w:tc>
          <w:tcPr>
            <w:tcBorders/>
            <w:tcW w:w="2880" w:type="dxa"/>
            <w:textDirection w:val="lrTb"/>
            <w:noWrap w:val="false"/>
          </w:tcPr>
          <w:p w14:paraId="3A390043">
            <w:pPr>
              <w:pBdr/>
              <w:spacing w:after="0" w:before="0" w:line="240" w:lineRule="auto"/>
              <w:ind/>
              <w:rPr>
                <w:rFonts w:ascii="Arial" w:hAnsi="Arial" w:cs="Arial"/>
                <w:color w:val="000000" w:themeColor="text1"/>
                <w:sz w:val="22"/>
                <w:szCs w:val="22"/>
              </w:rPr>
            </w:pPr>
            <w:r>
              <w:rPr>
                <w:rFonts w:ascii="Arial" w:hAnsi="Arial" w:eastAsia="Arial" w:cs="Arial"/>
                <w:color w:val="000000" w:themeColor="text1"/>
                <w:sz w:val="22"/>
                <w:szCs w:val="22"/>
              </w:rPr>
              <w:t xml:space="preserve">comparisons are primarily within dataset/task</w:t>
            </w:r>
            <w:r>
              <w:rPr>
                <w:rFonts w:ascii="Arial" w:hAnsi="Arial" w:cs="Arial"/>
                <w:color w:val="000000" w:themeColor="text1"/>
                <w:sz w:val="22"/>
                <w:szCs w:val="22"/>
              </w:rPr>
            </w:r>
            <w:r>
              <w:rPr>
                <w:rFonts w:ascii="Arial" w:hAnsi="Arial" w:cs="Arial"/>
                <w:color w:val="000000" w:themeColor="text1"/>
                <w:sz w:val="22"/>
                <w:szCs w:val="22"/>
              </w:rPr>
            </w:r>
          </w:p>
        </w:tc>
      </w:tr>
      <w:tr>
        <w:trPr/>
        <w:tc>
          <w:tcPr>
            <w:tcBorders/>
            <w:tcW w:w="2880" w:type="dxa"/>
            <w:textDirection w:val="lrTb"/>
            <w:noWrap w:val="false"/>
          </w:tcPr>
          <w:p w14:paraId="2185BC5D">
            <w:pPr>
              <w:pBdr/>
              <w:spacing w:after="0" w:before="0" w:line="240" w:lineRule="auto"/>
              <w:ind/>
              <w:rPr>
                <w:rFonts w:ascii="Arial" w:hAnsi="Arial" w:cs="Arial"/>
                <w:color w:val="000000" w:themeColor="text1"/>
                <w:sz w:val="22"/>
                <w:szCs w:val="22"/>
              </w:rPr>
            </w:pPr>
            <w:r>
              <w:rPr>
                <w:rFonts w:ascii="Arial" w:hAnsi="Arial" w:eastAsia="Arial" w:cs="Arial"/>
                <w:color w:val="000000" w:themeColor="text1"/>
                <w:sz w:val="22"/>
                <w:szCs w:val="22"/>
              </w:rPr>
              <w:t xml:space="preserve">Incomplete artifact parity</w:t>
            </w:r>
            <w:r>
              <w:rPr>
                <w:rFonts w:ascii="Arial" w:hAnsi="Arial" w:cs="Arial"/>
                <w:color w:val="000000" w:themeColor="text1"/>
                <w:sz w:val="22"/>
                <w:szCs w:val="22"/>
              </w:rPr>
            </w:r>
            <w:r>
              <w:rPr>
                <w:rFonts w:ascii="Arial" w:hAnsi="Arial" w:cs="Arial"/>
                <w:color w:val="000000" w:themeColor="text1"/>
                <w:sz w:val="22"/>
                <w:szCs w:val="22"/>
              </w:rPr>
            </w:r>
          </w:p>
        </w:tc>
        <w:tc>
          <w:tcPr>
            <w:tcBorders/>
            <w:tcW w:w="2880" w:type="dxa"/>
            <w:textDirection w:val="lrTb"/>
            <w:noWrap w:val="false"/>
          </w:tcPr>
          <w:p w14:paraId="5E412A48">
            <w:pPr>
              <w:pBdr/>
              <w:spacing w:after="0" w:before="0" w:line="240" w:lineRule="auto"/>
              <w:ind/>
              <w:rPr>
                <w:rFonts w:ascii="Arial" w:hAnsi="Arial" w:cs="Arial"/>
                <w:color w:val="000000" w:themeColor="text1"/>
                <w:sz w:val="22"/>
                <w:szCs w:val="22"/>
              </w:rPr>
            </w:pPr>
            <w:r>
              <w:rPr>
                <w:rFonts w:ascii="Arial" w:hAnsi="Arial" w:eastAsia="Arial" w:cs="Arial"/>
                <w:color w:val="000000" w:themeColor="text1"/>
                <w:sz w:val="22"/>
                <w:szCs w:val="22"/>
              </w:rPr>
              <w:t xml:space="preserve">some runs have training logs but missing validation preds</w:t>
            </w:r>
            <w:r>
              <w:rPr>
                <w:rFonts w:ascii="Arial" w:hAnsi="Arial" w:cs="Arial"/>
                <w:color w:val="000000" w:themeColor="text1"/>
                <w:sz w:val="22"/>
                <w:szCs w:val="22"/>
              </w:rPr>
            </w:r>
            <w:r>
              <w:rPr>
                <w:rFonts w:ascii="Arial" w:hAnsi="Arial" w:cs="Arial"/>
                <w:color w:val="000000" w:themeColor="text1"/>
                <w:sz w:val="22"/>
                <w:szCs w:val="22"/>
              </w:rPr>
            </w:r>
          </w:p>
        </w:tc>
        <w:tc>
          <w:tcPr>
            <w:tcBorders/>
            <w:tcW w:w="2880" w:type="dxa"/>
            <w:textDirection w:val="lrTb"/>
            <w:noWrap w:val="false"/>
          </w:tcPr>
          <w:p w14:paraId="384B7EFF">
            <w:pPr>
              <w:pBdr/>
              <w:spacing w:after="0" w:before="0" w:line="240" w:lineRule="auto"/>
              <w:ind/>
              <w:rPr>
                <w:rFonts w:ascii="Arial" w:hAnsi="Arial" w:cs="Arial"/>
                <w:color w:val="000000" w:themeColor="text1"/>
                <w:sz w:val="22"/>
                <w:szCs w:val="22"/>
              </w:rPr>
            </w:pPr>
            <w:r>
              <w:rPr>
                <w:rFonts w:ascii="Arial" w:hAnsi="Arial" w:eastAsia="Arial" w:cs="Arial"/>
                <w:color w:val="000000" w:themeColor="text1"/>
                <w:sz w:val="22"/>
                <w:szCs w:val="22"/>
              </w:rPr>
              <w:t xml:space="preserve">explicitly marked as unavailable; no fabricated comparisons</w:t>
            </w:r>
            <w:r>
              <w:rPr>
                <w:rFonts w:ascii="Arial" w:hAnsi="Arial" w:cs="Arial"/>
                <w:color w:val="000000" w:themeColor="text1"/>
                <w:sz w:val="22"/>
                <w:szCs w:val="22"/>
              </w:rPr>
            </w:r>
            <w:r>
              <w:rPr>
                <w:rFonts w:ascii="Arial" w:hAnsi="Arial" w:cs="Arial"/>
                <w:color w:val="000000" w:themeColor="text1"/>
                <w:sz w:val="22"/>
                <w:szCs w:val="22"/>
              </w:rPr>
            </w:r>
          </w:p>
        </w:tc>
      </w:tr>
      <w:tr>
        <w:trPr/>
        <w:tc>
          <w:tcPr>
            <w:tcBorders/>
            <w:tcW w:w="2880" w:type="dxa"/>
            <w:textDirection w:val="lrTb"/>
            <w:noWrap w:val="false"/>
          </w:tcPr>
          <w:p w14:paraId="39E94A55">
            <w:pPr>
              <w:pBdr/>
              <w:spacing w:after="0" w:before="0" w:line="240" w:lineRule="auto"/>
              <w:ind/>
              <w:rPr>
                <w:rFonts w:ascii="Arial" w:hAnsi="Arial" w:cs="Arial"/>
                <w:color w:val="000000" w:themeColor="text1"/>
                <w:sz w:val="22"/>
                <w:szCs w:val="22"/>
              </w:rPr>
            </w:pPr>
            <w:r>
              <w:rPr>
                <w:rFonts w:ascii="Arial" w:hAnsi="Arial" w:eastAsia="Arial" w:cs="Arial"/>
                <w:color w:val="000000" w:themeColor="text1"/>
                <w:sz w:val="22"/>
                <w:szCs w:val="22"/>
              </w:rPr>
              <w:t xml:space="preserve">Label projection inflation risk</w:t>
            </w:r>
            <w:r>
              <w:rPr>
                <w:rFonts w:ascii="Arial" w:hAnsi="Arial" w:cs="Arial"/>
                <w:color w:val="000000" w:themeColor="text1"/>
                <w:sz w:val="22"/>
                <w:szCs w:val="22"/>
              </w:rPr>
            </w:r>
            <w:r>
              <w:rPr>
                <w:rFonts w:ascii="Arial" w:hAnsi="Arial" w:cs="Arial"/>
                <w:color w:val="000000" w:themeColor="text1"/>
                <w:sz w:val="22"/>
                <w:szCs w:val="22"/>
              </w:rPr>
            </w:r>
          </w:p>
        </w:tc>
        <w:tc>
          <w:tcPr>
            <w:tcBorders/>
            <w:tcW w:w="2880" w:type="dxa"/>
            <w:textDirection w:val="lrTb"/>
            <w:noWrap w:val="false"/>
          </w:tcPr>
          <w:p w14:paraId="52EA2D94">
            <w:pPr>
              <w:pBdr/>
              <w:spacing w:after="0" w:before="0" w:line="240" w:lineRule="auto"/>
              <w:ind/>
              <w:rPr>
                <w:rFonts w:ascii="Arial" w:hAnsi="Arial" w:cs="Arial"/>
                <w:color w:val="000000" w:themeColor="text1"/>
                <w:sz w:val="22"/>
                <w:szCs w:val="22"/>
              </w:rPr>
            </w:pPr>
            <w:r>
              <w:rPr>
                <w:rFonts w:ascii="Arial" w:hAnsi="Arial" w:eastAsia="Arial" w:cs="Arial"/>
                <w:color w:val="000000" w:themeColor="text1"/>
                <w:sz w:val="22"/>
                <w:szCs w:val="22"/>
              </w:rPr>
              <w:t xml:space="preserve">projected text may match labels lexically without semantic correctness</w:t>
            </w:r>
            <w:r>
              <w:rPr>
                <w:rFonts w:ascii="Arial" w:hAnsi="Arial" w:cs="Arial"/>
                <w:color w:val="000000" w:themeColor="text1"/>
                <w:sz w:val="22"/>
                <w:szCs w:val="22"/>
              </w:rPr>
            </w:r>
            <w:r>
              <w:rPr>
                <w:rFonts w:ascii="Arial" w:hAnsi="Arial" w:cs="Arial"/>
                <w:color w:val="000000" w:themeColor="text1"/>
                <w:sz w:val="22"/>
                <w:szCs w:val="22"/>
              </w:rPr>
            </w:r>
          </w:p>
        </w:tc>
        <w:tc>
          <w:tcPr>
            <w:tcBorders/>
            <w:tcW w:w="2880" w:type="dxa"/>
            <w:textDirection w:val="lrTb"/>
            <w:noWrap w:val="false"/>
          </w:tcPr>
          <w:p w14:paraId="1CF09664">
            <w:pPr>
              <w:pBdr/>
              <w:spacing w:after="0" w:before="0" w:line="240" w:lineRule="auto"/>
              <w:ind/>
              <w:rPr>
                <w:rFonts w:ascii="Arial" w:hAnsi="Arial" w:cs="Arial"/>
                <w:color w:val="000000" w:themeColor="text1"/>
                <w:sz w:val="22"/>
                <w:szCs w:val="22"/>
              </w:rPr>
            </w:pPr>
            <w:r>
              <w:rPr>
                <w:rFonts w:ascii="Arial" w:hAnsi="Arial" w:eastAsia="Arial" w:cs="Arial"/>
                <w:color w:val="000000" w:themeColor="text1"/>
                <w:sz w:val="22"/>
                <w:szCs w:val="22"/>
              </w:rPr>
              <w:t xml:space="preserve">projected scores reported as diagnostic, not final clinical score</w:t>
            </w:r>
            <w:r>
              <w:rPr>
                <w:rFonts w:ascii="Arial" w:hAnsi="Arial" w:cs="Arial"/>
                <w:color w:val="000000" w:themeColor="text1"/>
                <w:sz w:val="22"/>
                <w:szCs w:val="22"/>
              </w:rPr>
            </w:r>
            <w:r>
              <w:rPr>
                <w:rFonts w:ascii="Arial" w:hAnsi="Arial" w:cs="Arial"/>
                <w:color w:val="000000" w:themeColor="text1"/>
                <w:sz w:val="22"/>
                <w:szCs w:val="22"/>
              </w:rPr>
            </w:r>
          </w:p>
        </w:tc>
      </w:tr>
      <w:tr>
        <w:trPr/>
        <w:tc>
          <w:tcPr>
            <w:tcBorders/>
            <w:tcW w:w="2880" w:type="dxa"/>
            <w:textDirection w:val="lrTb"/>
            <w:noWrap w:val="false"/>
          </w:tcPr>
          <w:p w14:paraId="62B0B43C">
            <w:pPr>
              <w:pBdr/>
              <w:spacing w:after="0" w:before="0" w:line="240" w:lineRule="auto"/>
              <w:ind/>
              <w:rPr>
                <w:rFonts w:ascii="Arial" w:hAnsi="Arial" w:cs="Arial"/>
                <w:color w:val="000000" w:themeColor="text1"/>
                <w:sz w:val="22"/>
                <w:szCs w:val="22"/>
              </w:rPr>
            </w:pPr>
            <w:r>
              <w:rPr>
                <w:rFonts w:ascii="Arial" w:hAnsi="Arial" w:eastAsia="Arial" w:cs="Arial"/>
                <w:color w:val="000000" w:themeColor="text1"/>
                <w:sz w:val="22"/>
                <w:szCs w:val="22"/>
              </w:rPr>
              <w:t xml:space="preserve">Scenario artifact incompleteness</w:t>
            </w:r>
            <w:r>
              <w:rPr>
                <w:rFonts w:ascii="Arial" w:hAnsi="Arial" w:cs="Arial"/>
                <w:color w:val="000000" w:themeColor="text1"/>
                <w:sz w:val="22"/>
                <w:szCs w:val="22"/>
              </w:rPr>
            </w:r>
            <w:r>
              <w:rPr>
                <w:rFonts w:ascii="Arial" w:hAnsi="Arial" w:cs="Arial"/>
                <w:color w:val="000000" w:themeColor="text1"/>
                <w:sz w:val="22"/>
                <w:szCs w:val="22"/>
              </w:rPr>
            </w:r>
          </w:p>
        </w:tc>
        <w:tc>
          <w:tcPr>
            <w:tcBorders/>
            <w:tcW w:w="2880" w:type="dxa"/>
            <w:textDirection w:val="lrTb"/>
            <w:noWrap w:val="false"/>
          </w:tcPr>
          <w:p w14:paraId="7DE54A0B">
            <w:pPr>
              <w:pBdr/>
              <w:spacing w:after="0" w:before="0" w:line="240" w:lineRule="auto"/>
              <w:ind/>
              <w:rPr>
                <w:rFonts w:ascii="Arial" w:hAnsi="Arial" w:cs="Arial"/>
                <w:color w:val="000000" w:themeColor="text1"/>
                <w:sz w:val="22"/>
                <w:szCs w:val="22"/>
              </w:rPr>
            </w:pPr>
            <w:r>
              <w:rPr>
                <w:rFonts w:ascii="Arial" w:hAnsi="Arial" w:eastAsia="Arial" w:cs="Arial"/>
                <w:color w:val="000000" w:themeColor="text1"/>
                <w:sz w:val="22"/>
                <w:szCs w:val="22"/>
              </w:rPr>
              <w:t xml:space="preserve">no persisted reformatted scenario predictions/metrics</w:t>
            </w:r>
            <w:r>
              <w:rPr>
                <w:rFonts w:ascii="Arial" w:hAnsi="Arial" w:cs="Arial"/>
                <w:color w:val="000000" w:themeColor="text1"/>
                <w:sz w:val="22"/>
                <w:szCs w:val="22"/>
              </w:rPr>
            </w:r>
            <w:r>
              <w:rPr>
                <w:rFonts w:ascii="Arial" w:hAnsi="Arial" w:cs="Arial"/>
                <w:color w:val="000000" w:themeColor="text1"/>
                <w:sz w:val="22"/>
                <w:szCs w:val="22"/>
              </w:rPr>
            </w:r>
          </w:p>
        </w:tc>
        <w:tc>
          <w:tcPr>
            <w:tcBorders/>
            <w:tcW w:w="2880" w:type="dxa"/>
            <w:textDirection w:val="lrTb"/>
            <w:noWrap w:val="false"/>
          </w:tcPr>
          <w:p w14:paraId="5B607C22">
            <w:pPr>
              <w:pBdr/>
              <w:spacing w:after="0" w:before="0" w:line="240" w:lineRule="auto"/>
              <w:ind/>
              <w:rPr>
                <w:rFonts w:ascii="Arial" w:hAnsi="Arial" w:cs="Arial"/>
                <w:color w:val="000000" w:themeColor="text1"/>
                <w:sz w:val="22"/>
                <w:szCs w:val="22"/>
              </w:rPr>
            </w:pPr>
            <w:r>
              <w:rPr>
                <w:rFonts w:ascii="Arial" w:hAnsi="Arial" w:eastAsia="Arial" w:cs="Arial"/>
                <w:color w:val="000000" w:themeColor="text1"/>
                <w:sz w:val="22"/>
                <w:szCs w:val="22"/>
              </w:rPr>
              <w:t xml:space="preserve">scenario claims removed from quantitative synthesis</w:t>
            </w:r>
            <w:r>
              <w:rPr>
                <w:rFonts w:ascii="Arial" w:hAnsi="Arial" w:cs="Arial"/>
                <w:color w:val="000000" w:themeColor="text1"/>
                <w:sz w:val="22"/>
                <w:szCs w:val="22"/>
              </w:rPr>
            </w:r>
            <w:r>
              <w:rPr>
                <w:rFonts w:ascii="Arial" w:hAnsi="Arial" w:cs="Arial"/>
                <w:color w:val="000000" w:themeColor="text1"/>
                <w:sz w:val="22"/>
                <w:szCs w:val="22"/>
              </w:rPr>
            </w:r>
          </w:p>
        </w:tc>
      </w:tr>
      <w:tr>
        <w:trPr/>
        <w:tc>
          <w:tcPr>
            <w:tcBorders/>
            <w:tcW w:w="2880" w:type="dxa"/>
            <w:textDirection w:val="lrTb"/>
            <w:noWrap w:val="false"/>
          </w:tcPr>
          <w:p w14:paraId="4FEDC61D">
            <w:pPr>
              <w:pBdr/>
              <w:spacing w:after="0" w:before="0" w:line="240" w:lineRule="auto"/>
              <w:ind/>
              <w:rPr>
                <w:rFonts w:ascii="Arial" w:hAnsi="Arial" w:cs="Arial"/>
                <w:color w:val="000000" w:themeColor="text1"/>
                <w:sz w:val="22"/>
                <w:szCs w:val="22"/>
              </w:rPr>
            </w:pPr>
            <w:r>
              <w:rPr>
                <w:rFonts w:ascii="Arial" w:hAnsi="Arial" w:eastAsia="Arial" w:cs="Arial"/>
                <w:color w:val="000000" w:themeColor="text1"/>
                <w:sz w:val="22"/>
                <w:szCs w:val="22"/>
              </w:rPr>
              <w:t xml:space="preserve">Legacy vs reformatted pipeline differences</w:t>
            </w:r>
            <w:r>
              <w:rPr>
                <w:rFonts w:ascii="Arial" w:hAnsi="Arial" w:cs="Arial"/>
                <w:color w:val="000000" w:themeColor="text1"/>
                <w:sz w:val="22"/>
                <w:szCs w:val="22"/>
              </w:rPr>
            </w:r>
            <w:r>
              <w:rPr>
                <w:rFonts w:ascii="Arial" w:hAnsi="Arial" w:cs="Arial"/>
                <w:color w:val="000000" w:themeColor="text1"/>
                <w:sz w:val="22"/>
                <w:szCs w:val="22"/>
              </w:rPr>
            </w:r>
          </w:p>
        </w:tc>
        <w:tc>
          <w:tcPr>
            <w:tcBorders/>
            <w:tcW w:w="2880" w:type="dxa"/>
            <w:textDirection w:val="lrTb"/>
            <w:noWrap w:val="false"/>
          </w:tcPr>
          <w:p w14:paraId="11DFB489">
            <w:pPr>
              <w:pBdr/>
              <w:spacing w:after="0" w:before="0" w:line="240" w:lineRule="auto"/>
              <w:ind/>
              <w:rPr>
                <w:rFonts w:ascii="Arial" w:hAnsi="Arial" w:cs="Arial"/>
                <w:color w:val="000000" w:themeColor="text1"/>
                <w:sz w:val="22"/>
                <w:szCs w:val="22"/>
              </w:rPr>
            </w:pPr>
            <w:r>
              <w:rPr>
                <w:rFonts w:ascii="Arial" w:hAnsi="Arial" w:eastAsia="Arial" w:cs="Arial"/>
                <w:color w:val="000000" w:themeColor="text1"/>
                <w:sz w:val="22"/>
                <w:szCs w:val="22"/>
              </w:rPr>
              <w:t xml:space="preserve">potential metric provenance mismatch</w:t>
            </w:r>
            <w:r>
              <w:rPr>
                <w:rFonts w:ascii="Arial" w:hAnsi="Arial" w:cs="Arial"/>
                <w:color w:val="000000" w:themeColor="text1"/>
                <w:sz w:val="22"/>
                <w:szCs w:val="22"/>
              </w:rPr>
            </w:r>
            <w:r>
              <w:rPr>
                <w:rFonts w:ascii="Arial" w:hAnsi="Arial" w:cs="Arial"/>
                <w:color w:val="000000" w:themeColor="text1"/>
                <w:sz w:val="22"/>
                <w:szCs w:val="22"/>
              </w:rPr>
            </w:r>
          </w:p>
        </w:tc>
        <w:tc>
          <w:tcPr>
            <w:tcBorders/>
            <w:tcW w:w="2880" w:type="dxa"/>
            <w:textDirection w:val="lrTb"/>
            <w:noWrap w:val="false"/>
          </w:tcPr>
          <w:p w14:paraId="1074B56E">
            <w:pPr>
              <w:pBdr/>
              <w:spacing w:after="0" w:before="0" w:line="240" w:lineRule="auto"/>
              <w:ind/>
              <w:rPr>
                <w:rFonts w:ascii="Arial" w:hAnsi="Arial" w:cs="Arial"/>
                <w:color w:val="000000" w:themeColor="text1"/>
                <w:sz w:val="22"/>
                <w:szCs w:val="22"/>
              </w:rPr>
            </w:pPr>
            <w:r>
              <w:rPr>
                <w:rFonts w:ascii="Arial" w:hAnsi="Arial" w:eastAsia="Arial" w:cs="Arial"/>
                <w:color w:val="000000" w:themeColor="text1"/>
                <w:sz w:val="22"/>
                <w:szCs w:val="22"/>
              </w:rPr>
              <w:t xml:space="preserve">chapter constrained to </w:t>
            </w:r>
            <w:r>
              <w:rPr>
                <w:rFonts w:ascii="Arial" w:hAnsi="Arial" w:eastAsia="Arial" w:cs="Arial"/>
                <w:color w:val="000000" w:themeColor="text1"/>
                <w:sz w:val="22"/>
                <w:szCs w:val="22"/>
                <w:highlight w:val="white"/>
              </w:rPr>
              <w:t xml:space="preserve">Prototyping_reformat</w:t>
            </w:r>
            <w:r>
              <w:rPr>
                <w:rFonts w:ascii="Arial" w:hAnsi="Arial" w:eastAsia="Arial" w:cs="Arial"/>
                <w:color w:val="000000" w:themeColor="text1"/>
                <w:sz w:val="22"/>
                <w:szCs w:val="22"/>
              </w:rPr>
              <w:t xml:space="preserve"> sources only</w:t>
            </w:r>
            <w:r>
              <w:rPr>
                <w:rFonts w:ascii="Arial" w:hAnsi="Arial" w:cs="Arial"/>
                <w:color w:val="000000" w:themeColor="text1"/>
                <w:sz w:val="22"/>
                <w:szCs w:val="22"/>
              </w:rPr>
            </w:r>
            <w:r>
              <w:rPr>
                <w:rFonts w:ascii="Arial" w:hAnsi="Arial" w:cs="Arial"/>
                <w:color w:val="000000" w:themeColor="text1"/>
                <w:sz w:val="22"/>
                <w:szCs w:val="22"/>
              </w:rPr>
            </w:r>
          </w:p>
        </w:tc>
      </w:tr>
    </w:tbl>
    <w:p w14:paraId="08D2CB17">
      <w:pPr>
        <w:pStyle w:val="1128"/>
        <w:suppressLineNumbers w:val="false"/>
        <w:pBdr/>
        <w:spacing w:line="300" w:lineRule="auto"/>
        <w:ind w:firstLine="0" w:left="0"/>
        <w:rPr>
          <w:bCs/>
          <w:i/>
          <w:highlight w:val="none"/>
          <w:lang w:val="en-US"/>
        </w:rPr>
      </w:pPr>
      <w:r>
        <w:rPr>
          <w:i/>
          <w:iCs/>
          <w:lang w:val="en-US"/>
        </w:rPr>
        <w:t xml:space="preserve">         </w:t>
        <w:tab/>
        <w:tab/>
        <w:tab/>
        <w:t xml:space="preserve">Table </w:t>
      </w:r>
      <w:r>
        <w:rPr>
          <w:i/>
          <w:iCs/>
          <w:lang w:val="en-US"/>
        </w:rPr>
        <w:t xml:space="preserve">3.22 </w:t>
      </w:r>
      <w:r>
        <w:rPr>
          <w:i/>
          <w:iCs/>
          <w:lang w:val="en-US"/>
        </w:rPr>
        <w:t xml:space="preserve">Threats to Validity and Mitigation</w:t>
      </w:r>
      <w:r>
        <w:rPr>
          <w:bCs/>
          <w:i/>
          <w:highlight w:val="none"/>
          <w:lang w:val="en-US"/>
        </w:rPr>
      </w:r>
      <w:r>
        <w:rPr>
          <w:bCs/>
          <w:i/>
          <w:highlight w:val="none"/>
          <w:lang w:val="en-US"/>
        </w:rPr>
      </w:r>
    </w:p>
    <w:p w14:paraId="29325C1F">
      <w:pPr>
        <w:pStyle w:val="1128"/>
        <w:suppressLineNumbers w:val="false"/>
        <w:pBdr/>
        <w:spacing w:line="300" w:lineRule="auto"/>
        <w:ind w:firstLine="0"/>
        <w:rPr/>
      </w:pPr>
      <w:r>
        <w:t xml:space="preserve">T</w:t>
      </w:r>
      <w:r>
        <w:t xml:space="preserve">he core methodological risk in this chapter is overinterpreting incomplete artifacts. The mitigation strategy is provenance-first: claims are tied directly to persisted tables, and diagnostics (projection/mapping) are clearly labeled as diagnostics rather </w:t>
      </w:r>
      <w:r>
        <w:t xml:space="preserve">than clinical correctness evidence.</w:t>
      </w:r>
      <w:r/>
    </w:p>
    <w:p w14:paraId="18225EE6">
      <w:pPr>
        <w:pStyle w:val="1128"/>
        <w:suppressLineNumbers w:val="false"/>
        <w:pBdr/>
        <w:spacing w:line="300" w:lineRule="auto"/>
        <w:ind w:firstLine="0"/>
        <w:rPr>
          <w:b/>
          <w:bCs/>
        </w:rPr>
      </w:pPr>
      <w:r>
        <w:rPr>
          <w:b/>
          <w:bCs/>
          <w:highlight w:val="none"/>
        </w:rPr>
      </w:r>
      <w:r>
        <w:rPr>
          <w:b/>
          <w:bCs/>
        </w:rPr>
      </w:r>
      <w:r>
        <w:rPr>
          <w:b/>
          <w:bCs/>
        </w:rPr>
      </w:r>
    </w:p>
    <w:p w14:paraId="6B7F04DC">
      <w:pPr>
        <w:pStyle w:val="1128"/>
        <w:suppressLineNumbers w:val="false"/>
        <w:pBdr/>
        <w:spacing w:line="300" w:lineRule="auto"/>
        <w:ind w:firstLine="0"/>
        <w:rPr>
          <w:b/>
          <w:bCs/>
          <w:highlight w:val="none"/>
        </w:rPr>
      </w:pPr>
      <w:r>
        <w:rPr>
          <w:b/>
          <w:bCs/>
        </w:rPr>
        <w:t xml:space="preserve">3.5.6 </w:t>
      </w:r>
      <w:r>
        <w:rPr>
          <w:b/>
          <w:bCs/>
        </w:rPr>
        <w:t xml:space="preserve">Positioning Against Broader MedVQA Findings</w:t>
      </w:r>
      <w:r>
        <w:rPr>
          <w:b/>
          <w:bCs/>
          <w:highlight w:val="none"/>
        </w:rPr>
      </w:r>
      <w:r>
        <w:rPr>
          <w:b/>
          <w:bCs/>
          <w:highlight w:val="none"/>
        </w:rPr>
      </w:r>
    </w:p>
    <w:p w14:paraId="132ABD39">
      <w:pPr>
        <w:pStyle w:val="1128"/>
        <w:suppressLineNumbers w:val="false"/>
        <w:pBdr/>
        <w:spacing w:line="300" w:lineRule="auto"/>
        <w:ind w:firstLine="0"/>
        <w:rPr/>
      </w:pPr>
      <w:r>
        <w:t xml:space="preserve">T</w:t>
      </w:r>
      <w:r>
        <w:t xml:space="preserve">he empirical patterns observed here align with the broader MedVQA observations reviewed in Chapter 2: constrained or fine-tuned pipelines remain stronger than naive zero-shot generation on structured clinical tasks, and overlap improvements in generative s</w:t>
      </w:r>
      <w:r>
        <w:t xml:space="preserve">e</w:t>
      </w:r>
      <w:r>
        <w:t xml:space="preserve">ttings do not automatically guarantee grounded or clinically faithful reasoning</w:t>
      </w:r>
      <w:r>
        <w:t xml:space="preserve">[57], [60], [61]</w:t>
      </w:r>
      <w:r>
        <w:t xml:space="preserve">. Chapter 3’s contribution is not a state-of-the-art claim; it is a reproducible reliability map for GI MedVQA under a single artifact envelope, explicitly identifying format in</w:t>
      </w:r>
      <w:r>
        <w:t xml:space="preserve">stability, mapping fragility, question-family brittleness, and threshold failures that must be addressed before clinician-facing deployment.</w:t>
      </w:r>
      <w:r/>
    </w:p>
    <w:p w14:paraId="12F7F0AC">
      <w:pPr>
        <w:pStyle w:val="1128"/>
        <w:suppressLineNumbers w:val="false"/>
        <w:pBdr/>
        <w:spacing w:line="300" w:lineRule="auto"/>
        <w:ind w:firstLine="0"/>
        <w:rPr>
          <w:b/>
          <w:bCs/>
          <w:sz w:val="28"/>
          <w:szCs w:val="28"/>
        </w:rPr>
      </w:pPr>
      <w:r>
        <w:rPr>
          <w:b/>
          <w:bCs/>
          <w:sz w:val="28"/>
          <w:szCs w:val="28"/>
        </w:rPr>
        <w:t xml:space="preserve">3.6 Position After Chapter 3</w:t>
      </w:r>
      <w:r>
        <w:rPr>
          <w:b/>
          <w:bCs/>
          <w:sz w:val="28"/>
          <w:szCs w:val="28"/>
        </w:rPr>
      </w:r>
      <w:r>
        <w:rPr>
          <w:b/>
          <w:bCs/>
          <w:sz w:val="28"/>
          <w:szCs w:val="28"/>
        </w:rPr>
      </w:r>
    </w:p>
    <w:p w14:paraId="7A8CC163">
      <w:pPr>
        <w:pStyle w:val="1128"/>
        <w:suppressLineNumbers w:val="false"/>
        <w:pBdr/>
        <w:spacing w:line="300" w:lineRule="auto"/>
        <w:ind w:firstLine="0"/>
        <w:rPr/>
      </w:pPr>
      <w:r>
        <w:t xml:space="preserve">Chapter 3 establishes a reproducible empirical baseline for the dissertation:</w:t>
      </w:r>
      <w:r/>
    </w:p>
    <w:p w14:paraId="4681F31D">
      <w:pPr>
        <w:pStyle w:val="1128"/>
        <w:numPr>
          <w:ilvl w:val="0"/>
          <w:numId w:val="73"/>
        </w:numPr>
        <w:suppressLineNumbers w:val="false"/>
        <w:pBdr/>
        <w:spacing w:line="300" w:lineRule="auto"/>
        <w:ind/>
        <w:rPr/>
      </w:pPr>
      <w:r>
        <w:t xml:space="preserve">GI MedVQA performance is strongly task- and format-dependent; closed-label and free-text regimes behave differently and must be evaluated differently.</w:t>
      </w:r>
      <w:r/>
    </w:p>
    <w:p w14:paraId="596F6ABA">
      <w:pPr>
        <w:pStyle w:val="1128"/>
        <w:numPr>
          <w:ilvl w:val="0"/>
          <w:numId w:val="73"/>
        </w:numPr>
        <w:suppressLineNumbers w:val="false"/>
        <w:pBdr/>
        <w:spacing w:line="300" w:lineRule="auto"/>
        <w:ind/>
        <w:rPr/>
      </w:pPr>
      <w:r>
        <w:t xml:space="preserve">Under the persisted evidence in this repository, constrained/supervised methods remain the reliability baseline for closed and ordinal clinical tasks.</w:t>
      </w:r>
      <w:r/>
    </w:p>
    <w:p w14:paraId="5C742244">
      <w:pPr>
        <w:pStyle w:val="1128"/>
        <w:numPr>
          <w:ilvl w:val="0"/>
          <w:numId w:val="73"/>
        </w:numPr>
        <w:suppressLineNumbers w:val="false"/>
        <w:pBdr/>
        <w:spacing w:line="300" w:lineRule="auto"/>
        <w:ind/>
        <w:rPr/>
      </w:pPr>
      <w:r>
        <w:t xml:space="preserve">Naive zero-shot generation is insufficient as a standalone clinical answer path under strict evaluation conventions and ontology requirements.</w:t>
      </w:r>
      <w:r/>
    </w:p>
    <w:p w14:paraId="6E95DC38">
      <w:pPr>
        <w:pStyle w:val="1128"/>
        <w:numPr>
          <w:ilvl w:val="0"/>
          <w:numId w:val="73"/>
        </w:numPr>
        <w:suppressLineNumbers w:val="false"/>
        <w:pBdr/>
        <w:spacing w:line="300" w:lineRule="auto"/>
        <w:ind/>
        <w:rPr/>
      </w:pPr>
      <w:r>
        <w:t xml:space="preserve">Severity-focused evaluation must remain central, especially ordinal agreement and clinically meaningful threshold slices (e.g., remission specificity).</w:t>
      </w:r>
      <w:r/>
    </w:p>
    <w:p w14:paraId="7123E948">
      <w:pPr>
        <w:pStyle w:val="1128"/>
        <w:numPr>
          <w:ilvl w:val="0"/>
          <w:numId w:val="73"/>
        </w:numPr>
        <w:suppressLineNumbers w:val="false"/>
        <w:pBdr/>
        <w:spacing w:line="300" w:lineRule="auto"/>
        <w:ind/>
        <w:rPr/>
      </w:pPr>
      <w:r>
        <w:t xml:space="preserve">Generative capability is valuable only with explicit governance, including constraints/normalization, unknown/OOV handling, abstention behavior, and (in later chapters) evidence-aware grounding for higher-level queries.</w:t>
      </w:r>
      <w:r/>
    </w:p>
    <w:p w14:paraId="2C69E82A">
      <w:pPr>
        <w:pStyle w:val="1128"/>
        <w:suppressLineNumbers w:val="false"/>
        <w:pBdr/>
        <w:spacing w:line="300" w:lineRule="auto"/>
        <w:ind w:firstLine="0"/>
        <w:rPr/>
      </w:pPr>
      <w:r>
        <w:t xml:space="preserve">These findings motivate Chapter 4, which develops a controlled generative pipeline for UC severity that preserves ordinal reliability and introduces safeguards for output stability, before extending toward evidence-aware answering.</w:t>
      </w:r>
      <w:r/>
    </w:p>
    <w:p w14:paraId="11FA583A">
      <w:pPr>
        <w:pStyle w:val="1128"/>
        <w:suppressLineNumbers w:val="false"/>
        <w:pBdr/>
        <w:spacing w:line="300" w:lineRule="auto"/>
        <w:ind w:firstLine="0"/>
        <w:rPr/>
      </w:pPr>
      <w:r>
        <w:rPr>
          <w:highlight w:val="none"/>
        </w:rPr>
      </w:r>
      <w:r>
        <w:rPr>
          <w:highlight w:val="none"/>
        </w:rPr>
      </w:r>
      <w:r/>
    </w:p>
    <w:p w14:paraId="530C2379">
      <w:pPr>
        <w:pStyle w:val="1128"/>
        <w:suppressLineNumbers w:val="false"/>
        <w:pBdr/>
        <w:spacing w:line="300" w:lineRule="auto"/>
        <w:ind w:firstLine="0"/>
        <w:rPr/>
      </w:pPr>
      <w:r/>
      <w:r/>
    </w:p>
    <w:p w14:paraId="5D77A607">
      <w:pPr>
        <w:pStyle w:val="1128"/>
        <w:suppressLineNumbers w:val="false"/>
        <w:pBdr/>
        <w:spacing w:line="300" w:lineRule="auto"/>
        <w:ind w:firstLine="0"/>
        <w:rPr/>
      </w:pPr>
      <w:r/>
      <w:r/>
    </w:p>
    <w:p w14:paraId="53FE87BB">
      <w:pPr>
        <w:pStyle w:val="1128"/>
        <w:suppressLineNumbers w:val="false"/>
        <w:pBdr/>
        <w:spacing w:line="300" w:lineRule="auto"/>
        <w:ind w:firstLine="0"/>
        <w:rPr/>
      </w:pPr>
      <w:r/>
      <w:r/>
    </w:p>
    <w:p w14:paraId="442B2995">
      <w:pPr>
        <w:pStyle w:val="1128"/>
        <w:suppressLineNumbers w:val="false"/>
        <w:pBdr/>
        <w:spacing w:line="300" w:lineRule="auto"/>
        <w:ind w:firstLine="0"/>
        <w:rPr/>
      </w:pPr>
      <w:r/>
      <w:r/>
    </w:p>
    <w:p w14:paraId="0DE07F34">
      <w:pPr>
        <w:pStyle w:val="1128"/>
        <w:suppressLineNumbers w:val="false"/>
        <w:pBdr/>
        <w:spacing w:line="300" w:lineRule="auto"/>
        <w:ind w:firstLine="0"/>
        <w:rPr/>
      </w:pPr>
      <w:r/>
      <w:r/>
    </w:p>
    <w:p w14:paraId="3CF471EA">
      <w:pPr>
        <w:pStyle w:val="1128"/>
        <w:suppressLineNumbers w:val="false"/>
        <w:pBdr/>
        <w:spacing w:line="300" w:lineRule="auto"/>
        <w:ind w:firstLine="0"/>
        <w:rPr/>
      </w:pPr>
      <w:r/>
      <w:r/>
    </w:p>
    <w:p w14:paraId="5474D7CA">
      <w:pPr>
        <w:pStyle w:val="1128"/>
        <w:suppressLineNumbers w:val="false"/>
        <w:pBdr/>
        <w:spacing w:line="300" w:lineRule="auto"/>
        <w:ind w:firstLine="0"/>
        <w:rPr/>
      </w:pPr>
      <w:r/>
      <w:r/>
    </w:p>
    <w:p w14:paraId="1D9157EA">
      <w:pPr>
        <w:pStyle w:val="1128"/>
        <w:suppressLineNumbers w:val="false"/>
        <w:pBdr/>
        <w:spacing w:line="300" w:lineRule="auto"/>
        <w:ind w:firstLine="0"/>
        <w:rPr/>
      </w:pPr>
      <w:r/>
      <w:r/>
    </w:p>
    <w:p w14:paraId="646C775B">
      <w:pPr>
        <w:pStyle w:val="1128"/>
        <w:suppressLineNumbers w:val="false"/>
        <w:pBdr/>
        <w:spacing w:line="300" w:lineRule="auto"/>
        <w:ind w:firstLine="0"/>
        <w:rPr/>
      </w:pPr>
      <w:r/>
      <w:r/>
    </w:p>
    <w:p w14:paraId="6F6A112D">
      <w:pPr>
        <w:pStyle w:val="1128"/>
        <w:suppressLineNumbers w:val="false"/>
        <w:pBdr/>
        <w:spacing w:line="300" w:lineRule="auto"/>
        <w:ind w:firstLine="0"/>
        <w:rPr/>
      </w:pPr>
      <w:r/>
      <w:r/>
    </w:p>
    <w:p w14:paraId="5E8044AB">
      <w:pPr>
        <w:pStyle w:val="1128"/>
        <w:suppressLineNumbers w:val="false"/>
        <w:pBdr/>
        <w:spacing w:line="300" w:lineRule="auto"/>
        <w:ind w:firstLine="0"/>
        <w:rPr/>
      </w:pPr>
      <w:r/>
      <w:r/>
    </w:p>
    <w:p w14:paraId="42BEB6E6">
      <w:pPr>
        <w:pStyle w:val="1128"/>
        <w:suppressLineNumbers w:val="false"/>
        <w:pBdr/>
        <w:spacing w:line="300" w:lineRule="auto"/>
        <w:ind w:firstLine="0"/>
        <w:rPr/>
      </w:pPr>
      <w:r/>
      <w:r/>
    </w:p>
    <w:p w14:paraId="7E0366C4">
      <w:pPr>
        <w:pStyle w:val="1128"/>
        <w:suppressLineNumbers w:val="false"/>
        <w:pBdr/>
        <w:spacing w:line="300" w:lineRule="auto"/>
        <w:ind w:firstLine="0"/>
        <w:rPr/>
      </w:pPr>
      <w:r/>
      <w:r/>
    </w:p>
    <w:p w14:paraId="1584DB52">
      <w:pPr>
        <w:pStyle w:val="1128"/>
        <w:suppressLineNumbers w:val="false"/>
        <w:pBdr/>
        <w:spacing w:line="300" w:lineRule="auto"/>
        <w:ind w:firstLine="0"/>
        <w:rPr/>
      </w:pPr>
      <w:r/>
      <w:r/>
    </w:p>
    <w:p w14:paraId="2C80C08E">
      <w:pPr>
        <w:pStyle w:val="1128"/>
        <w:suppressLineNumbers w:val="false"/>
        <w:pBdr/>
        <w:spacing w:line="300" w:lineRule="auto"/>
        <w:ind w:firstLine="0"/>
        <w:rPr/>
      </w:pPr>
      <w:r/>
      <w:r/>
    </w:p>
    <w:p w14:paraId="471F9FFC">
      <w:pPr>
        <w:pStyle w:val="1128"/>
        <w:suppressLineNumbers w:val="false"/>
        <w:pBdr/>
        <w:spacing w:line="300" w:lineRule="auto"/>
        <w:ind w:firstLine="0"/>
        <w:rPr/>
      </w:pPr>
      <w:r/>
      <w:r/>
    </w:p>
    <w:p w14:paraId="60FCAA16">
      <w:pPr>
        <w:pStyle w:val="1128"/>
        <w:suppressLineNumbers w:val="false"/>
        <w:pBdr/>
        <w:spacing w:line="300" w:lineRule="auto"/>
        <w:ind w:firstLine="0"/>
        <w:rPr/>
      </w:pPr>
      <w:r/>
      <w:r/>
    </w:p>
    <w:p w14:paraId="61506B8D">
      <w:pPr>
        <w:pStyle w:val="1128"/>
        <w:suppressLineNumbers w:val="false"/>
        <w:pBdr/>
        <w:spacing w:line="300" w:lineRule="auto"/>
        <w:ind w:firstLine="0"/>
        <w:rPr/>
      </w:pPr>
      <w:r/>
      <w:r/>
    </w:p>
    <w:p w14:paraId="2B5E1455">
      <w:pPr>
        <w:pStyle w:val="1128"/>
        <w:suppressLineNumbers w:val="false"/>
        <w:pBdr/>
        <w:spacing w:line="300" w:lineRule="auto"/>
        <w:ind w:firstLine="0"/>
        <w:rPr/>
      </w:pPr>
      <w:r/>
      <w:r/>
    </w:p>
    <w:p w14:paraId="7F60234E" w14:textId="0E7E9E48">
      <w:pPr>
        <w:pStyle w:val="1128"/>
        <w:suppressLineNumbers w:val="false"/>
        <w:pBdr/>
        <w:spacing w:line="300" w:lineRule="auto"/>
        <w:ind w:firstLine="0"/>
        <w:rPr/>
      </w:pPr>
      <w:r/>
      <w:r/>
    </w:p>
    <w:p w14:paraId="424FCAB4" w14:textId="250CE9C7">
      <w:pPr>
        <w:pStyle w:val="1115"/>
        <w:suppressLineNumbers w:val="false"/>
        <w:pBdr/>
        <w:spacing w:line="300" w:lineRule="auto"/>
        <w:ind/>
        <w:rPr/>
      </w:pPr>
      <w:r>
        <w:br/>
      </w:r>
      <w:r>
        <w:br/>
      </w:r>
      <w:r>
        <w:t xml:space="preserve">Generative Vision-Language Modeling for Ulcerative Colitis Severity Assessment</w:t>
      </w:r>
      <w:r/>
    </w:p>
    <w:p w14:paraId="1F014E85" w14:textId="14D8B1C2">
      <w:pPr>
        <w:pStyle w:val="1128"/>
        <w:suppressLineNumbers w:val="false"/>
        <w:pBdr/>
        <w:spacing w:line="300" w:lineRule="auto"/>
        <w:ind w:firstLine="0"/>
        <w:rPr>
          <w:b/>
          <w:bCs/>
        </w:rPr>
      </w:pPr>
      <w:r>
        <w:rPr>
          <w:b/>
          <w:bCs/>
        </w:rPr>
      </w:r>
      <w:r>
        <w:rPr>
          <w:b/>
          <w:bCs/>
        </w:rPr>
      </w:r>
      <w:r>
        <w:rPr>
          <w:b/>
          <w:bCs/>
        </w:rPr>
      </w:r>
    </w:p>
    <w:p w14:paraId="7238EE56">
      <w:pPr>
        <w:pStyle w:val="1128"/>
        <w:suppressLineNumbers w:val="false"/>
        <w:pBdr/>
        <w:spacing w:line="300" w:lineRule="auto"/>
        <w:ind w:firstLine="0"/>
        <w:rPr>
          <w:b/>
          <w:bCs/>
          <w:sz w:val="28"/>
          <w:szCs w:val="28"/>
        </w:rPr>
      </w:pPr>
      <w:r>
        <w:rPr>
          <w:b/>
          <w:bCs/>
          <w:sz w:val="28"/>
          <w:szCs w:val="28"/>
        </w:rPr>
        <w:t xml:space="preserve">4.1 Chapter Overview and Methodological Rationale</w:t>
      </w:r>
      <w:r>
        <w:rPr>
          <w:b/>
          <w:bCs/>
          <w:sz w:val="28"/>
          <w:szCs w:val="28"/>
        </w:rPr>
      </w:r>
      <w:r>
        <w:rPr>
          <w:b/>
          <w:bCs/>
          <w:sz w:val="28"/>
          <w:szCs w:val="28"/>
        </w:rPr>
      </w:r>
    </w:p>
    <w:p w14:paraId="52E6D613">
      <w:pPr>
        <w:pStyle w:val="1128"/>
        <w:suppressLineNumbers w:val="false"/>
        <w:pBdr/>
        <w:spacing w:line="300" w:lineRule="auto"/>
        <w:ind w:firstLine="0"/>
        <w:rPr/>
      </w:pPr>
      <w:r>
        <w:t xml:space="preserve">C</w:t>
      </w:r>
      <w:r>
        <w:t xml:space="preserve">hapter 3 established the central empirical tension that motivates this chapter. Across multiple GI-endoscopy settings, constrained and supervised models were consistently more reliable than naive zero-shot vision-language prompting. That pattern was especi</w:t>
      </w:r>
      <w:r>
        <w:t xml:space="preserve">a</w:t>
      </w:r>
      <w:r>
        <w:t xml:space="preserve">lly important for ulcerative colitis (UC) severity grading on LIMUC, where the task is clinically meaningful, ordinal in structure, and sensitive to class imbalance. The next methodological question is therefore not whether generation is possible, but whet</w:t>
      </w:r>
      <w:r>
        <w:t xml:space="preserve">her a generative model can be adapted in a way that preserves the discipline of a classifier while retaining the flexibility of a language-based interface.</w:t>
      </w:r>
      <w:r/>
    </w:p>
    <w:p w14:paraId="2700501E">
      <w:pPr>
        <w:pStyle w:val="1128"/>
        <w:suppressLineNumbers w:val="false"/>
        <w:pBdr/>
        <w:spacing w:line="300" w:lineRule="auto"/>
        <w:ind w:firstLine="0"/>
        <w:rPr/>
      </w:pPr>
      <w:r>
        <w:t xml:space="preserve">C</w:t>
      </w:r>
      <w:r>
        <w:t xml:space="preserve">hapter 4 addresses that question by developing a controlled severity-oriented pipeline for Mayo 0-3 scoring from colonoscopy frames. The chapter does not pursue unrestricted narrative generation. Instead, it treats generative modeling as a bounded decision</w:t>
      </w:r>
      <w:r>
        <w:t xml:space="preserve"> </w:t>
      </w:r>
      <w:r>
        <w:t xml:space="preserve">mechanism: the model is required to produce a tightly constrained score output, its predictions are parsed under explicit rules, and its behavior is evaluated against strong supervised baselines under the same data split and reporting protocol. This framin</w:t>
      </w:r>
      <w:r>
        <w:t xml:space="preserve">g is important because the dissertation is concerned with clinically usable multimodal systems rather than open-ended text production for its own sake.</w:t>
      </w:r>
      <w:r/>
    </w:p>
    <w:p w14:paraId="7D12FB13">
      <w:pPr>
        <w:pStyle w:val="1128"/>
        <w:suppressLineNumbers w:val="false"/>
        <w:pBdr/>
        <w:spacing w:line="300" w:lineRule="auto"/>
        <w:ind w:firstLine="0"/>
        <w:rPr/>
      </w:pPr>
      <w:r>
        <w:t xml:space="preserve">The chapter has four objectives:</w:t>
      </w:r>
      <w:r/>
    </w:p>
    <w:p w14:paraId="57808425">
      <w:pPr>
        <w:pStyle w:val="1128"/>
        <w:numPr>
          <w:ilvl w:val="0"/>
          <w:numId w:val="74"/>
        </w:numPr>
        <w:suppressLineNumbers w:val="false"/>
        <w:pBdr/>
        <w:spacing w:line="300" w:lineRule="auto"/>
        <w:ind/>
        <w:rPr/>
      </w:pPr>
      <w:r>
        <w:t xml:space="preserve">Define a reproducible UC severity task on LIMUC using fixed Mayo 0-3 labels and a fixed split structure.</w:t>
      </w:r>
      <w:r/>
    </w:p>
    <w:p w14:paraId="66FD38AC">
      <w:pPr>
        <w:pStyle w:val="1128"/>
        <w:numPr>
          <w:ilvl w:val="0"/>
          <w:numId w:val="74"/>
        </w:numPr>
        <w:suppressLineNumbers w:val="false"/>
        <w:pBdr/>
        <w:spacing w:line="300" w:lineRule="auto"/>
        <w:ind/>
        <w:rPr/>
      </w:pPr>
      <w:r>
        <w:t xml:space="preserve">Establish a strong supervised reliability anchor against which generative methods can be judged fairly.</w:t>
      </w:r>
      <w:r/>
    </w:p>
    <w:p w14:paraId="21118420">
      <w:pPr>
        <w:pStyle w:val="1128"/>
        <w:numPr>
          <w:ilvl w:val="0"/>
          <w:numId w:val="74"/>
        </w:numPr>
        <w:suppressLineNumbers w:val="false"/>
        <w:pBdr/>
        <w:spacing w:line="300" w:lineRule="auto"/>
        <w:ind/>
        <w:rPr/>
      </w:pPr>
      <w:r>
        <w:t xml:space="preserve">Implement parameter-efficient adaptation of a vision-language model using LoRA so that score generation is learned rather than merely prompted.</w:t>
      </w:r>
      <w:r/>
    </w:p>
    <w:p w14:paraId="2A0ADBDB">
      <w:pPr>
        <w:pStyle w:val="1128"/>
        <w:numPr>
          <w:ilvl w:val="0"/>
          <w:numId w:val="74"/>
        </w:numPr>
        <w:suppressLineNumbers w:val="false"/>
        <w:pBdr/>
        <w:spacing w:line="300" w:lineRule="auto"/>
        <w:ind/>
        <w:rPr/>
      </w:pPr>
      <w:r>
        <w:t xml:space="preserve">Evaluate the resulting system with ordinal, class-balanced, and clinically interpretable metrics, while making the failure modes explicit.</w:t>
      </w:r>
      <w:r/>
    </w:p>
    <w:p w14:paraId="4C093A8E">
      <w:pPr>
        <w:pStyle w:val="1128"/>
        <w:suppressLineNumbers w:val="false"/>
        <w:pBdr/>
        <w:spacing w:line="300" w:lineRule="auto"/>
        <w:ind w:firstLine="0"/>
        <w:rPr/>
      </w:pPr>
      <w:r>
        <w:t xml:space="preserve">T</w:t>
      </w:r>
      <w:r>
        <w:t xml:space="preserve">he overall structure of the chapter follows that logic. Section 4.2 defines the dataset and claim boundary. Section 4.3 presents the proposed pipeline and explains the role of each modeling layer. Section 4.4 formalizes the evaluation protocol. Section 4.5</w:t>
      </w:r>
      <w:r>
        <w:t xml:space="preserve"> </w:t>
      </w:r>
      <w:r>
        <w:t xml:space="preserve">reports the internal and external results. Section 4.6 interprets those findings in relation to the broader dissertation argument, and Section 4.7 states the limitations that constrain the chapter's claims. The chapter concludes in Section 4.8 by positioni</w:t>
      </w:r>
      <w:r>
        <w:t xml:space="preserve">ng the resulting severity module as the upstream component for the evidence-grounded wrapper introduced in Chapter 5.</w:t>
      </w:r>
      <w:r/>
    </w:p>
    <w:p w14:paraId="208A408D">
      <w:pPr>
        <w:pStyle w:val="1128"/>
        <w:suppressLineNumbers w:val="false"/>
        <w:pBdr/>
        <w:spacing w:line="300" w:lineRule="auto"/>
        <w:ind w:firstLine="0"/>
        <w:rPr/>
      </w:pPr>
      <w:r/>
      <w:r/>
    </w:p>
    <w:p w14:paraId="0B6624CF">
      <w:pPr>
        <w:pStyle w:val="1128"/>
        <w:suppressLineNumbers w:val="false"/>
        <w:pBdr/>
        <w:spacing w:line="300" w:lineRule="auto"/>
        <w:ind w:firstLine="0"/>
        <w:rPr>
          <w:b/>
          <w:bCs/>
          <w:sz w:val="28"/>
          <w:szCs w:val="28"/>
        </w:rPr>
      </w:pPr>
      <w:r>
        <w:rPr>
          <w:b/>
          <w:bCs/>
          <w:sz w:val="28"/>
          <w:szCs w:val="28"/>
        </w:rPr>
        <w:t xml:space="preserve">4.2 Dataset, Clinical Task, and Scope</w:t>
      </w:r>
      <w:r>
        <w:rPr>
          <w:b/>
          <w:bCs/>
          <w:sz w:val="28"/>
          <w:szCs w:val="28"/>
        </w:rPr>
      </w:r>
      <w:r>
        <w:rPr>
          <w:b/>
          <w:bCs/>
          <w:sz w:val="28"/>
          <w:szCs w:val="28"/>
        </w:rPr>
      </w:r>
    </w:p>
    <w:p w14:paraId="5CACE2EE">
      <w:pPr>
        <w:pStyle w:val="1128"/>
        <w:suppressLineNumbers w:val="false"/>
        <w:pBdr/>
        <w:spacing w:line="300" w:lineRule="auto"/>
        <w:ind w:firstLine="0"/>
        <w:rPr/>
      </w:pPr>
      <w:r>
        <w:t xml:space="preserve">T</w:t>
      </w:r>
      <w:r>
        <w:t xml:space="preserve">he proposed approach is intentionally narrow in scope. Rather than attempting to solve general GI MedVQA in one step, this chapter focuses on a clinically bounded and measurable task: assigning a Mayo endoscopic severity score from a single colonoscopy fra</w:t>
      </w:r>
      <w:r>
        <w:t xml:space="preserve">me. That choice keeps the experimental question well-defined and permits a direct comparison between discriminative and generative strategies on the same evidence base.</w:t>
      </w:r>
      <w:r/>
    </w:p>
    <w:p w14:paraId="6A4FC054">
      <w:pPr>
        <w:pStyle w:val="1128"/>
        <w:suppressLineNumbers w:val="false"/>
        <w:pBdr/>
        <w:spacing w:line="300" w:lineRule="auto"/>
        <w:ind w:firstLine="0"/>
        <w:rPr>
          <w:b/>
          <w:bCs/>
        </w:rPr>
      </w:pPr>
      <w:r>
        <w:rPr>
          <w:b/>
          <w:bCs/>
        </w:rPr>
        <w:t xml:space="preserve">4.2.1 LIMUC as the Primary Evidence Base</w:t>
      </w:r>
      <w:r>
        <w:rPr>
          <w:b/>
          <w:bCs/>
        </w:rPr>
      </w:r>
      <w:r>
        <w:rPr>
          <w:b/>
          <w:bCs/>
        </w:rPr>
      </w:r>
    </w:p>
    <w:p w14:paraId="244B3CA5">
      <w:pPr>
        <w:pStyle w:val="1128"/>
        <w:suppressLineNumbers w:val="false"/>
        <w:pBdr/>
        <w:spacing w:line="300" w:lineRule="auto"/>
        <w:ind w:firstLine="0"/>
        <w:rPr/>
      </w:pPr>
      <w:r>
        <w:t xml:space="preserve">T</w:t>
      </w:r>
      <w:r>
        <w:t xml:space="preserve">he primary dataset for this chapter is LIMUC, which provides UC endoscopic imagery labeled with Mayo scores from 0 to 3. In clinical terms, this is an ordinal severity scale, not a nominal category set. Errors are therefore not all equally harmful: confusi</w:t>
      </w:r>
      <w:r>
        <w:t xml:space="preserve">ng Mayo 0 with Mayo 1 is different from confusing Mayo 0 with Mayo 3. This is one of the reasons Chapter 4 emphasizes ordinal metrics such as quadratic weighted kappa (QWK) alongside standard accuracy and F1 measures.</w:t>
      </w:r>
      <w:r/>
    </w:p>
    <w:p w14:paraId="65F56D15" w14:textId="77FF9532">
      <w:pPr>
        <w:pStyle w:val="1128"/>
        <w:suppressLineNumbers w:val="false"/>
        <w:pBdr/>
        <w:spacing w:line="300" w:lineRule="auto"/>
        <w:ind w:firstLine="0"/>
        <w:rPr>
          <w:highlight w:val="none"/>
        </w:rPr>
      </w:pPr>
      <w:r>
        <w:t xml:space="preserve">W</w:t>
      </w:r>
      <w:r>
        <w:t xml:space="preserve">ithin this repository, LIMUC preparation is handled through Prototyping_reformat/DatasetAnalysis/LIMUC/0_dataset_prep/01_build_metadata_images_and_manifests.ipynb, which produces the metadata tables and split manifests used throughout the chapter [69]. The</w:t>
      </w:r>
      <w:r>
        <w:t xml:space="preserve"> fixed metadata snapshot used here (metadata_enriched.csv) contains 11,276 frames.</w:t>
      </w:r>
      <w:r>
        <w:rPr>
          <w:highlight w:val="none"/>
        </w:rPr>
      </w:r>
      <w:r>
        <w:rPr>
          <w:highlight w:val="none"/>
        </w:rPr>
      </w:r>
      <w:r/>
      <w:r/>
      <w:r>
        <w:rPr>
          <w:highlight w:val="none"/>
        </w:rPr>
      </w:r>
    </w:p>
    <w:p w14:paraId="06095EC4">
      <w:pPr>
        <w:pStyle w:val="1128"/>
        <w:suppressLineNumbers w:val="false"/>
        <w:pBdr/>
        <w:spacing w:line="300" w:lineRule="auto"/>
        <w:ind w:firstLine="0"/>
        <w:rPr>
          <w:highlight w:val="none"/>
        </w:rPr>
      </w:pPr>
      <w:r>
        <w:rPr>
          <w:highlight w:val="none"/>
        </w:rPr>
      </w:r>
      <w:r>
        <w:rPr>
          <w:highlight w:val="none"/>
        </w:rPr>
      </w:r>
      <w:r>
        <w:rPr>
          <w:highlight w:val="none"/>
        </w:rPr>
      </w:r>
    </w:p>
    <w:tbl>
      <w:tblPr>
        <w:tblStyle w:val="1185"/>
        <w:tblW w:w="0" w:type="auto"/>
        <w:tblBorders/>
        <w:tblLook w:val="04A0" w:firstRow="1" w:lastRow="0" w:firstColumn="1" w:lastColumn="0" w:noHBand="0" w:noVBand="1"/>
      </w:tblPr>
      <w:tblGrid>
        <w:gridCol w:w="4320"/>
        <w:gridCol w:w="4320"/>
      </w:tblGrid>
      <w:tr>
        <w:trPr/>
        <w:tc>
          <w:tcPr>
            <w:tcBorders/>
            <w:tcW w:w="4320" w:type="dxa"/>
            <w:textDirection w:val="lrTb"/>
            <w:noWrap w:val="false"/>
          </w:tcPr>
          <w:p w14:paraId="4CD4E15C">
            <w:pPr>
              <w:pBdr/>
              <w:spacing w:after="0" w:before="0" w:line="240"/>
              <w:ind/>
              <w:jc w:val="center"/>
              <w:rPr>
                <w:color w:val="000000" w:themeColor="text1"/>
              </w:rPr>
            </w:pPr>
            <w:r>
              <w:rPr>
                <w:rFonts w:ascii="Arial" w:hAnsi="Arial" w:eastAsia="Arial" w:cs="Arial"/>
                <w:b/>
                <w:color w:val="000000" w:themeColor="text1"/>
                <w:sz w:val="21"/>
              </w:rPr>
              <w:t xml:space="preserve">Split</w:t>
            </w:r>
            <w:r>
              <w:rPr>
                <w:color w:val="000000" w:themeColor="text1"/>
              </w:rPr>
            </w:r>
          </w:p>
        </w:tc>
        <w:tc>
          <w:tcPr>
            <w:tcBorders/>
            <w:tcW w:w="4320" w:type="dxa"/>
            <w:textDirection w:val="lrTb"/>
            <w:noWrap w:val="false"/>
          </w:tcPr>
          <w:p w14:paraId="52FCCDE4">
            <w:pPr>
              <w:pBdr/>
              <w:spacing w:after="0" w:before="0" w:line="240"/>
              <w:ind/>
              <w:jc w:val="center"/>
              <w:rPr>
                <w:color w:val="000000" w:themeColor="text1"/>
              </w:rPr>
            </w:pPr>
            <w:r>
              <w:rPr>
                <w:rFonts w:ascii="Arial" w:hAnsi="Arial" w:eastAsia="Arial" w:cs="Arial"/>
                <w:b/>
                <w:color w:val="000000" w:themeColor="text1"/>
                <w:sz w:val="21"/>
              </w:rPr>
              <w:t xml:space="preserve">Frames</w:t>
            </w:r>
            <w:r>
              <w:rPr>
                <w:color w:val="000000" w:themeColor="text1"/>
              </w:rPr>
            </w:r>
          </w:p>
        </w:tc>
      </w:tr>
      <w:tr>
        <w:trPr/>
        <w:tc>
          <w:tcPr>
            <w:tcBorders/>
            <w:tcW w:w="4320" w:type="dxa"/>
            <w:textDirection w:val="lrTb"/>
            <w:noWrap w:val="false"/>
          </w:tcPr>
          <w:p w14:paraId="17B49293">
            <w:pPr>
              <w:pBdr/>
              <w:spacing w:after="0" w:before="0" w:line="240"/>
              <w:ind/>
              <w:jc w:val="center"/>
              <w:rPr>
                <w:color w:val="000000" w:themeColor="text1"/>
              </w:rPr>
            </w:pPr>
            <w:r>
              <w:rPr>
                <w:rFonts w:ascii="Arial" w:hAnsi="Arial" w:eastAsia="Arial" w:cs="Arial"/>
                <w:color w:val="000000" w:themeColor="text1"/>
                <w:sz w:val="21"/>
              </w:rPr>
              <w:t xml:space="preserve">Train</w:t>
            </w:r>
            <w:r>
              <w:rPr>
                <w:color w:val="000000" w:themeColor="text1"/>
              </w:rPr>
            </w:r>
          </w:p>
        </w:tc>
        <w:tc>
          <w:tcPr>
            <w:tcBorders/>
            <w:tcW w:w="4320" w:type="dxa"/>
            <w:textDirection w:val="lrTb"/>
            <w:noWrap w:val="false"/>
          </w:tcPr>
          <w:p w14:paraId="61636A18">
            <w:pPr>
              <w:pBdr/>
              <w:spacing w:after="0" w:before="0" w:line="240"/>
              <w:ind/>
              <w:jc w:val="center"/>
              <w:rPr>
                <w:color w:val="000000" w:themeColor="text1"/>
              </w:rPr>
            </w:pPr>
            <w:r>
              <w:rPr>
                <w:rFonts w:ascii="Arial" w:hAnsi="Arial" w:eastAsia="Arial" w:cs="Arial"/>
                <w:color w:val="000000" w:themeColor="text1"/>
                <w:sz w:val="21"/>
              </w:rPr>
              <w:t xml:space="preserve">8,669</w:t>
            </w:r>
            <w:r>
              <w:rPr>
                <w:color w:val="000000" w:themeColor="text1"/>
              </w:rPr>
            </w:r>
          </w:p>
        </w:tc>
      </w:tr>
      <w:tr>
        <w:trPr/>
        <w:tc>
          <w:tcPr>
            <w:tcBorders/>
            <w:tcW w:w="4320" w:type="dxa"/>
            <w:textDirection w:val="lrTb"/>
            <w:noWrap w:val="false"/>
          </w:tcPr>
          <w:p w14:paraId="61F5683A">
            <w:pPr>
              <w:pBdr/>
              <w:spacing w:after="0" w:before="0" w:line="240"/>
              <w:ind/>
              <w:jc w:val="center"/>
              <w:rPr>
                <w:color w:val="000000" w:themeColor="text1"/>
              </w:rPr>
            </w:pPr>
            <w:r>
              <w:rPr>
                <w:rFonts w:ascii="Arial" w:hAnsi="Arial" w:eastAsia="Arial" w:cs="Arial"/>
                <w:color w:val="000000" w:themeColor="text1"/>
                <w:sz w:val="21"/>
              </w:rPr>
              <w:t xml:space="preserve">Validation</w:t>
            </w:r>
            <w:r>
              <w:rPr>
                <w:color w:val="000000" w:themeColor="text1"/>
              </w:rPr>
            </w:r>
          </w:p>
        </w:tc>
        <w:tc>
          <w:tcPr>
            <w:tcBorders/>
            <w:tcW w:w="4320" w:type="dxa"/>
            <w:textDirection w:val="lrTb"/>
            <w:noWrap w:val="false"/>
          </w:tcPr>
          <w:p w14:paraId="320C73EB">
            <w:pPr>
              <w:pBdr/>
              <w:spacing w:after="0" w:before="0" w:line="240"/>
              <w:ind/>
              <w:jc w:val="center"/>
              <w:rPr>
                <w:color w:val="000000" w:themeColor="text1"/>
              </w:rPr>
            </w:pPr>
            <w:r>
              <w:rPr>
                <w:rFonts w:ascii="Arial" w:hAnsi="Arial" w:eastAsia="Arial" w:cs="Arial"/>
                <w:color w:val="000000" w:themeColor="text1"/>
                <w:sz w:val="21"/>
              </w:rPr>
              <w:t xml:space="preserve">921</w:t>
            </w:r>
            <w:r>
              <w:rPr>
                <w:color w:val="000000" w:themeColor="text1"/>
              </w:rPr>
            </w:r>
          </w:p>
        </w:tc>
      </w:tr>
      <w:tr>
        <w:trPr/>
        <w:tc>
          <w:tcPr>
            <w:tcBorders/>
            <w:tcW w:w="4320" w:type="dxa"/>
            <w:textDirection w:val="lrTb"/>
            <w:noWrap w:val="false"/>
          </w:tcPr>
          <w:p w14:paraId="03E977D7">
            <w:pPr>
              <w:pBdr/>
              <w:spacing w:after="0" w:before="0" w:line="240"/>
              <w:ind/>
              <w:jc w:val="center"/>
              <w:rPr>
                <w:color w:val="000000" w:themeColor="text1"/>
              </w:rPr>
            </w:pPr>
            <w:r>
              <w:rPr>
                <w:rFonts w:ascii="Arial" w:hAnsi="Arial" w:eastAsia="Arial" w:cs="Arial"/>
                <w:color w:val="000000" w:themeColor="text1"/>
                <w:sz w:val="21"/>
              </w:rPr>
              <w:t xml:space="preserve">Test</w:t>
            </w:r>
            <w:r>
              <w:rPr>
                <w:color w:val="000000" w:themeColor="text1"/>
              </w:rPr>
            </w:r>
          </w:p>
        </w:tc>
        <w:tc>
          <w:tcPr>
            <w:tcBorders/>
            <w:tcW w:w="4320" w:type="dxa"/>
            <w:textDirection w:val="lrTb"/>
            <w:noWrap w:val="false"/>
          </w:tcPr>
          <w:p w14:paraId="750697CF">
            <w:pPr>
              <w:pBdr/>
              <w:spacing w:after="0" w:before="0" w:line="240"/>
              <w:ind/>
              <w:jc w:val="center"/>
              <w:rPr>
                <w:color w:val="000000" w:themeColor="text1"/>
              </w:rPr>
            </w:pPr>
            <w:r>
              <w:rPr>
                <w:rFonts w:ascii="Arial" w:hAnsi="Arial" w:eastAsia="Arial" w:cs="Arial"/>
                <w:color w:val="000000" w:themeColor="text1"/>
                <w:sz w:val="21"/>
              </w:rPr>
              <w:t xml:space="preserve">1,686</w:t>
            </w:r>
            <w:r>
              <w:rPr>
                <w:color w:val="000000" w:themeColor="text1"/>
              </w:rPr>
            </w:r>
          </w:p>
        </w:tc>
      </w:tr>
    </w:tbl>
    <w:p w14:paraId="456EB6FC">
      <w:pPr>
        <w:pStyle w:val="1128"/>
        <w:suppressLineNumbers w:val="false"/>
        <w:pBdr/>
        <w:spacing w:line="300" w:lineRule="auto"/>
        <w:ind w:firstLine="720" w:left="1440"/>
        <w:rPr/>
      </w:pPr>
      <w:r>
        <w:t xml:space="preserve">Table 4.1. LIMUC Split Distribution</w:t>
      </w:r>
      <w:r/>
    </w:p>
    <w:p w14:paraId="6A53ED9B">
      <w:pPr>
        <w:pStyle w:val="1128"/>
        <w:suppressLineNumbers w:val="false"/>
        <w:pBdr/>
        <w:spacing w:line="300" w:lineRule="auto"/>
        <w:ind w:firstLine="0"/>
        <w:rPr/>
      </w:pPr>
      <w:r/>
      <w:r/>
    </w:p>
    <w:tbl>
      <w:tblPr>
        <w:tblStyle w:val="1185"/>
        <w:tblW w:w="0" w:type="auto"/>
        <w:tblBorders/>
        <w:tblLook w:val="04A0" w:firstRow="1" w:lastRow="0" w:firstColumn="1" w:lastColumn="0" w:noHBand="0" w:noVBand="1"/>
      </w:tblPr>
      <w:tblGrid>
        <w:gridCol w:w="4320"/>
        <w:gridCol w:w="4320"/>
      </w:tblGrid>
      <w:tr>
        <w:trPr/>
        <w:tc>
          <w:tcPr>
            <w:tcBorders/>
            <w:tcW w:w="4320" w:type="dxa"/>
            <w:textDirection w:val="lrTb"/>
            <w:noWrap w:val="false"/>
          </w:tcPr>
          <w:p w14:paraId="7B48D3BB">
            <w:pPr>
              <w:pBdr/>
              <w:spacing w:after="0" w:before="0" w:line="240" w:lineRule="auto"/>
              <w:ind/>
              <w:jc w:val="center"/>
              <w:rPr>
                <w:color w:val="000000" w:themeColor="text1"/>
              </w:rPr>
            </w:pPr>
            <w:r>
              <w:rPr>
                <w:rFonts w:ascii="Liberation Sans" w:hAnsi="Liberation Sans" w:eastAsia="Liberation Sans" w:cs="Liberation Sans"/>
                <w:b/>
                <w:color w:val="000000" w:themeColor="text1"/>
                <w:sz w:val="21"/>
              </w:rPr>
              <w:t xml:space="preserve">Mayo class</w:t>
            </w:r>
            <w:r>
              <w:rPr>
                <w:color w:val="000000" w:themeColor="text1"/>
              </w:rPr>
            </w:r>
            <w:r>
              <w:rPr>
                <w:color w:val="000000" w:themeColor="text1"/>
              </w:rPr>
            </w:r>
          </w:p>
        </w:tc>
        <w:tc>
          <w:tcPr>
            <w:tcBorders/>
            <w:tcW w:w="4320" w:type="dxa"/>
            <w:textDirection w:val="lrTb"/>
            <w:noWrap w:val="false"/>
          </w:tcPr>
          <w:p w14:paraId="3E551221">
            <w:pPr>
              <w:pBdr/>
              <w:spacing w:after="0" w:before="0" w:line="240" w:lineRule="auto"/>
              <w:ind/>
              <w:jc w:val="center"/>
              <w:rPr>
                <w:color w:val="000000" w:themeColor="text1"/>
              </w:rPr>
            </w:pPr>
            <w:r>
              <w:rPr>
                <w:rFonts w:ascii="Liberation Sans" w:hAnsi="Liberation Sans" w:eastAsia="Liberation Sans" w:cs="Liberation Sans"/>
                <w:b/>
                <w:color w:val="000000" w:themeColor="text1"/>
                <w:sz w:val="21"/>
              </w:rPr>
              <w:t xml:space="preserve">Frames</w:t>
            </w:r>
            <w:r>
              <w:rPr>
                <w:color w:val="000000" w:themeColor="text1"/>
              </w:rPr>
            </w:r>
            <w:r>
              <w:rPr>
                <w:color w:val="000000" w:themeColor="text1"/>
              </w:rPr>
            </w:r>
          </w:p>
        </w:tc>
      </w:tr>
      <w:tr>
        <w:trPr/>
        <w:tc>
          <w:tcPr>
            <w:tcBorders/>
            <w:tcW w:w="4320" w:type="dxa"/>
            <w:textDirection w:val="lrTb"/>
            <w:noWrap w:val="false"/>
          </w:tcPr>
          <w:p w14:paraId="44F8A9CC">
            <w:pPr>
              <w:pBdr/>
              <w:spacing w:after="0" w:before="0" w:line="240" w:lineRule="auto"/>
              <w:ind/>
              <w:jc w:val="center"/>
              <w:rPr>
                <w:color w:val="000000" w:themeColor="text1"/>
              </w:rPr>
            </w:pPr>
            <w:r>
              <w:rPr>
                <w:rFonts w:ascii="Liberation Sans" w:hAnsi="Liberation Sans" w:eastAsia="Liberation Sans" w:cs="Liberation Sans"/>
                <w:color w:val="000000" w:themeColor="text1"/>
                <w:sz w:val="21"/>
              </w:rPr>
              <w:t xml:space="preserve">0</w:t>
            </w:r>
            <w:r>
              <w:rPr>
                <w:color w:val="000000" w:themeColor="text1"/>
              </w:rPr>
            </w:r>
            <w:r>
              <w:rPr>
                <w:color w:val="000000" w:themeColor="text1"/>
              </w:rPr>
            </w:r>
          </w:p>
        </w:tc>
        <w:tc>
          <w:tcPr>
            <w:tcBorders/>
            <w:tcW w:w="4320" w:type="dxa"/>
            <w:textDirection w:val="lrTb"/>
            <w:noWrap w:val="false"/>
          </w:tcPr>
          <w:p w14:paraId="2B2DB15A">
            <w:pPr>
              <w:pBdr/>
              <w:spacing w:after="0" w:before="0" w:line="240" w:lineRule="auto"/>
              <w:ind/>
              <w:jc w:val="center"/>
              <w:rPr>
                <w:color w:val="000000" w:themeColor="text1"/>
              </w:rPr>
            </w:pPr>
            <w:r>
              <w:rPr>
                <w:rFonts w:ascii="Liberation Sans" w:hAnsi="Liberation Sans" w:eastAsia="Liberation Sans" w:cs="Liberation Sans"/>
                <w:color w:val="000000" w:themeColor="text1"/>
                <w:sz w:val="21"/>
              </w:rPr>
              <w:t xml:space="preserve">6,105</w:t>
            </w:r>
            <w:r>
              <w:rPr>
                <w:color w:val="000000" w:themeColor="text1"/>
              </w:rPr>
            </w:r>
            <w:r>
              <w:rPr>
                <w:color w:val="000000" w:themeColor="text1"/>
              </w:rPr>
            </w:r>
          </w:p>
        </w:tc>
      </w:tr>
      <w:tr>
        <w:trPr/>
        <w:tc>
          <w:tcPr>
            <w:tcBorders/>
            <w:tcW w:w="4320" w:type="dxa"/>
            <w:textDirection w:val="lrTb"/>
            <w:noWrap w:val="false"/>
          </w:tcPr>
          <w:p w14:paraId="7E25E3E3">
            <w:pPr>
              <w:pBdr/>
              <w:spacing w:after="0" w:before="0" w:line="240" w:lineRule="auto"/>
              <w:ind/>
              <w:jc w:val="center"/>
              <w:rPr>
                <w:color w:val="000000" w:themeColor="text1"/>
              </w:rPr>
            </w:pPr>
            <w:r>
              <w:rPr>
                <w:rFonts w:ascii="Liberation Sans" w:hAnsi="Liberation Sans" w:eastAsia="Liberation Sans" w:cs="Liberation Sans"/>
                <w:color w:val="000000" w:themeColor="text1"/>
                <w:sz w:val="21"/>
              </w:rPr>
              <w:t xml:space="preserve">1</w:t>
            </w:r>
            <w:r>
              <w:rPr>
                <w:color w:val="000000" w:themeColor="text1"/>
              </w:rPr>
            </w:r>
            <w:r>
              <w:rPr>
                <w:color w:val="000000" w:themeColor="text1"/>
              </w:rPr>
            </w:r>
          </w:p>
        </w:tc>
        <w:tc>
          <w:tcPr>
            <w:tcBorders/>
            <w:tcW w:w="4320" w:type="dxa"/>
            <w:textDirection w:val="lrTb"/>
            <w:noWrap w:val="false"/>
          </w:tcPr>
          <w:p w14:paraId="695D3AA6">
            <w:pPr>
              <w:pBdr/>
              <w:spacing w:after="0" w:before="0" w:line="240" w:lineRule="auto"/>
              <w:ind/>
              <w:jc w:val="center"/>
              <w:rPr>
                <w:color w:val="000000" w:themeColor="text1"/>
              </w:rPr>
            </w:pPr>
            <w:r>
              <w:rPr>
                <w:rFonts w:ascii="Liberation Sans" w:hAnsi="Liberation Sans" w:eastAsia="Liberation Sans" w:cs="Liberation Sans"/>
                <w:color w:val="000000" w:themeColor="text1"/>
                <w:sz w:val="21"/>
              </w:rPr>
              <w:t xml:space="preserve">3,052</w:t>
            </w:r>
            <w:r>
              <w:rPr>
                <w:color w:val="000000" w:themeColor="text1"/>
              </w:rPr>
            </w:r>
            <w:r>
              <w:rPr>
                <w:color w:val="000000" w:themeColor="text1"/>
              </w:rPr>
            </w:r>
          </w:p>
        </w:tc>
      </w:tr>
      <w:tr>
        <w:trPr/>
        <w:tc>
          <w:tcPr>
            <w:tcBorders/>
            <w:tcW w:w="4320" w:type="dxa"/>
            <w:textDirection w:val="lrTb"/>
            <w:noWrap w:val="false"/>
          </w:tcPr>
          <w:p w14:paraId="63619FF6">
            <w:pPr>
              <w:pBdr/>
              <w:spacing w:after="0" w:before="0" w:line="240" w:lineRule="auto"/>
              <w:ind/>
              <w:jc w:val="center"/>
              <w:rPr>
                <w:color w:val="000000" w:themeColor="text1"/>
              </w:rPr>
            </w:pPr>
            <w:r>
              <w:rPr>
                <w:rFonts w:ascii="Liberation Sans" w:hAnsi="Liberation Sans" w:eastAsia="Liberation Sans" w:cs="Liberation Sans"/>
                <w:color w:val="000000" w:themeColor="text1"/>
                <w:sz w:val="21"/>
              </w:rPr>
              <w:t xml:space="preserve">2</w:t>
            </w:r>
            <w:r>
              <w:rPr>
                <w:color w:val="000000" w:themeColor="text1"/>
              </w:rPr>
            </w:r>
            <w:r>
              <w:rPr>
                <w:color w:val="000000" w:themeColor="text1"/>
              </w:rPr>
            </w:r>
          </w:p>
        </w:tc>
        <w:tc>
          <w:tcPr>
            <w:tcBorders/>
            <w:tcW w:w="4320" w:type="dxa"/>
            <w:textDirection w:val="lrTb"/>
            <w:noWrap w:val="false"/>
          </w:tcPr>
          <w:p w14:paraId="040FF6A4">
            <w:pPr>
              <w:pBdr/>
              <w:spacing w:after="0" w:before="0" w:line="240" w:lineRule="auto"/>
              <w:ind/>
              <w:jc w:val="center"/>
              <w:rPr>
                <w:color w:val="000000" w:themeColor="text1"/>
              </w:rPr>
            </w:pPr>
            <w:r>
              <w:rPr>
                <w:rFonts w:ascii="Liberation Sans" w:hAnsi="Liberation Sans" w:eastAsia="Liberation Sans" w:cs="Liberation Sans"/>
                <w:color w:val="000000" w:themeColor="text1"/>
                <w:sz w:val="21"/>
              </w:rPr>
              <w:t xml:space="preserve">1,254</w:t>
            </w:r>
            <w:r>
              <w:rPr>
                <w:color w:val="000000" w:themeColor="text1"/>
              </w:rPr>
            </w:r>
            <w:r>
              <w:rPr>
                <w:color w:val="000000" w:themeColor="text1"/>
              </w:rPr>
            </w:r>
          </w:p>
        </w:tc>
      </w:tr>
      <w:tr>
        <w:trPr/>
        <w:tc>
          <w:tcPr>
            <w:tcBorders/>
            <w:tcW w:w="4320" w:type="dxa"/>
            <w:textDirection w:val="lrTb"/>
            <w:noWrap w:val="false"/>
          </w:tcPr>
          <w:p w14:paraId="0F267368">
            <w:pPr>
              <w:pBdr/>
              <w:spacing w:after="0" w:before="0" w:line="240" w:lineRule="auto"/>
              <w:ind/>
              <w:jc w:val="center"/>
              <w:rPr>
                <w:color w:val="000000" w:themeColor="text1"/>
              </w:rPr>
            </w:pPr>
            <w:r>
              <w:rPr>
                <w:rFonts w:ascii="Liberation Sans" w:hAnsi="Liberation Sans" w:eastAsia="Liberation Sans" w:cs="Liberation Sans"/>
                <w:color w:val="000000" w:themeColor="text1"/>
                <w:sz w:val="21"/>
              </w:rPr>
              <w:t xml:space="preserve">3</w:t>
            </w:r>
            <w:r>
              <w:rPr>
                <w:color w:val="000000" w:themeColor="text1"/>
              </w:rPr>
            </w:r>
            <w:r>
              <w:rPr>
                <w:color w:val="000000" w:themeColor="text1"/>
              </w:rPr>
            </w:r>
          </w:p>
        </w:tc>
        <w:tc>
          <w:tcPr>
            <w:tcBorders/>
            <w:tcW w:w="4320" w:type="dxa"/>
            <w:textDirection w:val="lrTb"/>
            <w:noWrap w:val="false"/>
          </w:tcPr>
          <w:p w14:paraId="5D96F452">
            <w:pPr>
              <w:pBdr/>
              <w:spacing w:after="0" w:before="0" w:line="240" w:lineRule="auto"/>
              <w:ind/>
              <w:jc w:val="center"/>
              <w:rPr>
                <w:color w:val="000000" w:themeColor="text1"/>
              </w:rPr>
            </w:pPr>
            <w:r>
              <w:rPr>
                <w:rFonts w:ascii="Liberation Sans" w:hAnsi="Liberation Sans" w:eastAsia="Liberation Sans" w:cs="Liberation Sans"/>
                <w:color w:val="000000" w:themeColor="text1"/>
                <w:sz w:val="21"/>
              </w:rPr>
              <w:t xml:space="preserve">865</w:t>
            </w:r>
            <w:r>
              <w:rPr>
                <w:color w:val="000000" w:themeColor="text1"/>
              </w:rPr>
            </w:r>
            <w:r>
              <w:rPr>
                <w:color w:val="000000" w:themeColor="text1"/>
              </w:rPr>
            </w:r>
          </w:p>
        </w:tc>
      </w:tr>
    </w:tbl>
    <w:p w14:paraId="3D4BBF24">
      <w:pPr>
        <w:pStyle w:val="1128"/>
        <w:suppressLineNumbers w:val="false"/>
        <w:pBdr/>
        <w:spacing w:line="300" w:lineRule="auto"/>
        <w:ind w:firstLine="720"/>
        <w:rPr/>
      </w:pPr>
      <w:r>
        <w:rPr>
          <w:lang w:val="en-US"/>
        </w:rPr>
        <w:t xml:space="preserve">     </w:t>
      </w:r>
      <w:r>
        <w:t xml:space="preserve">Table 4.2. LIMUC Mayo Class Distribution Across All Splits</w:t>
      </w:r>
      <w:r/>
      <w:r/>
      <w:r/>
      <w:r/>
      <w:r/>
      <w:r/>
      <w:r/>
    </w:p>
    <w:p w14:paraId="7F094034">
      <w:pPr>
        <w:pStyle w:val="1128"/>
        <w:suppressLineNumbers w:val="false"/>
        <w:pBdr/>
        <w:spacing w:line="300" w:lineRule="auto"/>
        <w:ind w:firstLine="0"/>
        <w:rPr>
          <w:highlight w:val="none"/>
        </w:rPr>
      </w:pPr>
      <w:r>
        <w:t xml:space="preserve">S</w:t>
      </w:r>
      <w:r>
        <w:t xml:space="preserve">everal properties of this distribution shape the methodological design. First, classes 0 and 1 dominate the dataset, while classes 2 and 3 are comparatively rare. Second, the task is ordinal, so adjacent-class confusion is more plausible than arbitrary mis</w:t>
      </w:r>
      <w:r>
        <w:t xml:space="preserve">c</w:t>
      </w:r>
      <w:r>
        <w:t xml:space="preserve">lassification. Third, the dataset is large enough to support supervised training, yet imbalanced enough that a simple accuracy-only reading would be misleading. For this reason, the proposed approach is evaluated with class-balanced and ordinal metrics, an</w:t>
      </w:r>
      <w:r>
        <w:t xml:space="preserve">d the generative lane is trained with balanced sampling rather than naive frequency-following.</w:t>
      </w:r>
      <w:r>
        <w:rPr>
          <w:highlight w:val="none"/>
        </w:rPr>
      </w:r>
      <w:r>
        <w:rPr>
          <w:highlight w:val="none"/>
        </w:rPr>
      </w:r>
      <w:r/>
      <w:r/>
      <w:r>
        <w:rPr>
          <w:highlight w:val="none"/>
        </w:rPr>
      </w:r>
    </w:p>
    <w:p w14:paraId="5ED78973">
      <w:pPr>
        <w:pStyle w:val="1128"/>
        <w:suppressLineNumbers w:val="false"/>
        <w:pBdr/>
        <w:spacing w:line="300" w:lineRule="auto"/>
        <w:ind w:firstLine="0"/>
        <w:rPr/>
      </w:pPr>
      <w:r/>
      <w:r/>
    </w:p>
    <w:p w14:paraId="6BA04EE0">
      <w:pPr>
        <w:pStyle w:val="1128"/>
        <w:suppressLineNumbers w:val="false"/>
        <w:pBdr/>
        <w:spacing w:line="300" w:lineRule="auto"/>
        <w:ind w:firstLine="0"/>
        <w:rPr>
          <w:b/>
          <w:bCs/>
        </w:rPr>
      </w:pPr>
      <w:r>
        <w:rPr>
          <w:b/>
          <w:bCs/>
          <w:highlight w:val="none"/>
        </w:rPr>
        <w:t xml:space="preserve">4.2.2 Scope Boundary for Chapter 4 Claims</w:t>
      </w:r>
      <w:r>
        <w:rPr>
          <w:b/>
          <w:bCs/>
        </w:rPr>
      </w:r>
      <w:r>
        <w:rPr>
          <w:b/>
          <w:bCs/>
        </w:rPr>
      </w:r>
    </w:p>
    <w:p w14:paraId="7D924491">
      <w:pPr>
        <w:pStyle w:val="1128"/>
        <w:suppressLineNumbers w:val="false"/>
        <w:pBdr/>
        <w:spacing w:line="300" w:lineRule="auto"/>
        <w:ind w:firstLine="0"/>
        <w:rPr/>
      </w:pPr>
      <w:r>
        <w:rPr>
          <w:highlight w:val="none"/>
        </w:rPr>
        <w:t xml:space="preserve">T</w:t>
      </w:r>
      <w:r>
        <w:rPr>
          <w:highlight w:val="none"/>
        </w:rPr>
        <w:t xml:space="preserve">he primary claims of Chapter 4 are deliberately restricted to internal LIMUC evaluation under the fixed split and reporting protocol described in this chapter. This means that the headline comparison is not between arbitrary best runs collected from differ</w:t>
      </w:r>
      <w:r>
        <w:rPr>
          <w:highlight w:val="none"/>
        </w:rPr>
        <w:t xml:space="preserve">ent settings; it is a like-for-like comparison between a supervised baseline family and a generative adaptation family evaluated on the same internal task.</w:t>
      </w:r>
      <w:r>
        <w:rPr>
          <w:highlight w:val="none"/>
        </w:rPr>
      </w:r>
      <w:r/>
    </w:p>
    <w:p w14:paraId="41617BB7">
      <w:pPr>
        <w:pStyle w:val="1128"/>
        <w:suppressLineNumbers w:val="false"/>
        <w:pBdr/>
        <w:spacing w:line="300" w:lineRule="auto"/>
        <w:ind w:firstLine="0"/>
        <w:rPr/>
      </w:pPr>
      <w:r>
        <w:rPr>
          <w:highlight w:val="none"/>
        </w:rPr>
        <w:t xml:space="preserve">T</w:t>
      </w:r>
      <w:r>
        <w:rPr>
          <w:highlight w:val="none"/>
        </w:rPr>
        <w:t xml:space="preserve">his boundary matters because several other datasets in the repository, including Kvasir-VQA, Kvasir-VQA-x1, and ImageCLEF MEDVQA-GI, are important for the dissertation as a whole but are not necessary to establish the core Chapter 4 claim. Their role is co</w:t>
      </w:r>
      <w:r>
        <w:rPr>
          <w:highlight w:val="none"/>
        </w:rPr>
        <w:t xml:space="preserve">ntextual and comparative, primarily in Chapters 2 and 3. Chapter 4, by contrast, is intentionally focused on a single clinically grounded severity problem so that the methodological contribution can be assessed cleanly.</w:t>
      </w:r>
      <w:r>
        <w:rPr>
          <w:highlight w:val="none"/>
        </w:rPr>
      </w:r>
      <w:r/>
    </w:p>
    <w:p w14:paraId="784550E9">
      <w:pPr>
        <w:pStyle w:val="1128"/>
        <w:suppressLineNumbers w:val="false"/>
        <w:pBdr/>
        <w:spacing w:line="300" w:lineRule="auto"/>
        <w:ind w:firstLine="0"/>
        <w:rPr/>
      </w:pPr>
      <w:r>
        <w:rPr>
          <w:highlight w:val="none"/>
        </w:rPr>
        <w:t xml:space="preserve">T</w:t>
      </w:r>
      <w:r>
        <w:rPr>
          <w:highlight w:val="none"/>
        </w:rPr>
        <w:t xml:space="preserve">he reporting policy follows the same logic. The primary optimization and reporting target is internal LIMUC mode1/test QWK. Accuracy, macro-F1, balanced accuracy, mean absolute error (MAE), root mean squared error (RMSE), and parse rate are reported as sup</w:t>
      </w:r>
      <w:r>
        <w:rPr>
          <w:highlight w:val="none"/>
        </w:rPr>
        <w:t xml:space="preserve">porting metrics, but they do not override the ordinal agreement objective. This is appropriate because the Mayo task is inherently ordered and because clinically meaningful performance cannot be captured by raw accuracy alone.</w:t>
      </w:r>
      <w:r/>
    </w:p>
    <w:p w14:paraId="546C224E">
      <w:pPr>
        <w:pStyle w:val="1128"/>
        <w:suppressLineNumbers w:val="false"/>
        <w:pBdr/>
        <w:spacing w:line="300" w:lineRule="auto"/>
        <w:ind w:firstLine="0"/>
        <w:rPr/>
      </w:pPr>
      <w:r/>
      <w:r/>
      <w:r/>
    </w:p>
    <w:p w14:paraId="04A53D62">
      <w:pPr>
        <w:pStyle w:val="1128"/>
        <w:suppressLineNumbers w:val="false"/>
        <w:pBdr/>
        <w:spacing w:line="300" w:lineRule="auto"/>
        <w:ind w:firstLine="0"/>
        <w:rPr/>
      </w:pPr>
      <w:r>
        <w:rPr>
          <w:highlight w:val="none"/>
        </w:rPr>
      </w:r>
      <w:r/>
    </w:p>
    <w:p w14:paraId="37B05096">
      <w:pPr>
        <w:pStyle w:val="1128"/>
        <w:suppressLineNumbers w:val="false"/>
        <w:pBdr/>
        <w:spacing w:line="300" w:lineRule="auto"/>
        <w:ind w:firstLine="0"/>
        <w:rPr>
          <w:b/>
          <w:bCs/>
        </w:rPr>
      </w:pPr>
      <w:r>
        <w:rPr>
          <w:b/>
          <w:bCs/>
          <w:highlight w:val="none"/>
        </w:rPr>
        <w:t xml:space="preserve">4.2.3 External HyperKvasir UC Proxy Stress Test</w:t>
      </w:r>
      <w:r>
        <w:rPr>
          <w:b/>
          <w:bCs/>
        </w:rPr>
      </w:r>
      <w:r>
        <w:rPr>
          <w:b/>
          <w:bCs/>
        </w:rPr>
      </w:r>
    </w:p>
    <w:p w14:paraId="0760CC68">
      <w:pPr>
        <w:pStyle w:val="1128"/>
        <w:suppressLineNumbers w:val="false"/>
        <w:pBdr/>
        <w:spacing w:line="300" w:lineRule="auto"/>
        <w:ind w:firstLine="0"/>
        <w:rPr/>
      </w:pPr>
      <w:r>
        <w:rPr>
          <w:highlight w:val="none"/>
        </w:rPr>
        <w:t xml:space="preserve">I</w:t>
      </w:r>
      <w:r>
        <w:rPr>
          <w:highlight w:val="none"/>
        </w:rPr>
        <w:t xml:space="preserve">n addition to the internal LIMUC evaluation, this chapter includes an external-only stress test based on a HyperKvasir-derived UC proxy set. The purpose of this evaluation is not to provide definitive generalization proof. Instead, it is used to test wheth</w:t>
      </w:r>
      <w:r>
        <w:rPr>
          <w:highlight w:val="none"/>
        </w:rPr>
        <w:t xml:space="preserve">er the internal gains observed on LIMUC survive a shift in data source, label compatibility, and output conditions.</w:t>
      </w:r>
      <w:r>
        <w:rPr>
          <w:highlight w:val="none"/>
        </w:rPr>
      </w:r>
      <w:r/>
    </w:p>
    <w:p w14:paraId="2259A46B">
      <w:pPr>
        <w:pStyle w:val="1128"/>
        <w:suppressLineNumbers w:val="false"/>
        <w:pBdr/>
        <w:spacing w:line="300" w:lineRule="auto"/>
        <w:ind w:firstLine="0"/>
        <w:rPr/>
      </w:pPr>
      <w:r>
        <w:rPr>
          <w:highlight w:val="none"/>
        </w:rPr>
        <w:t xml:space="preserve">T</w:t>
      </w:r>
      <w:r>
        <w:rPr>
          <w:highlight w:val="none"/>
        </w:rPr>
        <w:t xml:space="preserve">he external protocol uses metadata_hyperkvasir_uc_proxy_mayo_floor.csv, which applies a floor-based mapping to interval labels. Specifically, interval findings are mapped as 0-1 -&gt; 0, 1-2 -&gt; 1, and 2-3 -&gt; 2. This mapping is useful for stress testing, but i</w:t>
      </w:r>
      <w:r>
        <w:rPr>
          <w:highlight w:val="none"/>
        </w:rPr>
        <w:t xml:space="preserve">t is not equivalent to native Mayo annotation. The external set therefore functions as a robustness probe rather than a clinically final benchmark.</w:t>
      </w:r>
      <w:r>
        <w:rPr>
          <w:highlight w:val="none"/>
        </w:rPr>
      </w:r>
      <w:r/>
    </w:p>
    <w:p w14:paraId="2A13CF93">
      <w:pPr>
        <w:pStyle w:val="1128"/>
        <w:suppressLineNumbers w:val="false"/>
        <w:pBdr/>
        <w:spacing w:line="300" w:lineRule="auto"/>
        <w:ind w:firstLine="0"/>
        <w:rPr/>
      </w:pPr>
      <w:r/>
      <w:r/>
    </w:p>
    <w:tbl>
      <w:tblPr>
        <w:tblStyle w:val="1185"/>
        <w:tblW w:w="0" w:type="auto"/>
        <w:tblBorders/>
        <w:tblLook w:val="04A0" w:firstRow="1" w:lastRow="0" w:firstColumn="1" w:lastColumn="0" w:noHBand="0" w:noVBand="1"/>
      </w:tblPr>
      <w:tblGrid>
        <w:gridCol w:w="4320"/>
        <w:gridCol w:w="4320"/>
      </w:tblGrid>
      <w:tr>
        <w:trPr/>
        <w:tc>
          <w:tcPr>
            <w:tcBorders/>
            <w:tcW w:w="4320" w:type="dxa"/>
            <w:textDirection w:val="lrTb"/>
            <w:noWrap w:val="false"/>
          </w:tcPr>
          <w:p w14:paraId="0FBD8E82">
            <w:pPr>
              <w:pBdr/>
              <w:spacing w:after="0" w:before="0" w:line="240" w:lineRule="auto"/>
              <w:ind/>
              <w:jc w:val="center"/>
              <w:rPr>
                <w:color w:val="000000" w:themeColor="text1"/>
              </w:rPr>
            </w:pPr>
            <w:r>
              <w:rPr>
                <w:rFonts w:ascii="Liberation Sans" w:hAnsi="Liberation Sans" w:eastAsia="Liberation Sans" w:cs="Liberation Sans"/>
                <w:b/>
                <w:color w:val="000000" w:themeColor="text1"/>
                <w:sz w:val="21"/>
              </w:rPr>
              <w:t xml:space="preserve">Mayo proxy class</w:t>
            </w:r>
            <w:r>
              <w:rPr>
                <w:color w:val="000000" w:themeColor="text1"/>
              </w:rPr>
            </w:r>
            <w:r>
              <w:rPr>
                <w:color w:val="000000" w:themeColor="text1"/>
              </w:rPr>
            </w:r>
          </w:p>
        </w:tc>
        <w:tc>
          <w:tcPr>
            <w:tcBorders/>
            <w:tcW w:w="4320" w:type="dxa"/>
            <w:textDirection w:val="lrTb"/>
            <w:noWrap w:val="false"/>
          </w:tcPr>
          <w:p w14:paraId="65051E0F">
            <w:pPr>
              <w:pBdr/>
              <w:spacing w:after="0" w:before="0" w:line="240" w:lineRule="auto"/>
              <w:ind/>
              <w:jc w:val="center"/>
              <w:rPr>
                <w:color w:val="000000" w:themeColor="text1"/>
              </w:rPr>
            </w:pPr>
            <w:r>
              <w:rPr>
                <w:rFonts w:ascii="Liberation Sans" w:hAnsi="Liberation Sans" w:eastAsia="Liberation Sans" w:cs="Liberation Sans"/>
                <w:b/>
                <w:color w:val="000000" w:themeColor="text1"/>
                <w:sz w:val="21"/>
              </w:rPr>
              <w:t xml:space="preserve">Frames</w:t>
            </w:r>
            <w:r>
              <w:rPr>
                <w:color w:val="000000" w:themeColor="text1"/>
              </w:rPr>
            </w:r>
            <w:r>
              <w:rPr>
                <w:color w:val="000000" w:themeColor="text1"/>
              </w:rPr>
            </w:r>
          </w:p>
        </w:tc>
      </w:tr>
      <w:tr>
        <w:trPr/>
        <w:tc>
          <w:tcPr>
            <w:tcBorders/>
            <w:tcW w:w="4320" w:type="dxa"/>
            <w:textDirection w:val="lrTb"/>
            <w:noWrap w:val="false"/>
          </w:tcPr>
          <w:p w14:paraId="1CCF69A5">
            <w:pPr>
              <w:pBdr/>
              <w:spacing w:after="0" w:before="0" w:line="240" w:lineRule="auto"/>
              <w:ind/>
              <w:jc w:val="center"/>
              <w:rPr>
                <w:color w:val="000000" w:themeColor="text1"/>
              </w:rPr>
            </w:pPr>
            <w:r>
              <w:rPr>
                <w:rFonts w:ascii="Liberation Sans" w:hAnsi="Liberation Sans" w:eastAsia="Liberation Sans" w:cs="Liberation Sans"/>
                <w:color w:val="000000" w:themeColor="text1"/>
                <w:sz w:val="21"/>
              </w:rPr>
              <w:t xml:space="preserve">0</w:t>
            </w:r>
            <w:r>
              <w:rPr>
                <w:color w:val="000000" w:themeColor="text1"/>
              </w:rPr>
            </w:r>
            <w:r>
              <w:rPr>
                <w:color w:val="000000" w:themeColor="text1"/>
              </w:rPr>
            </w:r>
          </w:p>
        </w:tc>
        <w:tc>
          <w:tcPr>
            <w:tcBorders/>
            <w:tcW w:w="4320" w:type="dxa"/>
            <w:textDirection w:val="lrTb"/>
            <w:noWrap w:val="false"/>
          </w:tcPr>
          <w:p w14:paraId="711C080F">
            <w:pPr>
              <w:pBdr/>
              <w:spacing w:after="0" w:before="0" w:line="240" w:lineRule="auto"/>
              <w:ind/>
              <w:jc w:val="center"/>
              <w:rPr>
                <w:color w:val="000000" w:themeColor="text1"/>
              </w:rPr>
            </w:pPr>
            <w:r>
              <w:rPr>
                <w:rFonts w:ascii="Liberation Sans" w:hAnsi="Liberation Sans" w:eastAsia="Liberation Sans" w:cs="Liberation Sans"/>
                <w:color w:val="000000" w:themeColor="text1"/>
                <w:sz w:val="21"/>
              </w:rPr>
              <w:t xml:space="preserve">35</w:t>
            </w:r>
            <w:r>
              <w:rPr>
                <w:color w:val="000000" w:themeColor="text1"/>
              </w:rPr>
            </w:r>
            <w:r>
              <w:rPr>
                <w:color w:val="000000" w:themeColor="text1"/>
              </w:rPr>
            </w:r>
          </w:p>
        </w:tc>
      </w:tr>
      <w:tr>
        <w:trPr/>
        <w:tc>
          <w:tcPr>
            <w:tcBorders/>
            <w:tcW w:w="4320" w:type="dxa"/>
            <w:textDirection w:val="lrTb"/>
            <w:noWrap w:val="false"/>
          </w:tcPr>
          <w:p w14:paraId="39A6CB21">
            <w:pPr>
              <w:pBdr/>
              <w:spacing w:after="0" w:before="0" w:line="240" w:lineRule="auto"/>
              <w:ind/>
              <w:jc w:val="center"/>
              <w:rPr>
                <w:color w:val="000000" w:themeColor="text1"/>
              </w:rPr>
            </w:pPr>
            <w:r>
              <w:rPr>
                <w:rFonts w:ascii="Liberation Sans" w:hAnsi="Liberation Sans" w:eastAsia="Liberation Sans" w:cs="Liberation Sans"/>
                <w:color w:val="000000" w:themeColor="text1"/>
                <w:sz w:val="21"/>
              </w:rPr>
              <w:t xml:space="preserve">1</w:t>
            </w:r>
            <w:r>
              <w:rPr>
                <w:color w:val="000000" w:themeColor="text1"/>
              </w:rPr>
            </w:r>
            <w:r>
              <w:rPr>
                <w:color w:val="000000" w:themeColor="text1"/>
              </w:rPr>
            </w:r>
          </w:p>
        </w:tc>
        <w:tc>
          <w:tcPr>
            <w:tcBorders/>
            <w:tcW w:w="4320" w:type="dxa"/>
            <w:textDirection w:val="lrTb"/>
            <w:noWrap w:val="false"/>
          </w:tcPr>
          <w:p w14:paraId="3A4732B7">
            <w:pPr>
              <w:pBdr/>
              <w:spacing w:after="0" w:before="0" w:line="240" w:lineRule="auto"/>
              <w:ind/>
              <w:jc w:val="center"/>
              <w:rPr>
                <w:color w:val="000000" w:themeColor="text1"/>
              </w:rPr>
            </w:pPr>
            <w:r>
              <w:rPr>
                <w:rFonts w:ascii="Liberation Sans" w:hAnsi="Liberation Sans" w:eastAsia="Liberation Sans" w:cs="Liberation Sans"/>
                <w:color w:val="000000" w:themeColor="text1"/>
                <w:sz w:val="21"/>
              </w:rPr>
              <w:t xml:space="preserve">212</w:t>
            </w:r>
            <w:r>
              <w:rPr>
                <w:color w:val="000000" w:themeColor="text1"/>
              </w:rPr>
            </w:r>
            <w:r>
              <w:rPr>
                <w:color w:val="000000" w:themeColor="text1"/>
              </w:rPr>
            </w:r>
          </w:p>
        </w:tc>
      </w:tr>
      <w:tr>
        <w:trPr/>
        <w:tc>
          <w:tcPr>
            <w:tcBorders/>
            <w:tcW w:w="4320" w:type="dxa"/>
            <w:textDirection w:val="lrTb"/>
            <w:noWrap w:val="false"/>
          </w:tcPr>
          <w:p w14:paraId="5064B0E5">
            <w:pPr>
              <w:pBdr/>
              <w:spacing w:after="0" w:before="0" w:line="240" w:lineRule="auto"/>
              <w:ind/>
              <w:jc w:val="center"/>
              <w:rPr>
                <w:color w:val="000000" w:themeColor="text1"/>
              </w:rPr>
            </w:pPr>
            <w:r>
              <w:rPr>
                <w:rFonts w:ascii="Liberation Sans" w:hAnsi="Liberation Sans" w:eastAsia="Liberation Sans" w:cs="Liberation Sans"/>
                <w:color w:val="000000" w:themeColor="text1"/>
                <w:sz w:val="21"/>
              </w:rPr>
              <w:t xml:space="preserve">2</w:t>
            </w:r>
            <w:r>
              <w:rPr>
                <w:color w:val="000000" w:themeColor="text1"/>
              </w:rPr>
            </w:r>
            <w:r>
              <w:rPr>
                <w:color w:val="000000" w:themeColor="text1"/>
              </w:rPr>
            </w:r>
          </w:p>
        </w:tc>
        <w:tc>
          <w:tcPr>
            <w:tcBorders/>
            <w:tcW w:w="4320" w:type="dxa"/>
            <w:textDirection w:val="lrTb"/>
            <w:noWrap w:val="false"/>
          </w:tcPr>
          <w:p w14:paraId="5BCAD586">
            <w:pPr>
              <w:pBdr/>
              <w:spacing w:after="0" w:before="0" w:line="240" w:lineRule="auto"/>
              <w:ind/>
              <w:jc w:val="center"/>
              <w:rPr>
                <w:color w:val="000000" w:themeColor="text1"/>
              </w:rPr>
            </w:pPr>
            <w:r>
              <w:rPr>
                <w:rFonts w:ascii="Liberation Sans" w:hAnsi="Liberation Sans" w:eastAsia="Liberation Sans" w:cs="Liberation Sans"/>
                <w:color w:val="000000" w:themeColor="text1"/>
                <w:sz w:val="21"/>
              </w:rPr>
              <w:t xml:space="preserve">471</w:t>
            </w:r>
            <w:r>
              <w:rPr>
                <w:color w:val="000000" w:themeColor="text1"/>
              </w:rPr>
            </w:r>
            <w:r>
              <w:rPr>
                <w:color w:val="000000" w:themeColor="text1"/>
              </w:rPr>
            </w:r>
          </w:p>
        </w:tc>
      </w:tr>
      <w:tr>
        <w:trPr/>
        <w:tc>
          <w:tcPr>
            <w:tcBorders/>
            <w:tcW w:w="4320" w:type="dxa"/>
            <w:vMerge w:val="restart"/>
            <w:textDirection w:val="lrTb"/>
            <w:noWrap w:val="false"/>
          </w:tcPr>
          <w:p w14:paraId="1E7BFBB0">
            <w:pPr>
              <w:pBdr/>
              <w:spacing w:after="0" w:before="0" w:line="240" w:lineRule="auto"/>
              <w:ind/>
              <w:jc w:val="center"/>
              <w:rPr>
                <w:color w:val="000000" w:themeColor="text1"/>
              </w:rPr>
            </w:pPr>
            <w:r>
              <w:rPr>
                <w:rFonts w:ascii="Liberation Sans" w:hAnsi="Liberation Sans" w:eastAsia="Liberation Sans" w:cs="Liberation Sans"/>
                <w:color w:val="000000" w:themeColor="text1"/>
                <w:sz w:val="21"/>
              </w:rPr>
              <w:t xml:space="preserve">3</w:t>
            </w:r>
            <w:r>
              <w:rPr>
                <w:color w:val="000000" w:themeColor="text1"/>
              </w:rPr>
            </w:r>
            <w:r>
              <w:rPr>
                <w:color w:val="000000" w:themeColor="text1"/>
              </w:rPr>
            </w:r>
          </w:p>
        </w:tc>
        <w:tc>
          <w:tcPr>
            <w:tcBorders/>
            <w:tcW w:w="4320" w:type="dxa"/>
            <w:vMerge w:val="restart"/>
            <w:textDirection w:val="lrTb"/>
            <w:noWrap w:val="false"/>
          </w:tcPr>
          <w:p w14:paraId="3D9B6B5E">
            <w:pPr>
              <w:pBdr/>
              <w:spacing w:after="0" w:before="0" w:line="240" w:lineRule="auto"/>
              <w:ind/>
              <w:jc w:val="center"/>
              <w:rPr>
                <w:color w:val="000000" w:themeColor="text1"/>
              </w:rPr>
            </w:pPr>
            <w:r>
              <w:rPr>
                <w:rFonts w:ascii="Liberation Sans" w:hAnsi="Liberation Sans" w:eastAsia="Liberation Sans" w:cs="Liberation Sans"/>
                <w:color w:val="000000" w:themeColor="text1"/>
                <w:sz w:val="21"/>
              </w:rPr>
              <w:t xml:space="preserve">133</w:t>
            </w:r>
            <w:r>
              <w:rPr>
                <w:color w:val="000000" w:themeColor="text1"/>
              </w:rPr>
            </w:r>
            <w:r>
              <w:rPr>
                <w:color w:val="000000" w:themeColor="text1"/>
              </w:rPr>
            </w:r>
          </w:p>
        </w:tc>
      </w:tr>
    </w:tbl>
    <w:p w14:paraId="4C362E1A">
      <w:pPr>
        <w:pStyle w:val="1128"/>
        <w:suppressLineNumbers w:val="false"/>
        <w:pBdr/>
        <w:spacing w:line="300" w:lineRule="auto"/>
        <w:ind w:firstLine="720" w:left="720"/>
        <w:rPr/>
      </w:pPr>
      <w:r>
        <w:t xml:space="preserve">Table 4.3. External HyperKvasir UC Proxy Distribution</w:t>
      </w:r>
      <w:r/>
    </w:p>
    <w:p w14:paraId="3122DB9B">
      <w:pPr>
        <w:pStyle w:val="1128"/>
        <w:suppressLineNumbers w:val="false"/>
        <w:pBdr/>
        <w:spacing w:line="300" w:lineRule="auto"/>
        <w:ind w:firstLine="0"/>
        <w:rPr/>
      </w:pPr>
      <w:r/>
      <w:r/>
    </w:p>
    <w:p w14:paraId="4820D874">
      <w:pPr>
        <w:pStyle w:val="1128"/>
        <w:suppressLineNumbers w:val="false"/>
        <w:pBdr/>
        <w:spacing w:line="300" w:lineRule="auto"/>
        <w:ind w:firstLine="0"/>
        <w:rPr>
          <w:highlight w:val="none"/>
        </w:rPr>
      </w:pPr>
      <w:r>
        <w:t xml:space="preserve">T</w:t>
      </w:r>
      <w:r>
        <w:t xml:space="preserve">he total external set size is 851 frames. Two implications should be stated explicitly. First, the class profile differs materially from LIMUC, especially at the low-severity end. Second, the proxy mapping introduces label-space uncertainty that is absent </w:t>
      </w:r>
      <w:r>
        <w:t xml:space="preserve">from the internal dataset. For both reasons, external results are interpreted as limitation evidence and domain-shift analysis, not as the main basis for model selection.</w:t>
      </w:r>
      <w:r>
        <w:rPr>
          <w:highlight w:val="none"/>
        </w:rPr>
      </w:r>
      <w:r>
        <w:rPr>
          <w:highlight w:val="none"/>
        </w:rPr>
      </w:r>
    </w:p>
    <w:p w14:paraId="36B540DD">
      <w:pPr>
        <w:pStyle w:val="1128"/>
        <w:suppressLineNumbers w:val="false"/>
        <w:pBdr/>
        <w:spacing w:line="300" w:lineRule="auto"/>
        <w:ind w:firstLine="0"/>
        <w:rPr/>
      </w:pPr>
      <w:r/>
      <w:r/>
    </w:p>
    <w:p w14:paraId="7B85D757">
      <w:pPr>
        <w:pStyle w:val="1128"/>
        <w:suppressLineNumbers w:val="false"/>
        <w:pBdr/>
        <w:spacing w:line="300" w:lineRule="auto"/>
        <w:ind w:firstLine="0"/>
        <w:rPr>
          <w:b/>
          <w:bCs/>
          <w:sz w:val="28"/>
          <w:szCs w:val="28"/>
        </w:rPr>
      </w:pPr>
      <w:r>
        <w:rPr>
          <w:b/>
          <w:bCs/>
          <w:sz w:val="28"/>
          <w:szCs w:val="28"/>
          <w:highlight w:val="none"/>
        </w:rPr>
        <w:t xml:space="preserve">4.3 Proposed Severity-Oriented Pipeline</w:t>
      </w:r>
      <w:r>
        <w:rPr>
          <w:b/>
          <w:bCs/>
          <w:sz w:val="28"/>
          <w:szCs w:val="28"/>
        </w:rPr>
      </w:r>
      <w:r>
        <w:rPr>
          <w:b/>
          <w:bCs/>
          <w:sz w:val="28"/>
          <w:szCs w:val="28"/>
        </w:rPr>
      </w:r>
    </w:p>
    <w:p w14:paraId="227DC6DE">
      <w:pPr>
        <w:pStyle w:val="1128"/>
        <w:suppressLineNumbers w:val="false"/>
        <w:pBdr/>
        <w:spacing w:line="300" w:lineRule="auto"/>
        <w:ind w:firstLine="0"/>
        <w:rPr/>
      </w:pPr>
      <w:r>
        <w:rPr>
          <w:highlight w:val="none"/>
        </w:rPr>
        <w:t xml:space="preserve">The proposed Chapter 4 pipeline can be summarized as follows:</w:t>
      </w:r>
      <w:r>
        <w:rPr>
          <w:highlight w:val="none"/>
        </w:rPr>
      </w:r>
      <w:r/>
    </w:p>
    <w:p w14:paraId="4F2331F7">
      <w:pPr>
        <w:pStyle w:val="1128"/>
        <w:suppressLineNumbers w:val="false"/>
        <w:pBdr/>
        <w:spacing w:line="300" w:lineRule="auto"/>
        <w:ind w:firstLine="0"/>
        <w:rPr>
          <w:b w:val="0"/>
          <w:bCs w:val="0"/>
        </w:rPr>
      </w:pPr>
      <w:r>
        <w:rPr>
          <w:b w:val="0"/>
          <w:bCs w:val="0"/>
          <w:highlight w:val="none"/>
        </w:rPr>
        <w:t xml:space="preserve">dataset curation and split freezing -&gt; supervised and generative baseline construction -&gt; controlled severity prediction -&gt; statistical evaluation -&gt; error analysis</w:t>
      </w:r>
      <w:r>
        <w:rPr>
          <w:b w:val="0"/>
          <w:bCs w:val="0"/>
        </w:rPr>
      </w:r>
      <w:r>
        <w:rPr>
          <w:b w:val="0"/>
          <w:bCs w:val="0"/>
        </w:rPr>
      </w:r>
    </w:p>
    <w:p w14:paraId="75835759">
      <w:pPr>
        <w:pStyle w:val="1128"/>
        <w:suppressLineNumbers w:val="false"/>
        <w:pBdr/>
        <w:spacing w:line="300" w:lineRule="auto"/>
        <w:ind w:firstLine="0"/>
        <w:rPr/>
      </w:pPr>
      <w:r>
        <w:rPr>
          <w:highlight w:val="none"/>
        </w:rPr>
        <w:t xml:space="preserve">T</w:t>
      </w:r>
      <w:r>
        <w:rPr>
          <w:highlight w:val="none"/>
        </w:rPr>
        <w:t xml:space="preserve">he key design principle is that each stage should narrow the gap between flexible multimodal generation and clinically disciplined scoring. The pipeline is therefore built in layers, where each layer has a distinct role in separating genuine improvement fr</w:t>
      </w:r>
      <w:r>
        <w:rPr>
          <w:highlight w:val="none"/>
        </w:rPr>
        <w:t xml:space="preserve">om prompt-induced noise.</w:t>
      </w:r>
      <w:r>
        <w:rPr>
          <w:highlight w:val="none"/>
        </w:rPr>
      </w:r>
      <w:r/>
    </w:p>
    <w:p w14:paraId="538872A3">
      <w:pPr>
        <w:pStyle w:val="1128"/>
        <w:suppressLineNumbers w:val="false"/>
        <w:pBdr/>
        <w:spacing w:line="300" w:lineRule="auto"/>
        <w:ind w:firstLine="0"/>
        <w:rPr>
          <w:b/>
          <w:bCs/>
        </w:rPr>
      </w:pPr>
      <w:r>
        <w:rPr>
          <w:b/>
          <w:bCs/>
          <w:highlight w:val="none"/>
        </w:rPr>
        <w:t xml:space="preserve">4.3.1 Data Preparation and Split Freezing</w:t>
      </w:r>
      <w:r>
        <w:rPr>
          <w:b/>
          <w:bCs/>
        </w:rPr>
      </w:r>
      <w:r>
        <w:rPr>
          <w:b/>
          <w:bCs/>
        </w:rPr>
      </w:r>
    </w:p>
    <w:p w14:paraId="51BDCFEB">
      <w:pPr>
        <w:pStyle w:val="1128"/>
        <w:suppressLineNumbers w:val="false"/>
        <w:pBdr/>
        <w:spacing w:line="300" w:lineRule="auto"/>
        <w:ind w:firstLine="0"/>
        <w:rPr/>
      </w:pPr>
      <w:r>
        <w:rPr>
          <w:highlight w:val="none"/>
        </w:rPr>
        <w:t xml:space="preserve">T</w:t>
      </w:r>
      <w:r>
        <w:rPr>
          <w:highlight w:val="none"/>
        </w:rPr>
        <w:t xml:space="preserve">he first layer is the preparation layer implemented in Prototyping_reformat/DatasetAnalysis/LIMUC/0_dataset_prep/01_build_metadata_images_and_manifests.ipynb [69]. Its purpose is not only to gather images and labels, but to create a reproducible task defin</w:t>
      </w:r>
      <w:r>
        <w:rPr>
          <w:highlight w:val="none"/>
        </w:rPr>
        <w:t xml:space="preserve">ition. The notebook generates metadata tables, split assignments, label mappings, and a split hash so that downstream experiments can be traced back to a fixed data state.</w:t>
      </w:r>
      <w:r>
        <w:rPr>
          <w:highlight w:val="none"/>
        </w:rPr>
      </w:r>
      <w:r/>
    </w:p>
    <w:p w14:paraId="435899B7">
      <w:pPr>
        <w:pStyle w:val="1128"/>
        <w:suppressLineNumbers w:val="false"/>
        <w:pBdr/>
        <w:spacing w:line="300" w:lineRule="auto"/>
        <w:ind w:firstLine="0"/>
        <w:rPr/>
      </w:pPr>
      <w:r>
        <w:rPr>
          <w:highlight w:val="none"/>
        </w:rPr>
        <w:t xml:space="preserve">T</w:t>
      </w:r>
      <w:r>
        <w:rPr>
          <w:highlight w:val="none"/>
        </w:rPr>
        <w:t xml:space="preserve">his step is methodologically important because later comparisons would be difficult to defend if the underlying train, validation, and test composition were allowed to drift. In a dissertation setting, reproducibility is not a convenience feature; it is pa</w:t>
      </w:r>
      <w:r>
        <w:rPr>
          <w:highlight w:val="none"/>
        </w:rPr>
        <w:t xml:space="preserve">r</w:t>
      </w:r>
      <w:r>
        <w:rPr>
          <w:highlight w:val="none"/>
        </w:rPr>
        <w:t xml:space="preserve">t of the evidential argument. By freezing the metadata snapshot and the split structure before model comparison, the chapter avoids a common problem in multimodal experimentation where performance differences become entangled with unnoticed preprocessing c</w:t>
      </w:r>
      <w:r>
        <w:rPr>
          <w:highlight w:val="none"/>
        </w:rPr>
        <w:t xml:space="preserve">hanges.</w:t>
      </w:r>
      <w:r>
        <w:rPr>
          <w:highlight w:val="none"/>
        </w:rPr>
      </w:r>
      <w:r/>
    </w:p>
    <w:p w14:paraId="07575C15">
      <w:pPr>
        <w:pStyle w:val="1128"/>
        <w:suppressLineNumbers w:val="false"/>
        <w:pBdr/>
        <w:spacing w:line="300" w:lineRule="auto"/>
        <w:ind w:firstLine="0"/>
        <w:rPr>
          <w:b/>
          <w:bCs/>
        </w:rPr>
      </w:pPr>
      <w:r>
        <w:rPr>
          <w:b/>
          <w:bCs/>
          <w:highlight w:val="none"/>
        </w:rPr>
        <w:t xml:space="preserve">4.3.2 Supervised Reliability Anchor</w:t>
      </w:r>
      <w:r>
        <w:rPr>
          <w:b/>
          <w:bCs/>
        </w:rPr>
      </w:r>
      <w:r>
        <w:rPr>
          <w:b/>
          <w:bCs/>
        </w:rPr>
      </w:r>
    </w:p>
    <w:p w14:paraId="50DE3832">
      <w:pPr>
        <w:pStyle w:val="1128"/>
        <w:suppressLineNumbers w:val="false"/>
        <w:pBdr/>
        <w:spacing w:line="300" w:lineRule="auto"/>
        <w:ind w:firstLine="0"/>
        <w:rPr/>
      </w:pPr>
      <w:r>
        <w:rPr>
          <w:highlight w:val="none"/>
        </w:rPr>
        <w:t xml:space="preserve">The second layer establishes a strong supervised anchor. This layer includes both frozen-encoder baselines and fine-tuned discriminative baselines. The frozen-encoder baselines are implemented in:</w:t>
      </w:r>
      <w:r>
        <w:rPr>
          <w:highlight w:val="none"/>
        </w:rPr>
      </w:r>
      <w:r/>
    </w:p>
    <w:p w14:paraId="352F9AE2">
      <w:pPr>
        <w:pStyle w:val="1128"/>
        <w:numPr>
          <w:ilvl w:val="0"/>
          <w:numId w:val="75"/>
        </w:numPr>
        <w:suppressLineNumbers w:val="false"/>
        <w:pBdr/>
        <w:spacing w:line="300" w:lineRule="auto"/>
        <w:ind/>
        <w:rPr/>
      </w:pPr>
      <w:r>
        <w:rPr>
          <w:highlight w:val="none"/>
        </w:rPr>
        <w:t xml:space="preserve">Prototyping_reformat/DatasetAnalysis/LIMUC/1_frozen_encoders/resnet50_frozen_logreg.ipynb [70]</w:t>
      </w:r>
      <w:r/>
    </w:p>
    <w:p w14:paraId="125B2467">
      <w:pPr>
        <w:pStyle w:val="1128"/>
        <w:numPr>
          <w:ilvl w:val="0"/>
          <w:numId w:val="75"/>
        </w:numPr>
        <w:suppressLineNumbers w:val="false"/>
        <w:pBdr/>
        <w:spacing w:line="300" w:lineRule="auto"/>
        <w:ind/>
        <w:rPr/>
      </w:pPr>
      <w:r>
        <w:rPr>
          <w:highlight w:val="none"/>
        </w:rPr>
        <w:t xml:space="preserve">Prototyping_reformat/DatasetAnalysis/LIMUC/1_frozen_encoders/vit_frozen_logreg.ipynb [71]</w:t>
      </w:r>
      <w:r/>
    </w:p>
    <w:p w14:paraId="570921E0">
      <w:pPr>
        <w:pStyle w:val="1128"/>
        <w:numPr>
          <w:ilvl w:val="0"/>
          <w:numId w:val="75"/>
        </w:numPr>
        <w:suppressLineNumbers w:val="false"/>
        <w:pBdr/>
        <w:spacing w:line="300" w:lineRule="auto"/>
        <w:ind/>
        <w:rPr/>
      </w:pPr>
      <w:r>
        <w:rPr>
          <w:highlight w:val="none"/>
        </w:rPr>
        <w:t xml:space="preserve">Prototyping_reformat/DatasetAnalysis/LIMUC/1_frozen_encoders/clip_linear_baseline.ipynb [72]</w:t>
      </w:r>
      <w:r/>
    </w:p>
    <w:p w14:paraId="2F9F99D5">
      <w:pPr>
        <w:pStyle w:val="1128"/>
        <w:suppressLineNumbers w:val="false"/>
        <w:pBdr/>
        <w:spacing w:line="300" w:lineRule="auto"/>
        <w:ind w:firstLine="0"/>
        <w:rPr/>
      </w:pPr>
      <w:r>
        <w:rPr>
          <w:highlight w:val="none"/>
        </w:rPr>
        <w:t xml:space="preserve">The fine-tuned baselines are implemented in:</w:t>
      </w:r>
      <w:r>
        <w:rPr>
          <w:highlight w:val="none"/>
        </w:rPr>
      </w:r>
      <w:r/>
    </w:p>
    <w:p w14:paraId="46BF3408">
      <w:pPr>
        <w:pStyle w:val="1128"/>
        <w:numPr>
          <w:ilvl w:val="0"/>
          <w:numId w:val="76"/>
        </w:numPr>
        <w:suppressLineNumbers w:val="false"/>
        <w:pBdr/>
        <w:spacing w:line="300" w:lineRule="auto"/>
        <w:ind/>
        <w:rPr/>
      </w:pPr>
      <w:r>
        <w:rPr>
          <w:highlight w:val="none"/>
        </w:rPr>
        <w:t xml:space="preserve">Prototyping_reformat/DatasetAnalysis/LIMUC/2_supervised_finetuning/finetune_resnet50.ipynb [73]</w:t>
      </w:r>
      <w:r/>
    </w:p>
    <w:p w14:paraId="04A7E25E">
      <w:pPr>
        <w:pStyle w:val="1128"/>
        <w:numPr>
          <w:ilvl w:val="0"/>
          <w:numId w:val="76"/>
        </w:numPr>
        <w:suppressLineNumbers w:val="false"/>
        <w:pBdr/>
        <w:spacing w:line="300" w:lineRule="auto"/>
        <w:ind/>
        <w:rPr/>
      </w:pPr>
      <w:r>
        <w:rPr>
          <w:highlight w:val="none"/>
        </w:rPr>
        <w:t xml:space="preserve">Prototyping_reformat/DatasetAnalysis/LIMUC/2_supervised_finetuning/finetune_vit_or_swin.ipynb [74]</w:t>
      </w:r>
      <w:r/>
    </w:p>
    <w:p w14:paraId="26C1DAC9">
      <w:pPr>
        <w:pStyle w:val="1128"/>
        <w:suppressLineNumbers w:val="false"/>
        <w:pBdr/>
        <w:spacing w:line="300" w:lineRule="auto"/>
        <w:ind w:firstLine="0"/>
        <w:rPr/>
      </w:pPr>
      <w:r>
        <w:rPr>
          <w:highlight w:val="none"/>
        </w:rPr>
        <w:t xml:space="preserve">T</w:t>
      </w:r>
      <w:r>
        <w:rPr>
          <w:highlight w:val="none"/>
        </w:rPr>
        <w:t xml:space="preserve">hese baselines are not included merely for completeness. They define the minimum standard that any generative method must surpass to be taken seriously. In many medical-imaging settings, a generative system appears attractive because it produces human-read</w:t>
      </w:r>
      <w:r>
        <w:rPr>
          <w:highlight w:val="none"/>
        </w:rPr>
        <w:t xml:space="preserve">a</w:t>
      </w:r>
      <w:r>
        <w:rPr>
          <w:highlight w:val="none"/>
        </w:rPr>
        <w:t xml:space="preserve">ble text, yet still underperforms a simpler classifier on the actual decision variable of interest. By anchoring the chapter on supervised performance first, the proposed method is evaluated against the best currently justified alternative rather than agai</w:t>
      </w:r>
      <w:r>
        <w:rPr>
          <w:highlight w:val="none"/>
        </w:rPr>
        <w:t xml:space="preserve">nst an artificially weak baseline.</w:t>
      </w:r>
      <w:r/>
    </w:p>
    <w:p w14:paraId="68680794">
      <w:pPr>
        <w:pStyle w:val="1128"/>
        <w:suppressLineNumbers w:val="false"/>
        <w:pBdr/>
        <w:spacing w:line="300" w:lineRule="auto"/>
        <w:ind w:firstLine="0"/>
        <w:rPr/>
      </w:pPr>
      <w:r>
        <w:rPr>
          <w:highlight w:val="none"/>
        </w:rPr>
      </w:r>
      <w:r/>
    </w:p>
    <w:p w14:paraId="12CC7DB8">
      <w:pPr>
        <w:pStyle w:val="1128"/>
        <w:suppressLineNumbers w:val="false"/>
        <w:pBdr/>
        <w:spacing w:line="300" w:lineRule="auto"/>
        <w:ind w:firstLine="0"/>
        <w:rPr>
          <w:b/>
          <w:bCs/>
        </w:rPr>
      </w:pPr>
      <w:r>
        <w:rPr>
          <w:b/>
          <w:bCs/>
          <w:highlight w:val="none"/>
        </w:rPr>
        <w:t xml:space="preserve">4.3.3 Zero-Shot Generative Baseline</w:t>
      </w:r>
      <w:r>
        <w:rPr>
          <w:b/>
          <w:bCs/>
        </w:rPr>
      </w:r>
      <w:r>
        <w:rPr>
          <w:b/>
          <w:bCs/>
        </w:rPr>
      </w:r>
    </w:p>
    <w:p w14:paraId="09CF77E6">
      <w:pPr>
        <w:pStyle w:val="1128"/>
        <w:suppressLineNumbers w:val="false"/>
        <w:pBdr/>
        <w:spacing w:line="300" w:lineRule="auto"/>
        <w:ind w:firstLine="0"/>
        <w:rPr/>
      </w:pPr>
      <w:r>
        <w:rPr>
          <w:highlight w:val="none"/>
        </w:rPr>
        <w:t xml:space="preserve">T</w:t>
      </w:r>
      <w:r>
        <w:rPr>
          <w:highlight w:val="none"/>
        </w:rPr>
        <w:t xml:space="preserve">he third layer introduces a zero-shot generative severity baseline through Prototyping_reformat/DatasetAnalysis/LIMUC/3_vlm_severity/vlm_zero_shot_mayo.ipynb [75]. This layer is important because it exposes the raw transfer gap between general multimodal f</w:t>
      </w:r>
      <w:r>
        <w:rPr>
          <w:highlight w:val="none"/>
        </w:rPr>
        <w:t xml:space="preserve">luency and clinically controlled severity scoring.</w:t>
      </w:r>
      <w:r>
        <w:rPr>
          <w:highlight w:val="none"/>
        </w:rPr>
      </w:r>
      <w:r/>
    </w:p>
    <w:p w14:paraId="1C382258">
      <w:pPr>
        <w:pStyle w:val="1128"/>
        <w:suppressLineNumbers w:val="false"/>
        <w:pBdr/>
        <w:spacing w:line="300" w:lineRule="auto"/>
        <w:ind w:firstLine="0"/>
        <w:rPr/>
      </w:pPr>
      <w:r>
        <w:rPr>
          <w:highlight w:val="none"/>
        </w:rPr>
        <w:t xml:space="preserve">T</w:t>
      </w:r>
      <w:r>
        <w:rPr>
          <w:highlight w:val="none"/>
        </w:rPr>
        <w:t xml:space="preserve">he zero-shot setup uses a fixed severity question prompt and expects a constrained textual output in the form SCORE: X, where X must belong to {0,1,2,3}. A strict parser then extracts the score and marks invalid or noncompliant generations explicitly. This</w:t>
      </w:r>
      <w:r>
        <w:rPr>
          <w:highlight w:val="none"/>
        </w:rPr>
        <w:t xml:space="preserve"> </w:t>
      </w:r>
      <w:r>
        <w:rPr>
          <w:highlight w:val="none"/>
        </w:rPr>
        <w:t xml:space="preserve">design serves two functions. First, it gives the zero-shot model the best possible chance to succeed under a clear format. Second, it prevents the evaluation from rewarding free-form answers that sound plausible but cannot be mapped reliably to the task la</w:t>
      </w:r>
      <w:r>
        <w:rPr>
          <w:highlight w:val="none"/>
        </w:rPr>
        <w:t xml:space="preserve">bel space.</w:t>
      </w:r>
      <w:r>
        <w:rPr>
          <w:highlight w:val="none"/>
        </w:rPr>
      </w:r>
      <w:r/>
    </w:p>
    <w:p w14:paraId="0D62754C">
      <w:pPr>
        <w:pStyle w:val="1128"/>
        <w:suppressLineNumbers w:val="false"/>
        <w:pBdr/>
        <w:spacing w:line="300" w:lineRule="auto"/>
        <w:ind w:firstLine="0"/>
        <w:rPr/>
      </w:pPr>
      <w:r>
        <w:rPr>
          <w:highlight w:val="none"/>
        </w:rPr>
        <w:t xml:space="preserve">Zero-shot evaluation is therefore treated as a diagnostic baseline, not as the proposed solution. Its role is to show what prompt-only transfer can and cannot do before any in-domain adaptation is introduced.</w:t>
      </w:r>
      <w:r/>
    </w:p>
    <w:p w14:paraId="65E808BF">
      <w:pPr>
        <w:pStyle w:val="1128"/>
        <w:suppressLineNumbers w:val="false"/>
        <w:pBdr/>
        <w:spacing w:line="300" w:lineRule="auto"/>
        <w:ind w:firstLine="0"/>
        <w:rPr/>
      </w:pPr>
      <w:r>
        <w:rPr>
          <w:highlight w:val="none"/>
        </w:rPr>
      </w:r>
      <w:r/>
    </w:p>
    <w:p w14:paraId="6D4E490B">
      <w:pPr>
        <w:pStyle w:val="1128"/>
        <w:suppressLineNumbers w:val="false"/>
        <w:pBdr/>
        <w:spacing w:line="300" w:lineRule="auto"/>
        <w:ind w:firstLine="0"/>
        <w:rPr>
          <w:b/>
          <w:bCs/>
        </w:rPr>
      </w:pPr>
      <w:r>
        <w:rPr>
          <w:b/>
          <w:bCs/>
          <w:highlight w:val="none"/>
        </w:rPr>
        <w:t xml:space="preserve">4.3.4 Parameter-Efficient Generative Adaptation with LoRA</w:t>
      </w:r>
      <w:r>
        <w:rPr>
          <w:b/>
          <w:bCs/>
        </w:rPr>
      </w:r>
      <w:r>
        <w:rPr>
          <w:b/>
          <w:bCs/>
        </w:rPr>
      </w:r>
    </w:p>
    <w:p w14:paraId="4F82708E">
      <w:pPr>
        <w:pStyle w:val="1128"/>
        <w:suppressLineNumbers w:val="false"/>
        <w:pBdr/>
        <w:spacing w:line="300" w:lineRule="auto"/>
        <w:ind w:firstLine="0"/>
        <w:rPr/>
      </w:pPr>
      <w:r>
        <w:rPr>
          <w:highlight w:val="none"/>
        </w:rPr>
        <w:t xml:space="preserve">T</w:t>
      </w:r>
      <w:r>
        <w:rPr>
          <w:highlight w:val="none"/>
        </w:rPr>
        <w:t xml:space="preserve">he central methodological contribution of this chapter is the parameter-efficient adaptation layer implemented in Prototyping_reformat/DatasetAnalysis/LIMUC/3_vlm_severity/vlm_lora_finetune_mayo.ipynb [76]. This stage adapts a vision-language generation st</w:t>
      </w:r>
      <w:r>
        <w:rPr>
          <w:highlight w:val="none"/>
        </w:rPr>
        <w:t xml:space="preserve">ack using Low-Rank Adaptation (LoRA) rather than full end-to-end retraining [67].</w:t>
      </w:r>
      <w:r>
        <w:rPr>
          <w:highlight w:val="none"/>
        </w:rPr>
      </w:r>
      <w:r/>
    </w:p>
    <w:p w14:paraId="18C6E4D9">
      <w:pPr>
        <w:pStyle w:val="1128"/>
        <w:suppressLineNumbers w:val="false"/>
        <w:pBdr/>
        <w:spacing w:line="300" w:lineRule="auto"/>
        <w:ind w:firstLine="0"/>
        <w:rPr/>
      </w:pPr>
      <w:r>
        <w:rPr>
          <w:highlight w:val="none"/>
        </w:rPr>
        <w:t xml:space="preserve">L</w:t>
      </w:r>
      <w:r>
        <w:rPr>
          <w:highlight w:val="none"/>
        </w:rPr>
        <w:t xml:space="preserve">oRA is appropriate here for both practical and scientific reasons. Practically, it reduces the memory and optimization cost of adapting a large multimodal model. Scientifically, it allows the chapter to test whether a large pretrained vision-language model</w:t>
      </w:r>
      <w:r>
        <w:rPr>
          <w:highlight w:val="none"/>
        </w:rPr>
        <w:t xml:space="preserve"> </w:t>
      </w:r>
      <w:r>
        <w:rPr>
          <w:highlight w:val="none"/>
        </w:rPr>
        <w:t xml:space="preserve">can be made clinically useful for severity grading through targeted task adaptation rather than through unrestricted generation. The final architecture used in the comparison is BLIP2-Flan-T5-XL with LoRA adapters applied to the generative stack [68], [76]</w:t>
      </w:r>
      <w:r>
        <w:rPr>
          <w:highlight w:val="none"/>
        </w:rPr>
        <w:t xml:space="preserve">.</w:t>
      </w:r>
      <w:r>
        <w:rPr>
          <w:highlight w:val="none"/>
        </w:rPr>
      </w:r>
      <w:r/>
    </w:p>
    <w:p w14:paraId="3F37A53E">
      <w:pPr>
        <w:pStyle w:val="1128"/>
        <w:suppressLineNumbers w:val="false"/>
        <w:pBdr/>
        <w:spacing w:line="300" w:lineRule="auto"/>
        <w:ind w:firstLine="0"/>
        <w:rPr/>
      </w:pPr>
      <w:r>
        <w:rPr>
          <w:highlight w:val="none"/>
        </w:rPr>
        <w:t xml:space="preserve">This design direction is consistent with recent medical multimodal literature that emphasizes integrating vision and language foundation models under task-aware constraints for clinically useful behavior [105], [106].</w:t>
      </w:r>
      <w:r>
        <w:rPr>
          <w:highlight w:val="none"/>
        </w:rPr>
      </w:r>
      <w:r/>
    </w:p>
    <w:p w14:paraId="0614E0C4">
      <w:pPr>
        <w:pStyle w:val="1128"/>
        <w:suppressLineNumbers w:val="false"/>
        <w:pBdr/>
        <w:spacing w:line="300" w:lineRule="auto"/>
        <w:ind w:firstLine="0"/>
        <w:rPr/>
      </w:pPr>
      <w:r>
        <w:rPr>
          <w:highlight w:val="none"/>
        </w:rPr>
        <w:t xml:space="preserve">T</w:t>
      </w:r>
      <w:r>
        <w:rPr>
          <w:highlight w:val="none"/>
        </w:rPr>
        <w:t xml:space="preserve">wo design choices are especially important. First, the target format is supervised explicitly so that the model learns to emit the severity token under a stable prefix rather than producing unconstrained prose. Second, the objective is label-token-focused,</w:t>
      </w:r>
      <w:r>
        <w:rPr>
          <w:highlight w:val="none"/>
        </w:rPr>
        <w:t xml:space="preserve"> </w:t>
      </w:r>
      <w:r>
        <w:rPr>
          <w:highlight w:val="none"/>
        </w:rPr>
        <w:t xml:space="preserve">which reduces the incentive to learn decorative language that is irrelevant to the Mayo decision itself. In other words, the model is still generative at the interface level, but its training objective is deliberately aligned with a bounded clinical output</w:t>
      </w:r>
      <w:r>
        <w:rPr>
          <w:highlight w:val="none"/>
        </w:rPr>
        <w:t xml:space="preserve">.</w:t>
      </w:r>
      <w:r/>
    </w:p>
    <w:p w14:paraId="319B94D9">
      <w:pPr>
        <w:pStyle w:val="1128"/>
        <w:suppressLineNumbers w:val="false"/>
        <w:pBdr/>
        <w:spacing w:line="300" w:lineRule="auto"/>
        <w:ind w:firstLine="0"/>
        <w:rPr/>
      </w:pPr>
      <w:r>
        <w:rPr>
          <w:highlight w:val="none"/>
        </w:rPr>
      </w:r>
      <w:r/>
    </w:p>
    <w:p w14:paraId="74CCCD86">
      <w:pPr>
        <w:pStyle w:val="1128"/>
        <w:suppressLineNumbers w:val="false"/>
        <w:pBdr/>
        <w:spacing w:line="300" w:lineRule="auto"/>
        <w:ind w:firstLine="0"/>
        <w:rPr>
          <w:b/>
          <w:bCs/>
        </w:rPr>
      </w:pPr>
      <w:r>
        <w:rPr>
          <w:b/>
          <w:bCs/>
          <w:highlight w:val="none"/>
        </w:rPr>
        <w:t xml:space="preserve">4.3.5 Retrieval-Supported Extension Path</w:t>
      </w:r>
      <w:r>
        <w:rPr>
          <w:b/>
          <w:bCs/>
        </w:rPr>
      </w:r>
      <w:r>
        <w:rPr>
          <w:b/>
          <w:bCs/>
        </w:rPr>
      </w:r>
    </w:p>
    <w:p w14:paraId="60E61F4B">
      <w:pPr>
        <w:pStyle w:val="1128"/>
        <w:suppressLineNumbers w:val="false"/>
        <w:pBdr/>
        <w:spacing w:line="300" w:lineRule="auto"/>
        <w:ind w:firstLine="0"/>
        <w:rPr/>
      </w:pPr>
      <w:r>
        <w:rPr>
          <w:highlight w:val="none"/>
        </w:rPr>
        <w:t xml:space="preserve">T</w:t>
      </w:r>
      <w:r>
        <w:rPr>
          <w:highlight w:val="none"/>
        </w:rPr>
        <w:t xml:space="preserve">he repository also contains a retrieval-backed design pattern in Prototyping_reformat/DatasetAnalysis/Kvasir_VQA_x1/2_modeling/09_rag_blip2_eval/01_rag_blip2_eval.ipynb [77]. That pattern is relevant to the broader dissertation because it anticipates evide</w:t>
      </w:r>
      <w:r>
        <w:rPr>
          <w:highlight w:val="none"/>
        </w:rPr>
        <w:t xml:space="preserve">nce-grounded multimodal reasoning. However, it is not part of the primary Chapter 4 claim.</w:t>
      </w:r>
      <w:r>
        <w:rPr>
          <w:highlight w:val="none"/>
        </w:rPr>
      </w:r>
      <w:r/>
    </w:p>
    <w:p w14:paraId="1D270E04">
      <w:pPr>
        <w:pStyle w:val="1128"/>
        <w:suppressLineNumbers w:val="false"/>
        <w:pBdr/>
        <w:spacing w:line="300" w:lineRule="auto"/>
        <w:ind w:firstLine="0"/>
        <w:rPr/>
      </w:pPr>
      <w:r>
        <w:rPr>
          <w:highlight w:val="none"/>
        </w:rPr>
        <w:t xml:space="preserve">T</w:t>
      </w:r>
      <w:r>
        <w:rPr>
          <w:highlight w:val="none"/>
        </w:rPr>
        <w:t xml:space="preserve">his exclusion is intentional. If retrieval support were added at the same time as severity adaptation, any improvement would become harder to attribute. Chapter 4 is therefore designed to answer a narrower question first: can a generative severity model ou</w:t>
      </w:r>
      <w:r>
        <w:rPr>
          <w:highlight w:val="none"/>
        </w:rPr>
        <w:t xml:space="preserve">tperform a strong supervised baseline on the internal task when the output space is tightly controlled? Only after that question is answered does the dissertation move, in Chapter 5, to the separate problem of evidence-grounded query support.</w:t>
      </w:r>
      <w:r/>
    </w:p>
    <w:p w14:paraId="22509F81">
      <w:pPr>
        <w:pStyle w:val="1128"/>
        <w:suppressLineNumbers w:val="false"/>
        <w:pBdr/>
        <w:spacing w:line="300" w:lineRule="auto"/>
        <w:ind w:firstLine="0"/>
        <w:rPr/>
      </w:pPr>
      <w:r>
        <w:rPr>
          <w:highlight w:val="none"/>
        </w:rPr>
      </w:r>
      <w:r/>
    </w:p>
    <w:p w14:paraId="12FCA65B">
      <w:pPr>
        <w:pStyle w:val="1128"/>
        <w:suppressLineNumbers w:val="false"/>
        <w:pBdr/>
        <w:spacing w:line="300" w:lineRule="auto"/>
        <w:ind w:firstLine="0"/>
        <w:rPr>
          <w:b/>
          <w:bCs/>
          <w:sz w:val="28"/>
          <w:szCs w:val="28"/>
        </w:rPr>
      </w:pPr>
      <w:r>
        <w:rPr>
          <w:b/>
          <w:bCs/>
          <w:sz w:val="28"/>
          <w:szCs w:val="28"/>
          <w:highlight w:val="none"/>
        </w:rPr>
        <w:t xml:space="preserve">4.4 Experimental Design and Evaluation Protocol</w:t>
      </w:r>
      <w:r>
        <w:rPr>
          <w:b/>
          <w:bCs/>
          <w:sz w:val="28"/>
          <w:szCs w:val="28"/>
        </w:rPr>
      </w:r>
      <w:r>
        <w:rPr>
          <w:b/>
          <w:bCs/>
          <w:sz w:val="28"/>
          <w:szCs w:val="28"/>
        </w:rPr>
      </w:r>
    </w:p>
    <w:p w14:paraId="2A1AB235">
      <w:pPr>
        <w:pStyle w:val="1128"/>
        <w:suppressLineNumbers w:val="false"/>
        <w:pBdr/>
        <w:spacing w:line="300" w:lineRule="auto"/>
        <w:ind w:firstLine="0"/>
        <w:rPr/>
      </w:pPr>
      <w:r>
        <w:rPr>
          <w:highlight w:val="none"/>
        </w:rPr>
        <w:t xml:space="preserve">T</w:t>
      </w:r>
      <w:r>
        <w:rPr>
          <w:highlight w:val="none"/>
        </w:rPr>
        <w:t xml:space="preserve">he experimental design is structured to distinguish genuine task learning from output-format artifacts. Because the proposed method sits between classification and generation, the evaluation protocol must measure both predictive quality and output controll</w:t>
      </w:r>
      <w:r>
        <w:rPr>
          <w:highlight w:val="none"/>
        </w:rPr>
        <w:t xml:space="preserve">ability.</w:t>
      </w:r>
      <w:r>
        <w:rPr>
          <w:highlight w:val="none"/>
        </w:rPr>
      </w:r>
      <w:r/>
    </w:p>
    <w:p w14:paraId="0C79154A">
      <w:pPr>
        <w:pStyle w:val="1128"/>
        <w:suppressLineNumbers w:val="false"/>
        <w:pBdr/>
        <w:spacing w:line="300" w:lineRule="auto"/>
        <w:ind w:firstLine="0"/>
        <w:rPr>
          <w:b/>
          <w:bCs/>
        </w:rPr>
      </w:pPr>
      <w:r>
        <w:rPr>
          <w:b/>
          <w:bCs/>
          <w:highlight w:val="none"/>
        </w:rPr>
        <w:t xml:space="preserve">4.4.1 Task Formulation and Output Modes</w:t>
      </w:r>
      <w:r>
        <w:rPr>
          <w:b/>
          <w:bCs/>
        </w:rPr>
      </w:r>
      <w:r>
        <w:rPr>
          <w:b/>
          <w:bCs/>
        </w:rPr>
      </w:r>
    </w:p>
    <w:p w14:paraId="657485D4">
      <w:pPr>
        <w:pStyle w:val="1128"/>
        <w:suppressLineNumbers w:val="false"/>
        <w:pBdr/>
        <w:spacing w:line="300" w:lineRule="auto"/>
        <w:ind w:firstLine="0"/>
        <w:rPr/>
      </w:pPr>
      <w:r>
        <w:rPr>
          <w:highlight w:val="none"/>
        </w:rPr>
        <w:t xml:space="preserve">T</w:t>
      </w:r>
      <w:r>
        <w:rPr>
          <w:highlight w:val="none"/>
        </w:rPr>
        <w:t xml:space="preserve">he input to the system is a single colonoscopy frame paired with a fixed severity question prompt. The required output is a Mayo score in the closed set {0,1,2,3}. Although the broader dissertation is interested in richer physician-facing interaction, the </w:t>
      </w:r>
      <w:r>
        <w:rPr>
          <w:highlight w:val="none"/>
        </w:rPr>
        <w:t xml:space="preserve">formal Chapter 4 task remains score prediction. Any optional evidence phrase is therefore treated as a deferred extension rather than a headline result.</w:t>
      </w:r>
      <w:r>
        <w:rPr>
          <w:highlight w:val="none"/>
        </w:rPr>
      </w:r>
      <w:r/>
    </w:p>
    <w:p w14:paraId="543C0EAC">
      <w:pPr>
        <w:pStyle w:val="1128"/>
        <w:suppressLineNumbers w:val="false"/>
        <w:pBdr/>
        <w:spacing w:line="300" w:lineRule="auto"/>
        <w:ind w:firstLine="0"/>
        <w:rPr/>
      </w:pPr>
      <w:r>
        <w:rPr>
          <w:highlight w:val="none"/>
        </w:rPr>
        <w:t xml:space="preserve">Two evaluation lanes are used for the LoRA-adapted system:</w:t>
      </w:r>
      <w:r>
        <w:rPr>
          <w:highlight w:val="none"/>
        </w:rPr>
      </w:r>
      <w:r/>
    </w:p>
    <w:p w14:paraId="7FBD838D">
      <w:pPr>
        <w:pStyle w:val="1128"/>
        <w:numPr>
          <w:ilvl w:val="0"/>
          <w:numId w:val="77"/>
        </w:numPr>
        <w:suppressLineNumbers w:val="false"/>
        <w:pBdr/>
        <w:spacing w:line="300" w:lineRule="auto"/>
        <w:ind/>
        <w:rPr/>
      </w:pPr>
      <w:r>
        <w:rPr>
          <w:highlight w:val="none"/>
        </w:rPr>
        <w:t xml:space="preserve">mode1 (lora_mode1_train): the model generates text under the constrained prompt format, after which a strict parser extracts SCORE: &lt;0|1|2|3&gt;.</w:t>
      </w:r>
      <w:r/>
    </w:p>
    <w:p w14:paraId="75261ACF">
      <w:pPr>
        <w:pStyle w:val="1128"/>
        <w:numPr>
          <w:ilvl w:val="0"/>
          <w:numId w:val="77"/>
        </w:numPr>
        <w:suppressLineNumbers w:val="false"/>
        <w:pBdr/>
        <w:spacing w:line="300" w:lineRule="auto"/>
        <w:ind/>
        <w:rPr/>
      </w:pPr>
      <w:r>
        <w:rPr>
          <w:highlight w:val="none"/>
        </w:rPr>
        <w:t xml:space="preserve">mode2 (lora_mode2_eval): the score is selected by candidate-label likelihood after the SCORE: prefix using a sequence_logprob strategy, without relying on free-text parsing.</w:t>
      </w:r>
      <w:r/>
    </w:p>
    <w:p w14:paraId="2ED61A48">
      <w:pPr>
        <w:pStyle w:val="1128"/>
        <w:suppressLineNumbers w:val="false"/>
        <w:pBdr/>
        <w:spacing w:line="300" w:lineRule="auto"/>
        <w:ind w:firstLine="0"/>
        <w:rPr/>
      </w:pPr>
      <w:r>
        <w:rPr>
          <w:highlight w:val="none"/>
        </w:rPr>
        <w:t xml:space="preserve">T</w:t>
      </w:r>
      <w:r>
        <w:rPr>
          <w:highlight w:val="none"/>
        </w:rPr>
        <w:t xml:space="preserve">hese two lanes serve different purposes. mode1 is the primary generative lane because it preserves a natural generation pathway while still enforcing explicit output control. mode2 is a controlled ablation that removes free-text parsing and reduces the tas</w:t>
      </w:r>
      <w:r>
        <w:rPr>
          <w:highlight w:val="none"/>
        </w:rPr>
        <w:t xml:space="preserve">k</w:t>
      </w:r>
      <w:r>
        <w:rPr>
          <w:highlight w:val="none"/>
        </w:rPr>
        <w:t xml:space="preserve"> to likelihood-based label selection. If mode2 were to match or exceed mode1, the implication would be that free-text generation is unnecessary. If mode2 fails, the implication is that the observed benefit comes from the adapted generation process rather t</w:t>
      </w:r>
      <w:r>
        <w:rPr>
          <w:highlight w:val="none"/>
        </w:rPr>
        <w:t xml:space="preserve">han from a trivial label-probability shortcut.</w:t>
      </w:r>
      <w:r/>
    </w:p>
    <w:p w14:paraId="326E43D3">
      <w:pPr>
        <w:pStyle w:val="1128"/>
        <w:suppressLineNumbers w:val="false"/>
        <w:pBdr/>
        <w:spacing w:line="300" w:lineRule="auto"/>
        <w:ind w:firstLine="0"/>
        <w:rPr/>
      </w:pPr>
      <w:r>
        <w:rPr>
          <w:highlight w:val="none"/>
        </w:rPr>
      </w:r>
      <w:r/>
    </w:p>
    <w:p w14:paraId="4C4A45A1">
      <w:pPr>
        <w:pStyle w:val="1128"/>
        <w:suppressLineNumbers w:val="false"/>
        <w:pBdr/>
        <w:spacing w:line="300" w:lineRule="auto"/>
        <w:ind w:firstLine="0"/>
        <w:rPr>
          <w:b/>
          <w:bCs/>
        </w:rPr>
      </w:pPr>
      <w:r>
        <w:rPr>
          <w:b/>
          <w:bCs/>
          <w:highlight w:val="none"/>
        </w:rPr>
        <w:t xml:space="preserve">4.4.2 Metric Bundle and Clinical Interpretation</w:t>
      </w:r>
      <w:r>
        <w:rPr>
          <w:b/>
          <w:bCs/>
        </w:rPr>
      </w:r>
      <w:r>
        <w:rPr>
          <w:b/>
          <w:bCs/>
        </w:rPr>
      </w:r>
    </w:p>
    <w:p w14:paraId="66A636CA">
      <w:pPr>
        <w:pStyle w:val="1128"/>
        <w:suppressLineNumbers w:val="false"/>
        <w:pBdr/>
        <w:spacing w:line="300" w:lineRule="auto"/>
        <w:ind w:firstLine="0"/>
        <w:rPr/>
      </w:pPr>
      <w:r>
        <w:rPr>
          <w:highlight w:val="none"/>
        </w:rPr>
        <w:t xml:space="preserve">No single metric is sufficient for this task. Chapter 4 therefore evaluates each lane using a bundle of complementary measures.</w:t>
      </w:r>
      <w:r>
        <w:rPr>
          <w:highlight w:val="none"/>
        </w:rPr>
      </w:r>
      <w:r/>
    </w:p>
    <w:tbl>
      <w:tblPr>
        <w:tblStyle w:val="1185"/>
        <w:tblW w:w="0" w:type="auto"/>
        <w:tblBorders/>
        <w:tblLook w:val="04A0" w:firstRow="1" w:lastRow="0" w:firstColumn="1" w:lastColumn="0" w:noHBand="0" w:noVBand="1"/>
      </w:tblPr>
      <w:tblGrid>
        <w:gridCol w:w="4320"/>
        <w:gridCol w:w="4320"/>
      </w:tblGrid>
      <w:tr>
        <w:trPr/>
        <w:tc>
          <w:tcPr>
            <w:tcBorders/>
            <w:tcW w:w="4320" w:type="dxa"/>
            <w:textDirection w:val="lrTb"/>
            <w:noWrap w:val="false"/>
          </w:tcPr>
          <w:p w14:paraId="1E3A8EB7">
            <w:pPr>
              <w:pBdr/>
              <w:spacing w:after="0" w:before="0" w:line="240" w:lineRule="auto"/>
              <w:ind/>
              <w:rPr>
                <w:color w:val="000000" w:themeColor="text1"/>
              </w:rPr>
            </w:pPr>
            <w:r>
              <w:rPr>
                <w:rFonts w:ascii="Liberation Sans" w:hAnsi="Liberation Sans" w:eastAsia="Liberation Sans" w:cs="Liberation Sans"/>
                <w:b/>
                <w:color w:val="000000" w:themeColor="text1"/>
                <w:sz w:val="21"/>
              </w:rPr>
              <w:t xml:space="preserve">Metric</w:t>
            </w:r>
            <w:r>
              <w:rPr>
                <w:color w:val="000000" w:themeColor="text1"/>
              </w:rPr>
            </w:r>
            <w:r>
              <w:rPr>
                <w:color w:val="000000" w:themeColor="text1"/>
              </w:rPr>
            </w:r>
          </w:p>
        </w:tc>
        <w:tc>
          <w:tcPr>
            <w:tcBorders/>
            <w:tcW w:w="4320" w:type="dxa"/>
            <w:textDirection w:val="lrTb"/>
            <w:noWrap w:val="false"/>
          </w:tcPr>
          <w:p w14:paraId="334ED096">
            <w:pPr>
              <w:pBdr/>
              <w:spacing w:after="0" w:before="0" w:line="240" w:lineRule="auto"/>
              <w:ind/>
              <w:rPr>
                <w:color w:val="000000" w:themeColor="text1"/>
              </w:rPr>
            </w:pPr>
            <w:r>
              <w:rPr>
                <w:rFonts w:ascii="Liberation Sans" w:hAnsi="Liberation Sans" w:eastAsia="Liberation Sans" w:cs="Liberation Sans"/>
                <w:b/>
                <w:color w:val="000000" w:themeColor="text1"/>
                <w:sz w:val="21"/>
              </w:rPr>
              <w:t xml:space="preserve">Role in evaluation</w:t>
            </w:r>
            <w:r>
              <w:rPr>
                <w:color w:val="000000" w:themeColor="text1"/>
              </w:rPr>
            </w:r>
            <w:r>
              <w:rPr>
                <w:color w:val="000000" w:themeColor="text1"/>
              </w:rPr>
            </w:r>
          </w:p>
        </w:tc>
      </w:tr>
      <w:tr>
        <w:trPr/>
        <w:tc>
          <w:tcPr>
            <w:tcBorders/>
            <w:tcW w:w="4320" w:type="dxa"/>
            <w:textDirection w:val="lrTb"/>
            <w:noWrap w:val="false"/>
          </w:tcPr>
          <w:p w14:paraId="5C1B99C7">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Accuracy</w:t>
            </w:r>
            <w:r>
              <w:rPr>
                <w:color w:val="000000" w:themeColor="text1"/>
              </w:rPr>
            </w:r>
            <w:r>
              <w:rPr>
                <w:color w:val="000000" w:themeColor="text1"/>
              </w:rPr>
            </w:r>
          </w:p>
        </w:tc>
        <w:tc>
          <w:tcPr>
            <w:tcBorders/>
            <w:tcW w:w="4320" w:type="dxa"/>
            <w:textDirection w:val="lrTb"/>
            <w:noWrap w:val="false"/>
          </w:tcPr>
          <w:p w14:paraId="66CDAB69">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Overall correctness across all test cases</w:t>
            </w:r>
            <w:r>
              <w:rPr>
                <w:color w:val="000000" w:themeColor="text1"/>
              </w:rPr>
            </w:r>
            <w:r>
              <w:rPr>
                <w:color w:val="000000" w:themeColor="text1"/>
              </w:rPr>
            </w:r>
          </w:p>
        </w:tc>
      </w:tr>
      <w:tr>
        <w:trPr/>
        <w:tc>
          <w:tcPr>
            <w:tcBorders/>
            <w:tcW w:w="4320" w:type="dxa"/>
            <w:textDirection w:val="lrTb"/>
            <w:noWrap w:val="false"/>
          </w:tcPr>
          <w:p w14:paraId="0255F371">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Macro-F1</w:t>
            </w:r>
            <w:r>
              <w:rPr>
                <w:color w:val="000000" w:themeColor="text1"/>
              </w:rPr>
            </w:r>
            <w:r>
              <w:rPr>
                <w:color w:val="000000" w:themeColor="text1"/>
              </w:rPr>
            </w:r>
          </w:p>
        </w:tc>
        <w:tc>
          <w:tcPr>
            <w:tcBorders/>
            <w:tcW w:w="4320" w:type="dxa"/>
            <w:textDirection w:val="lrTb"/>
            <w:noWrap w:val="false"/>
          </w:tcPr>
          <w:p w14:paraId="7CC98AC0">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Class-balanced discrimination under label imbalance</w:t>
            </w:r>
            <w:r>
              <w:rPr>
                <w:color w:val="000000" w:themeColor="text1"/>
              </w:rPr>
            </w:r>
            <w:r>
              <w:rPr>
                <w:color w:val="000000" w:themeColor="text1"/>
              </w:rPr>
            </w:r>
          </w:p>
        </w:tc>
      </w:tr>
      <w:tr>
        <w:trPr/>
        <w:tc>
          <w:tcPr>
            <w:tcBorders/>
            <w:tcW w:w="4320" w:type="dxa"/>
            <w:textDirection w:val="lrTb"/>
            <w:noWrap w:val="false"/>
          </w:tcPr>
          <w:p w14:paraId="721E6C0A">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Balanced accuracy</w:t>
            </w:r>
            <w:r>
              <w:rPr>
                <w:color w:val="000000" w:themeColor="text1"/>
              </w:rPr>
            </w:r>
            <w:r>
              <w:rPr>
                <w:color w:val="000000" w:themeColor="text1"/>
              </w:rPr>
            </w:r>
          </w:p>
        </w:tc>
        <w:tc>
          <w:tcPr>
            <w:tcBorders/>
            <w:tcW w:w="4320" w:type="dxa"/>
            <w:textDirection w:val="lrTb"/>
            <w:noWrap w:val="false"/>
          </w:tcPr>
          <w:p w14:paraId="6B87DAFB">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Mean recall across classes, reducing majority-class dominance</w:t>
            </w:r>
            <w:r>
              <w:rPr>
                <w:color w:val="000000" w:themeColor="text1"/>
              </w:rPr>
            </w:r>
            <w:r>
              <w:rPr>
                <w:color w:val="000000" w:themeColor="text1"/>
              </w:rPr>
            </w:r>
          </w:p>
        </w:tc>
      </w:tr>
      <w:tr>
        <w:trPr/>
        <w:tc>
          <w:tcPr>
            <w:tcBorders/>
            <w:tcW w:w="4320" w:type="dxa"/>
            <w:textDirection w:val="lrTb"/>
            <w:noWrap w:val="false"/>
          </w:tcPr>
          <w:p w14:paraId="5C7116E5">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QWK</w:t>
            </w:r>
            <w:r>
              <w:rPr>
                <w:color w:val="000000" w:themeColor="text1"/>
              </w:rPr>
            </w:r>
            <w:r>
              <w:rPr>
                <w:color w:val="000000" w:themeColor="text1"/>
              </w:rPr>
            </w:r>
          </w:p>
        </w:tc>
        <w:tc>
          <w:tcPr>
            <w:tcBorders/>
            <w:tcW w:w="4320" w:type="dxa"/>
            <w:textDirection w:val="lrTb"/>
            <w:noWrap w:val="false"/>
          </w:tcPr>
          <w:p w14:paraId="419ABE39">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Primary ordinal-agreement metric for Mayo 0-3 scoring</w:t>
            </w:r>
            <w:r>
              <w:rPr>
                <w:color w:val="000000" w:themeColor="text1"/>
              </w:rPr>
            </w:r>
            <w:r>
              <w:rPr>
                <w:color w:val="000000" w:themeColor="text1"/>
              </w:rPr>
            </w:r>
          </w:p>
        </w:tc>
      </w:tr>
      <w:tr>
        <w:trPr/>
        <w:tc>
          <w:tcPr>
            <w:tcBorders/>
            <w:tcW w:w="4320" w:type="dxa"/>
            <w:textDirection w:val="lrTb"/>
            <w:noWrap w:val="false"/>
          </w:tcPr>
          <w:p w14:paraId="613314FB">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MAE / RMSE</w:t>
            </w:r>
            <w:r>
              <w:rPr>
                <w:color w:val="000000" w:themeColor="text1"/>
              </w:rPr>
            </w:r>
            <w:r>
              <w:rPr>
                <w:color w:val="000000" w:themeColor="text1"/>
              </w:rPr>
            </w:r>
          </w:p>
        </w:tc>
        <w:tc>
          <w:tcPr>
            <w:tcBorders/>
            <w:tcW w:w="4320" w:type="dxa"/>
            <w:textDirection w:val="lrTb"/>
            <w:noWrap w:val="false"/>
          </w:tcPr>
          <w:p w14:paraId="0E1F40F8">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Magnitude of ordinal error, penalizing distant mistakes</w:t>
            </w:r>
            <w:r>
              <w:rPr>
                <w:color w:val="000000" w:themeColor="text1"/>
              </w:rPr>
            </w:r>
            <w:r>
              <w:rPr>
                <w:color w:val="000000" w:themeColor="text1"/>
              </w:rPr>
            </w:r>
          </w:p>
        </w:tc>
      </w:tr>
      <w:tr>
        <w:trPr/>
        <w:tc>
          <w:tcPr>
            <w:tcBorders/>
            <w:tcW w:w="4320" w:type="dxa"/>
            <w:textDirection w:val="lrTb"/>
            <w:noWrap w:val="false"/>
          </w:tcPr>
          <w:p w14:paraId="5CC33A54">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Per-class precision, recall, and F1</w:t>
            </w:r>
            <w:r>
              <w:rPr>
                <w:color w:val="000000" w:themeColor="text1"/>
              </w:rPr>
            </w:r>
            <w:r>
              <w:rPr>
                <w:color w:val="000000" w:themeColor="text1"/>
              </w:rPr>
            </w:r>
          </w:p>
        </w:tc>
        <w:tc>
          <w:tcPr>
            <w:tcBorders/>
            <w:tcW w:w="4320" w:type="dxa"/>
            <w:textDirection w:val="lrTb"/>
            <w:noWrap w:val="false"/>
          </w:tcPr>
          <w:p w14:paraId="38861805">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Class-specific error interpretation</w:t>
            </w:r>
            <w:r>
              <w:rPr>
                <w:color w:val="000000" w:themeColor="text1"/>
              </w:rPr>
            </w:r>
            <w:r>
              <w:rPr>
                <w:color w:val="000000" w:themeColor="text1"/>
              </w:rPr>
            </w:r>
          </w:p>
        </w:tc>
      </w:tr>
      <w:tr>
        <w:trPr>
          <w:trHeight w:val="640"/>
        </w:trPr>
        <w:tc>
          <w:tcPr>
            <w:tcBorders/>
            <w:tcW w:w="4320" w:type="dxa"/>
            <w:textDirection w:val="lrTb"/>
            <w:noWrap w:val="false"/>
          </w:tcPr>
          <w:p w14:paraId="72E83A8A">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Parse rate</w:t>
            </w:r>
            <w:r>
              <w:rPr>
                <w:color w:val="000000" w:themeColor="text1"/>
              </w:rPr>
            </w:r>
            <w:r>
              <w:rPr>
                <w:color w:val="000000" w:themeColor="text1"/>
              </w:rPr>
            </w:r>
          </w:p>
        </w:tc>
        <w:tc>
          <w:tcPr>
            <w:tcBorders/>
            <w:tcW w:w="4320" w:type="dxa"/>
            <w:textDirection w:val="lrTb"/>
            <w:noWrap w:val="false"/>
          </w:tcPr>
          <w:p w14:paraId="1A2FBC89">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Validity of generative outputs under strict extraction</w:t>
            </w:r>
            <w:r>
              <w:rPr>
                <w:color w:val="000000" w:themeColor="text1"/>
              </w:rPr>
            </w:r>
            <w:r>
              <w:rPr>
                <w:color w:val="000000" w:themeColor="text1"/>
              </w:rPr>
            </w:r>
          </w:p>
        </w:tc>
      </w:tr>
      <w:tr>
        <w:trPr>
          <w:trHeight w:val="640"/>
        </w:trPr>
        <w:tc>
          <w:tcPr>
            <w:tcBorders/>
            <w:tcW w:w="4320" w:type="dxa"/>
            <w:vMerge w:val="restart"/>
            <w:textDirection w:val="lrTb"/>
            <w:noWrap w:val="false"/>
          </w:tcPr>
          <w:p w14:paraId="335DB6EE">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Remission-oriented slice (</w:t>
            </w:r>
            <w:r>
              <w:rPr>
                <w:rFonts w:ascii="Droid Sans Mono" w:hAnsi="Droid Sans Mono" w:eastAsia="Droid Sans Mono" w:cs="Droid Sans Mono"/>
                <w:color w:val="000000" w:themeColor="text1"/>
                <w:sz w:val="24"/>
                <w:highlight w:val="white"/>
              </w:rPr>
              <w:t xml:space="preserve">0-1</w:t>
            </w:r>
            <w:r>
              <w:rPr>
                <w:rFonts w:ascii="Liberation Sans" w:hAnsi="Liberation Sans" w:eastAsia="Liberation Sans" w:cs="Liberation Sans"/>
                <w:color w:val="000000" w:themeColor="text1"/>
                <w:sz w:val="21"/>
              </w:rPr>
              <w:t xml:space="preserve"> vs </w:t>
            </w:r>
            <w:r>
              <w:rPr>
                <w:rFonts w:ascii="Droid Sans Mono" w:hAnsi="Droid Sans Mono" w:eastAsia="Droid Sans Mono" w:cs="Droid Sans Mono"/>
                <w:color w:val="000000" w:themeColor="text1"/>
                <w:sz w:val="24"/>
                <w:highlight w:val="white"/>
              </w:rPr>
              <w:t xml:space="preserve">2-3</w:t>
            </w:r>
            <w:r>
              <w:rPr>
                <w:rFonts w:ascii="Liberation Sans" w:hAnsi="Liberation Sans" w:eastAsia="Liberation Sans" w:cs="Liberation Sans"/>
                <w:color w:val="000000" w:themeColor="text1"/>
                <w:sz w:val="21"/>
              </w:rPr>
              <w:t xml:space="preserve">)</w:t>
            </w:r>
            <w:r>
              <w:rPr>
                <w:color w:val="000000" w:themeColor="text1"/>
              </w:rPr>
            </w:r>
            <w:r>
              <w:rPr>
                <w:color w:val="000000" w:themeColor="text1"/>
              </w:rPr>
            </w:r>
          </w:p>
        </w:tc>
        <w:tc>
          <w:tcPr>
            <w:tcBorders/>
            <w:tcW w:w="4320" w:type="dxa"/>
            <w:vMerge w:val="restart"/>
            <w:textDirection w:val="lrTb"/>
            <w:noWrap w:val="false"/>
          </w:tcPr>
          <w:p w14:paraId="49E3D6AA">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Clinically simplified threshold behavior</w:t>
            </w:r>
            <w:r>
              <w:rPr>
                <w:color w:val="000000" w:themeColor="text1"/>
              </w:rPr>
            </w:r>
            <w:r>
              <w:rPr>
                <w:color w:val="000000" w:themeColor="text1"/>
              </w:rPr>
            </w:r>
          </w:p>
        </w:tc>
      </w:tr>
    </w:tbl>
    <w:p w14:paraId="3D1A3372">
      <w:pPr>
        <w:pStyle w:val="1128"/>
        <w:suppressLineNumbers w:val="false"/>
        <w:pBdr/>
        <w:spacing w:line="300" w:lineRule="auto"/>
        <w:ind w:firstLine="720" w:left="2160"/>
        <w:rPr/>
      </w:pPr>
      <w:r>
        <w:t xml:space="preserve">Table 4.4. Metric Bundle</w:t>
      </w:r>
      <w:r/>
    </w:p>
    <w:p w14:paraId="349ABB83">
      <w:pPr>
        <w:pStyle w:val="1128"/>
        <w:suppressLineNumbers w:val="false"/>
        <w:pBdr/>
        <w:spacing w:line="300" w:lineRule="auto"/>
        <w:ind w:firstLine="0"/>
        <w:rPr>
          <w:highlight w:val="none"/>
        </w:rPr>
      </w:pPr>
      <w:r>
        <w:t xml:space="preserve">Q</w:t>
      </w:r>
      <w:r>
        <w:t xml:space="preserve">WK is the primary metric because it rewards correct ordinal agreement and penalizes distant disagreements more strongly than adjacent ones. This is better aligned with the severity task than plain accuracy. Macro-F1 and balanced accuracy are also essential</w:t>
      </w:r>
      <w:r>
        <w:t xml:space="preserve"> </w:t>
      </w:r>
      <w:r>
        <w:t xml:space="preserve">because the dataset is imbalanced and a model that over-predicts common classes could achieve superficially acceptable accuracy while still failing on clinically important minority severities. Parse rate is included because a generative system cannot be co</w:t>
      </w:r>
      <w:r>
        <w:t xml:space="preserve">nsidered reliable if its textual outputs cannot be converted back into a score consistently.</w:t>
      </w:r>
      <w:r>
        <w:rPr>
          <w:highlight w:val="none"/>
        </w:rPr>
      </w:r>
      <w:r>
        <w:rPr>
          <w:highlight w:val="none"/>
        </w:rPr>
      </w:r>
    </w:p>
    <w:p w14:paraId="0B4A25E6">
      <w:pPr>
        <w:pStyle w:val="1128"/>
        <w:suppressLineNumbers w:val="false"/>
        <w:pBdr/>
        <w:spacing w:line="300" w:lineRule="auto"/>
        <w:ind w:firstLine="0"/>
        <w:rPr/>
      </w:pPr>
      <w:r/>
      <w:r/>
    </w:p>
    <w:p w14:paraId="4A5BFA45">
      <w:pPr>
        <w:pStyle w:val="1128"/>
        <w:suppressLineNumbers w:val="false"/>
        <w:pBdr/>
        <w:spacing w:line="300" w:lineRule="auto"/>
        <w:ind w:firstLine="0"/>
        <w:rPr/>
      </w:pPr>
      <w:r>
        <w:rPr>
          <w:highlight w:val="none"/>
        </w:rPr>
      </w:r>
      <w:r>
        <w:rPr>
          <w:highlight w:val="none"/>
        </w:rPr>
      </w:r>
      <w:r/>
    </w:p>
    <w:p w14:paraId="6B83ED55">
      <w:pPr>
        <w:pStyle w:val="1128"/>
        <w:suppressLineNumbers w:val="false"/>
        <w:pBdr/>
        <w:spacing w:line="300" w:lineRule="auto"/>
        <w:ind w:firstLine="0"/>
        <w:rPr>
          <w:b/>
          <w:bCs/>
        </w:rPr>
      </w:pPr>
      <w:r>
        <w:rPr>
          <w:b/>
          <w:bCs/>
        </w:rPr>
        <w:t xml:space="preserve">4.4.3 Reporting Policy, Statistical Checks, and Multi-Seed Aggregation</w:t>
      </w:r>
      <w:r>
        <w:rPr>
          <w:b/>
          <w:bCs/>
        </w:rPr>
      </w:r>
      <w:r>
        <w:rPr>
          <w:b/>
          <w:bCs/>
        </w:rPr>
      </w:r>
    </w:p>
    <w:p w14:paraId="7AE68234">
      <w:pPr>
        <w:pStyle w:val="1128"/>
        <w:suppressLineNumbers w:val="false"/>
        <w:pBdr/>
        <w:spacing w:line="300" w:lineRule="auto"/>
        <w:ind w:firstLine="720"/>
        <w:rPr/>
      </w:pPr>
      <w:r>
        <w:t xml:space="preserve">T</w:t>
      </w:r>
      <w:r>
        <w:t xml:space="preserve">he chapter reports multi-seed aggregates rather than a single favorable run. This decision is especially important for the generative lane, where optimization variance can otherwise create misleading impressions of robustness. The supervised family is repo</w:t>
      </w:r>
      <w:r>
        <w:t xml:space="preserve">rted with seeds 11/23/42, and the final generative family is reported with seeds 11/23/77.</w:t>
      </w:r>
      <w:r/>
    </w:p>
    <w:p w14:paraId="60A53244">
      <w:pPr>
        <w:pStyle w:val="1128"/>
        <w:suppressLineNumbers w:val="false"/>
        <w:pBdr/>
        <w:spacing w:line="300" w:lineRule="auto"/>
        <w:ind w:firstLine="720"/>
        <w:rPr/>
      </w:pPr>
      <w:r>
        <w:t xml:space="preserve">C</w:t>
      </w:r>
      <w:r>
        <w:t xml:space="preserve">onfidence intervals are included for the key aggregate metrics, particularly QWK, so that the reader can judge whether apparent improvements are stable or merely within random variation. Where paired predictions are available, paired significance testing s</w:t>
      </w:r>
      <w:r>
        <w:t xml:space="preserve">uch as McNemar's test is used as an additional check. The chapter also includes a seed-level quality-control table for the mode1 generative lane, confirming that all reported runs converged non-degenerately and predicted all four classes.</w:t>
      </w:r>
      <w:r/>
    </w:p>
    <w:p w14:paraId="35ADF978">
      <w:pPr>
        <w:pStyle w:val="1128"/>
        <w:suppressLineNumbers w:val="false"/>
        <w:pBdr/>
        <w:spacing w:line="300" w:lineRule="auto"/>
        <w:ind w:firstLine="720"/>
        <w:rPr/>
      </w:pPr>
      <w:r>
        <w:t xml:space="preserve">T</w:t>
      </w:r>
      <w:r>
        <w:t xml:space="preserve">his reporting policy reflects the evidential standard of the dissertation. The goal is not to maximize a single number under flexible conditions. The goal is to determine whether the proposed modeling strategy produces a stable, reproducible, and clinicall</w:t>
      </w:r>
      <w:r>
        <w:t xml:space="preserve">y interpretable improvement over the supervised anchor.</w:t>
      </w:r>
      <w:r/>
    </w:p>
    <w:p w14:paraId="23D13945">
      <w:pPr>
        <w:pStyle w:val="1128"/>
        <w:suppressLineNumbers w:val="false"/>
        <w:pBdr/>
        <w:spacing w:line="300" w:lineRule="auto"/>
        <w:ind w:firstLine="0"/>
        <w:rPr/>
      </w:pPr>
      <w:r/>
      <w:r/>
    </w:p>
    <w:p w14:paraId="73513218">
      <w:pPr>
        <w:pStyle w:val="1128"/>
        <w:suppressLineNumbers w:val="false"/>
        <w:pBdr/>
        <w:spacing w:line="300" w:lineRule="auto"/>
        <w:ind w:firstLine="0"/>
        <w:rPr>
          <w:b/>
          <w:bCs/>
        </w:rPr>
      </w:pPr>
      <w:r>
        <w:rPr>
          <w:b/>
          <w:bCs/>
        </w:rPr>
        <w:t xml:space="preserve">4.4.4 Final Training Configuration Used for Reporting</w:t>
      </w:r>
      <w:r>
        <w:rPr>
          <w:b/>
          <w:bCs/>
        </w:rPr>
      </w:r>
      <w:r>
        <w:rPr>
          <w:b/>
          <w:bCs/>
        </w:rPr>
      </w:r>
    </w:p>
    <w:p w14:paraId="4574E8A6">
      <w:pPr>
        <w:pStyle w:val="1128"/>
        <w:suppressLineNumbers w:val="false"/>
        <w:pBdr/>
        <w:spacing w:line="300" w:lineRule="auto"/>
        <w:ind w:firstLine="720"/>
        <w:rPr>
          <w:highlight w:val="none"/>
          <w:lang w:val="en-US"/>
        </w:rPr>
      </w:pPr>
      <w:r>
        <w:t xml:space="preserve">The official configurations used in the chapter are compiled from the persisted reporting artifacts in Prototyping_reformat/DatasetAnalysis/LIMUC/4_reporting/out/ [78], specifically the multi-seed summaries for Pass 5 and Pass 6</w:t>
      </w:r>
      <w:r>
        <w:rPr>
          <w:lang w:val="en-US"/>
        </w:rPr>
        <w:t xml:space="preserve">.</w:t>
      </w:r>
      <w:r>
        <w:rPr>
          <w:highlight w:val="none"/>
          <w:lang w:val="en-US"/>
        </w:rPr>
      </w:r>
      <w:r>
        <w:rPr>
          <w:highlight w:val="none"/>
          <w:lang w:val="en-US"/>
        </w:rPr>
      </w:r>
    </w:p>
    <w:p w14:paraId="3D09D06E">
      <w:pPr>
        <w:pStyle w:val="1128"/>
        <w:suppressLineNumbers w:val="false"/>
        <w:pBdr/>
        <w:spacing w:line="300" w:lineRule="auto"/>
        <w:ind w:firstLine="0"/>
        <w:rPr/>
      </w:pPr>
      <w:r/>
      <w:r/>
    </w:p>
    <w:p w14:paraId="3CAA1F19">
      <w:pPr>
        <w:pStyle w:val="1128"/>
        <w:suppressLineNumbers w:val="false"/>
        <w:pBdr/>
        <w:spacing w:line="300" w:lineRule="auto"/>
        <w:ind w:firstLine="0"/>
        <w:rPr/>
      </w:pPr>
      <w:r/>
      <w:r/>
    </w:p>
    <w:tbl>
      <w:tblPr>
        <w:tblStyle w:val="1185"/>
        <w:tblW w:w="0" w:type="auto"/>
        <w:tblBorders/>
        <w:tblLayout w:type="fixed"/>
        <w:tblLook w:val="04A0" w:firstRow="1" w:lastRow="0" w:firstColumn="1" w:lastColumn="0" w:noHBand="0" w:noVBand="1"/>
      </w:tblPr>
      <w:tblGrid>
        <w:gridCol w:w="2735"/>
        <w:gridCol w:w="5905"/>
      </w:tblGrid>
      <w:tr>
        <w:trPr/>
        <w:tc>
          <w:tcPr>
            <w:tcBorders/>
            <w:tcW w:w="2735" w:type="dxa"/>
            <w:textDirection w:val="lrTb"/>
            <w:noWrap w:val="false"/>
          </w:tcPr>
          <w:p w14:paraId="2AA2D072">
            <w:pPr>
              <w:pBdr/>
              <w:spacing w:after="0" w:before="0" w:line="240" w:lineRule="auto"/>
              <w:ind/>
              <w:rPr>
                <w:color w:val="000000" w:themeColor="text1"/>
              </w:rPr>
            </w:pPr>
            <w:r>
              <w:rPr>
                <w:rFonts w:ascii="Liberation Sans" w:hAnsi="Liberation Sans" w:eastAsia="Liberation Sans" w:cs="Liberation Sans"/>
                <w:b/>
                <w:color w:val="000000" w:themeColor="text1"/>
                <w:sz w:val="21"/>
              </w:rPr>
              <w:t xml:space="preserve">Lane</w:t>
            </w:r>
            <w:r>
              <w:rPr>
                <w:color w:val="000000" w:themeColor="text1"/>
              </w:rPr>
            </w:r>
            <w:r>
              <w:rPr>
                <w:color w:val="000000" w:themeColor="text1"/>
              </w:rPr>
            </w:r>
          </w:p>
        </w:tc>
        <w:tc>
          <w:tcPr>
            <w:tcBorders/>
            <w:tcW w:w="5905" w:type="dxa"/>
            <w:textDirection w:val="lrTb"/>
            <w:noWrap w:val="false"/>
          </w:tcPr>
          <w:p w14:paraId="010D38EA">
            <w:pPr>
              <w:pBdr/>
              <w:spacing w:after="0" w:before="0" w:line="240" w:lineRule="auto"/>
              <w:ind/>
              <w:rPr>
                <w:color w:val="000000" w:themeColor="text1"/>
              </w:rPr>
            </w:pPr>
            <w:r>
              <w:rPr>
                <w:rFonts w:ascii="Liberation Sans" w:hAnsi="Liberation Sans" w:eastAsia="Liberation Sans" w:cs="Liberation Sans"/>
                <w:b/>
                <w:color w:val="000000" w:themeColor="text1"/>
                <w:sz w:val="21"/>
              </w:rPr>
              <w:t xml:space="preserve">Core setup</w:t>
            </w:r>
            <w:r>
              <w:rPr>
                <w:color w:val="000000" w:themeColor="text1"/>
              </w:rPr>
            </w:r>
            <w:r>
              <w:rPr>
                <w:color w:val="000000" w:themeColor="text1"/>
              </w:rPr>
            </w:r>
          </w:p>
        </w:tc>
      </w:tr>
      <w:tr>
        <w:trPr/>
        <w:tc>
          <w:tcPr>
            <w:tcBorders/>
            <w:tcW w:w="2735" w:type="dxa"/>
            <w:textDirection w:val="lrTb"/>
            <w:noWrap w:val="false"/>
          </w:tcPr>
          <w:p w14:paraId="3738B4B6">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Pass 5 supervised</w:t>
            </w:r>
            <w:r>
              <w:rPr>
                <w:color w:val="000000" w:themeColor="text1"/>
              </w:rPr>
            </w:r>
            <w:r>
              <w:rPr>
                <w:color w:val="000000" w:themeColor="text1"/>
              </w:rPr>
            </w:r>
          </w:p>
        </w:tc>
        <w:tc>
          <w:tcPr>
            <w:tcBorders/>
            <w:tcW w:w="5905" w:type="dxa"/>
            <w:textDirection w:val="lrTb"/>
            <w:noWrap w:val="false"/>
          </w:tcPr>
          <w:p w14:paraId="46218B89">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ResNet50 fine-tuning, seeds </w:t>
            </w:r>
            <w:r>
              <w:rPr>
                <w:rFonts w:ascii="Droid Sans Mono" w:hAnsi="Droid Sans Mono" w:eastAsia="Droid Sans Mono" w:cs="Droid Sans Mono"/>
                <w:color w:val="000000" w:themeColor="text1"/>
                <w:sz w:val="24"/>
                <w:highlight w:val="white"/>
              </w:rPr>
              <w:t xml:space="preserve">11/23/42</w:t>
            </w:r>
            <w:r>
              <w:rPr>
                <w:rFonts w:ascii="Liberation Sans" w:hAnsi="Liberation Sans" w:eastAsia="Liberation Sans" w:cs="Liberation Sans"/>
                <w:color w:val="000000" w:themeColor="text1"/>
                <w:sz w:val="21"/>
              </w:rPr>
              <w:t xml:space="preserve">, </w:t>
            </w:r>
            <w:r>
              <w:rPr>
                <w:rFonts w:ascii="Droid Sans Mono" w:hAnsi="Droid Sans Mono" w:eastAsia="Droid Sans Mono" w:cs="Droid Sans Mono"/>
                <w:color w:val="000000" w:themeColor="text1"/>
                <w:sz w:val="24"/>
                <w:highlight w:val="white"/>
              </w:rPr>
              <w:t xml:space="preserve">15</w:t>
            </w:r>
            <w:r>
              <w:rPr>
                <w:rFonts w:ascii="Liberation Sans" w:hAnsi="Liberation Sans" w:eastAsia="Liberation Sans" w:cs="Liberation Sans"/>
                <w:color w:val="000000" w:themeColor="text1"/>
                <w:sz w:val="21"/>
              </w:rPr>
              <w:t xml:space="preserve"> epochs, batch size </w:t>
            </w:r>
            <w:r>
              <w:rPr>
                <w:rFonts w:ascii="Droid Sans Mono" w:hAnsi="Droid Sans Mono" w:eastAsia="Droid Sans Mono" w:cs="Droid Sans Mono"/>
                <w:color w:val="000000" w:themeColor="text1"/>
                <w:sz w:val="24"/>
                <w:highlight w:val="white"/>
              </w:rPr>
              <w:t xml:space="preserve">16</w:t>
            </w:r>
            <w:r>
              <w:rPr>
                <w:rFonts w:ascii="Liberation Sans" w:hAnsi="Liberation Sans" w:eastAsia="Liberation Sans" w:cs="Liberation Sans"/>
                <w:color w:val="000000" w:themeColor="text1"/>
                <w:sz w:val="21"/>
              </w:rPr>
              <w:t xml:space="preserve">, learning rate </w:t>
            </w:r>
            <w:r>
              <w:rPr>
                <w:rFonts w:ascii="Droid Sans Mono" w:hAnsi="Droid Sans Mono" w:eastAsia="Droid Sans Mono" w:cs="Droid Sans Mono"/>
                <w:color w:val="000000" w:themeColor="text1"/>
                <w:sz w:val="24"/>
                <w:highlight w:val="white"/>
              </w:rPr>
              <w:t xml:space="preserve">3e-4</w:t>
            </w:r>
            <w:r>
              <w:rPr>
                <w:rFonts w:ascii="Liberation Sans" w:hAnsi="Liberation Sans" w:eastAsia="Liberation Sans" w:cs="Liberation Sans"/>
                <w:color w:val="000000" w:themeColor="text1"/>
                <w:sz w:val="21"/>
              </w:rPr>
              <w:t xml:space="preserve">, weight decay </w:t>
            </w:r>
            <w:r>
              <w:rPr>
                <w:rFonts w:ascii="Droid Sans Mono" w:hAnsi="Droid Sans Mono" w:eastAsia="Droid Sans Mono" w:cs="Droid Sans Mono"/>
                <w:color w:val="000000" w:themeColor="text1"/>
                <w:sz w:val="24"/>
                <w:highlight w:val="white"/>
              </w:rPr>
              <w:t xml:space="preserve">1e-4</w:t>
            </w:r>
            <w:r>
              <w:rPr>
                <w:color w:val="000000" w:themeColor="text1"/>
              </w:rPr>
            </w:r>
            <w:r>
              <w:rPr>
                <w:color w:val="000000" w:themeColor="text1"/>
              </w:rPr>
            </w:r>
          </w:p>
        </w:tc>
      </w:tr>
      <w:tr>
        <w:trPr/>
        <w:tc>
          <w:tcPr>
            <w:tcBorders/>
            <w:tcW w:w="2735" w:type="dxa"/>
            <w:textDirection w:val="lrTb"/>
            <w:noWrap w:val="false"/>
          </w:tcPr>
          <w:p w14:paraId="377935B7">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Pass 6 generative</w:t>
            </w:r>
            <w:r>
              <w:rPr>
                <w:color w:val="000000" w:themeColor="text1"/>
              </w:rPr>
            </w:r>
            <w:r>
              <w:rPr>
                <w:color w:val="000000" w:themeColor="text1"/>
              </w:rPr>
            </w:r>
          </w:p>
        </w:tc>
        <w:tc>
          <w:tcPr>
            <w:tcBorders/>
            <w:tcW w:w="5905" w:type="dxa"/>
            <w:textDirection w:val="lrTb"/>
            <w:noWrap w:val="false"/>
          </w:tcPr>
          <w:p w14:paraId="0168F433">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BLIP2-Flan-T5-XL with LoRA, seeds </w:t>
            </w:r>
            <w:r>
              <w:rPr>
                <w:rFonts w:ascii="Droid Sans Mono" w:hAnsi="Droid Sans Mono" w:eastAsia="Droid Sans Mono" w:cs="Droid Sans Mono"/>
                <w:color w:val="000000" w:themeColor="text1"/>
                <w:sz w:val="24"/>
                <w:highlight w:val="white"/>
              </w:rPr>
              <w:t xml:space="preserve">11/23/77</w:t>
            </w:r>
            <w:r>
              <w:rPr>
                <w:rFonts w:ascii="Liberation Sans" w:hAnsi="Liberation Sans" w:eastAsia="Liberation Sans" w:cs="Liberation Sans"/>
                <w:color w:val="000000" w:themeColor="text1"/>
                <w:sz w:val="21"/>
              </w:rPr>
              <w:t xml:space="preserve">, </w:t>
            </w:r>
            <w:r>
              <w:rPr>
                <w:rFonts w:ascii="Droid Sans Mono" w:hAnsi="Droid Sans Mono" w:eastAsia="Droid Sans Mono" w:cs="Droid Sans Mono"/>
                <w:color w:val="000000" w:themeColor="text1"/>
                <w:sz w:val="24"/>
                <w:highlight w:val="white"/>
              </w:rPr>
              <w:t xml:space="preserve">2</w:t>
            </w:r>
            <w:r>
              <w:rPr>
                <w:rFonts w:ascii="Liberation Sans" w:hAnsi="Liberation Sans" w:eastAsia="Liberation Sans" w:cs="Liberation Sans"/>
                <w:color w:val="000000" w:themeColor="text1"/>
                <w:sz w:val="21"/>
              </w:rPr>
              <w:t xml:space="preserve"> epochs, batch size </w:t>
            </w:r>
            <w:r>
              <w:rPr>
                <w:rFonts w:ascii="Droid Sans Mono" w:hAnsi="Droid Sans Mono" w:eastAsia="Droid Sans Mono" w:cs="Droid Sans Mono"/>
                <w:color w:val="000000" w:themeColor="text1"/>
                <w:sz w:val="24"/>
                <w:highlight w:val="white"/>
              </w:rPr>
              <w:t xml:space="preserve">2</w:t>
            </w:r>
            <w:r>
              <w:rPr>
                <w:rFonts w:ascii="Liberation Sans" w:hAnsi="Liberation Sans" w:eastAsia="Liberation Sans" w:cs="Liberation Sans"/>
                <w:color w:val="000000" w:themeColor="text1"/>
                <w:sz w:val="21"/>
              </w:rPr>
              <w:t xml:space="preserve">, gradient accumulation </w:t>
            </w:r>
            <w:r>
              <w:rPr>
                <w:rFonts w:ascii="Droid Sans Mono" w:hAnsi="Droid Sans Mono" w:eastAsia="Droid Sans Mono" w:cs="Droid Sans Mono"/>
                <w:color w:val="000000" w:themeColor="text1"/>
                <w:sz w:val="24"/>
                <w:highlight w:val="white"/>
              </w:rPr>
              <w:t xml:space="preserve">4</w:t>
            </w:r>
            <w:r>
              <w:rPr>
                <w:rFonts w:ascii="Liberation Sans" w:hAnsi="Liberation Sans" w:eastAsia="Liberation Sans" w:cs="Liberation Sans"/>
                <w:color w:val="000000" w:themeColor="text1"/>
                <w:sz w:val="21"/>
              </w:rPr>
              <w:t xml:space="preserve">, learning rate </w:t>
            </w:r>
            <w:r>
              <w:rPr>
                <w:rFonts w:ascii="Droid Sans Mono" w:hAnsi="Droid Sans Mono" w:eastAsia="Droid Sans Mono" w:cs="Droid Sans Mono"/>
                <w:color w:val="000000" w:themeColor="text1"/>
                <w:sz w:val="24"/>
                <w:highlight w:val="white"/>
              </w:rPr>
              <w:t xml:space="preserve">5e-5</w:t>
            </w:r>
            <w:r>
              <w:rPr>
                <w:rFonts w:ascii="Liberation Sans" w:hAnsi="Liberation Sans" w:eastAsia="Liberation Sans" w:cs="Liberation Sans"/>
                <w:color w:val="000000" w:themeColor="text1"/>
                <w:sz w:val="21"/>
              </w:rPr>
              <w:t xml:space="preserve">, LoRA </w:t>
            </w:r>
            <w:r>
              <w:rPr>
                <w:rFonts w:ascii="Droid Sans Mono" w:hAnsi="Droid Sans Mono" w:eastAsia="Droid Sans Mono" w:cs="Droid Sans Mono"/>
                <w:color w:val="000000" w:themeColor="text1"/>
                <w:sz w:val="24"/>
                <w:highlight w:val="white"/>
              </w:rPr>
              <w:t xml:space="preserve">r=8</w:t>
            </w:r>
            <w:r>
              <w:rPr>
                <w:rFonts w:ascii="Liberation Sans" w:hAnsi="Liberation Sans" w:eastAsia="Liberation Sans" w:cs="Liberation Sans"/>
                <w:color w:val="000000" w:themeColor="text1"/>
                <w:sz w:val="21"/>
              </w:rPr>
              <w:t xml:space="preserve">, </w:t>
            </w:r>
            <w:r>
              <w:rPr>
                <w:rFonts w:ascii="Droid Sans Mono" w:hAnsi="Droid Sans Mono" w:eastAsia="Droid Sans Mono" w:cs="Droid Sans Mono"/>
                <w:color w:val="000000" w:themeColor="text1"/>
                <w:sz w:val="24"/>
                <w:highlight w:val="white"/>
              </w:rPr>
              <w:t xml:space="preserve">alpha=16</w:t>
            </w:r>
            <w:r>
              <w:rPr>
                <w:rFonts w:ascii="Liberation Sans" w:hAnsi="Liberation Sans" w:eastAsia="Liberation Sans" w:cs="Liberation Sans"/>
                <w:color w:val="000000" w:themeColor="text1"/>
                <w:sz w:val="21"/>
              </w:rPr>
              <w:t xml:space="preserve">, dropout </w:t>
            </w:r>
            <w:r>
              <w:rPr>
                <w:rFonts w:ascii="Droid Sans Mono" w:hAnsi="Droid Sans Mono" w:eastAsia="Droid Sans Mono" w:cs="Droid Sans Mono"/>
                <w:color w:val="000000" w:themeColor="text1"/>
                <w:sz w:val="24"/>
                <w:highlight w:val="white"/>
              </w:rPr>
              <w:t xml:space="preserve">0.1</w:t>
            </w:r>
            <w:r>
              <w:rPr>
                <w:rFonts w:ascii="Liberation Sans" w:hAnsi="Liberation Sans" w:eastAsia="Liberation Sans" w:cs="Liberation Sans"/>
                <w:color w:val="000000" w:themeColor="text1"/>
                <w:sz w:val="21"/>
              </w:rPr>
              <w:t xml:space="preserve">, balanced sampling, label-token-only objective</w:t>
            </w:r>
            <w:r>
              <w:rPr>
                <w:color w:val="000000" w:themeColor="text1"/>
              </w:rPr>
            </w:r>
            <w:r>
              <w:rPr>
                <w:color w:val="000000" w:themeColor="text1"/>
              </w:rPr>
            </w:r>
          </w:p>
        </w:tc>
      </w:tr>
    </w:tbl>
    <w:p w14:paraId="0D126694">
      <w:pPr>
        <w:pStyle w:val="1128"/>
        <w:suppressLineNumbers w:val="false"/>
        <w:pBdr/>
        <w:spacing w:line="300" w:lineRule="auto"/>
        <w:ind w:firstLine="720"/>
        <w:rPr/>
      </w:pPr>
      <w:r>
        <w:rPr>
          <w:highlight w:val="none"/>
          <w:lang w:val="en-US"/>
        </w:rPr>
      </w:r>
      <w:r>
        <w:rPr>
          <w:highlight w:val="none"/>
          <w:lang w:val="en-US"/>
        </w:rPr>
        <w:t xml:space="preserve">Table 4.5. Final Configuration Summary for Reported Results</w:t>
      </w:r>
      <w:r>
        <w:rPr>
          <w:highlight w:val="none"/>
          <w:lang w:val="en-US"/>
        </w:rPr>
      </w:r>
      <w:r/>
    </w:p>
    <w:p w14:paraId="54AA934B">
      <w:pPr>
        <w:pStyle w:val="1128"/>
        <w:suppressLineNumbers w:val="false"/>
        <w:pBdr/>
        <w:spacing w:line="300" w:lineRule="auto"/>
        <w:ind w:firstLine="0"/>
        <w:rPr/>
      </w:pPr>
      <w:r/>
      <w:r/>
    </w:p>
    <w:p w14:paraId="7060072D">
      <w:pPr>
        <w:pStyle w:val="1128"/>
        <w:suppressLineNumbers w:val="false"/>
        <w:pBdr/>
        <w:spacing w:line="300" w:lineRule="auto"/>
        <w:ind w:firstLine="720"/>
        <w:rPr>
          <w:highlight w:val="none"/>
        </w:rPr>
      </w:pPr>
      <w:r>
        <w:t xml:space="preserve">T</w:t>
      </w:r>
      <w:r>
        <w:t xml:space="preserve">he asymmetry between the supervised and generative configurations is expected rather than problematic. The models belong to different families and have different optimization constraints. The important point is not that they use identical hyperparameters, </w:t>
      </w:r>
      <w:r>
        <w:t xml:space="preserve">but that each family is trained under a reasonable and fixed protocol, and that the final comparison is based on the resulting multi-seed aggregates rather than on cherry-picked exceptions.</w:t>
      </w:r>
      <w:r>
        <w:rPr>
          <w:highlight w:val="none"/>
        </w:rPr>
      </w:r>
      <w:r>
        <w:rPr>
          <w:highlight w:val="none"/>
        </w:rPr>
      </w:r>
    </w:p>
    <w:p w14:paraId="10AF7586">
      <w:pPr>
        <w:pStyle w:val="1128"/>
        <w:suppressLineNumbers w:val="false"/>
        <w:pBdr/>
        <w:spacing w:line="300" w:lineRule="auto"/>
        <w:ind w:firstLine="0"/>
        <w:rPr/>
      </w:pPr>
      <w:r/>
      <w:r/>
    </w:p>
    <w:p w14:paraId="6F57CF7E">
      <w:pPr>
        <w:pStyle w:val="1128"/>
        <w:suppressLineNumbers w:val="false"/>
        <w:pBdr/>
        <w:spacing w:line="300" w:lineRule="auto"/>
        <w:ind w:firstLine="0"/>
        <w:rPr>
          <w:b/>
          <w:bCs/>
          <w:sz w:val="28"/>
          <w:szCs w:val="28"/>
        </w:rPr>
      </w:pPr>
      <w:r>
        <w:rPr>
          <w:b/>
          <w:bCs/>
          <w:sz w:val="28"/>
          <w:szCs w:val="28"/>
        </w:rPr>
        <w:t xml:space="preserve">4.5 Results</w:t>
      </w:r>
      <w:r>
        <w:rPr>
          <w:b/>
          <w:bCs/>
          <w:sz w:val="28"/>
          <w:szCs w:val="28"/>
        </w:rPr>
      </w:r>
      <w:r>
        <w:rPr>
          <w:b/>
          <w:bCs/>
          <w:sz w:val="28"/>
          <w:szCs w:val="28"/>
        </w:rPr>
      </w:r>
    </w:p>
    <w:p w14:paraId="2101321D">
      <w:pPr>
        <w:pStyle w:val="1128"/>
        <w:suppressLineNumbers w:val="false"/>
        <w:pBdr/>
        <w:spacing w:line="300" w:lineRule="auto"/>
        <w:ind w:firstLine="720"/>
        <w:rPr/>
      </w:pPr>
      <w:r>
        <w:t xml:space="preserve">A</w:t>
      </w:r>
      <w:r>
        <w:t xml:space="preserve">ll reported values in this section are compiled from the persisted LIMUC reporting outputs under Prototyping_reformat/DatasetAnalysis/LIMUC/4_reporting/out/ [78] and the synchronized chapter tables under Thesis/markdown/figures/ch4_representations/ [79]. T</w:t>
      </w:r>
      <w:r>
        <w:t xml:space="preserve">he chapter interpretation below is restricted to those fixed results.</w:t>
      </w:r>
      <w:r/>
    </w:p>
    <w:p w14:paraId="7390D47B">
      <w:pPr>
        <w:pStyle w:val="1128"/>
        <w:suppressLineNumbers w:val="false"/>
        <w:pBdr/>
        <w:spacing w:line="300" w:lineRule="auto"/>
        <w:ind w:firstLine="0"/>
        <w:rPr/>
      </w:pPr>
      <w:r/>
      <w:r/>
    </w:p>
    <w:p w14:paraId="26BCBBE8">
      <w:pPr>
        <w:pStyle w:val="1128"/>
        <w:suppressLineNumbers w:val="false"/>
        <w:pBdr/>
        <w:spacing w:line="300" w:lineRule="auto"/>
        <w:ind w:firstLine="0"/>
        <w:rPr>
          <w:b/>
          <w:bCs/>
        </w:rPr>
      </w:pPr>
      <w:r>
        <w:rPr>
          <w:b/>
          <w:bCs/>
        </w:rPr>
        <w:t xml:space="preserve">4.5.1 Internal Multi-Seed Comparison on LIMUC</w:t>
      </w:r>
      <w:r>
        <w:rPr>
          <w:b/>
          <w:bCs/>
        </w:rPr>
      </w:r>
      <w:r>
        <w:rPr>
          <w:b/>
          <w:bCs/>
        </w:rPr>
      </w:r>
    </w:p>
    <w:p w14:paraId="40980E7D">
      <w:pPr>
        <w:pStyle w:val="1128"/>
        <w:suppressLineNumbers w:val="false"/>
        <w:pBdr/>
        <w:spacing w:line="300" w:lineRule="auto"/>
        <w:ind w:firstLine="720"/>
        <w:rPr>
          <w:highlight w:val="none"/>
        </w:rPr>
      </w:pPr>
      <w:r>
        <w:t xml:space="preserve">The main result of Chapter 4 is that the LoRA-adapted generative lane (mode1) outperforms the official supervised baseline on the internal LIMUC test set across every headline metric that matters for this task.</w:t>
      </w:r>
      <w:r>
        <w:rPr>
          <w:highlight w:val="none"/>
        </w:rPr>
      </w:r>
      <w:r>
        <w:rPr>
          <w:highlight w:val="none"/>
        </w:rPr>
      </w:r>
    </w:p>
    <w:p w14:paraId="74F4BC43">
      <w:pPr>
        <w:pStyle w:val="1128"/>
        <w:suppressLineNumbers w:val="false"/>
        <w:pBdr/>
        <w:spacing w:line="300" w:lineRule="auto"/>
        <w:ind w:firstLine="0"/>
        <w:rPr/>
      </w:pPr>
      <w:r/>
      <w:r/>
    </w:p>
    <w:tbl>
      <w:tblPr>
        <w:tblStyle w:val="1185"/>
        <w:tblInd w:w="-524" w:type="dxa"/>
        <w:tblW w:w="0" w:type="auto"/>
        <w:tblBorders/>
        <w:tblLayout w:type="fixed"/>
        <w:tblLook w:val="04A0" w:firstRow="1" w:lastRow="0" w:firstColumn="1" w:lastColumn="0" w:noHBand="0" w:noVBand="1"/>
      </w:tblPr>
      <w:tblGrid>
        <w:gridCol w:w="1559"/>
        <w:gridCol w:w="1134"/>
        <w:gridCol w:w="1276"/>
        <w:gridCol w:w="1134"/>
        <w:gridCol w:w="1276"/>
        <w:gridCol w:w="835"/>
        <w:gridCol w:w="1291"/>
        <w:gridCol w:w="992"/>
      </w:tblGrid>
      <w:tr>
        <w:trPr/>
        <w:tc>
          <w:tcPr>
            <w:tcBorders/>
            <w:tcW w:w="1559" w:type="dxa"/>
            <w:textDirection w:val="lrTb"/>
            <w:noWrap w:val="false"/>
          </w:tcPr>
          <w:p w14:paraId="1BBCD8E2">
            <w:pPr>
              <w:pBdr/>
              <w:spacing w:after="0" w:before="0" w:line="240" w:lineRule="auto"/>
              <w:ind/>
              <w:rPr>
                <w:color w:val="000000" w:themeColor="text1"/>
                <w:sz w:val="22"/>
                <w:szCs w:val="22"/>
              </w:rPr>
            </w:pPr>
            <w:r>
              <w:rPr>
                <w:rFonts w:ascii="Liberation Sans" w:hAnsi="Liberation Sans" w:eastAsia="Liberation Sans" w:cs="Liberation Sans"/>
                <w:b/>
                <w:color w:val="000000" w:themeColor="text1"/>
                <w:sz w:val="22"/>
                <w:szCs w:val="22"/>
              </w:rPr>
              <w:t xml:space="preserve">Lane</w:t>
            </w:r>
            <w:r>
              <w:rPr>
                <w:color w:val="000000" w:themeColor="text1"/>
                <w:sz w:val="22"/>
                <w:szCs w:val="22"/>
              </w:rPr>
            </w:r>
            <w:r>
              <w:rPr>
                <w:color w:val="000000" w:themeColor="text1"/>
                <w:sz w:val="22"/>
                <w:szCs w:val="22"/>
              </w:rPr>
            </w:r>
          </w:p>
        </w:tc>
        <w:tc>
          <w:tcPr>
            <w:tcBorders/>
            <w:tcW w:w="1134" w:type="dxa"/>
            <w:textDirection w:val="lrTb"/>
            <w:noWrap w:val="false"/>
          </w:tcPr>
          <w:p w14:paraId="1B2374D9">
            <w:pPr>
              <w:pBdr/>
              <w:spacing w:after="0" w:before="0" w:line="240" w:lineRule="auto"/>
              <w:ind/>
              <w:rPr>
                <w:color w:val="000000" w:themeColor="text1"/>
                <w:sz w:val="22"/>
                <w:szCs w:val="22"/>
              </w:rPr>
            </w:pPr>
            <w:r>
              <w:rPr>
                <w:rFonts w:ascii="Liberation Sans" w:hAnsi="Liberation Sans" w:eastAsia="Liberation Sans" w:cs="Liberation Sans"/>
                <w:b/>
                <w:color w:val="000000" w:themeColor="text1"/>
                <w:sz w:val="22"/>
                <w:szCs w:val="22"/>
              </w:rPr>
              <w:t xml:space="preserve">Seeds</w:t>
            </w:r>
            <w:r>
              <w:rPr>
                <w:color w:val="000000" w:themeColor="text1"/>
                <w:sz w:val="22"/>
                <w:szCs w:val="22"/>
              </w:rPr>
            </w:r>
            <w:r>
              <w:rPr>
                <w:color w:val="000000" w:themeColor="text1"/>
                <w:sz w:val="22"/>
                <w:szCs w:val="22"/>
              </w:rPr>
            </w:r>
          </w:p>
        </w:tc>
        <w:tc>
          <w:tcPr>
            <w:tcBorders/>
            <w:tcW w:w="1276" w:type="dxa"/>
            <w:textDirection w:val="lrTb"/>
            <w:noWrap w:val="false"/>
          </w:tcPr>
          <w:p w14:paraId="37D5EF18">
            <w:pPr>
              <w:pBdr/>
              <w:spacing w:after="0" w:before="0" w:line="240" w:lineRule="auto"/>
              <w:ind/>
              <w:jc w:val="right"/>
              <w:rPr>
                <w:color w:val="000000" w:themeColor="text1"/>
                <w:sz w:val="22"/>
                <w:szCs w:val="22"/>
              </w:rPr>
            </w:pPr>
            <w:r>
              <w:rPr>
                <w:rFonts w:ascii="Liberation Sans" w:hAnsi="Liberation Sans" w:eastAsia="Liberation Sans" w:cs="Liberation Sans"/>
                <w:b/>
                <w:color w:val="000000" w:themeColor="text1"/>
                <w:sz w:val="22"/>
                <w:szCs w:val="22"/>
              </w:rPr>
              <w:t xml:space="preserve">Accuracy</w:t>
            </w:r>
            <w:r>
              <w:rPr>
                <w:color w:val="000000" w:themeColor="text1"/>
                <w:sz w:val="22"/>
                <w:szCs w:val="22"/>
              </w:rPr>
            </w:r>
            <w:r>
              <w:rPr>
                <w:color w:val="000000" w:themeColor="text1"/>
                <w:sz w:val="22"/>
                <w:szCs w:val="22"/>
              </w:rPr>
            </w:r>
          </w:p>
        </w:tc>
        <w:tc>
          <w:tcPr>
            <w:tcBorders/>
            <w:tcW w:w="1134" w:type="dxa"/>
            <w:textDirection w:val="lrTb"/>
            <w:noWrap w:val="false"/>
          </w:tcPr>
          <w:p w14:paraId="197C48F1">
            <w:pPr>
              <w:pBdr/>
              <w:spacing w:after="0" w:before="0" w:line="240" w:lineRule="auto"/>
              <w:ind/>
              <w:jc w:val="right"/>
              <w:rPr>
                <w:color w:val="000000" w:themeColor="text1"/>
                <w:sz w:val="22"/>
                <w:szCs w:val="22"/>
              </w:rPr>
            </w:pPr>
            <w:r>
              <w:rPr>
                <w:rFonts w:ascii="Liberation Sans" w:hAnsi="Liberation Sans" w:eastAsia="Liberation Sans" w:cs="Liberation Sans"/>
                <w:b/>
                <w:color w:val="000000" w:themeColor="text1"/>
                <w:sz w:val="22"/>
                <w:szCs w:val="22"/>
              </w:rPr>
              <w:t xml:space="preserve">Macro-F1</w:t>
            </w:r>
            <w:r>
              <w:rPr>
                <w:color w:val="000000" w:themeColor="text1"/>
                <w:sz w:val="22"/>
                <w:szCs w:val="22"/>
              </w:rPr>
            </w:r>
            <w:r>
              <w:rPr>
                <w:color w:val="000000" w:themeColor="text1"/>
                <w:sz w:val="22"/>
                <w:szCs w:val="22"/>
              </w:rPr>
            </w:r>
          </w:p>
        </w:tc>
        <w:tc>
          <w:tcPr>
            <w:tcBorders/>
            <w:tcW w:w="1276" w:type="dxa"/>
            <w:textDirection w:val="lrTb"/>
            <w:noWrap w:val="false"/>
          </w:tcPr>
          <w:p w14:paraId="34496CC5">
            <w:pPr>
              <w:pBdr/>
              <w:spacing w:after="0" w:before="0" w:line="240" w:lineRule="auto"/>
              <w:ind/>
              <w:jc w:val="right"/>
              <w:rPr>
                <w:color w:val="000000" w:themeColor="text1"/>
                <w:sz w:val="22"/>
                <w:szCs w:val="22"/>
              </w:rPr>
            </w:pPr>
            <w:r>
              <w:rPr>
                <w:rFonts w:ascii="Liberation Sans" w:hAnsi="Liberation Sans" w:eastAsia="Liberation Sans" w:cs="Liberation Sans"/>
                <w:b/>
                <w:color w:val="000000" w:themeColor="text1"/>
                <w:sz w:val="22"/>
                <w:szCs w:val="22"/>
              </w:rPr>
              <w:t xml:space="preserve">Balanced accuracy</w:t>
            </w:r>
            <w:r>
              <w:rPr>
                <w:color w:val="000000" w:themeColor="text1"/>
                <w:sz w:val="22"/>
                <w:szCs w:val="22"/>
              </w:rPr>
            </w:r>
            <w:r>
              <w:rPr>
                <w:color w:val="000000" w:themeColor="text1"/>
                <w:sz w:val="22"/>
                <w:szCs w:val="22"/>
              </w:rPr>
            </w:r>
          </w:p>
        </w:tc>
        <w:tc>
          <w:tcPr>
            <w:tcBorders/>
            <w:tcW w:w="835" w:type="dxa"/>
            <w:textDirection w:val="lrTb"/>
            <w:noWrap w:val="false"/>
          </w:tcPr>
          <w:p w14:paraId="5E171B91">
            <w:pPr>
              <w:pBdr/>
              <w:spacing w:after="0" w:before="0" w:line="240" w:lineRule="auto"/>
              <w:ind/>
              <w:jc w:val="right"/>
              <w:rPr>
                <w:color w:val="000000" w:themeColor="text1"/>
                <w:sz w:val="22"/>
                <w:szCs w:val="22"/>
              </w:rPr>
            </w:pPr>
            <w:r>
              <w:rPr>
                <w:rFonts w:ascii="Liberation Sans" w:hAnsi="Liberation Sans" w:eastAsia="Liberation Sans" w:cs="Liberation Sans"/>
                <w:b/>
                <w:color w:val="000000" w:themeColor="text1"/>
                <w:sz w:val="22"/>
                <w:szCs w:val="22"/>
              </w:rPr>
              <w:t xml:space="preserve">QWK</w:t>
            </w:r>
            <w:r>
              <w:rPr>
                <w:color w:val="000000" w:themeColor="text1"/>
                <w:sz w:val="22"/>
                <w:szCs w:val="22"/>
              </w:rPr>
            </w:r>
            <w:r>
              <w:rPr>
                <w:color w:val="000000" w:themeColor="text1"/>
                <w:sz w:val="22"/>
                <w:szCs w:val="22"/>
              </w:rPr>
            </w:r>
          </w:p>
        </w:tc>
        <w:tc>
          <w:tcPr>
            <w:tcBorders/>
            <w:tcW w:w="1291" w:type="dxa"/>
            <w:textDirection w:val="lrTb"/>
            <w:noWrap w:val="false"/>
          </w:tcPr>
          <w:p w14:paraId="021FAA1D">
            <w:pPr>
              <w:pBdr/>
              <w:spacing w:after="0" w:before="0" w:line="240" w:lineRule="auto"/>
              <w:ind/>
              <w:rPr>
                <w:color w:val="000000" w:themeColor="text1"/>
                <w:sz w:val="22"/>
                <w:szCs w:val="22"/>
              </w:rPr>
            </w:pPr>
            <w:r>
              <w:rPr>
                <w:rFonts w:ascii="Liberation Sans" w:hAnsi="Liberation Sans" w:eastAsia="Liberation Sans" w:cs="Liberation Sans"/>
                <w:b/>
                <w:color w:val="000000" w:themeColor="text1"/>
                <w:sz w:val="22"/>
                <w:szCs w:val="22"/>
              </w:rPr>
              <w:t xml:space="preserve">95% CI (QWK)</w:t>
            </w:r>
            <w:r>
              <w:rPr>
                <w:color w:val="000000" w:themeColor="text1"/>
                <w:sz w:val="22"/>
                <w:szCs w:val="22"/>
              </w:rPr>
            </w:r>
            <w:r>
              <w:rPr>
                <w:color w:val="000000" w:themeColor="text1"/>
                <w:sz w:val="22"/>
                <w:szCs w:val="22"/>
              </w:rPr>
            </w:r>
          </w:p>
        </w:tc>
        <w:tc>
          <w:tcPr>
            <w:tcBorders/>
            <w:tcW w:w="992" w:type="dxa"/>
            <w:textDirection w:val="lrTb"/>
            <w:noWrap w:val="false"/>
          </w:tcPr>
          <w:p w14:paraId="2C6BE2C0">
            <w:pPr>
              <w:pBdr/>
              <w:spacing w:after="0" w:before="0" w:line="240" w:lineRule="auto"/>
              <w:ind/>
              <w:jc w:val="right"/>
              <w:rPr>
                <w:color w:val="000000" w:themeColor="text1"/>
                <w:sz w:val="22"/>
                <w:szCs w:val="22"/>
              </w:rPr>
            </w:pPr>
            <w:r>
              <w:rPr>
                <w:rFonts w:ascii="Liberation Sans" w:hAnsi="Liberation Sans" w:eastAsia="Liberation Sans" w:cs="Liberation Sans"/>
                <w:b/>
                <w:color w:val="000000" w:themeColor="text1"/>
                <w:sz w:val="22"/>
                <w:szCs w:val="22"/>
              </w:rPr>
              <w:t xml:space="preserve">Parse rate</w:t>
            </w:r>
            <w:r>
              <w:rPr>
                <w:color w:val="000000" w:themeColor="text1"/>
                <w:sz w:val="22"/>
                <w:szCs w:val="22"/>
              </w:rPr>
            </w:r>
            <w:r>
              <w:rPr>
                <w:color w:val="000000" w:themeColor="text1"/>
                <w:sz w:val="22"/>
                <w:szCs w:val="22"/>
              </w:rPr>
            </w:r>
          </w:p>
        </w:tc>
      </w:tr>
      <w:tr>
        <w:trPr/>
        <w:tc>
          <w:tcPr>
            <w:tcBorders/>
            <w:tcW w:w="1559" w:type="dxa"/>
            <w:textDirection w:val="lrTb"/>
            <w:noWrap w:val="false"/>
          </w:tcPr>
          <w:p w14:paraId="1E69AA60">
            <w:pPr>
              <w:pBdr/>
              <w:spacing w:after="0" w:before="0" w:line="240" w:lineRule="auto"/>
              <w:ind/>
              <w:rPr>
                <w:color w:val="000000" w:themeColor="text1"/>
                <w:sz w:val="22"/>
                <w:szCs w:val="22"/>
              </w:rPr>
            </w:pPr>
            <w:r>
              <w:rPr>
                <w:rFonts w:ascii="Liberation Sans" w:hAnsi="Liberation Sans" w:eastAsia="Liberation Sans" w:cs="Liberation Sans"/>
                <w:color w:val="000000" w:themeColor="text1"/>
                <w:sz w:val="22"/>
                <w:szCs w:val="22"/>
              </w:rPr>
              <w:t xml:space="preserve">Pass 5 supervised</w:t>
            </w:r>
            <w:r>
              <w:rPr>
                <w:color w:val="000000" w:themeColor="text1"/>
                <w:sz w:val="22"/>
                <w:szCs w:val="22"/>
              </w:rPr>
            </w:r>
            <w:r>
              <w:rPr>
                <w:color w:val="000000" w:themeColor="text1"/>
                <w:sz w:val="22"/>
                <w:szCs w:val="22"/>
              </w:rPr>
            </w:r>
          </w:p>
        </w:tc>
        <w:tc>
          <w:tcPr>
            <w:tcBorders/>
            <w:tcW w:w="1134" w:type="dxa"/>
            <w:textDirection w:val="lrTb"/>
            <w:noWrap w:val="false"/>
          </w:tcPr>
          <w:p w14:paraId="08320713">
            <w:pPr>
              <w:pBdr/>
              <w:spacing w:after="0" w:before="0" w:line="240" w:lineRule="auto"/>
              <w:ind/>
              <w:rPr>
                <w:color w:val="000000" w:themeColor="text1"/>
                <w:sz w:val="22"/>
                <w:szCs w:val="22"/>
              </w:rPr>
            </w:pPr>
            <w:r>
              <w:rPr>
                <w:rFonts w:ascii="Liberation Sans" w:hAnsi="Liberation Sans" w:eastAsia="Liberation Sans" w:cs="Liberation Sans"/>
                <w:color w:val="000000" w:themeColor="text1"/>
                <w:sz w:val="22"/>
                <w:szCs w:val="22"/>
              </w:rPr>
              <w:t xml:space="preserve">11/23/42</w:t>
            </w:r>
            <w:r>
              <w:rPr>
                <w:color w:val="000000" w:themeColor="text1"/>
                <w:sz w:val="22"/>
                <w:szCs w:val="22"/>
              </w:rPr>
            </w:r>
            <w:r>
              <w:rPr>
                <w:color w:val="000000" w:themeColor="text1"/>
                <w:sz w:val="22"/>
                <w:szCs w:val="22"/>
              </w:rPr>
            </w:r>
          </w:p>
        </w:tc>
        <w:tc>
          <w:tcPr>
            <w:tcBorders/>
            <w:tcW w:w="1276" w:type="dxa"/>
            <w:textDirection w:val="lrTb"/>
            <w:noWrap w:val="false"/>
          </w:tcPr>
          <w:p w14:paraId="52A8316D">
            <w:pPr>
              <w:pBdr/>
              <w:spacing w:after="0" w:before="0" w:line="240" w:lineRule="auto"/>
              <w:ind/>
              <w:jc w:val="right"/>
              <w:rPr>
                <w:color w:val="000000" w:themeColor="text1"/>
                <w:sz w:val="22"/>
                <w:szCs w:val="22"/>
              </w:rPr>
            </w:pPr>
            <w:r>
              <w:rPr>
                <w:rFonts w:ascii="Liberation Sans" w:hAnsi="Liberation Sans" w:eastAsia="Liberation Sans" w:cs="Liberation Sans"/>
                <w:color w:val="000000" w:themeColor="text1"/>
                <w:sz w:val="22"/>
                <w:szCs w:val="22"/>
              </w:rPr>
              <w:t xml:space="preserve">0.737643</w:t>
            </w:r>
            <w:r>
              <w:rPr>
                <w:color w:val="000000" w:themeColor="text1"/>
                <w:sz w:val="22"/>
                <w:szCs w:val="22"/>
              </w:rPr>
            </w:r>
            <w:r>
              <w:rPr>
                <w:color w:val="000000" w:themeColor="text1"/>
                <w:sz w:val="22"/>
                <w:szCs w:val="22"/>
              </w:rPr>
            </w:r>
          </w:p>
        </w:tc>
        <w:tc>
          <w:tcPr>
            <w:tcBorders/>
            <w:tcW w:w="1134" w:type="dxa"/>
            <w:textDirection w:val="lrTb"/>
            <w:noWrap w:val="false"/>
          </w:tcPr>
          <w:p w14:paraId="7EBBAA66">
            <w:pPr>
              <w:pBdr/>
              <w:spacing w:after="0" w:before="0" w:line="240" w:lineRule="auto"/>
              <w:ind/>
              <w:jc w:val="right"/>
              <w:rPr>
                <w:color w:val="000000" w:themeColor="text1"/>
                <w:sz w:val="22"/>
                <w:szCs w:val="22"/>
              </w:rPr>
            </w:pPr>
            <w:r>
              <w:rPr>
                <w:rFonts w:ascii="Liberation Sans" w:hAnsi="Liberation Sans" w:eastAsia="Liberation Sans" w:cs="Liberation Sans"/>
                <w:color w:val="000000" w:themeColor="text1"/>
                <w:sz w:val="22"/>
                <w:szCs w:val="22"/>
              </w:rPr>
              <w:t xml:space="preserve">0.667330</w:t>
            </w:r>
            <w:r>
              <w:rPr>
                <w:color w:val="000000" w:themeColor="text1"/>
                <w:sz w:val="22"/>
                <w:szCs w:val="22"/>
              </w:rPr>
            </w:r>
            <w:r>
              <w:rPr>
                <w:color w:val="000000" w:themeColor="text1"/>
                <w:sz w:val="22"/>
                <w:szCs w:val="22"/>
              </w:rPr>
            </w:r>
          </w:p>
        </w:tc>
        <w:tc>
          <w:tcPr>
            <w:tcBorders/>
            <w:tcW w:w="1276" w:type="dxa"/>
            <w:textDirection w:val="lrTb"/>
            <w:noWrap w:val="false"/>
          </w:tcPr>
          <w:p w14:paraId="0ACEB123">
            <w:pPr>
              <w:pBdr/>
              <w:spacing w:after="0" w:before="0" w:line="240" w:lineRule="auto"/>
              <w:ind/>
              <w:jc w:val="right"/>
              <w:rPr>
                <w:color w:val="000000" w:themeColor="text1"/>
                <w:sz w:val="22"/>
                <w:szCs w:val="22"/>
              </w:rPr>
            </w:pPr>
            <w:r>
              <w:rPr>
                <w:rFonts w:ascii="Liberation Sans" w:hAnsi="Liberation Sans" w:eastAsia="Liberation Sans" w:cs="Liberation Sans"/>
                <w:color w:val="000000" w:themeColor="text1"/>
                <w:sz w:val="22"/>
                <w:szCs w:val="22"/>
              </w:rPr>
              <w:t xml:space="preserve">0.670907</w:t>
            </w:r>
            <w:r>
              <w:rPr>
                <w:color w:val="000000" w:themeColor="text1"/>
                <w:sz w:val="22"/>
                <w:szCs w:val="22"/>
              </w:rPr>
            </w:r>
            <w:r>
              <w:rPr>
                <w:color w:val="000000" w:themeColor="text1"/>
                <w:sz w:val="22"/>
                <w:szCs w:val="22"/>
              </w:rPr>
            </w:r>
          </w:p>
        </w:tc>
        <w:tc>
          <w:tcPr>
            <w:tcBorders/>
            <w:tcW w:w="835" w:type="dxa"/>
            <w:textDirection w:val="lrTb"/>
            <w:noWrap w:val="false"/>
          </w:tcPr>
          <w:p w14:paraId="2DA2F926">
            <w:pPr>
              <w:pBdr/>
              <w:spacing w:after="0" w:before="0" w:line="240" w:lineRule="auto"/>
              <w:ind/>
              <w:jc w:val="right"/>
              <w:rPr>
                <w:color w:val="000000" w:themeColor="text1"/>
                <w:sz w:val="22"/>
                <w:szCs w:val="22"/>
              </w:rPr>
            </w:pPr>
            <w:r>
              <w:rPr>
                <w:rFonts w:ascii="Liberation Sans" w:hAnsi="Liberation Sans" w:eastAsia="Liberation Sans" w:cs="Liberation Sans"/>
                <w:color w:val="000000" w:themeColor="text1"/>
                <w:sz w:val="22"/>
                <w:szCs w:val="22"/>
              </w:rPr>
              <w:t xml:space="preserve">0.818649</w:t>
            </w:r>
            <w:r>
              <w:rPr>
                <w:color w:val="000000" w:themeColor="text1"/>
                <w:sz w:val="22"/>
                <w:szCs w:val="22"/>
              </w:rPr>
            </w:r>
            <w:r>
              <w:rPr>
                <w:color w:val="000000" w:themeColor="text1"/>
                <w:sz w:val="22"/>
                <w:szCs w:val="22"/>
              </w:rPr>
            </w:r>
          </w:p>
        </w:tc>
        <w:tc>
          <w:tcPr>
            <w:tcBorders/>
            <w:tcW w:w="1291" w:type="dxa"/>
            <w:textDirection w:val="lrTb"/>
            <w:noWrap w:val="false"/>
          </w:tcPr>
          <w:p w14:paraId="17039D0F">
            <w:pPr>
              <w:pBdr/>
              <w:spacing w:after="0" w:before="0" w:line="240" w:lineRule="auto"/>
              <w:ind/>
              <w:rPr>
                <w:color w:val="000000" w:themeColor="text1"/>
                <w:sz w:val="22"/>
                <w:szCs w:val="22"/>
              </w:rPr>
            </w:pPr>
            <w:r>
              <w:rPr>
                <w:rFonts w:ascii="Liberation Sans" w:hAnsi="Liberation Sans" w:eastAsia="Liberation Sans" w:cs="Liberation Sans"/>
                <w:color w:val="000000" w:themeColor="text1"/>
                <w:sz w:val="22"/>
                <w:szCs w:val="22"/>
              </w:rPr>
              <w:t xml:space="preserve">[0.807920, 0.830582]</w:t>
            </w:r>
            <w:r>
              <w:rPr>
                <w:color w:val="000000" w:themeColor="text1"/>
                <w:sz w:val="22"/>
                <w:szCs w:val="22"/>
              </w:rPr>
            </w:r>
            <w:r>
              <w:rPr>
                <w:color w:val="000000" w:themeColor="text1"/>
                <w:sz w:val="22"/>
                <w:szCs w:val="22"/>
              </w:rPr>
            </w:r>
          </w:p>
        </w:tc>
        <w:tc>
          <w:tcPr>
            <w:tcBorders/>
            <w:tcW w:w="992" w:type="dxa"/>
            <w:textDirection w:val="lrTb"/>
            <w:noWrap w:val="false"/>
          </w:tcPr>
          <w:p w14:paraId="0E52E2DE">
            <w:pPr>
              <w:pBdr/>
              <w:spacing w:after="0" w:before="0" w:line="240" w:lineRule="auto"/>
              <w:ind/>
              <w:jc w:val="right"/>
              <w:rPr>
                <w:color w:val="000000" w:themeColor="text1"/>
                <w:sz w:val="22"/>
                <w:szCs w:val="22"/>
              </w:rPr>
            </w:pPr>
            <w:r>
              <w:rPr>
                <w:rFonts w:ascii="Liberation Sans" w:hAnsi="Liberation Sans" w:eastAsia="Liberation Sans" w:cs="Liberation Sans"/>
                <w:color w:val="000000" w:themeColor="text1"/>
                <w:sz w:val="22"/>
                <w:szCs w:val="22"/>
              </w:rPr>
              <w:t xml:space="preserve">--</w:t>
            </w:r>
            <w:r>
              <w:rPr>
                <w:color w:val="000000" w:themeColor="text1"/>
                <w:sz w:val="22"/>
                <w:szCs w:val="22"/>
              </w:rPr>
            </w:r>
            <w:r>
              <w:rPr>
                <w:color w:val="000000" w:themeColor="text1"/>
                <w:sz w:val="22"/>
                <w:szCs w:val="22"/>
              </w:rPr>
            </w:r>
          </w:p>
        </w:tc>
      </w:tr>
      <w:tr>
        <w:trPr/>
        <w:tc>
          <w:tcPr>
            <w:tcBorders/>
            <w:tcW w:w="1559" w:type="dxa"/>
            <w:textDirection w:val="lrTb"/>
            <w:noWrap w:val="false"/>
          </w:tcPr>
          <w:p w14:paraId="17073926">
            <w:pPr>
              <w:pBdr/>
              <w:spacing w:after="0" w:before="0" w:line="240" w:lineRule="auto"/>
              <w:ind/>
              <w:rPr>
                <w:color w:val="000000" w:themeColor="text1"/>
                <w:sz w:val="22"/>
                <w:szCs w:val="22"/>
              </w:rPr>
            </w:pPr>
            <w:r>
              <w:rPr>
                <w:rFonts w:ascii="Liberation Sans" w:hAnsi="Liberation Sans" w:eastAsia="Liberation Sans" w:cs="Liberation Sans"/>
                <w:color w:val="000000" w:themeColor="text1"/>
                <w:sz w:val="22"/>
                <w:szCs w:val="22"/>
              </w:rPr>
              <w:t xml:space="preserve">Pass 6 </w:t>
            </w:r>
            <w:r>
              <w:rPr>
                <w:rFonts w:ascii="Droid Sans Mono" w:hAnsi="Droid Sans Mono" w:eastAsia="Droid Sans Mono" w:cs="Droid Sans Mono"/>
                <w:color w:val="000000" w:themeColor="text1"/>
                <w:sz w:val="22"/>
                <w:szCs w:val="22"/>
                <w:highlight w:val="white"/>
              </w:rPr>
              <w:t xml:space="preserve">lora_mode1_train</w:t>
            </w:r>
            <w:r>
              <w:rPr>
                <w:color w:val="000000" w:themeColor="text1"/>
                <w:sz w:val="22"/>
                <w:szCs w:val="22"/>
              </w:rPr>
            </w:r>
            <w:r>
              <w:rPr>
                <w:color w:val="000000" w:themeColor="text1"/>
                <w:sz w:val="22"/>
                <w:szCs w:val="22"/>
              </w:rPr>
            </w:r>
          </w:p>
        </w:tc>
        <w:tc>
          <w:tcPr>
            <w:tcBorders/>
            <w:tcW w:w="1134" w:type="dxa"/>
            <w:textDirection w:val="lrTb"/>
            <w:noWrap w:val="false"/>
          </w:tcPr>
          <w:p w14:paraId="37288D76">
            <w:pPr>
              <w:pBdr/>
              <w:spacing w:after="0" w:before="0" w:line="240" w:lineRule="auto"/>
              <w:ind/>
              <w:rPr>
                <w:color w:val="000000" w:themeColor="text1"/>
                <w:sz w:val="22"/>
                <w:szCs w:val="22"/>
              </w:rPr>
            </w:pPr>
            <w:r>
              <w:rPr>
                <w:rFonts w:ascii="Liberation Sans" w:hAnsi="Liberation Sans" w:eastAsia="Liberation Sans" w:cs="Liberation Sans"/>
                <w:color w:val="000000" w:themeColor="text1"/>
                <w:sz w:val="22"/>
                <w:szCs w:val="22"/>
              </w:rPr>
              <w:t xml:space="preserve">11/23/77</w:t>
            </w:r>
            <w:r>
              <w:rPr>
                <w:color w:val="000000" w:themeColor="text1"/>
                <w:sz w:val="22"/>
                <w:szCs w:val="22"/>
              </w:rPr>
            </w:r>
            <w:r>
              <w:rPr>
                <w:color w:val="000000" w:themeColor="text1"/>
                <w:sz w:val="22"/>
                <w:szCs w:val="22"/>
              </w:rPr>
            </w:r>
          </w:p>
        </w:tc>
        <w:tc>
          <w:tcPr>
            <w:tcBorders/>
            <w:tcW w:w="1276" w:type="dxa"/>
            <w:textDirection w:val="lrTb"/>
            <w:noWrap w:val="false"/>
          </w:tcPr>
          <w:p w14:paraId="36E4A2C6">
            <w:pPr>
              <w:pBdr/>
              <w:spacing w:after="0" w:before="0" w:line="240" w:lineRule="auto"/>
              <w:ind/>
              <w:jc w:val="right"/>
              <w:rPr>
                <w:color w:val="000000" w:themeColor="text1"/>
                <w:sz w:val="22"/>
                <w:szCs w:val="22"/>
              </w:rPr>
            </w:pPr>
            <w:r>
              <w:rPr>
                <w:rFonts w:ascii="Liberation Sans" w:hAnsi="Liberation Sans" w:eastAsia="Liberation Sans" w:cs="Liberation Sans"/>
                <w:color w:val="000000" w:themeColor="text1"/>
                <w:sz w:val="22"/>
                <w:szCs w:val="22"/>
              </w:rPr>
              <w:t xml:space="preserve">0.781930</w:t>
            </w:r>
            <w:r>
              <w:rPr>
                <w:color w:val="000000" w:themeColor="text1"/>
                <w:sz w:val="22"/>
                <w:szCs w:val="22"/>
              </w:rPr>
            </w:r>
            <w:r>
              <w:rPr>
                <w:color w:val="000000" w:themeColor="text1"/>
                <w:sz w:val="22"/>
                <w:szCs w:val="22"/>
              </w:rPr>
            </w:r>
          </w:p>
        </w:tc>
        <w:tc>
          <w:tcPr>
            <w:tcBorders/>
            <w:tcW w:w="1134" w:type="dxa"/>
            <w:textDirection w:val="lrTb"/>
            <w:noWrap w:val="false"/>
          </w:tcPr>
          <w:p w14:paraId="3022E92B">
            <w:pPr>
              <w:pBdr/>
              <w:spacing w:after="0" w:before="0" w:line="240" w:lineRule="auto"/>
              <w:ind/>
              <w:jc w:val="right"/>
              <w:rPr>
                <w:color w:val="000000" w:themeColor="text1"/>
                <w:sz w:val="22"/>
                <w:szCs w:val="22"/>
              </w:rPr>
            </w:pPr>
            <w:r>
              <w:rPr>
                <w:rFonts w:ascii="Liberation Sans" w:hAnsi="Liberation Sans" w:eastAsia="Liberation Sans" w:cs="Liberation Sans"/>
                <w:color w:val="000000" w:themeColor="text1"/>
                <w:sz w:val="22"/>
                <w:szCs w:val="22"/>
              </w:rPr>
              <w:t xml:space="preserve">0.727920</w:t>
            </w:r>
            <w:r>
              <w:rPr>
                <w:color w:val="000000" w:themeColor="text1"/>
                <w:sz w:val="22"/>
                <w:szCs w:val="22"/>
              </w:rPr>
            </w:r>
            <w:r>
              <w:rPr>
                <w:color w:val="000000" w:themeColor="text1"/>
                <w:sz w:val="22"/>
                <w:szCs w:val="22"/>
              </w:rPr>
            </w:r>
          </w:p>
        </w:tc>
        <w:tc>
          <w:tcPr>
            <w:tcBorders/>
            <w:tcW w:w="1276" w:type="dxa"/>
            <w:textDirection w:val="lrTb"/>
            <w:noWrap w:val="false"/>
          </w:tcPr>
          <w:p w14:paraId="77308439">
            <w:pPr>
              <w:pBdr/>
              <w:spacing w:after="0" w:before="0" w:line="240" w:lineRule="auto"/>
              <w:ind/>
              <w:jc w:val="right"/>
              <w:rPr>
                <w:color w:val="000000" w:themeColor="text1"/>
                <w:sz w:val="22"/>
                <w:szCs w:val="22"/>
              </w:rPr>
            </w:pPr>
            <w:r>
              <w:rPr>
                <w:rFonts w:ascii="Liberation Sans" w:hAnsi="Liberation Sans" w:eastAsia="Liberation Sans" w:cs="Liberation Sans"/>
                <w:color w:val="000000" w:themeColor="text1"/>
                <w:sz w:val="22"/>
                <w:szCs w:val="22"/>
              </w:rPr>
              <w:t xml:space="preserve">0.736292</w:t>
            </w:r>
            <w:r>
              <w:rPr>
                <w:color w:val="000000" w:themeColor="text1"/>
                <w:sz w:val="22"/>
                <w:szCs w:val="22"/>
              </w:rPr>
            </w:r>
            <w:r>
              <w:rPr>
                <w:color w:val="000000" w:themeColor="text1"/>
                <w:sz w:val="22"/>
                <w:szCs w:val="22"/>
              </w:rPr>
            </w:r>
          </w:p>
        </w:tc>
        <w:tc>
          <w:tcPr>
            <w:tcBorders/>
            <w:tcW w:w="835" w:type="dxa"/>
            <w:textDirection w:val="lrTb"/>
            <w:noWrap w:val="false"/>
          </w:tcPr>
          <w:p w14:paraId="61E6D392">
            <w:pPr>
              <w:pBdr/>
              <w:spacing w:after="0" w:before="0" w:line="240" w:lineRule="auto"/>
              <w:ind/>
              <w:jc w:val="right"/>
              <w:rPr>
                <w:color w:val="000000" w:themeColor="text1"/>
                <w:sz w:val="22"/>
                <w:szCs w:val="22"/>
              </w:rPr>
            </w:pPr>
            <w:r>
              <w:rPr>
                <w:rFonts w:ascii="Liberation Sans" w:hAnsi="Liberation Sans" w:eastAsia="Liberation Sans" w:cs="Liberation Sans"/>
                <w:color w:val="000000" w:themeColor="text1"/>
                <w:sz w:val="22"/>
                <w:szCs w:val="22"/>
              </w:rPr>
              <w:t xml:space="preserve">0.863656</w:t>
            </w:r>
            <w:r>
              <w:rPr>
                <w:color w:val="000000" w:themeColor="text1"/>
                <w:sz w:val="22"/>
                <w:szCs w:val="22"/>
              </w:rPr>
            </w:r>
            <w:r>
              <w:rPr>
                <w:color w:val="000000" w:themeColor="text1"/>
                <w:sz w:val="22"/>
                <w:szCs w:val="22"/>
              </w:rPr>
            </w:r>
          </w:p>
        </w:tc>
        <w:tc>
          <w:tcPr>
            <w:tcBorders/>
            <w:tcW w:w="1291" w:type="dxa"/>
            <w:textDirection w:val="lrTb"/>
            <w:noWrap w:val="false"/>
          </w:tcPr>
          <w:p w14:paraId="42BF7CC5">
            <w:pPr>
              <w:pBdr/>
              <w:spacing w:after="0" w:before="0" w:line="240" w:lineRule="auto"/>
              <w:ind/>
              <w:rPr>
                <w:color w:val="000000" w:themeColor="text1"/>
                <w:sz w:val="22"/>
                <w:szCs w:val="22"/>
              </w:rPr>
            </w:pPr>
            <w:r>
              <w:rPr>
                <w:rFonts w:ascii="Liberation Sans" w:hAnsi="Liberation Sans" w:eastAsia="Liberation Sans" w:cs="Liberation Sans"/>
                <w:color w:val="000000" w:themeColor="text1"/>
                <w:sz w:val="22"/>
                <w:szCs w:val="22"/>
              </w:rPr>
              <w:t xml:space="preserve">[0.862382, 0.865836]</w:t>
            </w:r>
            <w:r>
              <w:rPr>
                <w:color w:val="000000" w:themeColor="text1"/>
                <w:sz w:val="22"/>
                <w:szCs w:val="22"/>
              </w:rPr>
            </w:r>
            <w:r>
              <w:rPr>
                <w:color w:val="000000" w:themeColor="text1"/>
                <w:sz w:val="22"/>
                <w:szCs w:val="22"/>
              </w:rPr>
            </w:r>
          </w:p>
        </w:tc>
        <w:tc>
          <w:tcPr>
            <w:tcBorders/>
            <w:tcW w:w="992" w:type="dxa"/>
            <w:textDirection w:val="lrTb"/>
            <w:noWrap w:val="false"/>
          </w:tcPr>
          <w:p w14:paraId="00286B7B">
            <w:pPr>
              <w:pBdr/>
              <w:spacing w:after="0" w:before="0" w:line="240" w:lineRule="auto"/>
              <w:ind/>
              <w:jc w:val="right"/>
              <w:rPr>
                <w:color w:val="000000" w:themeColor="text1"/>
                <w:sz w:val="22"/>
                <w:szCs w:val="22"/>
              </w:rPr>
            </w:pPr>
            <w:r>
              <w:rPr>
                <w:rFonts w:ascii="Liberation Sans" w:hAnsi="Liberation Sans" w:eastAsia="Liberation Sans" w:cs="Liberation Sans"/>
                <w:color w:val="000000" w:themeColor="text1"/>
                <w:sz w:val="22"/>
                <w:szCs w:val="22"/>
              </w:rPr>
              <w:t xml:space="preserve">1.000000</w:t>
            </w:r>
            <w:r>
              <w:rPr>
                <w:color w:val="000000" w:themeColor="text1"/>
                <w:sz w:val="22"/>
                <w:szCs w:val="22"/>
              </w:rPr>
            </w:r>
            <w:r>
              <w:rPr>
                <w:color w:val="000000" w:themeColor="text1"/>
                <w:sz w:val="22"/>
                <w:szCs w:val="22"/>
              </w:rPr>
            </w:r>
          </w:p>
        </w:tc>
      </w:tr>
      <w:tr>
        <w:trPr/>
        <w:tc>
          <w:tcPr>
            <w:tcBorders/>
            <w:tcW w:w="1559" w:type="dxa"/>
            <w:textDirection w:val="lrTb"/>
            <w:noWrap w:val="false"/>
          </w:tcPr>
          <w:p w14:paraId="1EE06CFF">
            <w:pPr>
              <w:pBdr/>
              <w:spacing w:after="0" w:before="0" w:line="240" w:lineRule="auto"/>
              <w:ind/>
              <w:rPr>
                <w:color w:val="000000" w:themeColor="text1"/>
                <w:sz w:val="22"/>
                <w:szCs w:val="22"/>
              </w:rPr>
            </w:pPr>
            <w:r>
              <w:rPr>
                <w:rFonts w:ascii="Liberation Sans" w:hAnsi="Liberation Sans" w:eastAsia="Liberation Sans" w:cs="Liberation Sans"/>
                <w:color w:val="000000" w:themeColor="text1"/>
                <w:sz w:val="22"/>
                <w:szCs w:val="22"/>
              </w:rPr>
              <w:t xml:space="preserve">Pass 6 </w:t>
            </w:r>
            <w:r>
              <w:rPr>
                <w:rFonts w:ascii="Droid Sans Mono" w:hAnsi="Droid Sans Mono" w:eastAsia="Droid Sans Mono" w:cs="Droid Sans Mono"/>
                <w:color w:val="000000" w:themeColor="text1"/>
                <w:sz w:val="22"/>
                <w:szCs w:val="22"/>
                <w:highlight w:val="white"/>
              </w:rPr>
              <w:t xml:space="preserve">lora_mode2_eval</w:t>
            </w:r>
            <w:r>
              <w:rPr>
                <w:color w:val="000000" w:themeColor="text1"/>
                <w:sz w:val="22"/>
                <w:szCs w:val="22"/>
              </w:rPr>
            </w:r>
            <w:r>
              <w:rPr>
                <w:color w:val="000000" w:themeColor="text1"/>
                <w:sz w:val="22"/>
                <w:szCs w:val="22"/>
              </w:rPr>
            </w:r>
          </w:p>
        </w:tc>
        <w:tc>
          <w:tcPr>
            <w:tcBorders/>
            <w:tcW w:w="1134" w:type="dxa"/>
            <w:textDirection w:val="lrTb"/>
            <w:noWrap w:val="false"/>
          </w:tcPr>
          <w:p w14:paraId="1C8AF788">
            <w:pPr>
              <w:pBdr/>
              <w:spacing w:after="0" w:before="0" w:line="240" w:lineRule="auto"/>
              <w:ind/>
              <w:rPr>
                <w:color w:val="000000" w:themeColor="text1"/>
                <w:sz w:val="22"/>
                <w:szCs w:val="22"/>
              </w:rPr>
            </w:pPr>
            <w:r>
              <w:rPr>
                <w:rFonts w:ascii="Liberation Sans" w:hAnsi="Liberation Sans" w:eastAsia="Liberation Sans" w:cs="Liberation Sans"/>
                <w:color w:val="000000" w:themeColor="text1"/>
                <w:sz w:val="22"/>
                <w:szCs w:val="22"/>
              </w:rPr>
              <w:t xml:space="preserve">11/23/77</w:t>
            </w:r>
            <w:r>
              <w:rPr>
                <w:color w:val="000000" w:themeColor="text1"/>
                <w:sz w:val="22"/>
                <w:szCs w:val="22"/>
              </w:rPr>
            </w:r>
            <w:r>
              <w:rPr>
                <w:color w:val="000000" w:themeColor="text1"/>
                <w:sz w:val="22"/>
                <w:szCs w:val="22"/>
              </w:rPr>
            </w:r>
          </w:p>
        </w:tc>
        <w:tc>
          <w:tcPr>
            <w:tcBorders/>
            <w:tcW w:w="1276" w:type="dxa"/>
            <w:textDirection w:val="lrTb"/>
            <w:noWrap w:val="false"/>
          </w:tcPr>
          <w:p w14:paraId="4E055FEB">
            <w:pPr>
              <w:pBdr/>
              <w:spacing w:after="0" w:before="0" w:line="240" w:lineRule="auto"/>
              <w:ind/>
              <w:jc w:val="right"/>
              <w:rPr>
                <w:color w:val="000000" w:themeColor="text1"/>
                <w:sz w:val="22"/>
                <w:szCs w:val="22"/>
              </w:rPr>
            </w:pPr>
            <w:r>
              <w:rPr>
                <w:rFonts w:ascii="Liberation Sans" w:hAnsi="Liberation Sans" w:eastAsia="Liberation Sans" w:cs="Liberation Sans"/>
                <w:color w:val="000000" w:themeColor="text1"/>
                <w:sz w:val="22"/>
                <w:szCs w:val="22"/>
              </w:rPr>
              <w:t xml:space="preserve">0.548636</w:t>
            </w:r>
            <w:r>
              <w:rPr>
                <w:color w:val="000000" w:themeColor="text1"/>
                <w:sz w:val="22"/>
                <w:szCs w:val="22"/>
              </w:rPr>
            </w:r>
            <w:r>
              <w:rPr>
                <w:color w:val="000000" w:themeColor="text1"/>
                <w:sz w:val="22"/>
                <w:szCs w:val="22"/>
              </w:rPr>
            </w:r>
          </w:p>
        </w:tc>
        <w:tc>
          <w:tcPr>
            <w:tcBorders/>
            <w:tcW w:w="1134" w:type="dxa"/>
            <w:textDirection w:val="lrTb"/>
            <w:noWrap w:val="false"/>
          </w:tcPr>
          <w:p w14:paraId="72ABD512">
            <w:pPr>
              <w:pBdr/>
              <w:spacing w:after="0" w:before="0" w:line="240" w:lineRule="auto"/>
              <w:ind/>
              <w:jc w:val="right"/>
              <w:rPr>
                <w:color w:val="000000" w:themeColor="text1"/>
                <w:sz w:val="22"/>
                <w:szCs w:val="22"/>
              </w:rPr>
            </w:pPr>
            <w:r>
              <w:rPr>
                <w:rFonts w:ascii="Liberation Sans" w:hAnsi="Liberation Sans" w:eastAsia="Liberation Sans" w:cs="Liberation Sans"/>
                <w:color w:val="000000" w:themeColor="text1"/>
                <w:sz w:val="22"/>
                <w:szCs w:val="22"/>
              </w:rPr>
              <w:t xml:space="preserve">0.177135</w:t>
            </w:r>
            <w:r>
              <w:rPr>
                <w:color w:val="000000" w:themeColor="text1"/>
                <w:sz w:val="22"/>
                <w:szCs w:val="22"/>
              </w:rPr>
            </w:r>
            <w:r>
              <w:rPr>
                <w:color w:val="000000" w:themeColor="text1"/>
                <w:sz w:val="22"/>
                <w:szCs w:val="22"/>
              </w:rPr>
            </w:r>
          </w:p>
        </w:tc>
        <w:tc>
          <w:tcPr>
            <w:tcBorders/>
            <w:tcW w:w="1276" w:type="dxa"/>
            <w:textDirection w:val="lrTb"/>
            <w:noWrap w:val="false"/>
          </w:tcPr>
          <w:p w14:paraId="148AE357">
            <w:pPr>
              <w:pBdr/>
              <w:spacing w:after="0" w:before="0" w:line="240" w:lineRule="auto"/>
              <w:ind/>
              <w:jc w:val="right"/>
              <w:rPr>
                <w:color w:val="000000" w:themeColor="text1"/>
                <w:sz w:val="22"/>
                <w:szCs w:val="22"/>
              </w:rPr>
            </w:pPr>
            <w:r>
              <w:rPr>
                <w:rFonts w:ascii="Liberation Sans" w:hAnsi="Liberation Sans" w:eastAsia="Liberation Sans" w:cs="Liberation Sans"/>
                <w:color w:val="000000" w:themeColor="text1"/>
                <w:sz w:val="22"/>
                <w:szCs w:val="22"/>
              </w:rPr>
              <w:t xml:space="preserve">0.250000</w:t>
            </w:r>
            <w:r>
              <w:rPr>
                <w:color w:val="000000" w:themeColor="text1"/>
                <w:sz w:val="22"/>
                <w:szCs w:val="22"/>
              </w:rPr>
            </w:r>
            <w:r>
              <w:rPr>
                <w:color w:val="000000" w:themeColor="text1"/>
                <w:sz w:val="22"/>
                <w:szCs w:val="22"/>
              </w:rPr>
            </w:r>
          </w:p>
        </w:tc>
        <w:tc>
          <w:tcPr>
            <w:tcBorders/>
            <w:tcW w:w="835" w:type="dxa"/>
            <w:textDirection w:val="lrTb"/>
            <w:noWrap w:val="false"/>
          </w:tcPr>
          <w:p w14:paraId="3A48919F">
            <w:pPr>
              <w:pBdr/>
              <w:spacing w:after="0" w:before="0" w:line="240" w:lineRule="auto"/>
              <w:ind/>
              <w:jc w:val="right"/>
              <w:rPr>
                <w:color w:val="000000" w:themeColor="text1"/>
                <w:sz w:val="22"/>
                <w:szCs w:val="22"/>
              </w:rPr>
            </w:pPr>
            <w:r>
              <w:rPr>
                <w:rFonts w:ascii="Liberation Sans" w:hAnsi="Liberation Sans" w:eastAsia="Liberation Sans" w:cs="Liberation Sans"/>
                <w:color w:val="000000" w:themeColor="text1"/>
                <w:sz w:val="22"/>
                <w:szCs w:val="22"/>
              </w:rPr>
              <w:t xml:space="preserve">0.000000</w:t>
            </w:r>
            <w:r>
              <w:rPr>
                <w:color w:val="000000" w:themeColor="text1"/>
                <w:sz w:val="22"/>
                <w:szCs w:val="22"/>
              </w:rPr>
            </w:r>
            <w:r>
              <w:rPr>
                <w:color w:val="000000" w:themeColor="text1"/>
                <w:sz w:val="22"/>
                <w:szCs w:val="22"/>
              </w:rPr>
            </w:r>
          </w:p>
        </w:tc>
        <w:tc>
          <w:tcPr>
            <w:tcBorders/>
            <w:tcW w:w="1291" w:type="dxa"/>
            <w:textDirection w:val="lrTb"/>
            <w:noWrap w:val="false"/>
          </w:tcPr>
          <w:p w14:paraId="4CB2289C">
            <w:pPr>
              <w:pBdr/>
              <w:spacing w:after="0" w:before="0" w:line="240" w:lineRule="auto"/>
              <w:ind/>
              <w:rPr>
                <w:color w:val="000000" w:themeColor="text1"/>
                <w:sz w:val="22"/>
                <w:szCs w:val="22"/>
              </w:rPr>
            </w:pPr>
            <w:r>
              <w:rPr>
                <w:rFonts w:ascii="Liberation Sans" w:hAnsi="Liberation Sans" w:eastAsia="Liberation Sans" w:cs="Liberation Sans"/>
                <w:color w:val="000000" w:themeColor="text1"/>
                <w:sz w:val="22"/>
                <w:szCs w:val="22"/>
              </w:rPr>
              <w:t xml:space="preserve">[0.000000, 0.000000]</w:t>
            </w:r>
            <w:r>
              <w:rPr>
                <w:color w:val="000000" w:themeColor="text1"/>
                <w:sz w:val="22"/>
                <w:szCs w:val="22"/>
              </w:rPr>
            </w:r>
            <w:r>
              <w:rPr>
                <w:color w:val="000000" w:themeColor="text1"/>
                <w:sz w:val="22"/>
                <w:szCs w:val="22"/>
              </w:rPr>
            </w:r>
          </w:p>
        </w:tc>
        <w:tc>
          <w:tcPr>
            <w:tcBorders/>
            <w:tcW w:w="992" w:type="dxa"/>
            <w:textDirection w:val="lrTb"/>
            <w:noWrap w:val="false"/>
          </w:tcPr>
          <w:p w14:paraId="5514322E">
            <w:pPr>
              <w:pBdr/>
              <w:spacing w:after="0" w:before="0" w:line="240" w:lineRule="auto"/>
              <w:ind/>
              <w:jc w:val="right"/>
              <w:rPr>
                <w:color w:val="000000" w:themeColor="text1"/>
                <w:sz w:val="22"/>
                <w:szCs w:val="22"/>
              </w:rPr>
            </w:pPr>
            <w:r>
              <w:rPr>
                <w:rFonts w:ascii="Liberation Sans" w:hAnsi="Liberation Sans" w:eastAsia="Liberation Sans" w:cs="Liberation Sans"/>
                <w:color w:val="000000" w:themeColor="text1"/>
                <w:sz w:val="22"/>
                <w:szCs w:val="22"/>
              </w:rPr>
              <w:t xml:space="preserve">1.000000</w:t>
            </w:r>
            <w:r>
              <w:rPr>
                <w:color w:val="000000" w:themeColor="text1"/>
                <w:sz w:val="22"/>
                <w:szCs w:val="22"/>
              </w:rPr>
            </w:r>
            <w:r>
              <w:rPr>
                <w:color w:val="000000" w:themeColor="text1"/>
                <w:sz w:val="22"/>
                <w:szCs w:val="22"/>
              </w:rPr>
            </w:r>
          </w:p>
        </w:tc>
      </w:tr>
    </w:tbl>
    <w:p w14:paraId="6EB932AF">
      <w:pPr>
        <w:pStyle w:val="1128"/>
        <w:suppressLineNumbers w:val="false"/>
        <w:pBdr/>
        <w:spacing w:line="300" w:lineRule="auto"/>
        <w:ind w:firstLine="720" w:left="720"/>
        <w:rPr/>
      </w:pPr>
      <w:r>
        <w:rPr>
          <w:highlight w:val="none"/>
        </w:rPr>
      </w:r>
      <w:r>
        <w:rPr>
          <w:highlight w:val="none"/>
        </w:rPr>
        <w:t xml:space="preserve">Table 4.6. Internal Multi-Seed Results on LIMUC</w:t>
      </w:r>
      <w:r>
        <w:rPr>
          <w:highlight w:val="none"/>
        </w:rPr>
      </w:r>
      <w:r/>
    </w:p>
    <w:p w14:paraId="73E82463">
      <w:pPr>
        <w:pStyle w:val="1128"/>
        <w:suppressLineNumbers w:val="false"/>
        <w:pBdr/>
        <w:spacing w:line="300" w:lineRule="auto"/>
        <w:ind w:firstLine="0"/>
        <w:rPr/>
      </w:pPr>
      <w:r/>
      <w:r/>
    </w:p>
    <w:p w14:paraId="3A4DB826">
      <w:pPr>
        <w:pStyle w:val="1128"/>
        <w:suppressLineNumbers w:val="false"/>
        <w:pBdr/>
        <w:spacing w:line="300" w:lineRule="auto"/>
        <w:ind w:firstLine="720"/>
        <w:rPr/>
      </w:pPr>
      <w:r>
        <w:t xml:space="preserve">R</w:t>
      </w:r>
      <w:r>
        <w:t xml:space="preserve">elative to the supervised baseline, mode1 improves internal QWK by +0.045007, macro-F1 by +0.060590, balanced accuracy by +0.065385, and accuracy by +0.044286. At the same time, it preserves a parse rate of 1.000000, meaning that every generated answer in </w:t>
      </w:r>
      <w:r>
        <w:t xml:space="preserve">t</w:t>
      </w:r>
      <w:r>
        <w:t xml:space="preserve">he reported internal evaluation remained convertible to a valid score. This is a critical result because it shows that the proposed method does not trade improved scoring for unstable text output. Instead, it achieves both better ordinal agreement and perf</w:t>
      </w:r>
      <w:r>
        <w:t xml:space="preserve">ect format compliance under the constrained protocol.</w:t>
      </w:r>
      <w:r/>
    </w:p>
    <w:p w14:paraId="7664FC86">
      <w:pPr>
        <w:pStyle w:val="1128"/>
        <w:suppressLineNumbers w:val="false"/>
        <w:pBdr/>
        <w:spacing w:line="300" w:lineRule="auto"/>
        <w:ind w:firstLine="720"/>
        <w:rPr/>
      </w:pPr>
      <w:r>
        <w:t xml:space="preserve">T</w:t>
      </w:r>
      <w:r>
        <w:t xml:space="preserve">he narrow QWK confidence interval for mode1 also suggests stable multi-seed behavior. This is supported by the seed-level quality-control record, where all three reported runs pass the non-degeneracy checks and each run predicts all four classes. In contra</w:t>
      </w:r>
      <w:r>
        <w:t xml:space="preserve">st, mode2 performs poorly despite also achieving a parse rate of 1.000000. This immediate contrast shows that syntactic validity alone is not sufficient; the model must also preserve meaningful class discr</w:t>
      </w:r>
      <w:r>
        <w:t xml:space="preserve">imination.</w:t>
      </w:r>
      <w:r/>
    </w:p>
    <w:p w14:paraId="0A9B6619">
      <w:pPr>
        <w:pStyle w:val="1128"/>
        <w:suppressLineNumbers w:val="false"/>
        <w:pBdr/>
        <w:spacing w:line="300" w:lineRule="auto"/>
        <w:ind w:firstLine="0"/>
        <w:rPr>
          <w:highlight w:val="none"/>
        </w:rPr>
      </w:pPr>
      <w:r>
        <mc:AlternateContent>
          <mc:Choice Requires="wpg">
            <w:drawing>
              <wp:inline xmlns:wp="http://schemas.openxmlformats.org/drawingml/2006/wordprocessingDrawing" distT="0" distB="0" distL="0" distR="0">
                <wp:extent cx="5486400" cy="3376246"/>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423661" name=""/>
                        <pic:cNvPicPr>
                          <a:picLocks noChangeAspect="1"/>
                        </pic:cNvPicPr>
                        <pic:nvPr/>
                      </pic:nvPicPr>
                      <pic:blipFill rotWithShape="1">
                        <a:blip r:embed="rId22"/>
                        <a:stretch/>
                      </pic:blipFill>
                      <pic:spPr bwMode="auto">
                        <a:xfrm>
                          <a:off x="0" y="0"/>
                          <a:ext cx="5486399" cy="337624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32.00pt;height:265.85pt;mso-wrap-distance-left:0.00pt;mso-wrap-distance-top:0.00pt;mso-wrap-distance-right:0.00pt;mso-wrap-distance-bottom:0.00pt;z-index:1;" stroked="false">
                <v:imagedata r:id="rId22" o:title=""/>
                <o:lock v:ext="edit" rotation="t"/>
              </v:shape>
            </w:pict>
          </mc:Fallback>
        </mc:AlternateContent>
      </w:r>
      <w:r>
        <w:rPr>
          <w:highlight w:val="none"/>
        </w:rPr>
      </w:r>
      <w:r>
        <w:rPr>
          <w:highlight w:val="none"/>
        </w:rPr>
      </w:r>
    </w:p>
    <w:p w14:paraId="22F32644">
      <w:pPr>
        <w:pStyle w:val="1128"/>
        <w:suppressLineNumbers w:val="false"/>
        <w:pBdr/>
        <w:spacing w:line="300" w:lineRule="auto"/>
        <w:ind w:firstLine="0"/>
        <w:rPr>
          <w:highlight w:val="none"/>
        </w:rPr>
      </w:pPr>
      <w:r>
        <w:rPr>
          <w:highlight w:val="none"/>
        </w:rPr>
      </w:r>
      <w:r>
        <w:rPr>
          <w:highlight w:val="none"/>
        </w:rPr>
        <w:t xml:space="preserve">Figure 4.1 highlights the headline internal result: the LoRA-adapted mode1 lane exceeds the supervised baseline, while the mode2 ablation collapses despite perfect parse compliance [80].</w:t>
      </w:r>
      <w:r>
        <w:rPr>
          <w:highlight w:val="none"/>
        </w:rPr>
      </w:r>
      <w:r>
        <w:rPr>
          <w:highlight w:val="none"/>
        </w:rPr>
      </w:r>
    </w:p>
    <w:p w14:paraId="16C99B35">
      <w:pPr>
        <w:pStyle w:val="1128"/>
        <w:suppressLineNumbers w:val="false"/>
        <w:pBdr/>
        <w:spacing w:line="300" w:lineRule="auto"/>
        <w:ind w:firstLine="0"/>
        <w:rPr/>
      </w:pPr>
      <w:r/>
      <w:r/>
    </w:p>
    <w:p w14:paraId="111FDDC4">
      <w:pPr>
        <w:pStyle w:val="1128"/>
        <w:suppressLineNumbers w:val="false"/>
        <w:pBdr/>
        <w:spacing w:line="300" w:lineRule="auto"/>
        <w:ind w:firstLine="0"/>
        <w:rPr>
          <w:highlight w:val="none"/>
        </w:rPr>
      </w:pPr>
      <w:r>
        <w:rPr>
          <w:highlight w:val="none"/>
        </w:rPr>
        <mc:AlternateContent>
          <mc:Choice Requires="wpg">
            <w:drawing>
              <wp:inline xmlns:wp="http://schemas.openxmlformats.org/drawingml/2006/wordprocessingDrawing" distT="0" distB="0" distL="0" distR="0">
                <wp:extent cx="5486400" cy="1549101"/>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567297" name=""/>
                        <pic:cNvPicPr>
                          <a:picLocks noChangeAspect="1"/>
                        </pic:cNvPicPr>
                        <pic:nvPr/>
                      </pic:nvPicPr>
                      <pic:blipFill rotWithShape="1">
                        <a:blip r:embed="rId23"/>
                        <a:stretch/>
                      </pic:blipFill>
                      <pic:spPr bwMode="auto">
                        <a:xfrm>
                          <a:off x="0" y="0"/>
                          <a:ext cx="5486399" cy="15491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32.00pt;height:121.98pt;mso-wrap-distance-left:0.00pt;mso-wrap-distance-top:0.00pt;mso-wrap-distance-right:0.00pt;mso-wrap-distance-bottom:0.00pt;z-index:1;" stroked="false">
                <v:imagedata r:id="rId23" o:title=""/>
                <o:lock v:ext="edit" rotation="t"/>
              </v:shape>
            </w:pict>
          </mc:Fallback>
        </mc:AlternateContent>
      </w:r>
      <w:r>
        <w:rPr>
          <w:highlight w:val="none"/>
        </w:rPr>
      </w:r>
      <w:r>
        <w:rPr>
          <w:highlight w:val="none"/>
        </w:rPr>
      </w:r>
    </w:p>
    <w:p w14:paraId="3713A30B">
      <w:pPr>
        <w:pStyle w:val="1128"/>
        <w:suppressLineNumbers w:val="false"/>
        <w:pBdr/>
        <w:spacing w:line="300" w:lineRule="auto"/>
        <w:ind w:firstLine="0"/>
        <w:rPr>
          <w:highlight w:val="none"/>
        </w:rPr>
      </w:pPr>
      <w:r>
        <w:rPr>
          <w:highlight w:val="none"/>
        </w:rPr>
      </w:r>
      <w:r>
        <w:rPr>
          <w:highlight w:val="none"/>
        </w:rPr>
        <w:t xml:space="preserve">Figure 4.2 shows that the mode1 advantage is not limited to one metric. The improvement is coherent across accuracy, macro-F1, balanced accuracy, and QWK [81].</w:t>
      </w:r>
      <w:r>
        <w:rPr>
          <w:highlight w:val="none"/>
        </w:rPr>
      </w:r>
      <w:r>
        <w:rPr>
          <w:highlight w:val="none"/>
        </w:rPr>
      </w:r>
    </w:p>
    <w:p w14:paraId="4C3B6045">
      <w:pPr>
        <w:pStyle w:val="1128"/>
        <w:suppressLineNumbers w:val="false"/>
        <w:pBdr/>
        <w:spacing w:line="300" w:lineRule="auto"/>
        <w:ind w:firstLine="0"/>
        <w:rPr/>
      </w:pPr>
      <w:r/>
      <w:r/>
    </w:p>
    <w:p w14:paraId="6555B3DB">
      <w:pPr>
        <w:pStyle w:val="1128"/>
        <w:suppressLineNumbers w:val="false"/>
        <w:pBdr/>
        <w:spacing w:line="300" w:lineRule="auto"/>
        <w:ind w:firstLine="0"/>
        <w:rPr>
          <w:highlight w:val="none"/>
        </w:rPr>
      </w:pPr>
      <w:r>
        <w:rPr>
          <w:highlight w:val="none"/>
        </w:rPr>
        <mc:AlternateContent>
          <mc:Choice Requires="wpg">
            <w:drawing>
              <wp:inline xmlns:wp="http://schemas.openxmlformats.org/drawingml/2006/wordprocessingDrawing" distT="0" distB="0" distL="0" distR="0">
                <wp:extent cx="5486400" cy="2873829"/>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920871" name=""/>
                        <pic:cNvPicPr>
                          <a:picLocks noChangeAspect="1"/>
                        </pic:cNvPicPr>
                        <pic:nvPr/>
                      </pic:nvPicPr>
                      <pic:blipFill rotWithShape="1">
                        <a:blip r:embed="rId24"/>
                        <a:stretch/>
                      </pic:blipFill>
                      <pic:spPr bwMode="auto">
                        <a:xfrm>
                          <a:off x="0" y="0"/>
                          <a:ext cx="5486399" cy="287382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32.00pt;height:226.29pt;mso-wrap-distance-left:0.00pt;mso-wrap-distance-top:0.00pt;mso-wrap-distance-right:0.00pt;mso-wrap-distance-bottom:0.00pt;z-index:1;" stroked="false">
                <v:imagedata r:id="rId24" o:title=""/>
                <o:lock v:ext="edit" rotation="t"/>
              </v:shape>
            </w:pict>
          </mc:Fallback>
        </mc:AlternateContent>
      </w:r>
      <w:r>
        <w:rPr>
          <w:highlight w:val="none"/>
        </w:rPr>
      </w:r>
      <w:r>
        <w:rPr>
          <w:highlight w:val="none"/>
        </w:rPr>
      </w:r>
    </w:p>
    <w:p w14:paraId="082F1AAF">
      <w:pPr>
        <w:pStyle w:val="1128"/>
        <w:suppressLineNumbers w:val="false"/>
        <w:pBdr/>
        <w:spacing w:line="300" w:lineRule="auto"/>
        <w:ind w:firstLine="0"/>
        <w:rPr>
          <w:highlight w:val="none"/>
        </w:rPr>
      </w:pPr>
      <w:r>
        <w:rPr>
          <w:highlight w:val="none"/>
        </w:rPr>
      </w:r>
      <w:r>
        <w:rPr>
          <w:highlight w:val="none"/>
        </w:rPr>
        <w:t xml:space="preserve">Figure 4.3 documents run stability for the reported generative lane. The legacy filename is preserved for reproducibility, but the figure is used here as a seed-level quality-control view rather than as a headline significance display [83].</w:t>
      </w:r>
      <w:r>
        <w:rPr>
          <w:highlight w:val="none"/>
        </w:rPr>
      </w:r>
      <w:r>
        <w:rPr>
          <w:highlight w:val="none"/>
        </w:rPr>
      </w:r>
    </w:p>
    <w:p w14:paraId="34FFF19C">
      <w:pPr>
        <w:pStyle w:val="1128"/>
        <w:suppressLineNumbers w:val="false"/>
        <w:pBdr/>
        <w:spacing w:line="300" w:lineRule="auto"/>
        <w:ind w:firstLine="0"/>
        <w:rPr/>
      </w:pPr>
      <w:r/>
      <w:r/>
    </w:p>
    <w:p w14:paraId="346238A4">
      <w:pPr>
        <w:pStyle w:val="1128"/>
        <w:suppressLineNumbers w:val="false"/>
        <w:pBdr/>
        <w:spacing w:line="300" w:lineRule="auto"/>
        <w:ind w:firstLine="0"/>
        <w:rPr/>
      </w:pPr>
      <w:r/>
      <w:r/>
    </w:p>
    <w:p w14:paraId="14ED7728">
      <w:pPr>
        <w:pStyle w:val="1128"/>
        <w:suppressLineNumbers w:val="false"/>
        <w:pBdr/>
        <w:spacing w:line="300" w:lineRule="auto"/>
        <w:ind w:firstLine="0"/>
        <w:rPr/>
      </w:pPr>
      <w:r/>
      <w:r/>
    </w:p>
    <w:p w14:paraId="3F075E3F">
      <w:pPr>
        <w:pStyle w:val="1128"/>
        <w:suppressLineNumbers w:val="false"/>
        <w:pBdr/>
        <w:spacing w:line="300" w:lineRule="auto"/>
        <w:ind w:firstLine="0"/>
        <w:rPr>
          <w:b/>
          <w:bCs/>
        </w:rPr>
      </w:pPr>
      <w:r>
        <w:rPr>
          <w:b/>
          <w:bCs/>
          <w:highlight w:val="none"/>
        </w:rPr>
        <w:t xml:space="preserve">4.5.2 Class-Wise Behavior and Error Structure</w:t>
      </w:r>
      <w:r>
        <w:rPr>
          <w:b/>
          <w:bCs/>
        </w:rPr>
      </w:r>
      <w:r>
        <w:rPr>
          <w:b/>
          <w:bCs/>
        </w:rPr>
      </w:r>
    </w:p>
    <w:p w14:paraId="52FB58F6">
      <w:pPr>
        <w:pStyle w:val="1128"/>
        <w:suppressLineNumbers w:val="false"/>
        <w:pBdr/>
        <w:spacing w:line="300" w:lineRule="auto"/>
        <w:ind w:firstLine="720"/>
        <w:rPr>
          <w:highlight w:val="none"/>
        </w:rPr>
      </w:pPr>
      <w:r>
        <w:rPr>
          <w:highlight w:val="none"/>
        </w:rPr>
        <w:t xml:space="preserve">Aggregate improvement is important, but it does not by itself show where the gains come from. The class-wise recall summary indicates that mode1 improves recall for every Mayo class and is especially stronger on the more difficult higher-severity classes.</w:t>
      </w:r>
      <w:r>
        <w:rPr>
          <w:highlight w:val="none"/>
        </w:rPr>
      </w:r>
      <w:r>
        <w:rPr>
          <w:highlight w:val="none"/>
        </w:rPr>
      </w:r>
    </w:p>
    <w:tbl>
      <w:tblPr>
        <w:tblStyle w:val="1185"/>
        <w:tblW w:w="0" w:type="auto"/>
        <w:tblBorders/>
        <w:tblLook w:val="04A0" w:firstRow="1" w:lastRow="0" w:firstColumn="1" w:lastColumn="0" w:noHBand="0" w:noVBand="1"/>
      </w:tblPr>
      <w:tblGrid>
        <w:gridCol w:w="2160"/>
        <w:gridCol w:w="2160"/>
        <w:gridCol w:w="2160"/>
        <w:gridCol w:w="2160"/>
      </w:tblGrid>
      <w:tr>
        <w:trPr/>
        <w:tc>
          <w:tcPr>
            <w:tcBorders/>
            <w:tcW w:w="2160" w:type="dxa"/>
            <w:textDirection w:val="lrTb"/>
            <w:noWrap w:val="false"/>
          </w:tcPr>
          <w:p w14:paraId="33EF7B35">
            <w:pPr>
              <w:pBdr/>
              <w:spacing w:after="0" w:before="0" w:line="240" w:lineRule="auto"/>
              <w:ind/>
              <w:rPr>
                <w:color w:val="000000" w:themeColor="text1"/>
              </w:rPr>
            </w:pPr>
            <w:r>
              <w:rPr>
                <w:rFonts w:ascii="Liberation Sans" w:hAnsi="Liberation Sans" w:eastAsia="Liberation Sans" w:cs="Liberation Sans"/>
                <w:b/>
                <w:color w:val="000000" w:themeColor="text1"/>
                <w:sz w:val="21"/>
              </w:rPr>
              <w:t xml:space="preserve">Mayo class</w:t>
            </w:r>
            <w:r>
              <w:rPr>
                <w:color w:val="000000" w:themeColor="text1"/>
              </w:rPr>
            </w:r>
            <w:r>
              <w:rPr>
                <w:color w:val="000000" w:themeColor="text1"/>
              </w:rPr>
            </w:r>
          </w:p>
        </w:tc>
        <w:tc>
          <w:tcPr>
            <w:tcBorders/>
            <w:tcW w:w="2160" w:type="dxa"/>
            <w:textDirection w:val="lrTb"/>
            <w:noWrap w:val="false"/>
          </w:tcPr>
          <w:p w14:paraId="7FBF4437">
            <w:pPr>
              <w:pBdr/>
              <w:spacing w:after="0" w:before="0" w:line="240" w:lineRule="auto"/>
              <w:ind/>
              <w:jc w:val="right"/>
              <w:rPr>
                <w:color w:val="000000" w:themeColor="text1"/>
              </w:rPr>
            </w:pPr>
            <w:r>
              <w:rPr>
                <w:rFonts w:ascii="Liberation Sans" w:hAnsi="Liberation Sans" w:eastAsia="Liberation Sans" w:cs="Liberation Sans"/>
                <w:b/>
                <w:color w:val="000000" w:themeColor="text1"/>
                <w:sz w:val="21"/>
              </w:rPr>
              <w:t xml:space="preserve">Pass 5 supervised</w:t>
            </w:r>
            <w:r>
              <w:rPr>
                <w:color w:val="000000" w:themeColor="text1"/>
              </w:rPr>
            </w:r>
            <w:r>
              <w:rPr>
                <w:color w:val="000000" w:themeColor="text1"/>
              </w:rPr>
            </w:r>
          </w:p>
        </w:tc>
        <w:tc>
          <w:tcPr>
            <w:tcBorders/>
            <w:tcW w:w="2160" w:type="dxa"/>
            <w:textDirection w:val="lrTb"/>
            <w:noWrap w:val="false"/>
          </w:tcPr>
          <w:p w14:paraId="20514E38">
            <w:pPr>
              <w:pBdr/>
              <w:spacing w:after="0" w:before="0" w:line="240" w:lineRule="auto"/>
              <w:ind/>
              <w:jc w:val="right"/>
              <w:rPr>
                <w:color w:val="000000" w:themeColor="text1"/>
              </w:rPr>
            </w:pPr>
            <w:r>
              <w:rPr>
                <w:rFonts w:ascii="Liberation Sans" w:hAnsi="Liberation Sans" w:eastAsia="Liberation Sans" w:cs="Liberation Sans"/>
                <w:b/>
                <w:color w:val="000000" w:themeColor="text1"/>
                <w:sz w:val="21"/>
              </w:rPr>
              <w:t xml:space="preserve">Pass 6 </w:t>
            </w:r>
            <w:r>
              <w:rPr>
                <w:rFonts w:ascii="Droid Sans Mono" w:hAnsi="Droid Sans Mono" w:eastAsia="Droid Sans Mono" w:cs="Droid Sans Mono"/>
                <w:b/>
                <w:color w:val="000000" w:themeColor="text1"/>
                <w:sz w:val="24"/>
                <w:highlight w:val="white"/>
              </w:rPr>
              <w:t xml:space="preserve">mode1</w:t>
            </w:r>
            <w:r>
              <w:rPr>
                <w:color w:val="000000" w:themeColor="text1"/>
              </w:rPr>
            </w:r>
            <w:r>
              <w:rPr>
                <w:color w:val="000000" w:themeColor="text1"/>
              </w:rPr>
            </w:r>
          </w:p>
        </w:tc>
        <w:tc>
          <w:tcPr>
            <w:tcBorders/>
            <w:tcW w:w="2160" w:type="dxa"/>
            <w:textDirection w:val="lrTb"/>
            <w:noWrap w:val="false"/>
          </w:tcPr>
          <w:p w14:paraId="0CFCCCC2">
            <w:pPr>
              <w:pBdr/>
              <w:spacing w:after="0" w:before="0" w:line="240" w:lineRule="auto"/>
              <w:ind/>
              <w:jc w:val="right"/>
              <w:rPr>
                <w:color w:val="000000" w:themeColor="text1"/>
              </w:rPr>
            </w:pPr>
            <w:r>
              <w:rPr>
                <w:rFonts w:ascii="Liberation Sans" w:hAnsi="Liberation Sans" w:eastAsia="Liberation Sans" w:cs="Liberation Sans"/>
                <w:b/>
                <w:color w:val="000000" w:themeColor="text1"/>
                <w:sz w:val="21"/>
              </w:rPr>
              <w:t xml:space="preserve">Absolute gain</w:t>
            </w:r>
            <w:r>
              <w:rPr>
                <w:color w:val="000000" w:themeColor="text1"/>
              </w:rPr>
            </w:r>
            <w:r>
              <w:rPr>
                <w:color w:val="000000" w:themeColor="text1"/>
              </w:rPr>
            </w:r>
          </w:p>
        </w:tc>
      </w:tr>
      <w:tr>
        <w:trPr/>
        <w:tc>
          <w:tcPr>
            <w:tcBorders/>
            <w:tcW w:w="2160" w:type="dxa"/>
            <w:textDirection w:val="lrTb"/>
            <w:noWrap w:val="false"/>
          </w:tcPr>
          <w:p w14:paraId="563415C6">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0</w:t>
            </w:r>
            <w:r>
              <w:rPr>
                <w:color w:val="000000" w:themeColor="text1"/>
              </w:rPr>
            </w:r>
            <w:r>
              <w:rPr>
                <w:color w:val="000000" w:themeColor="text1"/>
              </w:rPr>
            </w:r>
          </w:p>
        </w:tc>
        <w:tc>
          <w:tcPr>
            <w:tcBorders/>
            <w:tcW w:w="2160" w:type="dxa"/>
            <w:textDirection w:val="lrTb"/>
            <w:noWrap w:val="false"/>
          </w:tcPr>
          <w:p w14:paraId="7846263C">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0.8043</w:t>
            </w:r>
            <w:r>
              <w:rPr>
                <w:color w:val="000000" w:themeColor="text1"/>
              </w:rPr>
            </w:r>
            <w:r>
              <w:rPr>
                <w:color w:val="000000" w:themeColor="text1"/>
              </w:rPr>
            </w:r>
          </w:p>
        </w:tc>
        <w:tc>
          <w:tcPr>
            <w:tcBorders/>
            <w:tcW w:w="2160" w:type="dxa"/>
            <w:textDirection w:val="lrTb"/>
            <w:noWrap w:val="false"/>
          </w:tcPr>
          <w:p w14:paraId="780A0E6B">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0.8346</w:t>
            </w:r>
            <w:r>
              <w:rPr>
                <w:color w:val="000000" w:themeColor="text1"/>
              </w:rPr>
            </w:r>
            <w:r>
              <w:rPr>
                <w:color w:val="000000" w:themeColor="text1"/>
              </w:rPr>
            </w:r>
          </w:p>
        </w:tc>
        <w:tc>
          <w:tcPr>
            <w:tcBorders/>
            <w:tcW w:w="2160" w:type="dxa"/>
            <w:textDirection w:val="lrTb"/>
            <w:noWrap w:val="false"/>
          </w:tcPr>
          <w:p w14:paraId="05D48CE5">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+0.0303</w:t>
            </w:r>
            <w:r>
              <w:rPr>
                <w:color w:val="000000" w:themeColor="text1"/>
              </w:rPr>
            </w:r>
            <w:r>
              <w:rPr>
                <w:color w:val="000000" w:themeColor="text1"/>
              </w:rPr>
            </w:r>
          </w:p>
        </w:tc>
      </w:tr>
      <w:tr>
        <w:trPr/>
        <w:tc>
          <w:tcPr>
            <w:tcBorders/>
            <w:tcW w:w="2160" w:type="dxa"/>
            <w:textDirection w:val="lrTb"/>
            <w:noWrap w:val="false"/>
          </w:tcPr>
          <w:p w14:paraId="7CC8DA1E">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1</w:t>
            </w:r>
            <w:r>
              <w:rPr>
                <w:color w:val="000000" w:themeColor="text1"/>
              </w:rPr>
            </w:r>
            <w:r>
              <w:rPr>
                <w:color w:val="000000" w:themeColor="text1"/>
              </w:rPr>
            </w:r>
          </w:p>
        </w:tc>
        <w:tc>
          <w:tcPr>
            <w:tcBorders/>
            <w:tcW w:w="2160" w:type="dxa"/>
            <w:textDirection w:val="lrTb"/>
            <w:noWrap w:val="false"/>
          </w:tcPr>
          <w:p w14:paraId="48EC4579">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0.7011</w:t>
            </w:r>
            <w:r>
              <w:rPr>
                <w:color w:val="000000" w:themeColor="text1"/>
              </w:rPr>
            </w:r>
            <w:r>
              <w:rPr>
                <w:color w:val="000000" w:themeColor="text1"/>
              </w:rPr>
            </w:r>
          </w:p>
        </w:tc>
        <w:tc>
          <w:tcPr>
            <w:tcBorders/>
            <w:tcW w:w="2160" w:type="dxa"/>
            <w:textDirection w:val="lrTb"/>
            <w:noWrap w:val="false"/>
          </w:tcPr>
          <w:p w14:paraId="673D6C3D">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0.7349</w:t>
            </w:r>
            <w:r>
              <w:rPr>
                <w:color w:val="000000" w:themeColor="text1"/>
              </w:rPr>
            </w:r>
            <w:r>
              <w:rPr>
                <w:color w:val="000000" w:themeColor="text1"/>
              </w:rPr>
            </w:r>
          </w:p>
        </w:tc>
        <w:tc>
          <w:tcPr>
            <w:tcBorders/>
            <w:tcW w:w="2160" w:type="dxa"/>
            <w:textDirection w:val="lrTb"/>
            <w:noWrap w:val="false"/>
          </w:tcPr>
          <w:p w14:paraId="47461353">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+0.0338</w:t>
            </w:r>
            <w:r>
              <w:rPr>
                <w:color w:val="000000" w:themeColor="text1"/>
              </w:rPr>
            </w:r>
            <w:r>
              <w:rPr>
                <w:color w:val="000000" w:themeColor="text1"/>
              </w:rPr>
            </w:r>
          </w:p>
        </w:tc>
      </w:tr>
      <w:tr>
        <w:trPr/>
        <w:tc>
          <w:tcPr>
            <w:tcBorders/>
            <w:tcW w:w="2160" w:type="dxa"/>
            <w:textDirection w:val="lrTb"/>
            <w:noWrap w:val="false"/>
          </w:tcPr>
          <w:p w14:paraId="34C1DFF6">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2</w:t>
            </w:r>
            <w:r>
              <w:rPr>
                <w:color w:val="000000" w:themeColor="text1"/>
              </w:rPr>
            </w:r>
            <w:r>
              <w:rPr>
                <w:color w:val="000000" w:themeColor="text1"/>
              </w:rPr>
            </w:r>
          </w:p>
        </w:tc>
        <w:tc>
          <w:tcPr>
            <w:tcBorders/>
            <w:tcW w:w="2160" w:type="dxa"/>
            <w:textDirection w:val="lrTb"/>
            <w:noWrap w:val="false"/>
          </w:tcPr>
          <w:p w14:paraId="39511AFF">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0.5782</w:t>
            </w:r>
            <w:r>
              <w:rPr>
                <w:color w:val="000000" w:themeColor="text1"/>
              </w:rPr>
            </w:r>
            <w:r>
              <w:rPr>
                <w:color w:val="000000" w:themeColor="text1"/>
              </w:rPr>
            </w:r>
          </w:p>
        </w:tc>
        <w:tc>
          <w:tcPr>
            <w:tcBorders/>
            <w:tcW w:w="2160" w:type="dxa"/>
            <w:textDirection w:val="lrTb"/>
            <w:noWrap w:val="false"/>
          </w:tcPr>
          <w:p w14:paraId="4434F448">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0.7062</w:t>
            </w:r>
            <w:r>
              <w:rPr>
                <w:color w:val="000000" w:themeColor="text1"/>
              </w:rPr>
            </w:r>
            <w:r>
              <w:rPr>
                <w:color w:val="000000" w:themeColor="text1"/>
              </w:rPr>
            </w:r>
          </w:p>
        </w:tc>
        <w:tc>
          <w:tcPr>
            <w:tcBorders/>
            <w:tcW w:w="2160" w:type="dxa"/>
            <w:textDirection w:val="lrTb"/>
            <w:noWrap w:val="false"/>
          </w:tcPr>
          <w:p w14:paraId="0AD25076">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+0.1281</w:t>
            </w:r>
            <w:r>
              <w:rPr>
                <w:color w:val="000000" w:themeColor="text1"/>
              </w:rPr>
            </w:r>
            <w:r>
              <w:rPr>
                <w:color w:val="000000" w:themeColor="text1"/>
              </w:rPr>
            </w:r>
          </w:p>
        </w:tc>
      </w:tr>
      <w:tr>
        <w:trPr/>
        <w:tc>
          <w:tcPr>
            <w:tcBorders/>
            <w:tcW w:w="2160" w:type="dxa"/>
            <w:textDirection w:val="lrTb"/>
            <w:noWrap w:val="false"/>
          </w:tcPr>
          <w:p w14:paraId="55ABC4D0">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3</w:t>
            </w:r>
            <w:r>
              <w:rPr>
                <w:color w:val="000000" w:themeColor="text1"/>
              </w:rPr>
            </w:r>
            <w:r>
              <w:rPr>
                <w:color w:val="000000" w:themeColor="text1"/>
              </w:rPr>
            </w:r>
          </w:p>
        </w:tc>
        <w:tc>
          <w:tcPr>
            <w:tcBorders/>
            <w:tcW w:w="2160" w:type="dxa"/>
            <w:textDirection w:val="lrTb"/>
            <w:noWrap w:val="false"/>
          </w:tcPr>
          <w:p w14:paraId="49FDCBC5">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0.6000</w:t>
            </w:r>
            <w:r>
              <w:rPr>
                <w:color w:val="000000" w:themeColor="text1"/>
              </w:rPr>
            </w:r>
            <w:r>
              <w:rPr>
                <w:color w:val="000000" w:themeColor="text1"/>
              </w:rPr>
            </w:r>
          </w:p>
        </w:tc>
        <w:tc>
          <w:tcPr>
            <w:tcBorders/>
            <w:tcW w:w="2160" w:type="dxa"/>
            <w:textDirection w:val="lrTb"/>
            <w:noWrap w:val="false"/>
          </w:tcPr>
          <w:p w14:paraId="310767AF">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0.6694</w:t>
            </w:r>
            <w:r>
              <w:rPr>
                <w:color w:val="000000" w:themeColor="text1"/>
              </w:rPr>
            </w:r>
            <w:r>
              <w:rPr>
                <w:color w:val="000000" w:themeColor="text1"/>
              </w:rPr>
            </w:r>
          </w:p>
        </w:tc>
        <w:tc>
          <w:tcPr>
            <w:tcBorders/>
            <w:tcW w:w="2160" w:type="dxa"/>
            <w:textDirection w:val="lrTb"/>
            <w:noWrap w:val="false"/>
          </w:tcPr>
          <w:p w14:paraId="1AD30CE4">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+0.0694</w:t>
            </w:r>
            <w:r>
              <w:rPr>
                <w:color w:val="000000" w:themeColor="text1"/>
              </w:rPr>
            </w:r>
            <w:r>
              <w:rPr>
                <w:color w:val="000000" w:themeColor="text1"/>
              </w:rPr>
            </w:r>
          </w:p>
        </w:tc>
      </w:tr>
    </w:tbl>
    <w:p w14:paraId="69B64241">
      <w:pPr>
        <w:pStyle w:val="1128"/>
        <w:suppressLineNumbers w:val="false"/>
        <w:pBdr/>
        <w:spacing w:line="300" w:lineRule="auto"/>
        <w:ind w:firstLine="720" w:left="720"/>
        <w:rPr/>
      </w:pPr>
      <w:r>
        <w:t xml:space="preserve">Table 4.7. Mean Per-Class Recall on LIMUC</w:t>
      </w:r>
      <w:r/>
    </w:p>
    <w:p w14:paraId="2BCED1AE">
      <w:pPr>
        <w:pStyle w:val="1128"/>
        <w:suppressLineNumbers w:val="false"/>
        <w:pBdr/>
        <w:spacing w:line="300" w:lineRule="auto"/>
        <w:ind w:firstLine="0"/>
        <w:rPr/>
      </w:pPr>
      <w:r/>
      <w:r/>
    </w:p>
    <w:p w14:paraId="08DB43E0">
      <w:pPr>
        <w:pStyle w:val="1128"/>
        <w:suppressLineNumbers w:val="false"/>
        <w:pBdr/>
        <w:spacing w:line="300" w:lineRule="auto"/>
        <w:ind w:firstLine="720"/>
        <w:rPr/>
      </w:pPr>
      <w:r>
        <w:t xml:space="preserve">T</w:t>
      </w:r>
      <w:r>
        <w:t xml:space="preserve">he largest gain appears in Mayo class 2, where recall rises from approximately 0.5782 to 0.7062. This is a substantial improvement because class 2 occupies a clinically meaningful middle-to-high severity region and is often vulnerable to confusion with adj</w:t>
      </w:r>
      <w:r>
        <w:t xml:space="preserve">acent classes. Class 3 also improves noticeably, indicating that the proposed generative adaptation is not merely optimizing for the dominant remission or low-severity cases.</w:t>
      </w:r>
      <w:r/>
    </w:p>
    <w:p w14:paraId="1719AC9C">
      <w:pPr>
        <w:pStyle w:val="1128"/>
        <w:suppressLineNumbers w:val="false"/>
        <w:pBdr/>
        <w:spacing w:line="300" w:lineRule="auto"/>
        <w:ind w:firstLine="720"/>
        <w:rPr/>
      </w:pPr>
      <w:r>
        <w:t xml:space="preserve">A</w:t>
      </w:r>
      <w:r>
        <w:t xml:space="preserve">t the same time, the class-wise profile confirms that the task remains difficult. The improvement does not eliminate adjacent-boundary ambiguity, especially between neighboring severity levels. This is consistent with the visual nature of the problem, wher</w:t>
      </w:r>
      <w:r>
        <w:t xml:space="preserve">e subtle mucosal differences and frame-level ambiguity can make strict categorical separation inherently challenging.</w:t>
      </w:r>
      <w:r/>
    </w:p>
    <w:p w14:paraId="73AFAF63">
      <w:pPr>
        <w:pStyle w:val="1128"/>
        <w:suppressLineNumbers w:val="false"/>
        <w:pBdr/>
        <w:spacing w:line="300" w:lineRule="auto"/>
        <w:ind w:firstLine="720"/>
        <w:rPr>
          <w:highlight w:val="none"/>
        </w:rPr>
      </w:pPr>
      <w:r>
        <w:t xml:space="preserve">T</w:t>
      </w:r>
      <w:r>
        <w:t xml:space="preserve">he mode2 ablation clarifies the failure mode even more sharply. Its class-wise recall profile is 1.0 for class 0 and 0.0 for classes 1, 2, and 3, indicating an effective collapse into majority-class prediction. That pattern explains why mode2 can preserve </w:t>
      </w:r>
      <w:r>
        <w:t xml:space="preserve">perfect parse rate while still reaching QWK = 0.0: the model is producing valid labels, but those labels are clinically uninformative because the ordinal structure has collapsed.</w:t>
      </w:r>
      <w:r>
        <w:rPr>
          <w:highlight w:val="none"/>
        </w:rPr>
      </w:r>
      <w:r>
        <w:rPr>
          <w:highlight w:val="none"/>
        </w:rPr>
      </w:r>
    </w:p>
    <w:p w14:paraId="3D77CCC7">
      <w:pPr>
        <w:pStyle w:val="1128"/>
        <w:suppressLineNumbers w:val="false"/>
        <w:pBdr/>
        <w:spacing w:line="300" w:lineRule="auto"/>
        <w:ind w:firstLine="0"/>
        <w:rPr/>
      </w:pPr>
      <w:r/>
      <w:r/>
    </w:p>
    <w:p w14:paraId="2AC987A8">
      <w:pPr>
        <w:pStyle w:val="1128"/>
        <w:suppressLineNumbers w:val="false"/>
        <w:pBdr/>
        <w:spacing w:line="300" w:lineRule="auto"/>
        <w:ind w:firstLine="0"/>
        <w:rPr/>
      </w:pPr>
      <w:r/>
      <w:r/>
    </w:p>
    <w:p w14:paraId="3A4E235B">
      <w:pPr>
        <w:pStyle w:val="1128"/>
        <w:suppressLineNumbers w:val="false"/>
        <w:pBdr/>
        <w:spacing w:line="300" w:lineRule="auto"/>
        <w:ind w:firstLine="0"/>
        <w:rPr/>
      </w:pPr>
      <w:r/>
      <w:r/>
    </w:p>
    <w:p w14:paraId="4396FFF2">
      <w:pPr>
        <w:pStyle w:val="1128"/>
        <w:suppressLineNumbers w:val="false"/>
        <w:pBdr/>
        <w:spacing w:line="300" w:lineRule="auto"/>
        <w:ind w:firstLine="0"/>
        <w:rPr>
          <w:highlight w:val="none"/>
        </w:rPr>
      </w:pPr>
      <w:r>
        <w:rPr>
          <w:highlight w:val="none"/>
        </w:rPr>
        <mc:AlternateContent>
          <mc:Choice Requires="wpg">
            <w:drawing>
              <wp:inline xmlns:wp="http://schemas.openxmlformats.org/drawingml/2006/wordprocessingDrawing" distT="0" distB="0" distL="0" distR="0">
                <wp:extent cx="6121579" cy="1929225"/>
                <wp:effectExtent l="0" t="0" r="0" b="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243452" name=""/>
                        <pic:cNvPicPr>
                          <a:picLocks noChangeAspect="1"/>
                        </pic:cNvPicPr>
                        <pic:nvPr/>
                      </pic:nvPicPr>
                      <pic:blipFill rotWithShape="1">
                        <a:blip r:embed="rId25"/>
                        <a:stretch/>
                      </pic:blipFill>
                      <pic:spPr bwMode="auto">
                        <a:xfrm flipH="0" flipV="0">
                          <a:off x="0" y="0"/>
                          <a:ext cx="6121579" cy="19292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82.01pt;height:151.91pt;mso-wrap-distance-left:0.00pt;mso-wrap-distance-top:0.00pt;mso-wrap-distance-right:0.00pt;mso-wrap-distance-bottom:0.00pt;z-index:1;" stroked="false">
                <v:imagedata r:id="rId25" o:title=""/>
                <o:lock v:ext="edit" rotation="t"/>
              </v:shape>
            </w:pict>
          </mc:Fallback>
        </mc:AlternateContent>
      </w:r>
      <w:r>
        <w:rPr>
          <w:highlight w:val="none"/>
        </w:rPr>
      </w:r>
      <w:r>
        <w:rPr>
          <w:highlight w:val="none"/>
        </w:rPr>
      </w:r>
    </w:p>
    <w:p w14:paraId="51AB43AB">
      <w:pPr>
        <w:pStyle w:val="1128"/>
        <w:suppressLineNumbers w:val="false"/>
        <w:pBdr/>
        <w:spacing w:line="300" w:lineRule="auto"/>
        <w:ind w:firstLine="0"/>
        <w:rPr>
          <w:highlight w:val="none"/>
        </w:rPr>
      </w:pPr>
      <w:r>
        <w:rPr>
          <w:highlight w:val="none"/>
        </w:rPr>
      </w:r>
      <w:r>
        <w:rPr>
          <w:highlight w:val="none"/>
        </w:rPr>
        <w:t xml:space="preserve">Figure 4.4 visualizes the error structure behind the aggregate metrics. The mode1 lane reduces confusion more evenly across classes, whereas mode2 degenerates into a class-0-dominant pattern [84].</w:t>
      </w:r>
      <w:r>
        <w:rPr>
          <w:highlight w:val="none"/>
        </w:rPr>
      </w:r>
      <w:r>
        <w:rPr>
          <w:highlight w:val="none"/>
        </w:rPr>
      </w:r>
    </w:p>
    <w:p w14:paraId="50C0BB75">
      <w:pPr>
        <w:pStyle w:val="1128"/>
        <w:suppressLineNumbers w:val="false"/>
        <w:pBdr/>
        <w:spacing w:line="300" w:lineRule="auto"/>
        <w:ind w:firstLine="0"/>
        <w:rPr/>
      </w:pPr>
      <w:r/>
      <w:r/>
    </w:p>
    <w:p w14:paraId="0C256A0A">
      <w:pPr>
        <w:pStyle w:val="1128"/>
        <w:suppressLineNumbers w:val="false"/>
        <w:pBdr/>
        <w:spacing w:line="300" w:lineRule="auto"/>
        <w:ind w:firstLine="0"/>
        <w:rPr/>
      </w:pPr>
      <w:r/>
      <w:r/>
    </w:p>
    <w:p w14:paraId="3C4286F4">
      <w:pPr>
        <w:pStyle w:val="1128"/>
        <w:suppressLineNumbers w:val="false"/>
        <w:pBdr/>
        <w:spacing w:line="300" w:lineRule="auto"/>
        <w:ind w:firstLine="0"/>
        <w:rPr/>
      </w:pPr>
      <w:r/>
      <w:r/>
    </w:p>
    <w:p w14:paraId="432F305F">
      <w:pPr>
        <w:pStyle w:val="1128"/>
        <w:suppressLineNumbers w:val="false"/>
        <w:pBdr/>
        <w:spacing w:line="300" w:lineRule="auto"/>
        <w:ind w:firstLine="0"/>
        <w:rPr>
          <w:b/>
          <w:bCs/>
        </w:rPr>
      </w:pPr>
      <w:r>
        <w:rPr>
          <w:b/>
          <w:bCs/>
          <w:highlight w:val="none"/>
        </w:rPr>
        <w:t xml:space="preserve">4.5.3 External Stress Test Under Domain Shift</w:t>
      </w:r>
      <w:r>
        <w:rPr>
          <w:b/>
          <w:bCs/>
        </w:rPr>
      </w:r>
      <w:r>
        <w:rPr>
          <w:b/>
          <w:bCs/>
        </w:rPr>
      </w:r>
    </w:p>
    <w:p w14:paraId="169DB2E9">
      <w:pPr>
        <w:pStyle w:val="1128"/>
        <w:suppressLineNumbers w:val="false"/>
        <w:pBdr/>
        <w:spacing w:line="300" w:lineRule="auto"/>
        <w:ind w:firstLine="720"/>
        <w:rPr>
          <w:highlight w:val="none"/>
        </w:rPr>
      </w:pPr>
      <w:r>
        <w:rPr>
          <w:highlight w:val="none"/>
        </w:rPr>
        <w:t xml:space="preserve">The internal LIMUC improvement is not automatically evidence of broader robustness. For that reason, the chapter includes an external-only HyperKvasir UC proxy evaluation as a stress test.</w:t>
      </w:r>
      <w:r>
        <w:rPr>
          <w:highlight w:val="none"/>
        </w:rPr>
      </w:r>
      <w:r>
        <w:rPr>
          <w:highlight w:val="none"/>
        </w:rPr>
      </w:r>
    </w:p>
    <w:tbl>
      <w:tblPr>
        <w:tblStyle w:val="1185"/>
        <w:tblW w:w="0" w:type="auto"/>
        <w:tblBorders/>
        <w:tblLook w:val="04A0" w:firstRow="1" w:lastRow="0" w:firstColumn="1" w:lastColumn="0" w:noHBand="0" w:noVBand="1"/>
      </w:tblPr>
      <w:tblGrid>
        <w:gridCol w:w="1440"/>
        <w:gridCol w:w="1440"/>
        <w:gridCol w:w="1440"/>
        <w:gridCol w:w="1440"/>
        <w:gridCol w:w="1440"/>
        <w:gridCol w:w="1440"/>
      </w:tblGrid>
      <w:tr>
        <w:trPr/>
        <w:tc>
          <w:tcPr>
            <w:tcBorders/>
            <w:tcW w:w="1440" w:type="dxa"/>
            <w:textDirection w:val="lrTb"/>
            <w:noWrap w:val="false"/>
          </w:tcPr>
          <w:p w14:paraId="148E2FE5">
            <w:pPr>
              <w:pBdr/>
              <w:spacing w:after="0" w:before="0" w:line="240" w:lineRule="auto"/>
              <w:ind/>
              <w:rPr>
                <w:color w:val="000000" w:themeColor="text1"/>
              </w:rPr>
            </w:pPr>
            <w:r>
              <w:rPr>
                <w:rFonts w:ascii="Liberation Sans" w:hAnsi="Liberation Sans" w:eastAsia="Liberation Sans" w:cs="Liberation Sans"/>
                <w:b/>
                <w:color w:val="000000" w:themeColor="text1"/>
                <w:sz w:val="21"/>
              </w:rPr>
              <w:t xml:space="preserve">Lane</w:t>
            </w:r>
            <w:r>
              <w:rPr>
                <w:color w:val="000000" w:themeColor="text1"/>
              </w:rPr>
            </w:r>
            <w:r>
              <w:rPr>
                <w:color w:val="000000" w:themeColor="text1"/>
              </w:rPr>
            </w:r>
          </w:p>
        </w:tc>
        <w:tc>
          <w:tcPr>
            <w:tcBorders/>
            <w:tcW w:w="1440" w:type="dxa"/>
            <w:textDirection w:val="lrTb"/>
            <w:noWrap w:val="false"/>
          </w:tcPr>
          <w:p w14:paraId="123A8AFD">
            <w:pPr>
              <w:pBdr/>
              <w:spacing w:after="0" w:before="0" w:line="240" w:lineRule="auto"/>
              <w:ind/>
              <w:jc w:val="right"/>
              <w:rPr>
                <w:color w:val="000000" w:themeColor="text1"/>
              </w:rPr>
            </w:pPr>
            <w:r>
              <w:rPr>
                <w:rFonts w:ascii="Liberation Sans" w:hAnsi="Liberation Sans" w:eastAsia="Liberation Sans" w:cs="Liberation Sans"/>
                <w:b/>
                <w:color w:val="000000" w:themeColor="text1"/>
                <w:sz w:val="21"/>
              </w:rPr>
              <w:t xml:space="preserve">Internal QWK</w:t>
            </w:r>
            <w:r>
              <w:rPr>
                <w:color w:val="000000" w:themeColor="text1"/>
              </w:rPr>
            </w:r>
            <w:r>
              <w:rPr>
                <w:color w:val="000000" w:themeColor="text1"/>
              </w:rPr>
            </w:r>
          </w:p>
        </w:tc>
        <w:tc>
          <w:tcPr>
            <w:tcBorders/>
            <w:tcW w:w="1440" w:type="dxa"/>
            <w:textDirection w:val="lrTb"/>
            <w:noWrap w:val="false"/>
          </w:tcPr>
          <w:p w14:paraId="417FE2AA">
            <w:pPr>
              <w:pBdr/>
              <w:spacing w:after="0" w:before="0" w:line="240" w:lineRule="auto"/>
              <w:ind/>
              <w:jc w:val="right"/>
              <w:rPr>
                <w:color w:val="000000" w:themeColor="text1"/>
              </w:rPr>
            </w:pPr>
            <w:r>
              <w:rPr>
                <w:rFonts w:ascii="Liberation Sans" w:hAnsi="Liberation Sans" w:eastAsia="Liberation Sans" w:cs="Liberation Sans"/>
                <w:b/>
                <w:color w:val="000000" w:themeColor="text1"/>
                <w:sz w:val="21"/>
              </w:rPr>
              <w:t xml:space="preserve">External QWK</w:t>
            </w:r>
            <w:r>
              <w:rPr>
                <w:color w:val="000000" w:themeColor="text1"/>
              </w:rPr>
            </w:r>
            <w:r>
              <w:rPr>
                <w:color w:val="000000" w:themeColor="text1"/>
              </w:rPr>
            </w:r>
          </w:p>
        </w:tc>
        <w:tc>
          <w:tcPr>
            <w:tcBorders/>
            <w:tcW w:w="1440" w:type="dxa"/>
            <w:textDirection w:val="lrTb"/>
            <w:noWrap w:val="false"/>
          </w:tcPr>
          <w:p w14:paraId="4E640F85">
            <w:pPr>
              <w:pBdr/>
              <w:spacing w:after="0" w:before="0" w:line="240" w:lineRule="auto"/>
              <w:ind/>
              <w:jc w:val="right"/>
              <w:rPr>
                <w:color w:val="000000" w:themeColor="text1"/>
              </w:rPr>
            </w:pPr>
            <w:r>
              <w:rPr>
                <w:rFonts w:ascii="Liberation Sans" w:hAnsi="Liberation Sans" w:eastAsia="Liberation Sans" w:cs="Liberation Sans"/>
                <w:b/>
                <w:color w:val="000000" w:themeColor="text1"/>
                <w:sz w:val="21"/>
              </w:rPr>
              <w:t xml:space="preserve">Delta (external-internal)</w:t>
            </w:r>
            <w:r>
              <w:rPr>
                <w:color w:val="000000" w:themeColor="text1"/>
              </w:rPr>
            </w:r>
            <w:r>
              <w:rPr>
                <w:color w:val="000000" w:themeColor="text1"/>
              </w:rPr>
            </w:r>
          </w:p>
        </w:tc>
        <w:tc>
          <w:tcPr>
            <w:tcBorders/>
            <w:tcW w:w="1440" w:type="dxa"/>
            <w:textDirection w:val="lrTb"/>
            <w:noWrap w:val="false"/>
          </w:tcPr>
          <w:p w14:paraId="70BB58E7">
            <w:pPr>
              <w:pBdr/>
              <w:spacing w:after="0" w:before="0" w:line="240" w:lineRule="auto"/>
              <w:ind/>
              <w:jc w:val="right"/>
              <w:rPr>
                <w:color w:val="000000" w:themeColor="text1"/>
              </w:rPr>
            </w:pPr>
            <w:r>
              <w:rPr>
                <w:rFonts w:ascii="Liberation Sans" w:hAnsi="Liberation Sans" w:eastAsia="Liberation Sans" w:cs="Liberation Sans"/>
                <w:b/>
                <w:color w:val="000000" w:themeColor="text1"/>
                <w:sz w:val="21"/>
              </w:rPr>
              <w:t xml:space="preserve">Internal parse rate</w:t>
            </w:r>
            <w:r>
              <w:rPr>
                <w:color w:val="000000" w:themeColor="text1"/>
              </w:rPr>
            </w:r>
            <w:r>
              <w:rPr>
                <w:color w:val="000000" w:themeColor="text1"/>
              </w:rPr>
            </w:r>
          </w:p>
        </w:tc>
        <w:tc>
          <w:tcPr>
            <w:tcBorders/>
            <w:tcW w:w="1440" w:type="dxa"/>
            <w:textDirection w:val="lrTb"/>
            <w:noWrap w:val="false"/>
          </w:tcPr>
          <w:p w14:paraId="22F29129">
            <w:pPr>
              <w:pBdr/>
              <w:spacing w:after="0" w:before="0" w:line="240" w:lineRule="auto"/>
              <w:ind/>
              <w:jc w:val="right"/>
              <w:rPr>
                <w:color w:val="000000" w:themeColor="text1"/>
              </w:rPr>
            </w:pPr>
            <w:r>
              <w:rPr>
                <w:rFonts w:ascii="Liberation Sans" w:hAnsi="Liberation Sans" w:eastAsia="Liberation Sans" w:cs="Liberation Sans"/>
                <w:b/>
                <w:color w:val="000000" w:themeColor="text1"/>
                <w:sz w:val="21"/>
              </w:rPr>
              <w:t xml:space="preserve">External parse rate</w:t>
            </w:r>
            <w:r>
              <w:rPr>
                <w:color w:val="000000" w:themeColor="text1"/>
              </w:rPr>
            </w:r>
            <w:r>
              <w:rPr>
                <w:color w:val="000000" w:themeColor="text1"/>
              </w:rPr>
            </w:r>
          </w:p>
        </w:tc>
      </w:tr>
      <w:tr>
        <w:trPr/>
        <w:tc>
          <w:tcPr>
            <w:tcBorders/>
            <w:tcW w:w="1440" w:type="dxa"/>
            <w:textDirection w:val="lrTb"/>
            <w:noWrap w:val="false"/>
          </w:tcPr>
          <w:p w14:paraId="7CA2BEE5">
            <w:pPr>
              <w:pBdr/>
              <w:spacing w:after="0" w:before="0" w:line="240" w:lineRule="auto"/>
              <w:ind/>
              <w:rPr>
                <w:color w:val="000000" w:themeColor="text1"/>
              </w:rPr>
            </w:pPr>
            <w:r>
              <w:rPr>
                <w:rFonts w:ascii="Droid Sans Mono" w:hAnsi="Droid Sans Mono" w:eastAsia="Droid Sans Mono" w:cs="Droid Sans Mono"/>
                <w:color w:val="000000" w:themeColor="text1"/>
                <w:sz w:val="24"/>
                <w:highlight w:val="white"/>
              </w:rPr>
              <w:t xml:space="preserve">resnet50_supervised</w:t>
            </w:r>
            <w:r>
              <w:rPr>
                <w:color w:val="000000" w:themeColor="text1"/>
              </w:rPr>
            </w:r>
            <w:r>
              <w:rPr>
                <w:color w:val="000000" w:themeColor="text1"/>
              </w:rPr>
            </w:r>
          </w:p>
        </w:tc>
        <w:tc>
          <w:tcPr>
            <w:tcBorders/>
            <w:tcW w:w="1440" w:type="dxa"/>
            <w:textDirection w:val="lrTb"/>
            <w:noWrap w:val="false"/>
          </w:tcPr>
          <w:p w14:paraId="6A53AE0D">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0.828762</w:t>
            </w:r>
            <w:r>
              <w:rPr>
                <w:color w:val="000000" w:themeColor="text1"/>
              </w:rPr>
            </w:r>
            <w:r>
              <w:rPr>
                <w:color w:val="000000" w:themeColor="text1"/>
              </w:rPr>
            </w:r>
          </w:p>
        </w:tc>
        <w:tc>
          <w:tcPr>
            <w:tcBorders/>
            <w:tcW w:w="1440" w:type="dxa"/>
            <w:textDirection w:val="lrTb"/>
            <w:noWrap w:val="false"/>
          </w:tcPr>
          <w:p w14:paraId="6F927CAD">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0.359597</w:t>
            </w:r>
            <w:r>
              <w:rPr>
                <w:color w:val="000000" w:themeColor="text1"/>
              </w:rPr>
            </w:r>
            <w:r>
              <w:rPr>
                <w:color w:val="000000" w:themeColor="text1"/>
              </w:rPr>
            </w:r>
          </w:p>
        </w:tc>
        <w:tc>
          <w:tcPr>
            <w:tcBorders/>
            <w:tcW w:w="1440" w:type="dxa"/>
            <w:textDirection w:val="lrTb"/>
            <w:noWrap w:val="false"/>
          </w:tcPr>
          <w:p w14:paraId="002FF98D">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-0.469165</w:t>
            </w:r>
            <w:r>
              <w:rPr>
                <w:color w:val="000000" w:themeColor="text1"/>
              </w:rPr>
            </w:r>
            <w:r>
              <w:rPr>
                <w:color w:val="000000" w:themeColor="text1"/>
              </w:rPr>
            </w:r>
          </w:p>
        </w:tc>
        <w:tc>
          <w:tcPr>
            <w:tcBorders/>
            <w:tcW w:w="1440" w:type="dxa"/>
            <w:textDirection w:val="lrTb"/>
            <w:noWrap w:val="false"/>
          </w:tcPr>
          <w:p w14:paraId="569F4B0B">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w:t>
            </w:r>
            <w:r>
              <w:rPr>
                <w:color w:val="000000" w:themeColor="text1"/>
              </w:rPr>
            </w:r>
            <w:r>
              <w:rPr>
                <w:color w:val="000000" w:themeColor="text1"/>
              </w:rPr>
            </w:r>
          </w:p>
        </w:tc>
        <w:tc>
          <w:tcPr>
            <w:tcBorders/>
            <w:tcW w:w="1440" w:type="dxa"/>
            <w:textDirection w:val="lrTb"/>
            <w:noWrap w:val="false"/>
          </w:tcPr>
          <w:p w14:paraId="37737D3B">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w:t>
            </w:r>
            <w:r>
              <w:rPr>
                <w:color w:val="000000" w:themeColor="text1"/>
              </w:rPr>
            </w:r>
            <w:r>
              <w:rPr>
                <w:color w:val="000000" w:themeColor="text1"/>
              </w:rPr>
            </w:r>
          </w:p>
        </w:tc>
      </w:tr>
      <w:tr>
        <w:trPr/>
        <w:tc>
          <w:tcPr>
            <w:tcBorders/>
            <w:tcW w:w="1440" w:type="dxa"/>
            <w:textDirection w:val="lrTb"/>
            <w:noWrap w:val="false"/>
          </w:tcPr>
          <w:p w14:paraId="1BF0CFC1">
            <w:pPr>
              <w:pBdr/>
              <w:spacing w:after="0" w:before="0" w:line="240" w:lineRule="auto"/>
              <w:ind/>
              <w:rPr>
                <w:color w:val="000000" w:themeColor="text1"/>
              </w:rPr>
            </w:pPr>
            <w:r>
              <w:rPr>
                <w:rFonts w:ascii="Droid Sans Mono" w:hAnsi="Droid Sans Mono" w:eastAsia="Droid Sans Mono" w:cs="Droid Sans Mono"/>
                <w:color w:val="000000" w:themeColor="text1"/>
                <w:sz w:val="24"/>
                <w:highlight w:val="white"/>
              </w:rPr>
              <w:t xml:space="preserve">vlm_lora_mode1</w:t>
            </w:r>
            <w:r>
              <w:rPr>
                <w:color w:val="000000" w:themeColor="text1"/>
              </w:rPr>
            </w:r>
            <w:r>
              <w:rPr>
                <w:color w:val="000000" w:themeColor="text1"/>
              </w:rPr>
            </w:r>
          </w:p>
        </w:tc>
        <w:tc>
          <w:tcPr>
            <w:tcBorders/>
            <w:tcW w:w="1440" w:type="dxa"/>
            <w:textDirection w:val="lrTb"/>
            <w:noWrap w:val="false"/>
          </w:tcPr>
          <w:p w14:paraId="5348C978">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0.862752</w:t>
            </w:r>
            <w:r>
              <w:rPr>
                <w:color w:val="000000" w:themeColor="text1"/>
              </w:rPr>
            </w:r>
            <w:r>
              <w:rPr>
                <w:color w:val="000000" w:themeColor="text1"/>
              </w:rPr>
            </w:r>
          </w:p>
        </w:tc>
        <w:tc>
          <w:tcPr>
            <w:tcBorders/>
            <w:tcW w:w="1440" w:type="dxa"/>
            <w:textDirection w:val="lrTb"/>
            <w:noWrap w:val="false"/>
          </w:tcPr>
          <w:p w14:paraId="28534F06">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0.000000</w:t>
            </w:r>
            <w:r>
              <w:rPr>
                <w:color w:val="000000" w:themeColor="text1"/>
              </w:rPr>
            </w:r>
            <w:r>
              <w:rPr>
                <w:color w:val="000000" w:themeColor="text1"/>
              </w:rPr>
            </w:r>
          </w:p>
        </w:tc>
        <w:tc>
          <w:tcPr>
            <w:tcBorders/>
            <w:tcW w:w="1440" w:type="dxa"/>
            <w:textDirection w:val="lrTb"/>
            <w:noWrap w:val="false"/>
          </w:tcPr>
          <w:p w14:paraId="35270927">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-0.862752</w:t>
            </w:r>
            <w:r>
              <w:rPr>
                <w:color w:val="000000" w:themeColor="text1"/>
              </w:rPr>
            </w:r>
            <w:r>
              <w:rPr>
                <w:color w:val="000000" w:themeColor="text1"/>
              </w:rPr>
            </w:r>
          </w:p>
        </w:tc>
        <w:tc>
          <w:tcPr>
            <w:tcBorders/>
            <w:tcW w:w="1440" w:type="dxa"/>
            <w:textDirection w:val="lrTb"/>
            <w:noWrap w:val="false"/>
          </w:tcPr>
          <w:p w14:paraId="099A756C">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1.0</w:t>
            </w:r>
            <w:r>
              <w:rPr>
                <w:color w:val="000000" w:themeColor="text1"/>
              </w:rPr>
            </w:r>
            <w:r>
              <w:rPr>
                <w:color w:val="000000" w:themeColor="text1"/>
              </w:rPr>
            </w:r>
          </w:p>
        </w:tc>
        <w:tc>
          <w:tcPr>
            <w:tcBorders/>
            <w:tcW w:w="1440" w:type="dxa"/>
            <w:textDirection w:val="lrTb"/>
            <w:noWrap w:val="false"/>
          </w:tcPr>
          <w:p w14:paraId="43F04615">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0.0</w:t>
            </w:r>
            <w:r>
              <w:rPr>
                <w:color w:val="000000" w:themeColor="text1"/>
              </w:rPr>
            </w:r>
            <w:r>
              <w:rPr>
                <w:color w:val="000000" w:themeColor="text1"/>
              </w:rPr>
            </w:r>
          </w:p>
        </w:tc>
      </w:tr>
      <w:tr>
        <w:trPr/>
        <w:tc>
          <w:tcPr>
            <w:tcBorders/>
            <w:tcW w:w="1440" w:type="dxa"/>
            <w:textDirection w:val="lrTb"/>
            <w:noWrap w:val="false"/>
          </w:tcPr>
          <w:p w14:paraId="3E67C07C">
            <w:pPr>
              <w:pBdr/>
              <w:spacing w:after="0" w:before="0" w:line="240" w:lineRule="auto"/>
              <w:ind/>
              <w:rPr>
                <w:color w:val="000000" w:themeColor="text1"/>
              </w:rPr>
            </w:pPr>
            <w:r>
              <w:rPr>
                <w:rFonts w:ascii="Droid Sans Mono" w:hAnsi="Droid Sans Mono" w:eastAsia="Droid Sans Mono" w:cs="Droid Sans Mono"/>
                <w:color w:val="000000" w:themeColor="text1"/>
                <w:sz w:val="24"/>
                <w:highlight w:val="white"/>
              </w:rPr>
              <w:t xml:space="preserve">vlm_lora_mode2</w:t>
            </w:r>
            <w:r>
              <w:rPr>
                <w:color w:val="000000" w:themeColor="text1"/>
              </w:rPr>
            </w:r>
            <w:r>
              <w:rPr>
                <w:color w:val="000000" w:themeColor="text1"/>
              </w:rPr>
            </w:r>
          </w:p>
        </w:tc>
        <w:tc>
          <w:tcPr>
            <w:tcBorders/>
            <w:tcW w:w="1440" w:type="dxa"/>
            <w:textDirection w:val="lrTb"/>
            <w:noWrap w:val="false"/>
          </w:tcPr>
          <w:p w14:paraId="092815B3">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0.000000</w:t>
            </w:r>
            <w:r>
              <w:rPr>
                <w:color w:val="000000" w:themeColor="text1"/>
              </w:rPr>
            </w:r>
            <w:r>
              <w:rPr>
                <w:color w:val="000000" w:themeColor="text1"/>
              </w:rPr>
            </w:r>
          </w:p>
        </w:tc>
        <w:tc>
          <w:tcPr>
            <w:tcBorders/>
            <w:tcW w:w="1440" w:type="dxa"/>
            <w:textDirection w:val="lrTb"/>
            <w:noWrap w:val="false"/>
          </w:tcPr>
          <w:p w14:paraId="1E1D80DA">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0.000000</w:t>
            </w:r>
            <w:r>
              <w:rPr>
                <w:color w:val="000000" w:themeColor="text1"/>
              </w:rPr>
            </w:r>
            <w:r>
              <w:rPr>
                <w:color w:val="000000" w:themeColor="text1"/>
              </w:rPr>
            </w:r>
          </w:p>
        </w:tc>
        <w:tc>
          <w:tcPr>
            <w:tcBorders/>
            <w:tcW w:w="1440" w:type="dxa"/>
            <w:textDirection w:val="lrTb"/>
            <w:noWrap w:val="false"/>
          </w:tcPr>
          <w:p w14:paraId="4947E8D7">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0.000000</w:t>
            </w:r>
            <w:r>
              <w:rPr>
                <w:color w:val="000000" w:themeColor="text1"/>
              </w:rPr>
            </w:r>
            <w:r>
              <w:rPr>
                <w:color w:val="000000" w:themeColor="text1"/>
              </w:rPr>
            </w:r>
          </w:p>
        </w:tc>
        <w:tc>
          <w:tcPr>
            <w:tcBorders/>
            <w:tcW w:w="1440" w:type="dxa"/>
            <w:textDirection w:val="lrTb"/>
            <w:noWrap w:val="false"/>
          </w:tcPr>
          <w:p w14:paraId="173EECE8">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1.0</w:t>
            </w:r>
            <w:r>
              <w:rPr>
                <w:color w:val="000000" w:themeColor="text1"/>
              </w:rPr>
            </w:r>
            <w:r>
              <w:rPr>
                <w:color w:val="000000" w:themeColor="text1"/>
              </w:rPr>
            </w:r>
          </w:p>
        </w:tc>
        <w:tc>
          <w:tcPr>
            <w:tcBorders/>
            <w:tcW w:w="1440" w:type="dxa"/>
            <w:textDirection w:val="lrTb"/>
            <w:noWrap w:val="false"/>
          </w:tcPr>
          <w:p w14:paraId="58B3B9B8">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1.0</w:t>
            </w:r>
            <w:r>
              <w:rPr>
                <w:color w:val="000000" w:themeColor="text1"/>
              </w:rPr>
            </w:r>
            <w:r>
              <w:rPr>
                <w:color w:val="000000" w:themeColor="text1"/>
              </w:rPr>
            </w:r>
          </w:p>
        </w:tc>
      </w:tr>
    </w:tbl>
    <w:p w14:paraId="1B5BFEA0">
      <w:pPr>
        <w:pStyle w:val="1128"/>
        <w:suppressLineNumbers w:val="false"/>
        <w:pBdr/>
        <w:spacing w:line="300" w:lineRule="auto"/>
        <w:ind w:firstLine="720" w:left="720"/>
        <w:rPr>
          <w:highlight w:val="none"/>
        </w:rPr>
      </w:pPr>
      <w:r>
        <w:rPr>
          <w:highlight w:val="none"/>
        </w:rPr>
        <w:t xml:space="preserve">Table 4.8. Internal-to-External Performance Shift</w:t>
      </w:r>
      <w:r>
        <w:rPr>
          <w:highlight w:val="none"/>
        </w:rPr>
      </w:r>
      <w:r>
        <w:rPr>
          <w:highlight w:val="none"/>
        </w:rPr>
      </w:r>
    </w:p>
    <w:p w14:paraId="45D8098F">
      <w:pPr>
        <w:pStyle w:val="1128"/>
        <w:suppressLineNumbers w:val="false"/>
        <w:pBdr/>
        <w:spacing w:line="300" w:lineRule="auto"/>
        <w:ind w:firstLine="720" w:left="720"/>
        <w:rPr>
          <w:highlight w:val="none"/>
        </w:rPr>
      </w:pPr>
      <w:r>
        <w:rPr>
          <w:highlight w:val="none"/>
        </w:rPr>
      </w:r>
      <w:r>
        <w:rPr>
          <w:highlight w:val="none"/>
        </w:rPr>
      </w:r>
      <w:r>
        <w:rPr>
          <w:highlight w:val="none"/>
        </w:rPr>
      </w:r>
    </w:p>
    <w:p w14:paraId="771B4591">
      <w:pPr>
        <w:pStyle w:val="1128"/>
        <w:suppressLineNumbers w:val="false"/>
        <w:pBdr/>
        <w:spacing w:line="300" w:lineRule="auto"/>
        <w:ind w:firstLine="720" w:left="0"/>
        <w:rPr/>
      </w:pPr>
      <w:r>
        <w:rPr>
          <w:highlight w:val="none"/>
        </w:rPr>
        <w:t xml:space="preserve">T</w:t>
      </w:r>
      <w:r>
        <w:rPr>
          <w:highlight w:val="none"/>
        </w:rPr>
        <w:t xml:space="preserve">he external results are poor for all model families, but the failure pattern differs by lane. The supervised ResNet50 baseline degrades substantially, yet still retains non-zero external agreement (QWK = 0.359597). The mode1 generative lane, by contrast, c</w:t>
      </w:r>
      <w:r>
        <w:rPr>
          <w:highlight w:val="none"/>
        </w:rPr>
        <w:t xml:space="preserve">o</w:t>
      </w:r>
      <w:r>
        <w:rPr>
          <w:highlight w:val="none"/>
        </w:rPr>
        <w:t xml:space="preserve">llapses almost completely under this proxy setting: external accuracy falls to 0.041128, macro-F1 to 0.019752, QWK to 0.0, and parse rate to 0.0. This means that under the external proxy condition the model does not merely become less accurate; it stops em</w:t>
      </w:r>
      <w:r>
        <w:rPr>
          <w:highlight w:val="none"/>
        </w:rPr>
        <w:t xml:space="preserve">itting outputs that can be parsed as valid scores at all.</w:t>
      </w:r>
      <w:r>
        <w:rPr>
          <w:highlight w:val="none"/>
        </w:rPr>
      </w:r>
      <w:r/>
    </w:p>
    <w:p w14:paraId="7A4A2CAA">
      <w:pPr>
        <w:pStyle w:val="1128"/>
        <w:suppressLineNumbers w:val="false"/>
        <w:pBdr/>
        <w:spacing w:line="300" w:lineRule="auto"/>
        <w:ind w:firstLine="720" w:left="0"/>
        <w:rPr>
          <w:highlight w:val="none"/>
        </w:rPr>
      </w:pPr>
      <w:r>
        <w:rPr>
          <w:highlight w:val="none"/>
        </w:rPr>
        <w:t xml:space="preserve">T</w:t>
      </w:r>
      <w:r>
        <w:rPr>
          <w:highlight w:val="none"/>
        </w:rPr>
        <w:t xml:space="preserve">his is an important negative result. It indicates that the internal success of the proposed generative lane is real but not yet domain-robust. The likely causes are a combination of dataset shift, label-space mismatch introduced by the proxy mapping, and o</w:t>
      </w:r>
      <w:r>
        <w:rPr>
          <w:highlight w:val="none"/>
        </w:rPr>
        <w:t xml:space="preserve">u</w:t>
      </w:r>
      <w:r>
        <w:rPr>
          <w:highlight w:val="none"/>
        </w:rPr>
        <w:t xml:space="preserve">tput-style fragility when the visual distribution no longer matches the in-domain training regime. The mode2 lane remains degenerate internally and externally, which reinforces the interpretation that it is not a viable alternative scoring strategy under t</w:t>
      </w:r>
      <w:r>
        <w:rPr>
          <w:highlight w:val="none"/>
        </w:rPr>
        <w:t xml:space="preserve">he present design.</w:t>
      </w:r>
      <w:r>
        <w:rPr>
          <w:highlight w:val="none"/>
        </w:rPr>
      </w:r>
      <w:r>
        <w:rPr>
          <w:highlight w:val="none"/>
        </w:rPr>
      </w:r>
    </w:p>
    <w:p w14:paraId="13328220">
      <w:pPr>
        <w:pStyle w:val="1128"/>
        <w:suppressLineNumbers w:val="false"/>
        <w:pBdr/>
        <w:spacing w:line="300" w:lineRule="auto"/>
        <w:ind w:firstLine="0" w:left="0"/>
        <w:rPr>
          <w:highlight w:val="none"/>
        </w:rPr>
      </w:pPr>
      <w:r>
        <w:rPr>
          <w:highlight w:val="none"/>
        </w:rPr>
      </w:r>
      <w:r>
        <w:rPr>
          <w:highlight w:val="none"/>
        </w:rPr>
      </w:r>
      <w:r>
        <w:rPr>
          <w:highlight w:val="none"/>
        </w:rPr>
      </w:r>
    </w:p>
    <w:p w14:paraId="183C1461">
      <w:pPr>
        <w:pStyle w:val="1128"/>
        <w:suppressLineNumbers w:val="false"/>
        <w:pBdr/>
        <w:spacing w:line="300" w:lineRule="auto"/>
        <w:ind w:firstLine="0" w:left="0"/>
        <w:rPr>
          <w:highlight w:val="none"/>
        </w:rPr>
      </w:pPr>
      <w:r>
        <w:rPr>
          <w:highlight w:val="none"/>
        </w:rPr>
        <mc:AlternateContent>
          <mc:Choice Requires="wpg">
            <w:drawing>
              <wp:inline xmlns:wp="http://schemas.openxmlformats.org/drawingml/2006/wordprocessingDrawing" distT="0" distB="0" distL="0" distR="0">
                <wp:extent cx="5486400" cy="2767054"/>
                <wp:effectExtent l="0" t="0" r="0" b="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984772" name=""/>
                        <pic:cNvPicPr>
                          <a:picLocks noChangeAspect="1"/>
                        </pic:cNvPicPr>
                        <pic:nvPr/>
                      </pic:nvPicPr>
                      <pic:blipFill rotWithShape="1">
                        <a:blip r:embed="rId26"/>
                        <a:stretch/>
                      </pic:blipFill>
                      <pic:spPr bwMode="auto">
                        <a:xfrm>
                          <a:off x="0" y="0"/>
                          <a:ext cx="5486399" cy="276705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432.00pt;height:217.88pt;mso-wrap-distance-left:0.00pt;mso-wrap-distance-top:0.00pt;mso-wrap-distance-right:0.00pt;mso-wrap-distance-bottom:0.00pt;z-index:1;" stroked="false">
                <v:imagedata r:id="rId26" o:title=""/>
                <o:lock v:ext="edit" rotation="t"/>
              </v:shape>
            </w:pict>
          </mc:Fallback>
        </mc:AlternateContent>
      </w:r>
      <w:r>
        <w:rPr>
          <w:highlight w:val="none"/>
        </w:rPr>
      </w:r>
      <w:r>
        <w:rPr>
          <w:highlight w:val="none"/>
        </w:rPr>
      </w:r>
    </w:p>
    <w:p w14:paraId="2BF8B80A">
      <w:pPr>
        <w:pStyle w:val="1128"/>
        <w:suppressLineNumbers w:val="false"/>
        <w:pBdr/>
        <w:spacing w:line="300" w:lineRule="auto"/>
        <w:ind w:firstLine="0" w:left="0"/>
        <w:rPr>
          <w:highlight w:val="none"/>
        </w:rPr>
      </w:pPr>
      <w:r>
        <w:rPr>
          <w:highlight w:val="none"/>
        </w:rPr>
      </w:r>
      <w:r>
        <w:rPr>
          <w:highlight w:val="none"/>
        </w:rPr>
        <w:t xml:space="preserve">Figure 4.5 summarizes the scale of the external degradation. The figure should be read as robustness-limitation evidence rather than as a contradiction of the internal LIMUC improvement [82].</w:t>
      </w:r>
      <w:r>
        <w:rPr>
          <w:highlight w:val="none"/>
        </w:rPr>
      </w:r>
      <w:r>
        <w:rPr>
          <w:highlight w:val="none"/>
        </w:rPr>
      </w:r>
    </w:p>
    <w:p w14:paraId="09CCC8D4">
      <w:pPr>
        <w:pStyle w:val="1128"/>
        <w:suppressLineNumbers w:val="false"/>
        <w:pBdr/>
        <w:spacing w:line="300" w:lineRule="auto"/>
        <w:ind w:firstLine="0"/>
        <w:rPr/>
      </w:pPr>
      <w:r>
        <w:rPr>
          <w:highlight w:val="none"/>
        </w:rPr>
      </w:r>
      <w:r>
        <w:rPr>
          <w:highlight w:val="none"/>
        </w:rPr>
      </w:r>
      <w:r/>
    </w:p>
    <w:p w14:paraId="4999A6F1">
      <w:pPr>
        <w:pStyle w:val="1128"/>
        <w:suppressLineNumbers w:val="false"/>
        <w:pBdr/>
        <w:spacing w:line="300" w:lineRule="auto"/>
        <w:ind w:firstLine="0"/>
        <w:rPr>
          <w:b/>
          <w:bCs/>
          <w:sz w:val="28"/>
          <w:szCs w:val="28"/>
        </w:rPr>
      </w:pPr>
      <w:r>
        <w:rPr>
          <w:b/>
          <w:bCs/>
          <w:sz w:val="28"/>
          <w:szCs w:val="28"/>
        </w:rPr>
        <w:t xml:space="preserve">4.6 Discussion</w:t>
      </w:r>
      <w:r>
        <w:rPr>
          <w:b/>
          <w:bCs/>
          <w:sz w:val="28"/>
          <w:szCs w:val="28"/>
        </w:rPr>
      </w:r>
      <w:r>
        <w:rPr>
          <w:b/>
          <w:bCs/>
          <w:sz w:val="28"/>
          <w:szCs w:val="28"/>
        </w:rPr>
      </w:r>
    </w:p>
    <w:p w14:paraId="2F77AEE9">
      <w:pPr>
        <w:pStyle w:val="1128"/>
        <w:suppressLineNumbers w:val="false"/>
        <w:pBdr/>
        <w:spacing w:line="300" w:lineRule="auto"/>
        <w:ind w:firstLine="720"/>
        <w:rPr/>
      </w:pPr>
      <w:r>
        <w:t xml:space="preserve">T</w:t>
      </w:r>
      <w:r>
        <w:t xml:space="preserve">he results support a precise conclusion: a vision-language model can outperform a strong supervised baseline on internal UC severity grading when its generation is adapted to the task through parameter-efficient training and constrained output design. This</w:t>
      </w:r>
      <w:r>
        <w:t xml:space="preserve"> </w:t>
      </w:r>
      <w:r>
        <w:t xml:space="preserve">is not evidence that unrestricted multimodal generation is superior to classification. It is evidence that a carefully controlled generative interface can function as an effective ordinal scorer when the task, output space, and training objective are tight</w:t>
      </w:r>
      <w:r>
        <w:t xml:space="preserve">ly aligned.</w:t>
      </w:r>
      <w:r/>
    </w:p>
    <w:p w14:paraId="4E71B951">
      <w:pPr>
        <w:pStyle w:val="1128"/>
        <w:suppressLineNumbers w:val="false"/>
        <w:pBdr/>
        <w:spacing w:line="300" w:lineRule="auto"/>
        <w:ind w:firstLine="0"/>
        <w:rPr/>
      </w:pPr>
      <w:r/>
      <w:r/>
    </w:p>
    <w:p w14:paraId="222D9B86">
      <w:pPr>
        <w:pStyle w:val="1128"/>
        <w:suppressLineNumbers w:val="false"/>
        <w:pBdr/>
        <w:spacing w:line="300" w:lineRule="auto"/>
        <w:ind w:firstLine="0"/>
        <w:rPr>
          <w:b/>
          <w:bCs/>
        </w:rPr>
      </w:pPr>
      <w:r>
        <w:rPr>
          <w:b/>
          <w:bCs/>
        </w:rPr>
        <w:t xml:space="preserve">4.6.1 Why the Adapted Generative Lane Improves Internal Severity Grading</w:t>
      </w:r>
      <w:r>
        <w:rPr>
          <w:b/>
          <w:bCs/>
        </w:rPr>
      </w:r>
      <w:r>
        <w:rPr>
          <w:b/>
          <w:bCs/>
        </w:rPr>
      </w:r>
    </w:p>
    <w:p w14:paraId="487D2548">
      <w:pPr>
        <w:pStyle w:val="1128"/>
        <w:suppressLineNumbers w:val="false"/>
        <w:pBdr/>
        <w:spacing w:line="300" w:lineRule="auto"/>
        <w:ind w:firstLine="720"/>
        <w:rPr/>
      </w:pPr>
      <w:r>
        <w:t xml:space="preserve">T</w:t>
      </w:r>
      <w:r>
        <w:t xml:space="preserve">he mode1 lane succeeds because it combines three properties that are often separated in the MedVQA literature. First, it retains the representational capacity of a large pretrained vision-language model. Second, it is adapted in-domain rather than prompted</w:t>
      </w:r>
      <w:r>
        <w:t xml:space="preserve"> naively. Third, its output behavior is constrained strongly enough that the model is rewarded for emitting the clinically relevant decision token rather than for producing fluent but task-irrelevant text.</w:t>
      </w:r>
      <w:r/>
    </w:p>
    <w:p w14:paraId="56C15F79">
      <w:pPr>
        <w:pStyle w:val="1128"/>
        <w:suppressLineNumbers w:val="false"/>
        <w:pBdr/>
        <w:spacing w:line="300" w:lineRule="auto"/>
        <w:ind w:firstLine="0"/>
        <w:rPr/>
      </w:pPr>
      <w:r/>
      <w:r/>
    </w:p>
    <w:p w14:paraId="074E6D33">
      <w:pPr>
        <w:pStyle w:val="1128"/>
        <w:suppressLineNumbers w:val="false"/>
        <w:pBdr/>
        <w:spacing w:line="300" w:lineRule="auto"/>
        <w:ind w:firstLine="720"/>
        <w:rPr/>
      </w:pPr>
      <w:r>
        <w:t xml:space="preserve">T</w:t>
      </w:r>
      <w:r>
        <w:t xml:space="preserve">his combination appears to matter particularly for the minority and higher-severity classes. The class-wise recall gains suggest that the LoRA-adapted model is not simply memorizing majority labels more effectively than the supervised baseline. Instead, it</w:t>
      </w:r>
      <w:r>
        <w:t xml:space="preserve"> seems to learn a better ordering-sensitive decision surface for the four Mayo categories under the fixed prompt format. That is the key methodological result of the chapter.</w:t>
      </w:r>
      <w:r/>
    </w:p>
    <w:p w14:paraId="21F4F8E0">
      <w:pPr>
        <w:pStyle w:val="1128"/>
        <w:suppressLineNumbers w:val="false"/>
        <w:pBdr/>
        <w:spacing w:line="300" w:lineRule="auto"/>
        <w:ind w:firstLine="0"/>
        <w:rPr/>
      </w:pPr>
      <w:r/>
      <w:r/>
    </w:p>
    <w:p w14:paraId="38B08A3C">
      <w:pPr>
        <w:pStyle w:val="1128"/>
        <w:suppressLineNumbers w:val="false"/>
        <w:pBdr/>
        <w:spacing w:line="300" w:lineRule="auto"/>
        <w:ind w:firstLine="0"/>
        <w:rPr>
          <w:b/>
          <w:bCs/>
        </w:rPr>
      </w:pPr>
      <w:r>
        <w:rPr>
          <w:b/>
          <w:bCs/>
        </w:rPr>
        <w:t xml:space="preserve">4.6.2 Why the Likelihood-Only Lane Fails</w:t>
      </w:r>
      <w:r>
        <w:rPr>
          <w:b/>
          <w:bCs/>
        </w:rPr>
      </w:r>
      <w:r>
        <w:rPr>
          <w:b/>
          <w:bCs/>
        </w:rPr>
      </w:r>
    </w:p>
    <w:p w14:paraId="77CC55DD">
      <w:pPr>
        <w:pStyle w:val="1128"/>
        <w:suppressLineNumbers w:val="false"/>
        <w:pBdr/>
        <w:spacing w:line="300" w:lineRule="auto"/>
        <w:ind w:firstLine="720"/>
        <w:rPr/>
      </w:pPr>
      <w:r>
        <w:t xml:space="preserve">T</w:t>
      </w:r>
      <w:r>
        <w:t xml:space="preserve">he failure of mode2 is just as informative as the success of mode1. In principle, likelihood-based label selection after a fixed prefix could have offered a cleaner and more classifier-like use of the generative backbone. In practice, it collapses to major</w:t>
      </w:r>
      <w:r>
        <w:t xml:space="preserve">ity behavior. The saved class-wise recall profile shows that mode2 effectively predicts class 0 only, which is enough to preserve superficial syntax but destroys clinical utility.</w:t>
      </w:r>
      <w:r/>
    </w:p>
    <w:p w14:paraId="79698D6C">
      <w:pPr>
        <w:pStyle w:val="1128"/>
        <w:suppressLineNumbers w:val="false"/>
        <w:pBdr/>
        <w:spacing w:line="300" w:lineRule="auto"/>
        <w:ind w:firstLine="0"/>
        <w:rPr/>
      </w:pPr>
      <w:r/>
      <w:r/>
    </w:p>
    <w:p w14:paraId="46E60790">
      <w:pPr>
        <w:pStyle w:val="1128"/>
        <w:suppressLineNumbers w:val="false"/>
        <w:pBdr/>
        <w:spacing w:line="300" w:lineRule="auto"/>
        <w:ind w:firstLine="720"/>
        <w:rPr/>
      </w:pPr>
      <w:r>
        <w:t xml:space="preserve">T</w:t>
      </w:r>
      <w:r>
        <w:t xml:space="preserve">his negative result illustrates a broader thesis point: stricter output control is not automatically better if it removes the mechanism through which the adapted model expresses the decision boundary it has learned. A clinically useful generative system mu</w:t>
      </w:r>
      <w:r>
        <w:t xml:space="preserve">st be controlled, but the form of control must still allow task-relevant discrimination. Mode1 achieves that balance under the internal protocol; mode2 does not.</w:t>
      </w:r>
      <w:r/>
    </w:p>
    <w:p w14:paraId="39F7FA0C">
      <w:pPr>
        <w:pStyle w:val="1128"/>
        <w:suppressLineNumbers w:val="false"/>
        <w:pBdr/>
        <w:spacing w:line="300" w:lineRule="auto"/>
        <w:ind w:firstLine="0"/>
        <w:rPr/>
      </w:pPr>
      <w:r/>
      <w:r/>
    </w:p>
    <w:p w14:paraId="2E5BCCA2">
      <w:pPr>
        <w:pStyle w:val="1128"/>
        <w:suppressLineNumbers w:val="false"/>
        <w:pBdr/>
        <w:spacing w:line="300" w:lineRule="auto"/>
        <w:ind w:firstLine="0"/>
        <w:rPr>
          <w:b/>
          <w:bCs/>
        </w:rPr>
      </w:pPr>
      <w:r>
        <w:rPr>
          <w:b/>
          <w:bCs/>
        </w:rPr>
        <w:t xml:space="preserve">4.6.3 Implications for the Broader Dissertation</w:t>
      </w:r>
      <w:r>
        <w:rPr>
          <w:b/>
          <w:bCs/>
        </w:rPr>
      </w:r>
      <w:r>
        <w:rPr>
          <w:b/>
          <w:bCs/>
        </w:rPr>
      </w:r>
    </w:p>
    <w:p w14:paraId="52D8F18A">
      <w:pPr>
        <w:pStyle w:val="1128"/>
        <w:suppressLineNumbers w:val="false"/>
        <w:pBdr/>
        <w:spacing w:line="300" w:lineRule="auto"/>
        <w:ind w:firstLine="720"/>
        <w:rPr/>
      </w:pPr>
      <w:r>
        <w:t xml:space="preserve">T</w:t>
      </w:r>
      <w:r>
        <w:t xml:space="preserve">he broader significance of Chapter 4 is methodological. It shows that the path from benchmark MedVQA to clinically usable multimodal systems does not run through unconstrained prompting. Instead, it requires bounded task design, explicit evaluation of outp</w:t>
      </w:r>
      <w:r>
        <w:t xml:space="preserve">ut validity, and comparison against strong supervised anchors. In that sense, Chapter 4 is the bridge between the diagnostic benchmarking of Chapter 3 and the physician-facing wrapper of Chapter 5.</w:t>
      </w:r>
      <w:r/>
    </w:p>
    <w:p w14:paraId="47650077">
      <w:pPr>
        <w:pStyle w:val="1128"/>
        <w:suppressLineNumbers w:val="false"/>
        <w:pBdr/>
        <w:spacing w:line="300" w:lineRule="auto"/>
        <w:ind w:firstLine="0"/>
        <w:rPr/>
      </w:pPr>
      <w:r/>
      <w:r/>
    </w:p>
    <w:p w14:paraId="363AD047">
      <w:pPr>
        <w:pStyle w:val="1128"/>
        <w:suppressLineNumbers w:val="false"/>
        <w:pBdr/>
        <w:spacing w:line="300" w:lineRule="auto"/>
        <w:ind w:firstLine="720"/>
        <w:rPr/>
      </w:pPr>
      <w:r>
        <w:t xml:space="preserve">T</w:t>
      </w:r>
      <w:r>
        <w:t xml:space="preserve">he chapter also clarifies what kind of generative model is worth carrying forward. The severity component advanced from Chapter 4 is not a general-purpose conversational model. It is a controlled upstream module whose job is to convert an image into a stab</w:t>
      </w:r>
      <w:r>
        <w:t xml:space="preserve">le severity signal under explicit formatting rules. That is precisely the kind of component that can be embedded safely into a larger evidence-grounded decision-support pipeline.</w:t>
      </w:r>
      <w:r/>
    </w:p>
    <w:p w14:paraId="54A0764B">
      <w:pPr>
        <w:pStyle w:val="1128"/>
        <w:suppressLineNumbers w:val="false"/>
        <w:pBdr/>
        <w:spacing w:line="300" w:lineRule="auto"/>
        <w:ind w:firstLine="0"/>
        <w:rPr/>
      </w:pPr>
      <w:r/>
      <w:r/>
    </w:p>
    <w:p w14:paraId="6C03B91D">
      <w:pPr>
        <w:pStyle w:val="1128"/>
        <w:suppressLineNumbers w:val="false"/>
        <w:pBdr/>
        <w:spacing w:line="300" w:lineRule="auto"/>
        <w:ind w:firstLine="0"/>
        <w:rPr>
          <w:b/>
          <w:bCs/>
          <w:sz w:val="28"/>
          <w:szCs w:val="28"/>
        </w:rPr>
      </w:pPr>
      <w:r>
        <w:rPr>
          <w:b/>
          <w:bCs/>
          <w:sz w:val="28"/>
          <w:szCs w:val="28"/>
        </w:rPr>
        <w:t xml:space="preserve">4.7 Limitations and Claim Boundary</w:t>
      </w:r>
      <w:r>
        <w:rPr>
          <w:b/>
          <w:bCs/>
          <w:sz w:val="28"/>
          <w:szCs w:val="28"/>
        </w:rPr>
      </w:r>
      <w:r>
        <w:rPr>
          <w:b/>
          <w:bCs/>
          <w:sz w:val="28"/>
          <w:szCs w:val="28"/>
        </w:rPr>
      </w:r>
    </w:p>
    <w:p w14:paraId="7B911386">
      <w:pPr>
        <w:pStyle w:val="1128"/>
        <w:suppressLineNumbers w:val="false"/>
        <w:pBdr/>
        <w:spacing w:line="300" w:lineRule="auto"/>
        <w:ind w:firstLine="720"/>
        <w:rPr/>
      </w:pPr>
      <w:r>
        <w:t xml:space="preserve">Several limitations constrain the interpretation of the results and should be stated explicitly in the dissertation text.</w:t>
      </w:r>
      <w:r/>
    </w:p>
    <w:p w14:paraId="680076FF">
      <w:pPr>
        <w:pStyle w:val="1128"/>
        <w:suppressLineNumbers w:val="false"/>
        <w:pBdr/>
        <w:spacing w:line="300" w:lineRule="auto"/>
        <w:ind w:firstLine="0"/>
        <w:rPr/>
      </w:pPr>
      <w:r/>
      <w:r/>
    </w:p>
    <w:p w14:paraId="439557A0">
      <w:pPr>
        <w:pStyle w:val="1128"/>
        <w:numPr>
          <w:ilvl w:val="0"/>
          <w:numId w:val="78"/>
        </w:numPr>
        <w:suppressLineNumbers w:val="false"/>
        <w:pBdr/>
        <w:spacing w:line="300" w:lineRule="auto"/>
        <w:ind/>
        <w:rPr/>
      </w:pPr>
      <w:r>
        <w:t xml:space="preserve">The task is frame-based rather than procedure-based. A single image can support severity estimation, but it is not equivalent to full-video or full-case clinical assessment.</w:t>
      </w:r>
      <w:r/>
    </w:p>
    <w:p w14:paraId="757B5BBD">
      <w:pPr>
        <w:pStyle w:val="1128"/>
        <w:numPr>
          <w:ilvl w:val="0"/>
          <w:numId w:val="78"/>
        </w:numPr>
        <w:suppressLineNumbers w:val="false"/>
        <w:pBdr/>
        <w:spacing w:line="300" w:lineRule="auto"/>
        <w:ind/>
        <w:rPr/>
      </w:pPr>
      <w:r>
        <w:t xml:space="preserve">Class-boundary ambiguity remains a persistent source of error, especially for adjacent Mayo categories such as 0 &lt;-&gt; 1 and 1 &lt;-&gt; 2.</w:t>
      </w:r>
      <w:r/>
    </w:p>
    <w:p w14:paraId="4F71BDF3">
      <w:pPr>
        <w:pStyle w:val="1128"/>
        <w:numPr>
          <w:ilvl w:val="0"/>
          <w:numId w:val="78"/>
        </w:numPr>
        <w:suppressLineNumbers w:val="false"/>
        <w:pBdr/>
        <w:spacing w:line="300" w:lineRule="auto"/>
        <w:ind/>
        <w:rPr/>
      </w:pPr>
      <w:r>
        <w:t xml:space="preserve">The mode2 lane fails under the present design and should be treated as a negative-result ablation rather than as a viable alternative deployment mode.</w:t>
      </w:r>
      <w:r/>
    </w:p>
    <w:p w14:paraId="0F4B176A">
      <w:pPr>
        <w:pStyle w:val="1128"/>
        <w:numPr>
          <w:ilvl w:val="0"/>
          <w:numId w:val="78"/>
        </w:numPr>
        <w:suppressLineNumbers w:val="false"/>
        <w:pBdr/>
        <w:spacing w:line="300" w:lineRule="auto"/>
        <w:ind/>
        <w:rPr/>
      </w:pPr>
      <w:r>
        <w:t xml:space="preserve">The external HyperKvasir UC proxy evaluation uses mapped interval labels rather than native Mayo annotation. Its results are therefore informative for robustness analysis but insufficient for deployment claims.</w:t>
      </w:r>
      <w:r/>
    </w:p>
    <w:p w14:paraId="5B5BC736">
      <w:pPr>
        <w:pStyle w:val="1128"/>
        <w:numPr>
          <w:ilvl w:val="0"/>
          <w:numId w:val="78"/>
        </w:numPr>
        <w:suppressLineNumbers w:val="false"/>
        <w:pBdr/>
        <w:spacing w:line="300" w:lineRule="auto"/>
        <w:ind/>
        <w:rPr/>
      </w:pPr>
      <w:r>
        <w:t xml:space="preserve">Although mode1 improves internal QWK to 0.863656, the result remains below a 0.90 threshold and therefore still leaves meaningful headroom for future improvement.</w:t>
      </w:r>
      <w:r/>
    </w:p>
    <w:p w14:paraId="0ACDFBBD">
      <w:pPr>
        <w:pStyle w:val="1128"/>
        <w:numPr>
          <w:ilvl w:val="0"/>
          <w:numId w:val="78"/>
        </w:numPr>
        <w:suppressLineNumbers w:val="false"/>
        <w:pBdr/>
        <w:spacing w:line="300" w:lineRule="auto"/>
        <w:ind/>
        <w:rPr/>
      </w:pPr>
      <w:r>
        <w:t xml:space="preserve">Structured outputs that combine Mayo + evidence phrase are not part of the headline claim in this chapter. The contribution established here is limited to controlled severity scoring.</w:t>
      </w:r>
      <w:r/>
    </w:p>
    <w:p w14:paraId="244B3FEB">
      <w:pPr>
        <w:pStyle w:val="1128"/>
        <w:suppressLineNumbers w:val="false"/>
        <w:pBdr/>
        <w:spacing w:line="300" w:lineRule="auto"/>
        <w:ind w:firstLine="720"/>
        <w:rPr/>
      </w:pPr>
      <w:r>
        <w:t xml:space="preserve">A</w:t>
      </w:r>
      <w:r>
        <w:t xml:space="preserve">ccordingly, the central claim of Chapter 4 should be read narrowly and precisely: under the fixed internal LIMUC protocol, the LoRA-adapted generative mode1 lane exceeds the official supervised baseline on ordinal and class-balanced severity metrics while </w:t>
      </w:r>
      <w:r>
        <w:t xml:space="preserve">maintaining perfect parse compliance. The chapter does not claim external deployment readiness, general GI reasoning competence, or robust cross-domain severity transfer.</w:t>
      </w:r>
      <w:r/>
    </w:p>
    <w:p w14:paraId="6A75D189">
      <w:pPr>
        <w:pStyle w:val="1128"/>
        <w:suppressLineNumbers w:val="false"/>
        <w:pBdr/>
        <w:spacing w:line="300" w:lineRule="auto"/>
        <w:ind w:firstLine="0"/>
        <w:rPr>
          <w:b/>
          <w:bCs/>
          <w:sz w:val="28"/>
          <w:szCs w:val="28"/>
        </w:rPr>
      </w:pPr>
      <w:r>
        <w:rPr>
          <w:b/>
          <w:bCs/>
          <w:sz w:val="28"/>
          <w:szCs w:val="28"/>
        </w:rPr>
      </w:r>
      <w:r>
        <w:rPr>
          <w:b/>
          <w:bCs/>
          <w:sz w:val="28"/>
          <w:szCs w:val="28"/>
        </w:rPr>
      </w:r>
      <w:r>
        <w:rPr>
          <w:b/>
          <w:bCs/>
          <w:sz w:val="28"/>
          <w:szCs w:val="28"/>
        </w:rPr>
      </w:r>
    </w:p>
    <w:p w14:paraId="1FB18BA3">
      <w:pPr>
        <w:pStyle w:val="1128"/>
        <w:suppressLineNumbers w:val="false"/>
        <w:pBdr/>
        <w:spacing w:line="300" w:lineRule="auto"/>
        <w:ind w:firstLine="0"/>
        <w:rPr>
          <w:b/>
          <w:bCs/>
          <w:sz w:val="28"/>
          <w:szCs w:val="28"/>
        </w:rPr>
      </w:pPr>
      <w:r>
        <w:rPr>
          <w:b/>
          <w:bCs/>
          <w:sz w:val="28"/>
          <w:szCs w:val="28"/>
        </w:rPr>
        <w:t xml:space="preserve">4.8 Chapter Summary and Transition to Chapter 5</w:t>
      </w:r>
      <w:r>
        <w:rPr>
          <w:b/>
          <w:bCs/>
          <w:sz w:val="28"/>
          <w:szCs w:val="28"/>
        </w:rPr>
      </w:r>
      <w:r>
        <w:rPr>
          <w:b/>
          <w:bCs/>
          <w:sz w:val="28"/>
          <w:szCs w:val="28"/>
        </w:rPr>
      </w:r>
    </w:p>
    <w:p w14:paraId="74666A03">
      <w:pPr>
        <w:pStyle w:val="1128"/>
        <w:suppressLineNumbers w:val="false"/>
        <w:pBdr/>
        <w:spacing w:line="300" w:lineRule="auto"/>
        <w:ind w:firstLine="0"/>
        <w:rPr/>
      </w:pPr>
      <w:r>
        <w:t xml:space="preserve">C</w:t>
      </w:r>
      <w:r>
        <w:t xml:space="preserve">h</w:t>
      </w:r>
      <w:r>
        <w:t xml:space="preserve">apter 4 transformed the diagnostic findings of Chapter 3 into a concrete proposed method. Using LIMUC as the primary evidence base, the chapter defined a reproducible </w:t>
        <w:tab/>
        <w:t xml:space="preserve">Mayo 0-3 severity task, established a strong supervised anchor, implemented a LoRA-adapt</w:t>
      </w:r>
      <w:r>
        <w:t xml:space="preserve">e</w:t>
      </w:r>
      <w:r>
        <w:t xml:space="preserve">d vision-language severity model, and evaluated it under a controlled multi-seed protocol. The main empirical result is clear: on internal LIMUC, the generative mode1 lane improves on the supervised baseline in QWK, macro-F1, balanced accuracy, and accurac</w:t>
      </w:r>
      <w:r>
        <w:t xml:space="preserve">y while preserving perfect parse validity. At the same time, the external stress test shows that this gain should be interpreted as in-domain improvement rather than as generalization proof.</w:t>
      </w:r>
      <w:r/>
    </w:p>
    <w:p w14:paraId="6350D145">
      <w:pPr>
        <w:pStyle w:val="1128"/>
        <w:suppressLineNumbers w:val="false"/>
        <w:pBdr/>
        <w:spacing w:line="300" w:lineRule="auto"/>
        <w:ind w:firstLine="720"/>
        <w:rPr/>
      </w:pPr>
      <w:r>
        <w:t xml:space="preserve">T</w:t>
      </w:r>
      <w:r>
        <w:t xml:space="preserve">his outcome provides the exact kind of upstream component needed for the next stage of the dissertation. Chapter 5 takes the severity signal developed here as a fixed input and places it inside a physician-facing wrapper that adds PICO extraction, retrieva</w:t>
      </w:r>
      <w:r>
        <w:t xml:space="preserve">l</w:t>
      </w:r>
      <w:r>
        <w:t xml:space="preserve"> grounding, citation linkage, and safety constraints. In other words, Chapter 4 solves the bounded severity-estimation problem; Chapter 5 asks how that bounded signal can be integrated into a more traceable and clinically useful multimodal interaction laye</w:t>
      </w:r>
      <w:r>
        <w:t xml:space="preserve">r.</w:t>
      </w:r>
      <w:r/>
    </w:p>
    <w:p w14:paraId="7857BF40">
      <w:pPr>
        <w:pStyle w:val="1128"/>
        <w:suppressLineNumbers w:val="false"/>
        <w:pBdr/>
        <w:spacing w:line="300" w:lineRule="auto"/>
        <w:ind w:firstLine="0"/>
        <w:rPr/>
      </w:pPr>
      <w:r/>
      <w:r/>
    </w:p>
    <w:p w14:paraId="5B0C8B7A">
      <w:pPr>
        <w:pStyle w:val="1128"/>
        <w:suppressLineNumbers w:val="false"/>
        <w:pBdr/>
        <w:spacing w:line="300" w:lineRule="auto"/>
        <w:ind w:firstLine="0"/>
        <w:rPr/>
      </w:pPr>
      <w:r/>
      <w:r/>
    </w:p>
    <w:p w14:paraId="29E3354C">
      <w:pPr>
        <w:pStyle w:val="1115"/>
        <w:suppressLineNumbers w:val="false"/>
        <w:pBdr/>
        <w:spacing w:line="300" w:lineRule="auto"/>
        <w:ind/>
        <w:rPr/>
      </w:pPr>
      <w:r>
        <w:br/>
      </w:r>
      <w:r>
        <w:br/>
      </w:r>
      <w:r>
        <w:t xml:space="preserve">PICO-Grounded GenAI Wrapper for Physician Query Support</w:t>
      </w:r>
      <w:r/>
    </w:p>
    <w:p w14:paraId="24ADFCAC">
      <w:pPr>
        <w:pStyle w:val="1128"/>
        <w:suppressLineNumbers w:val="false"/>
        <w:pBdr/>
        <w:spacing w:line="300" w:lineRule="auto"/>
        <w:ind w:firstLine="0"/>
        <w:rPr>
          <w:b/>
          <w:bCs/>
        </w:rPr>
      </w:pPr>
      <w:r>
        <w:rPr>
          <w:b/>
          <w:bCs/>
        </w:rPr>
      </w:r>
      <w:r>
        <w:rPr>
          <w:b/>
          <w:bCs/>
        </w:rPr>
      </w:r>
      <w:r>
        <w:rPr>
          <w:b/>
          <w:bCs/>
        </w:rPr>
      </w:r>
    </w:p>
    <w:p w14:paraId="6B790CCC">
      <w:pPr>
        <w:pStyle w:val="1128"/>
        <w:suppressLineNumbers w:val="false"/>
        <w:pBdr/>
        <w:spacing w:line="300" w:lineRule="auto"/>
        <w:ind w:firstLine="0"/>
        <w:rPr>
          <w:b/>
          <w:bCs/>
          <w:sz w:val="28"/>
          <w:szCs w:val="28"/>
        </w:rPr>
      </w:pPr>
      <w:r>
        <w:rPr>
          <w:b/>
          <w:bCs/>
          <w:sz w:val="28"/>
          <w:szCs w:val="28"/>
          <w:lang w:val="en-US"/>
        </w:rPr>
        <w:t xml:space="preserve">5</w:t>
      </w:r>
      <w:r>
        <w:rPr>
          <w:b/>
          <w:bCs/>
          <w:sz w:val="28"/>
          <w:szCs w:val="28"/>
        </w:rPr>
        <w:t xml:space="preserve">.1 </w:t>
      </w:r>
      <w:r>
        <w:rPr>
          <w:b/>
          <w:bCs/>
          <w:sz w:val="28"/>
          <w:szCs w:val="28"/>
        </w:rPr>
        <w:t xml:space="preserve">Chapter Purpose and Contribution</w:t>
      </w:r>
      <w:r>
        <w:rPr>
          <w:b/>
          <w:bCs/>
          <w:sz w:val="28"/>
          <w:szCs w:val="28"/>
        </w:rPr>
      </w:r>
      <w:r>
        <w:rPr>
          <w:b/>
          <w:bCs/>
          <w:sz w:val="28"/>
          <w:szCs w:val="28"/>
        </w:rPr>
      </w:r>
    </w:p>
    <w:p w14:paraId="37A8C41F">
      <w:pPr>
        <w:pStyle w:val="1128"/>
        <w:suppressLineNumbers w:val="false"/>
        <w:pBdr/>
        <w:spacing w:line="300" w:lineRule="auto"/>
        <w:ind/>
        <w:rPr/>
      </w:pPr>
      <w:r>
        <w:rPr>
          <w:lang w:val="en-US"/>
        </w:rPr>
        <w:t xml:space="preserve">This chapter</w:t>
      </w:r>
      <w:r>
        <w:t xml:space="preserve"> should be read as the system-integration chapter of the dissertation. Chapters 1 and 2 established the conceptual background of medical VQA and evidence-grounded multimodal reasoning. Chapter 3 then showed that reliability on GI tasks depends on c</w:t>
      </w:r>
      <w:r>
        <w:t xml:space="preserve">o</w:t>
      </w:r>
      <w:r>
        <w:t xml:space="preserve">ntrolled task design rather than unconstrained generation, and Chapter 4 converted that finding into a reproducible UC severity module under a strict internal claim boundary. Chapter 5 builds directly on that foundation by taking the frozen upstream module</w:t>
      </w:r>
      <w:r>
        <w:t xml:space="preserve"> and embedding it into a physician-query workflow that is auditable, citation-linked, and safety-constrained.</w:t>
      </w:r>
      <w:r/>
    </w:p>
    <w:p w14:paraId="20D5E76F">
      <w:pPr>
        <w:pStyle w:val="1128"/>
        <w:suppressLineNumbers w:val="false"/>
        <w:pBdr/>
        <w:spacing w:line="300" w:lineRule="auto"/>
        <w:ind/>
        <w:rPr/>
      </w:pPr>
      <w:r>
        <w:t xml:space="preserve">T</w:t>
      </w:r>
      <w:r>
        <w:t xml:space="preserve">he central methodological shift in this chapter is from model-centric performance to workflow-centric reliability. The question is no longer only whether a model predicts correctly on a benchmark, but whether a full query-to-answer pipeline exposes evidenc</w:t>
      </w:r>
      <w:r>
        <w:t xml:space="preserve">e, uncertainty, and policy boundaries in a way that can support clinician review.</w:t>
      </w:r>
      <w:r/>
    </w:p>
    <w:p w14:paraId="1CAB5B9D">
      <w:pPr>
        <w:pStyle w:val="1128"/>
        <w:suppressLineNumbers w:val="false"/>
        <w:pBdr/>
        <w:spacing w:line="300" w:lineRule="auto"/>
        <w:ind/>
        <w:rPr/>
      </w:pPr>
      <w:r>
        <w:t xml:space="preserve">This direction is aligned with recent PICO-oriented GenAI work in evidence-based medicine, which motivates structured query decomposition and source-grounded synthesis over unconstrained response generation [107].</w:t>
      </w:r>
      <w:r/>
    </w:p>
    <w:p w14:paraId="7B26C1DB">
      <w:pPr>
        <w:pStyle w:val="1128"/>
        <w:suppressLineNumbers w:val="false"/>
        <w:pBdr/>
        <w:spacing w:line="300" w:lineRule="auto"/>
        <w:ind w:firstLine="0"/>
        <w:rPr/>
      </w:pPr>
      <w:r>
        <w:t xml:space="preserve">The chapter contribution is practical and system-level:</w:t>
      </w:r>
      <w:r/>
    </w:p>
    <w:p w14:paraId="65B69D72">
      <w:pPr>
        <w:pStyle w:val="1128"/>
        <w:numPr>
          <w:ilvl w:val="0"/>
          <w:numId w:val="113"/>
        </w:numPr>
        <w:suppressLineNumbers w:val="false"/>
        <w:pBdr/>
        <w:spacing w:line="300" w:lineRule="auto"/>
        <w:ind/>
        <w:rPr/>
      </w:pPr>
      <w:r>
        <w:t xml:space="preserve">convert physician-style queries into structured PICO fields;</w:t>
      </w:r>
      <w:r/>
    </w:p>
    <w:p w14:paraId="692F14E2">
      <w:pPr>
        <w:pStyle w:val="1128"/>
        <w:numPr>
          <w:ilvl w:val="0"/>
          <w:numId w:val="113"/>
        </w:numPr>
        <w:suppressLineNumbers w:val="false"/>
        <w:pBdr/>
        <w:spacing w:line="300" w:lineRule="auto"/>
        <w:ind/>
        <w:rPr/>
      </w:pPr>
      <w:r>
        <w:t xml:space="preserve">retrieve evidence chunks conditioned on PICO intent;</w:t>
      </w:r>
      <w:r/>
    </w:p>
    <w:p w14:paraId="4945BC0B">
      <w:pPr>
        <w:pStyle w:val="1128"/>
        <w:numPr>
          <w:ilvl w:val="0"/>
          <w:numId w:val="113"/>
        </w:numPr>
        <w:suppressLineNumbers w:val="false"/>
        <w:pBdr/>
        <w:spacing w:line="300" w:lineRule="auto"/>
        <w:ind/>
        <w:rPr/>
      </w:pPr>
      <w:r>
        <w:t xml:space="preserve">synthesize citation-linked claims under explicit safety rules;</w:t>
      </w:r>
      <w:r/>
    </w:p>
    <w:p w14:paraId="1EE1EE6E">
      <w:pPr>
        <w:pStyle w:val="1128"/>
        <w:numPr>
          <w:ilvl w:val="0"/>
          <w:numId w:val="113"/>
        </w:numPr>
        <w:suppressLineNumbers w:val="false"/>
        <w:pBdr/>
        <w:spacing w:line="300" w:lineRule="auto"/>
        <w:ind/>
        <w:rPr/>
      </w:pPr>
      <w:r>
        <w:t xml:space="preserve">preserve compatibility with frozen Chapter 4 severity context via typed schemas</w:t>
      </w:r>
      <w:r/>
    </w:p>
    <w:p w14:paraId="16703D37">
      <w:pPr>
        <w:pStyle w:val="1128"/>
        <w:numPr>
          <w:ilvl w:val="0"/>
          <w:numId w:val="113"/>
        </w:numPr>
        <w:suppressLineNumbers w:val="false"/>
        <w:pBdr/>
        <w:spacing w:line="300" w:lineRule="auto"/>
        <w:ind/>
        <w:rPr/>
      </w:pPr>
      <w:r>
        <w:t xml:space="preserve">provide reproducible evaluation and completion-audit artifacts.</w:t>
      </w:r>
      <w:r/>
    </w:p>
    <w:p w14:paraId="7DB550F1">
      <w:pPr>
        <w:pStyle w:val="1128"/>
        <w:suppressLineNumbers w:val="false"/>
        <w:pBdr/>
        <w:spacing w:line="300" w:lineRule="auto"/>
        <w:ind/>
        <w:rPr/>
      </w:pPr>
      <w:r/>
      <w:r/>
    </w:p>
    <w:p w14:paraId="0B30A640">
      <w:pPr>
        <w:pStyle w:val="1128"/>
        <w:suppressLineNumbers w:val="false"/>
        <w:pBdr/>
        <w:spacing w:line="300" w:lineRule="auto"/>
        <w:ind w:firstLine="720" w:left="0"/>
        <w:rPr/>
      </w:pPr>
      <w:r>
        <w:t xml:space="preserve">The chapter therefore acts as the bridge between the controlled scoring engine in Chapter 4 and a safer physician-facing interaction layer, while preserving explicit limits on what the system is allowed to claim.</w:t>
      </w:r>
      <w:r/>
    </w:p>
    <w:p w14:paraId="5C24B280">
      <w:pPr>
        <w:pStyle w:val="1128"/>
        <w:suppressLineNumbers w:val="false"/>
        <w:pBdr/>
        <w:spacing w:line="300" w:lineRule="auto"/>
        <w:ind w:firstLine="0"/>
        <w:rPr/>
      </w:pPr>
      <w:r>
        <w:rPr>
          <w:highlight w:val="none"/>
        </w:rPr>
      </w:r>
      <w:r>
        <w:rPr>
          <w:highlight w:val="none"/>
        </w:rPr>
      </w:r>
      <w:r/>
    </w:p>
    <w:p w14:paraId="07294DD4">
      <w:pPr>
        <w:pStyle w:val="1128"/>
        <w:suppressLineNumbers w:val="false"/>
        <w:pBdr/>
        <w:spacing w:line="300" w:lineRule="auto"/>
        <w:ind w:firstLine="0"/>
        <w:rPr>
          <w:b/>
          <w:bCs/>
          <w:sz w:val="28"/>
          <w:szCs w:val="28"/>
        </w:rPr>
      </w:pPr>
      <w:r>
        <w:rPr>
          <w:b/>
          <w:bCs/>
          <w:sz w:val="28"/>
          <w:szCs w:val="28"/>
        </w:rPr>
        <w:t xml:space="preserve">5.2 Boundary Conditions from Chapter 4 Freeze</w:t>
      </w:r>
      <w:r>
        <w:rPr>
          <w:b/>
          <w:bCs/>
          <w:sz w:val="28"/>
          <w:szCs w:val="28"/>
        </w:rPr>
      </w:r>
      <w:r>
        <w:rPr>
          <w:b/>
          <w:bCs/>
          <w:sz w:val="28"/>
          <w:szCs w:val="28"/>
        </w:rPr>
      </w:r>
    </w:p>
    <w:p w14:paraId="260F2FB5">
      <w:pPr>
        <w:pStyle w:val="1128"/>
        <w:suppressLineNumbers w:val="false"/>
        <w:pBdr/>
        <w:spacing w:line="300" w:lineRule="auto"/>
        <w:ind w:firstLine="0"/>
        <w:rPr/>
      </w:pPr>
      <w:r>
        <w:t xml:space="preserve">For cross-chapter consistency, the upstream severity boundary in this chapter aligns to the frozen Pass 5/6/7 reporting policy in Chapter 4 (not exploratory runs). The official internal Chapter 4 reference points used here are:</w:t>
      </w:r>
      <w:r/>
    </w:p>
    <w:tbl>
      <w:tblPr>
        <w:tblStyle w:val="1185"/>
        <w:tblW w:w="0" w:type="auto"/>
        <w:tblBorders/>
        <w:tblLook w:val="04A0" w:firstRow="1" w:lastRow="0" w:firstColumn="1" w:lastColumn="0" w:noHBand="0" w:noVBand="1"/>
      </w:tblPr>
      <w:tblGrid>
        <w:gridCol w:w="1440"/>
        <w:gridCol w:w="1440"/>
        <w:gridCol w:w="1440"/>
        <w:gridCol w:w="1440"/>
        <w:gridCol w:w="1440"/>
        <w:gridCol w:w="1440"/>
      </w:tblGrid>
      <w:tr>
        <w:trPr/>
        <w:tc>
          <w:tcPr>
            <w:tcBorders/>
            <w:tcW w:w="1440" w:type="dxa"/>
            <w:textDirection w:val="lrTb"/>
            <w:noWrap w:val="false"/>
          </w:tcPr>
          <w:p w14:paraId="3D04A18F">
            <w:pPr>
              <w:pBdr/>
              <w:spacing w:after="0" w:before="0" w:line="240" w:lineRule="auto"/>
              <w:ind/>
              <w:rPr>
                <w:color w:val="000000" w:themeColor="text1"/>
              </w:rPr>
            </w:pPr>
            <w:r>
              <w:rPr>
                <w:rFonts w:ascii="Liberation Sans" w:hAnsi="Liberation Sans" w:eastAsia="Liberation Sans" w:cs="Liberation Sans"/>
                <w:b/>
                <w:color w:val="000000" w:themeColor="text1"/>
                <w:sz w:val="21"/>
              </w:rPr>
              <w:t xml:space="preserve">Upstream lane (Chapter 4)</w:t>
            </w:r>
            <w:r>
              <w:rPr>
                <w:color w:val="000000" w:themeColor="text1"/>
              </w:rPr>
            </w:r>
            <w:r>
              <w:rPr>
                <w:color w:val="000000" w:themeColor="text1"/>
              </w:rPr>
            </w:r>
          </w:p>
        </w:tc>
        <w:tc>
          <w:tcPr>
            <w:tcBorders/>
            <w:tcW w:w="1440" w:type="dxa"/>
            <w:textDirection w:val="lrTb"/>
            <w:noWrap w:val="false"/>
          </w:tcPr>
          <w:p w14:paraId="2F030F1B">
            <w:pPr>
              <w:pBdr/>
              <w:spacing w:after="0" w:before="0" w:line="240" w:lineRule="auto"/>
              <w:ind/>
              <w:jc w:val="right"/>
              <w:rPr>
                <w:color w:val="000000" w:themeColor="text1"/>
              </w:rPr>
            </w:pPr>
            <w:r>
              <w:rPr>
                <w:rFonts w:ascii="Liberation Sans" w:hAnsi="Liberation Sans" w:eastAsia="Liberation Sans" w:cs="Liberation Sans"/>
                <w:b/>
                <w:color w:val="000000" w:themeColor="text1"/>
                <w:sz w:val="21"/>
              </w:rPr>
              <w:t xml:space="preserve">Accuracy</w:t>
            </w:r>
            <w:r>
              <w:rPr>
                <w:color w:val="000000" w:themeColor="text1"/>
              </w:rPr>
            </w:r>
            <w:r>
              <w:rPr>
                <w:color w:val="000000" w:themeColor="text1"/>
              </w:rPr>
            </w:r>
          </w:p>
        </w:tc>
        <w:tc>
          <w:tcPr>
            <w:tcBorders/>
            <w:tcW w:w="1440" w:type="dxa"/>
            <w:textDirection w:val="lrTb"/>
            <w:noWrap w:val="false"/>
          </w:tcPr>
          <w:p w14:paraId="1D53AE45">
            <w:pPr>
              <w:pBdr/>
              <w:spacing w:after="0" w:before="0" w:line="240" w:lineRule="auto"/>
              <w:ind/>
              <w:jc w:val="right"/>
              <w:rPr>
                <w:color w:val="000000" w:themeColor="text1"/>
              </w:rPr>
            </w:pPr>
            <w:r>
              <w:rPr>
                <w:rFonts w:ascii="Liberation Sans" w:hAnsi="Liberation Sans" w:eastAsia="Liberation Sans" w:cs="Liberation Sans"/>
                <w:b/>
                <w:color w:val="000000" w:themeColor="text1"/>
                <w:sz w:val="21"/>
              </w:rPr>
              <w:t xml:space="preserve">Macro-F1</w:t>
            </w:r>
            <w:r>
              <w:rPr>
                <w:color w:val="000000" w:themeColor="text1"/>
              </w:rPr>
            </w:r>
            <w:r>
              <w:rPr>
                <w:color w:val="000000" w:themeColor="text1"/>
              </w:rPr>
            </w:r>
          </w:p>
        </w:tc>
        <w:tc>
          <w:tcPr>
            <w:tcBorders/>
            <w:tcW w:w="1440" w:type="dxa"/>
            <w:textDirection w:val="lrTb"/>
            <w:noWrap w:val="false"/>
          </w:tcPr>
          <w:p w14:paraId="5EA196E9">
            <w:pPr>
              <w:pBdr/>
              <w:spacing w:after="0" w:before="0" w:line="240" w:lineRule="auto"/>
              <w:ind/>
              <w:jc w:val="right"/>
              <w:rPr>
                <w:color w:val="000000" w:themeColor="text1"/>
              </w:rPr>
            </w:pPr>
            <w:r>
              <w:rPr>
                <w:rFonts w:ascii="Liberation Sans" w:hAnsi="Liberation Sans" w:eastAsia="Liberation Sans" w:cs="Liberation Sans"/>
                <w:b/>
                <w:color w:val="000000" w:themeColor="text1"/>
                <w:sz w:val="21"/>
              </w:rPr>
              <w:t xml:space="preserve">Balanced accuracy</w:t>
            </w:r>
            <w:r>
              <w:rPr>
                <w:color w:val="000000" w:themeColor="text1"/>
              </w:rPr>
            </w:r>
            <w:r>
              <w:rPr>
                <w:color w:val="000000" w:themeColor="text1"/>
              </w:rPr>
            </w:r>
          </w:p>
        </w:tc>
        <w:tc>
          <w:tcPr>
            <w:tcBorders/>
            <w:tcW w:w="1440" w:type="dxa"/>
            <w:textDirection w:val="lrTb"/>
            <w:noWrap w:val="false"/>
          </w:tcPr>
          <w:p w14:paraId="10E9DED9">
            <w:pPr>
              <w:pBdr/>
              <w:spacing w:after="0" w:before="0" w:line="240" w:lineRule="auto"/>
              <w:ind/>
              <w:jc w:val="right"/>
              <w:rPr>
                <w:color w:val="000000" w:themeColor="text1"/>
              </w:rPr>
            </w:pPr>
            <w:r>
              <w:rPr>
                <w:rFonts w:ascii="Liberation Sans" w:hAnsi="Liberation Sans" w:eastAsia="Liberation Sans" w:cs="Liberation Sans"/>
                <w:b/>
                <w:color w:val="000000" w:themeColor="text1"/>
                <w:sz w:val="21"/>
              </w:rPr>
              <w:t xml:space="preserve">QWK</w:t>
            </w:r>
            <w:r>
              <w:rPr>
                <w:color w:val="000000" w:themeColor="text1"/>
              </w:rPr>
            </w:r>
            <w:r>
              <w:rPr>
                <w:color w:val="000000" w:themeColor="text1"/>
              </w:rPr>
            </w:r>
          </w:p>
        </w:tc>
        <w:tc>
          <w:tcPr>
            <w:tcBorders/>
            <w:tcW w:w="1440" w:type="dxa"/>
            <w:textDirection w:val="lrTb"/>
            <w:noWrap w:val="false"/>
          </w:tcPr>
          <w:p w14:paraId="4AAEA465">
            <w:pPr>
              <w:pBdr/>
              <w:spacing w:after="0" w:before="0" w:line="240" w:lineRule="auto"/>
              <w:ind/>
              <w:jc w:val="right"/>
              <w:rPr>
                <w:color w:val="000000" w:themeColor="text1"/>
              </w:rPr>
            </w:pPr>
            <w:r>
              <w:rPr>
                <w:rFonts w:ascii="Liberation Sans" w:hAnsi="Liberation Sans" w:eastAsia="Liberation Sans" w:cs="Liberation Sans"/>
                <w:b/>
                <w:color w:val="000000" w:themeColor="text1"/>
                <w:sz w:val="21"/>
              </w:rPr>
              <w:t xml:space="preserve">Parse rate</w:t>
            </w:r>
            <w:r>
              <w:rPr>
                <w:color w:val="000000" w:themeColor="text1"/>
              </w:rPr>
            </w:r>
            <w:r>
              <w:rPr>
                <w:color w:val="000000" w:themeColor="text1"/>
              </w:rPr>
            </w:r>
          </w:p>
        </w:tc>
      </w:tr>
      <w:tr>
        <w:trPr/>
        <w:tc>
          <w:tcPr>
            <w:tcBorders/>
            <w:tcW w:w="1440" w:type="dxa"/>
            <w:textDirection w:val="lrTb"/>
            <w:noWrap w:val="false"/>
          </w:tcPr>
          <w:p w14:paraId="21AB6DAE">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Pass 5 supervised</w:t>
            </w:r>
            <w:r>
              <w:rPr>
                <w:color w:val="000000" w:themeColor="text1"/>
              </w:rPr>
            </w:r>
            <w:r>
              <w:rPr>
                <w:color w:val="000000" w:themeColor="text1"/>
              </w:rPr>
            </w:r>
          </w:p>
        </w:tc>
        <w:tc>
          <w:tcPr>
            <w:tcBorders/>
            <w:tcW w:w="1440" w:type="dxa"/>
            <w:textDirection w:val="lrTb"/>
            <w:noWrap w:val="false"/>
          </w:tcPr>
          <w:p w14:paraId="349385AF">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0.737643</w:t>
            </w:r>
            <w:r>
              <w:rPr>
                <w:color w:val="000000" w:themeColor="text1"/>
              </w:rPr>
            </w:r>
            <w:r>
              <w:rPr>
                <w:color w:val="000000" w:themeColor="text1"/>
              </w:rPr>
            </w:r>
          </w:p>
        </w:tc>
        <w:tc>
          <w:tcPr>
            <w:tcBorders/>
            <w:tcW w:w="1440" w:type="dxa"/>
            <w:textDirection w:val="lrTb"/>
            <w:noWrap w:val="false"/>
          </w:tcPr>
          <w:p w14:paraId="0B939C0F">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0.667330</w:t>
            </w:r>
            <w:r>
              <w:rPr>
                <w:color w:val="000000" w:themeColor="text1"/>
              </w:rPr>
            </w:r>
            <w:r>
              <w:rPr>
                <w:color w:val="000000" w:themeColor="text1"/>
              </w:rPr>
            </w:r>
          </w:p>
        </w:tc>
        <w:tc>
          <w:tcPr>
            <w:tcBorders/>
            <w:tcW w:w="1440" w:type="dxa"/>
            <w:textDirection w:val="lrTb"/>
            <w:noWrap w:val="false"/>
          </w:tcPr>
          <w:p w14:paraId="7DBB07DF">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0.670907</w:t>
            </w:r>
            <w:r>
              <w:rPr>
                <w:color w:val="000000" w:themeColor="text1"/>
              </w:rPr>
            </w:r>
            <w:r>
              <w:rPr>
                <w:color w:val="000000" w:themeColor="text1"/>
              </w:rPr>
            </w:r>
          </w:p>
        </w:tc>
        <w:tc>
          <w:tcPr>
            <w:tcBorders/>
            <w:tcW w:w="1440" w:type="dxa"/>
            <w:textDirection w:val="lrTb"/>
            <w:noWrap w:val="false"/>
          </w:tcPr>
          <w:p w14:paraId="1005AC33">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0.818649</w:t>
            </w:r>
            <w:r>
              <w:rPr>
                <w:color w:val="000000" w:themeColor="text1"/>
              </w:rPr>
            </w:r>
            <w:r>
              <w:rPr>
                <w:color w:val="000000" w:themeColor="text1"/>
              </w:rPr>
            </w:r>
          </w:p>
        </w:tc>
        <w:tc>
          <w:tcPr>
            <w:tcBorders/>
            <w:tcW w:w="1440" w:type="dxa"/>
            <w:textDirection w:val="lrTb"/>
            <w:noWrap w:val="false"/>
          </w:tcPr>
          <w:p w14:paraId="3CC271D8">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w:t>
            </w:r>
            <w:r>
              <w:rPr>
                <w:color w:val="000000" w:themeColor="text1"/>
              </w:rPr>
            </w:r>
            <w:r>
              <w:rPr>
                <w:color w:val="000000" w:themeColor="text1"/>
              </w:rPr>
            </w:r>
          </w:p>
        </w:tc>
      </w:tr>
      <w:tr>
        <w:trPr/>
        <w:tc>
          <w:tcPr>
            <w:tcBorders/>
            <w:tcW w:w="1440" w:type="dxa"/>
            <w:textDirection w:val="lrTb"/>
            <w:noWrap w:val="false"/>
          </w:tcPr>
          <w:p w14:paraId="3017FCC0">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Pass 6 mode1 (primary generative lane)</w:t>
            </w:r>
            <w:r>
              <w:rPr>
                <w:color w:val="000000" w:themeColor="text1"/>
              </w:rPr>
            </w:r>
            <w:r>
              <w:rPr>
                <w:color w:val="000000" w:themeColor="text1"/>
              </w:rPr>
            </w:r>
          </w:p>
        </w:tc>
        <w:tc>
          <w:tcPr>
            <w:tcBorders/>
            <w:tcW w:w="1440" w:type="dxa"/>
            <w:textDirection w:val="lrTb"/>
            <w:noWrap w:val="false"/>
          </w:tcPr>
          <w:p w14:paraId="360DA113">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0.781930</w:t>
            </w:r>
            <w:r>
              <w:rPr>
                <w:color w:val="000000" w:themeColor="text1"/>
              </w:rPr>
            </w:r>
            <w:r>
              <w:rPr>
                <w:color w:val="000000" w:themeColor="text1"/>
              </w:rPr>
            </w:r>
          </w:p>
        </w:tc>
        <w:tc>
          <w:tcPr>
            <w:tcBorders/>
            <w:tcW w:w="1440" w:type="dxa"/>
            <w:textDirection w:val="lrTb"/>
            <w:noWrap w:val="false"/>
          </w:tcPr>
          <w:p w14:paraId="775CF911">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0.727920</w:t>
            </w:r>
            <w:r>
              <w:rPr>
                <w:color w:val="000000" w:themeColor="text1"/>
              </w:rPr>
            </w:r>
            <w:r>
              <w:rPr>
                <w:color w:val="000000" w:themeColor="text1"/>
              </w:rPr>
            </w:r>
          </w:p>
        </w:tc>
        <w:tc>
          <w:tcPr>
            <w:tcBorders/>
            <w:tcW w:w="1440" w:type="dxa"/>
            <w:textDirection w:val="lrTb"/>
            <w:noWrap w:val="false"/>
          </w:tcPr>
          <w:p w14:paraId="17B876C0">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0.736292</w:t>
            </w:r>
            <w:r>
              <w:rPr>
                <w:color w:val="000000" w:themeColor="text1"/>
              </w:rPr>
            </w:r>
            <w:r>
              <w:rPr>
                <w:color w:val="000000" w:themeColor="text1"/>
              </w:rPr>
            </w:r>
          </w:p>
        </w:tc>
        <w:tc>
          <w:tcPr>
            <w:tcBorders/>
            <w:tcW w:w="1440" w:type="dxa"/>
            <w:textDirection w:val="lrTb"/>
            <w:noWrap w:val="false"/>
          </w:tcPr>
          <w:p w14:paraId="1053478B">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0.863656</w:t>
            </w:r>
            <w:r>
              <w:rPr>
                <w:color w:val="000000" w:themeColor="text1"/>
              </w:rPr>
            </w:r>
            <w:r>
              <w:rPr>
                <w:color w:val="000000" w:themeColor="text1"/>
              </w:rPr>
            </w:r>
          </w:p>
        </w:tc>
        <w:tc>
          <w:tcPr>
            <w:tcBorders/>
            <w:tcW w:w="1440" w:type="dxa"/>
            <w:textDirection w:val="lrTb"/>
            <w:noWrap w:val="false"/>
          </w:tcPr>
          <w:p w14:paraId="7DE1D536">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1.000000</w:t>
            </w:r>
            <w:r>
              <w:rPr>
                <w:color w:val="000000" w:themeColor="text1"/>
              </w:rPr>
            </w:r>
            <w:r>
              <w:rPr>
                <w:color w:val="000000" w:themeColor="text1"/>
              </w:rPr>
            </w:r>
          </w:p>
        </w:tc>
      </w:tr>
      <w:tr>
        <w:trPr/>
        <w:tc>
          <w:tcPr>
            <w:tcBorders/>
            <w:tcW w:w="1440" w:type="dxa"/>
            <w:textDirection w:val="lrTb"/>
            <w:noWrap w:val="false"/>
          </w:tcPr>
          <w:p w14:paraId="45DA9713">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Pass 6 mode2 (negative ablation)</w:t>
            </w:r>
            <w:r>
              <w:rPr>
                <w:color w:val="000000" w:themeColor="text1"/>
              </w:rPr>
            </w:r>
            <w:r>
              <w:rPr>
                <w:color w:val="000000" w:themeColor="text1"/>
              </w:rPr>
            </w:r>
          </w:p>
        </w:tc>
        <w:tc>
          <w:tcPr>
            <w:tcBorders/>
            <w:tcW w:w="1440" w:type="dxa"/>
            <w:textDirection w:val="lrTb"/>
            <w:noWrap w:val="false"/>
          </w:tcPr>
          <w:p w14:paraId="4CD3FE00">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0.548636</w:t>
            </w:r>
            <w:r>
              <w:rPr>
                <w:color w:val="000000" w:themeColor="text1"/>
              </w:rPr>
            </w:r>
            <w:r>
              <w:rPr>
                <w:color w:val="000000" w:themeColor="text1"/>
              </w:rPr>
            </w:r>
          </w:p>
        </w:tc>
        <w:tc>
          <w:tcPr>
            <w:tcBorders/>
            <w:tcW w:w="1440" w:type="dxa"/>
            <w:textDirection w:val="lrTb"/>
            <w:noWrap w:val="false"/>
          </w:tcPr>
          <w:p w14:paraId="2165A04E">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0.177135</w:t>
            </w:r>
            <w:r>
              <w:rPr>
                <w:color w:val="000000" w:themeColor="text1"/>
              </w:rPr>
            </w:r>
            <w:r>
              <w:rPr>
                <w:color w:val="000000" w:themeColor="text1"/>
              </w:rPr>
            </w:r>
          </w:p>
        </w:tc>
        <w:tc>
          <w:tcPr>
            <w:tcBorders/>
            <w:tcW w:w="1440" w:type="dxa"/>
            <w:textDirection w:val="lrTb"/>
            <w:noWrap w:val="false"/>
          </w:tcPr>
          <w:p w14:paraId="32C9EEB9">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0.250000</w:t>
            </w:r>
            <w:r>
              <w:rPr>
                <w:color w:val="000000" w:themeColor="text1"/>
              </w:rPr>
            </w:r>
            <w:r>
              <w:rPr>
                <w:color w:val="000000" w:themeColor="text1"/>
              </w:rPr>
            </w:r>
          </w:p>
        </w:tc>
        <w:tc>
          <w:tcPr>
            <w:tcBorders/>
            <w:tcW w:w="1440" w:type="dxa"/>
            <w:textDirection w:val="lrTb"/>
            <w:noWrap w:val="false"/>
          </w:tcPr>
          <w:p w14:paraId="63F9D06E">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0.000000</w:t>
            </w:r>
            <w:r>
              <w:rPr>
                <w:color w:val="000000" w:themeColor="text1"/>
              </w:rPr>
            </w:r>
            <w:r>
              <w:rPr>
                <w:color w:val="000000" w:themeColor="text1"/>
              </w:rPr>
            </w:r>
          </w:p>
        </w:tc>
        <w:tc>
          <w:tcPr>
            <w:tcBorders/>
            <w:tcW w:w="1440" w:type="dxa"/>
            <w:textDirection w:val="lrTb"/>
            <w:noWrap w:val="false"/>
          </w:tcPr>
          <w:p w14:paraId="4BA85866">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1.000000</w:t>
            </w:r>
            <w:r>
              <w:rPr>
                <w:color w:val="000000" w:themeColor="text1"/>
              </w:rPr>
            </w:r>
            <w:r>
              <w:rPr>
                <w:color w:val="000000" w:themeColor="text1"/>
              </w:rPr>
            </w:r>
          </w:p>
        </w:tc>
      </w:tr>
    </w:tbl>
    <w:p w14:paraId="275C1417">
      <w:pPr>
        <w:pStyle w:val="1128"/>
        <w:suppressLineNumbers w:val="false"/>
        <w:pBdr/>
        <w:spacing w:line="300" w:lineRule="auto"/>
        <w:ind w:firstLine="0"/>
        <w:rPr/>
      </w:pPr>
      <w:r/>
      <w:r/>
    </w:p>
    <w:p w14:paraId="559131A9">
      <w:pPr>
        <w:pStyle w:val="1128"/>
        <w:suppressLineNumbers w:val="false"/>
        <w:pBdr/>
        <w:spacing w:line="300" w:lineRule="auto"/>
        <w:ind w:firstLine="0"/>
        <w:rPr>
          <w:highlight w:val="none"/>
        </w:rPr>
      </w:pPr>
      <w:r>
        <w:t xml:space="preserve">In the Chapter 5 pass4 wrapper evaluation run, severity context ingestion is supported by schema (SeverityResult) but intentionally disabled for the reported benchmark pass (has_severity_context=false) to isolate wrapper behavior.</w:t>
      </w:r>
      <w:r>
        <w:rPr>
          <w:highlight w:val="none"/>
        </w:rPr>
      </w:r>
      <w:r>
        <w:rPr>
          <w:highlight w:val="none"/>
        </w:rPr>
      </w:r>
    </w:p>
    <w:p w14:paraId="277955A8">
      <w:pPr>
        <w:pStyle w:val="1128"/>
        <w:suppressLineNumbers w:val="false"/>
        <w:pBdr/>
        <w:spacing w:line="300" w:lineRule="auto"/>
        <w:ind w:firstLine="0"/>
        <w:rPr/>
      </w:pPr>
      <w:r/>
      <w:r/>
    </w:p>
    <w:p w14:paraId="0E699669">
      <w:pPr>
        <w:pStyle w:val="1128"/>
        <w:suppressLineNumbers w:val="false"/>
        <w:pBdr/>
        <w:spacing w:line="300" w:lineRule="auto"/>
        <w:ind w:firstLine="0"/>
        <w:rPr>
          <w:b/>
          <w:bCs/>
          <w:sz w:val="28"/>
          <w:szCs w:val="28"/>
        </w:rPr>
      </w:pPr>
      <w:r>
        <w:rPr>
          <w:b/>
          <w:bCs/>
          <w:sz w:val="28"/>
          <w:szCs w:val="28"/>
          <w:highlight w:val="none"/>
        </w:rPr>
        <w:t xml:space="preserve">5.3 Design Objectives and Non-Objectives</w:t>
      </w:r>
      <w:r>
        <w:rPr>
          <w:b/>
          <w:bCs/>
          <w:sz w:val="28"/>
          <w:szCs w:val="28"/>
        </w:rPr>
      </w:r>
      <w:r>
        <w:rPr>
          <w:b/>
          <w:bCs/>
          <w:sz w:val="28"/>
          <w:szCs w:val="28"/>
        </w:rPr>
      </w:r>
    </w:p>
    <w:p w14:paraId="51FFD3F1">
      <w:pPr>
        <w:pStyle w:val="1128"/>
        <w:suppressLineNumbers w:val="false"/>
        <w:pBdr/>
        <w:spacing w:line="300" w:lineRule="auto"/>
        <w:ind w:firstLine="0"/>
        <w:rPr>
          <w:b/>
          <w:bCs/>
        </w:rPr>
      </w:pPr>
      <w:r>
        <w:rPr>
          <w:b/>
          <w:bCs/>
          <w:highlight w:val="none"/>
        </w:rPr>
        <w:t xml:space="preserve">5.3.1 Design objectives</w:t>
      </w:r>
      <w:r>
        <w:rPr>
          <w:b/>
          <w:bCs/>
        </w:rPr>
      </w:r>
      <w:r>
        <w:rPr>
          <w:b/>
          <w:bCs/>
        </w:rPr>
      </w:r>
    </w:p>
    <w:p w14:paraId="46875332">
      <w:pPr>
        <w:pStyle w:val="1128"/>
        <w:numPr>
          <w:ilvl w:val="0"/>
          <w:numId w:val="81"/>
        </w:numPr>
        <w:suppressLineNumbers w:val="false"/>
        <w:pBdr/>
        <w:spacing w:line="300" w:lineRule="auto"/>
        <w:ind/>
        <w:rPr/>
      </w:pPr>
      <w:r>
        <w:rPr>
          <w:highlight w:val="none"/>
        </w:rPr>
        <w:t xml:space="preserve">enforce structured outputs with explicit claims and citations;</w:t>
      </w:r>
      <w:r/>
    </w:p>
    <w:p w14:paraId="2731CF60">
      <w:pPr>
        <w:pStyle w:val="1128"/>
        <w:numPr>
          <w:ilvl w:val="0"/>
          <w:numId w:val="81"/>
        </w:numPr>
        <w:suppressLineNumbers w:val="false"/>
        <w:pBdr/>
        <w:spacing w:line="300" w:lineRule="auto"/>
        <w:ind/>
        <w:rPr/>
      </w:pPr>
      <w:r>
        <w:rPr>
          <w:highlight w:val="none"/>
        </w:rPr>
        <w:t xml:space="preserve">keep failure behavior visible (refusal/escalation instead of fabricated confidence);</w:t>
      </w:r>
      <w:r/>
    </w:p>
    <w:p w14:paraId="7F08803D">
      <w:pPr>
        <w:pStyle w:val="1128"/>
        <w:numPr>
          <w:ilvl w:val="0"/>
          <w:numId w:val="81"/>
        </w:numPr>
        <w:suppressLineNumbers w:val="false"/>
        <w:pBdr/>
        <w:spacing w:line="300" w:lineRule="auto"/>
        <w:ind/>
        <w:rPr/>
      </w:pPr>
      <w:r>
        <w:rPr>
          <w:highlight w:val="none"/>
        </w:rPr>
        <w:t xml:space="preserve">preserve deterministic, local reproducibility without external API dependence;</w:t>
      </w:r>
      <w:r/>
    </w:p>
    <w:p w14:paraId="7AF58C45">
      <w:pPr>
        <w:pStyle w:val="1128"/>
        <w:numPr>
          <w:ilvl w:val="0"/>
          <w:numId w:val="81"/>
        </w:numPr>
        <w:suppressLineNumbers w:val="false"/>
        <w:pBdr/>
        <w:spacing w:line="300" w:lineRule="auto"/>
        <w:ind/>
        <w:rPr/>
      </w:pPr>
      <w:r>
        <w:rPr>
          <w:highlight w:val="none"/>
        </w:rPr>
        <w:t xml:space="preserve">keep module boundaries clear so the wrapper can be audited independently of Chapter 4 retraining.</w:t>
      </w:r>
      <w:r/>
    </w:p>
    <w:p w14:paraId="41051289">
      <w:pPr>
        <w:pStyle w:val="1128"/>
        <w:suppressLineNumbers w:val="false"/>
        <w:pBdr/>
        <w:spacing w:line="300" w:lineRule="auto"/>
        <w:ind w:firstLine="0"/>
        <w:rPr>
          <w:b/>
          <w:bCs/>
        </w:rPr>
      </w:pPr>
      <w:r>
        <w:rPr>
          <w:b/>
          <w:bCs/>
          <w:highlight w:val="none"/>
        </w:rPr>
        <w:t xml:space="preserve">5.3.2 Non-objectives in this chapter</w:t>
      </w:r>
      <w:r>
        <w:rPr>
          <w:b/>
          <w:bCs/>
        </w:rPr>
      </w:r>
      <w:r>
        <w:rPr>
          <w:b/>
          <w:bCs/>
        </w:rPr>
      </w:r>
    </w:p>
    <w:p w14:paraId="096AD365">
      <w:pPr>
        <w:pStyle w:val="1128"/>
        <w:numPr>
          <w:ilvl w:val="0"/>
          <w:numId w:val="82"/>
        </w:numPr>
        <w:suppressLineNumbers w:val="false"/>
        <w:pBdr/>
        <w:spacing w:line="300" w:lineRule="auto"/>
        <w:ind/>
        <w:rPr/>
      </w:pPr>
      <w:r>
        <w:rPr>
          <w:highlight w:val="none"/>
        </w:rPr>
        <w:t xml:space="preserve">no patient-specific dosing recommendation generation;</w:t>
      </w:r>
      <w:r/>
    </w:p>
    <w:p w14:paraId="07298D9E">
      <w:pPr>
        <w:pStyle w:val="1128"/>
        <w:numPr>
          <w:ilvl w:val="0"/>
          <w:numId w:val="82"/>
        </w:numPr>
        <w:suppressLineNumbers w:val="false"/>
        <w:pBdr/>
        <w:spacing w:line="300" w:lineRule="auto"/>
        <w:ind/>
        <w:rPr/>
      </w:pPr>
      <w:r>
        <w:rPr>
          <w:highlight w:val="none"/>
        </w:rPr>
        <w:t xml:space="preserve">no claim of external clinical deployment readiness;</w:t>
      </w:r>
      <w:r/>
    </w:p>
    <w:p w14:paraId="52C7AEB9">
      <w:pPr>
        <w:pStyle w:val="1128"/>
        <w:numPr>
          <w:ilvl w:val="0"/>
          <w:numId w:val="82"/>
        </w:numPr>
        <w:suppressLineNumbers w:val="false"/>
        <w:pBdr/>
        <w:spacing w:line="300" w:lineRule="auto"/>
        <w:ind/>
        <w:rPr/>
      </w:pPr>
      <w:r>
        <w:rPr>
          <w:highlight w:val="none"/>
        </w:rPr>
        <w:t xml:space="preserve">no replacement of physician judgement;</w:t>
      </w:r>
      <w:r/>
    </w:p>
    <w:p w14:paraId="4CEBD232">
      <w:pPr>
        <w:pStyle w:val="1128"/>
        <w:numPr>
          <w:ilvl w:val="0"/>
          <w:numId w:val="82"/>
        </w:numPr>
        <w:suppressLineNumbers w:val="false"/>
        <w:pBdr/>
        <w:spacing w:line="300" w:lineRule="auto"/>
        <w:ind/>
        <w:rPr/>
      </w:pPr>
      <w:r>
        <w:rPr>
          <w:highlight w:val="none"/>
        </w:rPr>
        <w:t xml:space="preserve">no claim that current internal KB coverage approximates guideline-complete retrieval.</w:t>
      </w:r>
      <w:r/>
    </w:p>
    <w:p w14:paraId="74450ED4">
      <w:pPr>
        <w:pStyle w:val="1128"/>
        <w:suppressLineNumbers w:val="false"/>
        <w:pBdr/>
        <w:spacing w:line="300" w:lineRule="auto"/>
        <w:ind w:firstLine="0"/>
        <w:rPr>
          <w:b/>
          <w:bCs/>
          <w:sz w:val="28"/>
          <w:szCs w:val="28"/>
        </w:rPr>
      </w:pPr>
      <w:r>
        <w:rPr>
          <w:b/>
          <w:bCs/>
          <w:sz w:val="28"/>
          <w:szCs w:val="28"/>
          <w:highlight w:val="none"/>
        </w:rPr>
        <w:t xml:space="preserve">5.4 System Architecture and Contracts</w:t>
      </w:r>
      <w:r>
        <w:rPr>
          <w:b/>
          <w:bCs/>
          <w:sz w:val="28"/>
          <w:szCs w:val="28"/>
        </w:rPr>
      </w:r>
      <w:r>
        <w:rPr>
          <w:b/>
          <w:bCs/>
          <w:sz w:val="28"/>
          <w:szCs w:val="28"/>
        </w:rPr>
      </w:r>
    </w:p>
    <w:p w14:paraId="1DF7C0C9">
      <w:pPr>
        <w:pStyle w:val="1128"/>
        <w:suppressLineNumbers w:val="false"/>
        <w:pBdr/>
        <w:spacing w:line="300" w:lineRule="auto"/>
        <w:ind w:firstLine="0"/>
        <w:rPr>
          <w:b/>
          <w:bCs/>
          <w:highlight w:val="none"/>
        </w:rPr>
      </w:pPr>
      <w:r>
        <w:rPr>
          <w:b/>
          <w:bCs/>
          <w:highlight w:val="none"/>
        </w:rPr>
        <w:t xml:space="preserve">5.4.1 End-to-end processing flow</w:t>
      </w:r>
      <w:r>
        <w:rPr>
          <w:b/>
          <w:bCs/>
          <w:highlight w:val="none"/>
        </w:rPr>
      </w:r>
      <w:r>
        <w:rPr>
          <w:b/>
          <w:bCs/>
          <w:highlight w:val="none"/>
        </w:rPr>
      </w:r>
    </w:p>
    <w:p w14:paraId="5A0593CD">
      <w:pPr>
        <w:pStyle w:val="1128"/>
        <w:suppressLineNumbers w:val="false"/>
        <w:pBdr/>
        <w:spacing w:line="300" w:lineRule="auto"/>
        <w:ind w:right="0" w:hanging="90" w:left="-540"/>
        <w:rPr>
          <w:b/>
          <w:bCs/>
        </w:rPr>
      </w:pPr>
      <w:r>
        <w:rPr>
          <w:b/>
          <w:bCs/>
        </w:rPr>
      </w:r>
      <w:r>
        <mc:AlternateContent>
          <mc:Choice Requires="wpg">
            <w:drawing>
              <wp:inline xmlns:wp="http://schemas.openxmlformats.org/drawingml/2006/wordprocessingDrawing" distT="0" distB="0" distL="0" distR="0">
                <wp:extent cx="6344625" cy="2343311"/>
                <wp:effectExtent l="0" t="0" r="0" b="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469376" name=""/>
                        <pic:cNvPicPr>
                          <a:picLocks noChangeAspect="1"/>
                        </pic:cNvPicPr>
                        <pic:nvPr/>
                      </pic:nvPicPr>
                      <pic:blipFill rotWithShape="1">
                        <a:blip r:embed="rId27"/>
                        <a:stretch/>
                      </pic:blipFill>
                      <pic:spPr bwMode="auto">
                        <a:xfrm flipH="0" flipV="0">
                          <a:off x="0" y="0"/>
                          <a:ext cx="6344624" cy="234331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499.58pt;height:184.51pt;mso-wrap-distance-left:0.00pt;mso-wrap-distance-top:0.00pt;mso-wrap-distance-right:0.00pt;mso-wrap-distance-bottom:0.00pt;z-index:1;" stroked="false">
                <v:imagedata r:id="rId27" o:title=""/>
                <o:lock v:ext="edit" rotation="t"/>
              </v:shape>
            </w:pict>
          </mc:Fallback>
        </mc:AlternateContent>
      </w:r>
      <w:r>
        <w:rPr>
          <w:b/>
          <w:bCs/>
        </w:rPr>
      </w:r>
      <w:r>
        <w:rPr>
          <w:b/>
          <w:bCs/>
        </w:rPr>
      </w:r>
    </w:p>
    <w:p w14:paraId="45C79727">
      <w:pPr>
        <w:pStyle w:val="1128"/>
        <w:suppressLineNumbers w:val="false"/>
        <w:pBdr/>
        <w:spacing w:line="300" w:lineRule="auto"/>
        <w:ind w:firstLine="0"/>
        <w:rPr>
          <w:b/>
          <w:bCs/>
        </w:rPr>
      </w:pPr>
      <w:r>
        <w:rPr>
          <w:b/>
          <w:bCs/>
        </w:rPr>
      </w:r>
      <w:r>
        <w:rPr>
          <w:b/>
          <w:bCs/>
        </w:rPr>
      </w:r>
      <w:r>
        <w:rPr>
          <w:b/>
          <w:bCs/>
        </w:rPr>
      </w:r>
    </w:p>
    <w:p w14:paraId="25B1A179">
      <w:pPr>
        <w:pStyle w:val="1128"/>
        <w:suppressLineNumbers w:val="false"/>
        <w:pBdr/>
        <w:spacing w:line="300" w:lineRule="auto"/>
        <w:ind w:firstLine="0"/>
        <w:rPr>
          <w:b/>
          <w:bCs/>
          <w:highlight w:val="none"/>
        </w:rPr>
      </w:pPr>
      <w:r>
        <w:rPr>
          <w:b/>
          <w:bCs/>
          <w:highlight w:val="none"/>
        </w:rPr>
      </w:r>
      <w:r>
        <w:rPr>
          <w:b/>
          <w:bCs/>
          <w:highlight w:val="none"/>
        </w:rPr>
        <w:t xml:space="preserve">5.4.2 Module-level implementation map</w:t>
      </w:r>
      <w:r>
        <w:rPr>
          <w:b/>
          <w:bCs/>
          <w:highlight w:val="none"/>
        </w:rPr>
      </w:r>
      <w:r>
        <w:rPr>
          <w:b/>
          <w:bCs/>
          <w:highlight w:val="none"/>
        </w:rPr>
      </w:r>
    </w:p>
    <w:p w14:paraId="55025522">
      <w:pPr>
        <w:pStyle w:val="1128"/>
        <w:suppressLineNumbers w:val="false"/>
        <w:pBdr/>
        <w:spacing w:line="300" w:lineRule="auto"/>
        <w:ind w:firstLine="0"/>
        <w:rPr>
          <w:b/>
          <w:bCs/>
        </w:rPr>
      </w:pPr>
      <w:r>
        <w:rPr>
          <w:b/>
          <w:bCs/>
        </w:rPr>
      </w:r>
      <w:r>
        <w:rPr>
          <w:b/>
          <w:bCs/>
        </w:rPr>
      </w:r>
      <w:r>
        <w:rPr>
          <w:b/>
          <w:bCs/>
        </w:rPr>
      </w:r>
    </w:p>
    <w:tbl>
      <w:tblPr>
        <w:tblStyle w:val="1185"/>
        <w:tblW w:w="0" w:type="auto"/>
        <w:tblBorders/>
        <w:tblLayout w:type="fixed"/>
        <w:tblLook w:val="04A0" w:firstRow="1" w:lastRow="0" w:firstColumn="1" w:lastColumn="0" w:noHBand="0" w:noVBand="1"/>
      </w:tblPr>
      <w:tblGrid>
        <w:gridCol w:w="2452"/>
        <w:gridCol w:w="6188"/>
      </w:tblGrid>
      <w:tr>
        <w:trPr/>
        <w:tc>
          <w:tcPr>
            <w:tcBorders/>
            <w:tcW w:w="2452" w:type="dxa"/>
            <w:textDirection w:val="lrTb"/>
            <w:noWrap w:val="false"/>
          </w:tcPr>
          <w:p w14:paraId="74FA1F21">
            <w:pPr>
              <w:pBdr/>
              <w:spacing w:after="0" w:before="0" w:line="240" w:lineRule="auto"/>
              <w:ind/>
              <w:rPr>
                <w:color w:val="000000" w:themeColor="text1"/>
              </w:rPr>
            </w:pPr>
            <w:r>
              <w:rPr>
                <w:rFonts w:ascii="Liberation Sans" w:hAnsi="Liberation Sans" w:eastAsia="Liberation Sans" w:cs="Liberation Sans"/>
                <w:b/>
                <w:color w:val="000000" w:themeColor="text1"/>
                <w:sz w:val="21"/>
              </w:rPr>
              <w:t xml:space="preserve">Module</w:t>
            </w:r>
            <w:r>
              <w:rPr>
                <w:color w:val="000000" w:themeColor="text1"/>
              </w:rPr>
            </w:r>
            <w:r>
              <w:rPr>
                <w:color w:val="000000" w:themeColor="text1"/>
              </w:rPr>
            </w:r>
          </w:p>
        </w:tc>
        <w:tc>
          <w:tcPr>
            <w:tcBorders/>
            <w:tcW w:w="6188" w:type="dxa"/>
            <w:textDirection w:val="lrTb"/>
            <w:noWrap w:val="false"/>
          </w:tcPr>
          <w:p w14:paraId="6B87B14A">
            <w:pPr>
              <w:pBdr/>
              <w:spacing w:after="0" w:before="0" w:line="240" w:lineRule="auto"/>
              <w:ind/>
              <w:rPr>
                <w:color w:val="000000" w:themeColor="text1"/>
              </w:rPr>
            </w:pPr>
            <w:r>
              <w:rPr>
                <w:rFonts w:ascii="Liberation Sans" w:hAnsi="Liberation Sans" w:eastAsia="Liberation Sans" w:cs="Liberation Sans"/>
                <w:b/>
                <w:color w:val="000000" w:themeColor="text1"/>
                <w:sz w:val="21"/>
              </w:rPr>
              <w:t xml:space="preserve">Responsibility</w:t>
            </w:r>
            <w:r>
              <w:rPr>
                <w:color w:val="000000" w:themeColor="text1"/>
              </w:rPr>
            </w:r>
            <w:r>
              <w:rPr>
                <w:color w:val="000000" w:themeColor="text1"/>
              </w:rPr>
            </w:r>
          </w:p>
        </w:tc>
      </w:tr>
      <w:tr>
        <w:trPr/>
        <w:tc>
          <w:tcPr>
            <w:tcBorders/>
            <w:tcW w:w="2452" w:type="dxa"/>
            <w:textDirection w:val="lrTb"/>
            <w:noWrap w:val="false"/>
          </w:tcPr>
          <w:p w14:paraId="594A51F6">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schemas.py</w:t>
            </w:r>
            <w:r>
              <w:rPr>
                <w:rFonts w:ascii="Arial" w:hAnsi="Arial" w:cs="Arial"/>
                <w:color w:val="000000" w:themeColor="text1"/>
              </w:rPr>
            </w:r>
            <w:r>
              <w:rPr>
                <w:rFonts w:ascii="Arial" w:hAnsi="Arial" w:cs="Arial"/>
                <w:color w:val="000000" w:themeColor="text1"/>
              </w:rPr>
            </w:r>
          </w:p>
        </w:tc>
        <w:tc>
          <w:tcPr>
            <w:tcBorders/>
            <w:tcW w:w="6188" w:type="dxa"/>
            <w:textDirection w:val="lrTb"/>
            <w:noWrap w:val="false"/>
          </w:tcPr>
          <w:p w14:paraId="544E8BAC">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Typed contracts (</w:t>
            </w:r>
            <w:r>
              <w:rPr>
                <w:rFonts w:ascii="Arial" w:hAnsi="Arial" w:eastAsia="Arial" w:cs="Arial"/>
                <w:color w:val="000000" w:themeColor="text1"/>
                <w:sz w:val="24"/>
                <w:highlight w:val="white"/>
              </w:rPr>
              <w:t xml:space="preserve">PicoFrame</w:t>
            </w:r>
            <w:r>
              <w:rPr>
                <w:rFonts w:ascii="Arial" w:hAnsi="Arial" w:eastAsia="Arial" w:cs="Arial"/>
                <w:color w:val="000000" w:themeColor="text1"/>
                <w:sz w:val="21"/>
              </w:rPr>
              <w:t xml:space="preserve">, </w:t>
            </w:r>
            <w:r>
              <w:rPr>
                <w:rFonts w:ascii="Arial" w:hAnsi="Arial" w:eastAsia="Arial" w:cs="Arial"/>
                <w:color w:val="000000" w:themeColor="text1"/>
                <w:sz w:val="24"/>
                <w:highlight w:val="white"/>
              </w:rPr>
              <w:t xml:space="preserve">SeverityResult</w:t>
            </w:r>
            <w:r>
              <w:rPr>
                <w:rFonts w:ascii="Arial" w:hAnsi="Arial" w:eastAsia="Arial" w:cs="Arial"/>
                <w:color w:val="000000" w:themeColor="text1"/>
                <w:sz w:val="21"/>
              </w:rPr>
              <w:t xml:space="preserve">, </w:t>
            </w:r>
            <w:r>
              <w:rPr>
                <w:rFonts w:ascii="Arial" w:hAnsi="Arial" w:eastAsia="Arial" w:cs="Arial"/>
                <w:color w:val="000000" w:themeColor="text1"/>
                <w:sz w:val="24"/>
                <w:highlight w:val="white"/>
              </w:rPr>
              <w:t xml:space="preserve">EvidenceChunk</w:t>
            </w:r>
            <w:r>
              <w:rPr>
                <w:rFonts w:ascii="Arial" w:hAnsi="Arial" w:eastAsia="Arial" w:cs="Arial"/>
                <w:color w:val="000000" w:themeColor="text1"/>
                <w:sz w:val="21"/>
              </w:rPr>
              <w:t xml:space="preserve">, </w:t>
            </w:r>
            <w:r>
              <w:rPr>
                <w:rFonts w:ascii="Arial" w:hAnsi="Arial" w:eastAsia="Arial" w:cs="Arial"/>
                <w:color w:val="000000" w:themeColor="text1"/>
                <w:sz w:val="24"/>
                <w:highlight w:val="white"/>
              </w:rPr>
              <w:t xml:space="preserve">Citation</w:t>
            </w:r>
            <w:r>
              <w:rPr>
                <w:rFonts w:ascii="Arial" w:hAnsi="Arial" w:eastAsia="Arial" w:cs="Arial"/>
                <w:color w:val="000000" w:themeColor="text1"/>
                <w:sz w:val="21"/>
              </w:rPr>
              <w:t xml:space="preserve">, </w:t>
            </w:r>
            <w:r>
              <w:rPr>
                <w:rFonts w:ascii="Arial" w:hAnsi="Arial" w:eastAsia="Arial" w:cs="Arial"/>
                <w:color w:val="000000" w:themeColor="text1"/>
                <w:sz w:val="24"/>
                <w:highlight w:val="white"/>
              </w:rPr>
              <w:t xml:space="preserve">WrapperInput</w:t>
            </w:r>
            <w:r>
              <w:rPr>
                <w:rFonts w:ascii="Arial" w:hAnsi="Arial" w:eastAsia="Arial" w:cs="Arial"/>
                <w:color w:val="000000" w:themeColor="text1"/>
                <w:sz w:val="21"/>
              </w:rPr>
              <w:t xml:space="preserve">, </w:t>
            </w:r>
            <w:r>
              <w:rPr>
                <w:rFonts w:ascii="Arial" w:hAnsi="Arial" w:eastAsia="Arial" w:cs="Arial"/>
                <w:color w:val="000000" w:themeColor="text1"/>
                <w:sz w:val="24"/>
                <w:highlight w:val="white"/>
              </w:rPr>
              <w:t xml:space="preserve">WrapperOutput</w:t>
            </w:r>
            <w:r>
              <w:rPr>
                <w:rFonts w:ascii="Arial" w:hAnsi="Arial" w:eastAsia="Arial" w:cs="Arial"/>
                <w:color w:val="000000" w:themeColor="text1"/>
                <w:sz w:val="21"/>
              </w:rPr>
              <w:t xml:space="preserve">)</w:t>
            </w:r>
            <w:r>
              <w:rPr>
                <w:rFonts w:ascii="Arial" w:hAnsi="Arial" w:cs="Arial"/>
                <w:color w:val="000000" w:themeColor="text1"/>
              </w:rPr>
            </w:r>
            <w:r>
              <w:rPr>
                <w:rFonts w:ascii="Arial" w:hAnsi="Arial" w:cs="Arial"/>
                <w:color w:val="000000" w:themeColor="text1"/>
              </w:rPr>
            </w:r>
          </w:p>
        </w:tc>
      </w:tr>
      <w:tr>
        <w:trPr/>
        <w:tc>
          <w:tcPr>
            <w:tcBorders/>
            <w:tcW w:w="2452" w:type="dxa"/>
            <w:textDirection w:val="lrTb"/>
            <w:noWrap w:val="false"/>
          </w:tcPr>
          <w:p w14:paraId="34FDA344">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pico_extract.py</w:t>
            </w:r>
            <w:r>
              <w:rPr>
                <w:rFonts w:ascii="Arial" w:hAnsi="Arial" w:cs="Arial"/>
                <w:color w:val="000000" w:themeColor="text1"/>
              </w:rPr>
            </w:r>
            <w:r>
              <w:rPr>
                <w:rFonts w:ascii="Arial" w:hAnsi="Arial" w:cs="Arial"/>
                <w:color w:val="000000" w:themeColor="text1"/>
              </w:rPr>
            </w:r>
          </w:p>
        </w:tc>
        <w:tc>
          <w:tcPr>
            <w:tcBorders/>
            <w:tcW w:w="6188" w:type="dxa"/>
            <w:textDirection w:val="lrTb"/>
            <w:noWrap w:val="false"/>
          </w:tcPr>
          <w:p w14:paraId="3FE7AC2A">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Rule-based PICO extraction with optional LLM hook and safe fallback</w:t>
            </w:r>
            <w:r>
              <w:rPr>
                <w:rFonts w:ascii="Arial" w:hAnsi="Arial" w:cs="Arial"/>
                <w:color w:val="000000" w:themeColor="text1"/>
              </w:rPr>
            </w:r>
            <w:r>
              <w:rPr>
                <w:rFonts w:ascii="Arial" w:hAnsi="Arial" w:cs="Arial"/>
                <w:color w:val="000000" w:themeColor="text1"/>
              </w:rPr>
            </w:r>
          </w:p>
        </w:tc>
      </w:tr>
      <w:tr>
        <w:trPr/>
        <w:tc>
          <w:tcPr>
            <w:tcBorders/>
            <w:tcW w:w="2452" w:type="dxa"/>
            <w:textDirection w:val="lrTb"/>
            <w:noWrap w:val="false"/>
          </w:tcPr>
          <w:p w14:paraId="1F3FBF5E">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kb_ingest.py</w:t>
            </w:r>
            <w:r>
              <w:rPr>
                <w:rFonts w:ascii="Arial" w:hAnsi="Arial" w:cs="Arial"/>
                <w:color w:val="000000" w:themeColor="text1"/>
              </w:rPr>
            </w:r>
            <w:r>
              <w:rPr>
                <w:rFonts w:ascii="Arial" w:hAnsi="Arial" w:cs="Arial"/>
                <w:color w:val="000000" w:themeColor="text1"/>
              </w:rPr>
            </w:r>
          </w:p>
        </w:tc>
        <w:tc>
          <w:tcPr>
            <w:tcBorders/>
            <w:tcW w:w="6188" w:type="dxa"/>
            <w:textDirection w:val="lrTb"/>
            <w:noWrap w:val="false"/>
          </w:tcPr>
          <w:p w14:paraId="489D8EB8">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KB ingestion, chunking, and index metadata generation</w:t>
            </w:r>
            <w:r>
              <w:rPr>
                <w:rFonts w:ascii="Arial" w:hAnsi="Arial" w:cs="Arial"/>
                <w:color w:val="000000" w:themeColor="text1"/>
              </w:rPr>
            </w:r>
            <w:r>
              <w:rPr>
                <w:rFonts w:ascii="Arial" w:hAnsi="Arial" w:cs="Arial"/>
                <w:color w:val="000000" w:themeColor="text1"/>
              </w:rPr>
            </w:r>
          </w:p>
        </w:tc>
      </w:tr>
      <w:tr>
        <w:trPr/>
        <w:tc>
          <w:tcPr>
            <w:tcBorders/>
            <w:tcW w:w="2452" w:type="dxa"/>
            <w:textDirection w:val="lrTb"/>
            <w:noWrap w:val="false"/>
          </w:tcPr>
          <w:p w14:paraId="2201C340">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retriever.py</w:t>
            </w:r>
            <w:r>
              <w:rPr>
                <w:rFonts w:ascii="Arial" w:hAnsi="Arial" w:cs="Arial"/>
                <w:color w:val="000000" w:themeColor="text1"/>
              </w:rPr>
            </w:r>
            <w:r>
              <w:rPr>
                <w:rFonts w:ascii="Arial" w:hAnsi="Arial" w:cs="Arial"/>
                <w:color w:val="000000" w:themeColor="text1"/>
              </w:rPr>
            </w:r>
          </w:p>
        </w:tc>
        <w:tc>
          <w:tcPr>
            <w:tcBorders/>
            <w:tcW w:w="6188" w:type="dxa"/>
            <w:textDirection w:val="lrTb"/>
            <w:noWrap w:val="false"/>
          </w:tcPr>
          <w:p w14:paraId="788389EE">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Backend-aware retrieval with PICO-conditioned query composition</w:t>
            </w:r>
            <w:r>
              <w:rPr>
                <w:rFonts w:ascii="Arial" w:hAnsi="Arial" w:cs="Arial"/>
                <w:color w:val="000000" w:themeColor="text1"/>
              </w:rPr>
            </w:r>
            <w:r>
              <w:rPr>
                <w:rFonts w:ascii="Arial" w:hAnsi="Arial" w:cs="Arial"/>
                <w:color w:val="000000" w:themeColor="text1"/>
              </w:rPr>
            </w:r>
          </w:p>
        </w:tc>
      </w:tr>
      <w:tr>
        <w:trPr/>
        <w:tc>
          <w:tcPr>
            <w:tcBorders/>
            <w:tcW w:w="2452" w:type="dxa"/>
            <w:textDirection w:val="lrTb"/>
            <w:noWrap w:val="false"/>
          </w:tcPr>
          <w:p w14:paraId="6436DF8F">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synthesis.py</w:t>
            </w:r>
            <w:r>
              <w:rPr>
                <w:rFonts w:ascii="Arial" w:hAnsi="Arial" w:cs="Arial"/>
                <w:color w:val="000000" w:themeColor="text1"/>
              </w:rPr>
            </w:r>
            <w:r>
              <w:rPr>
                <w:rFonts w:ascii="Arial" w:hAnsi="Arial" w:cs="Arial"/>
                <w:color w:val="000000" w:themeColor="text1"/>
              </w:rPr>
            </w:r>
          </w:p>
        </w:tc>
        <w:tc>
          <w:tcPr>
            <w:tcBorders/>
            <w:tcW w:w="6188" w:type="dxa"/>
            <w:textDirection w:val="lrTb"/>
            <w:noWrap w:val="false"/>
          </w:tcPr>
          <w:p w14:paraId="2AEC2205">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Deterministic claim synthesis and citation attachment</w:t>
            </w:r>
            <w:r>
              <w:rPr>
                <w:rFonts w:ascii="Arial" w:hAnsi="Arial" w:cs="Arial"/>
                <w:color w:val="000000" w:themeColor="text1"/>
              </w:rPr>
            </w:r>
            <w:r>
              <w:rPr>
                <w:rFonts w:ascii="Arial" w:hAnsi="Arial" w:cs="Arial"/>
                <w:color w:val="000000" w:themeColor="text1"/>
              </w:rPr>
            </w:r>
          </w:p>
        </w:tc>
      </w:tr>
      <w:tr>
        <w:trPr/>
        <w:tc>
          <w:tcPr>
            <w:tcBorders/>
            <w:tcW w:w="2452" w:type="dxa"/>
            <w:textDirection w:val="lrTb"/>
            <w:noWrap w:val="false"/>
          </w:tcPr>
          <w:p w14:paraId="03FDD035">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safety.py</w:t>
            </w:r>
            <w:r>
              <w:rPr>
                <w:rFonts w:ascii="Arial" w:hAnsi="Arial" w:cs="Arial"/>
                <w:color w:val="000000" w:themeColor="text1"/>
              </w:rPr>
            </w:r>
            <w:r>
              <w:rPr>
                <w:rFonts w:ascii="Arial" w:hAnsi="Arial" w:cs="Arial"/>
                <w:color w:val="000000" w:themeColor="text1"/>
              </w:rPr>
            </w:r>
          </w:p>
        </w:tc>
        <w:tc>
          <w:tcPr>
            <w:tcBorders/>
            <w:tcW w:w="6188" w:type="dxa"/>
            <w:textDirection w:val="lrTb"/>
            <w:noWrap w:val="false"/>
          </w:tcPr>
          <w:p w14:paraId="7AF35BD5">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Refusal/escalation policy and disclaimer enforcement</w:t>
            </w:r>
            <w:r>
              <w:rPr>
                <w:rFonts w:ascii="Arial" w:hAnsi="Arial" w:cs="Arial"/>
                <w:color w:val="000000" w:themeColor="text1"/>
              </w:rPr>
            </w:r>
            <w:r>
              <w:rPr>
                <w:rFonts w:ascii="Arial" w:hAnsi="Arial" w:cs="Arial"/>
                <w:color w:val="000000" w:themeColor="text1"/>
              </w:rPr>
            </w:r>
          </w:p>
        </w:tc>
      </w:tr>
      <w:tr>
        <w:trPr/>
        <w:tc>
          <w:tcPr>
            <w:tcBorders/>
            <w:tcW w:w="2452" w:type="dxa"/>
            <w:textDirection w:val="lrTb"/>
            <w:noWrap w:val="false"/>
          </w:tcPr>
          <w:p w14:paraId="27DA5CE1">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wrapper.py</w:t>
            </w:r>
            <w:r>
              <w:rPr>
                <w:rFonts w:ascii="Arial" w:hAnsi="Arial" w:cs="Arial"/>
                <w:color w:val="000000" w:themeColor="text1"/>
              </w:rPr>
            </w:r>
            <w:r>
              <w:rPr>
                <w:rFonts w:ascii="Arial" w:hAnsi="Arial" w:cs="Arial"/>
                <w:color w:val="000000" w:themeColor="text1"/>
              </w:rPr>
            </w:r>
          </w:p>
        </w:tc>
        <w:tc>
          <w:tcPr>
            <w:tcBorders/>
            <w:tcW w:w="6188" w:type="dxa"/>
            <w:textDirection w:val="lrTb"/>
            <w:noWrap w:val="false"/>
          </w:tcPr>
          <w:p w14:paraId="34057EB8">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Full pipeline orchestration (</w:t>
            </w:r>
            <w:r>
              <w:rPr>
                <w:rFonts w:ascii="Arial" w:hAnsi="Arial" w:eastAsia="Arial" w:cs="Arial"/>
                <w:color w:val="000000" w:themeColor="text1"/>
                <w:sz w:val="24"/>
                <w:highlight w:val="white"/>
              </w:rPr>
              <w:t xml:space="preserve">extract -&gt; retrieve -&gt; synthesize</w:t>
            </w:r>
            <w:r>
              <w:rPr>
                <w:rFonts w:ascii="Arial" w:hAnsi="Arial" w:eastAsia="Arial" w:cs="Arial"/>
                <w:color w:val="000000" w:themeColor="text1"/>
                <w:sz w:val="21"/>
              </w:rPr>
              <w:t xml:space="preserve">)</w:t>
            </w:r>
            <w:r>
              <w:rPr>
                <w:rFonts w:ascii="Arial" w:hAnsi="Arial" w:cs="Arial"/>
                <w:color w:val="000000" w:themeColor="text1"/>
              </w:rPr>
            </w:r>
            <w:r>
              <w:rPr>
                <w:rFonts w:ascii="Arial" w:hAnsi="Arial" w:cs="Arial"/>
                <w:color w:val="000000" w:themeColor="text1"/>
              </w:rPr>
            </w:r>
          </w:p>
        </w:tc>
      </w:tr>
      <w:tr>
        <w:trPr/>
        <w:tc>
          <w:tcPr>
            <w:tcBorders/>
            <w:tcW w:w="2452" w:type="dxa"/>
            <w:vMerge w:val="restart"/>
            <w:textDirection w:val="lrTb"/>
            <w:noWrap w:val="false"/>
          </w:tcPr>
          <w:p w14:paraId="52B928A4">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ui_support.py</w:t>
            </w:r>
            <w:r>
              <w:rPr>
                <w:rFonts w:ascii="Arial" w:hAnsi="Arial" w:cs="Arial"/>
                <w:color w:val="000000" w:themeColor="text1"/>
              </w:rPr>
            </w:r>
            <w:r>
              <w:rPr>
                <w:rFonts w:ascii="Arial" w:hAnsi="Arial" w:cs="Arial"/>
                <w:color w:val="000000" w:themeColor="text1"/>
              </w:rPr>
            </w:r>
          </w:p>
        </w:tc>
        <w:tc>
          <w:tcPr>
            <w:tcBorders/>
            <w:tcW w:w="6188" w:type="dxa"/>
            <w:vMerge w:val="restart"/>
            <w:textDirection w:val="lrTb"/>
            <w:noWrap w:val="false"/>
          </w:tcPr>
          <w:p w14:paraId="195E9B5A">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UI-side formatting and report helpers</w:t>
            </w:r>
            <w:r>
              <w:rPr>
                <w:rFonts w:ascii="Arial" w:hAnsi="Arial" w:cs="Arial"/>
                <w:color w:val="000000" w:themeColor="text1"/>
              </w:rPr>
            </w:r>
            <w:r>
              <w:rPr>
                <w:rFonts w:ascii="Arial" w:hAnsi="Arial" w:cs="Arial"/>
                <w:color w:val="000000" w:themeColor="text1"/>
              </w:rPr>
            </w:r>
          </w:p>
        </w:tc>
      </w:tr>
    </w:tbl>
    <w:p w14:paraId="7CCF14B0">
      <w:pPr>
        <w:pStyle w:val="1128"/>
        <w:suppressLineNumbers w:val="false"/>
        <w:pBdr/>
        <w:spacing w:line="300" w:lineRule="auto"/>
        <w:ind w:firstLine="0"/>
        <w:rPr>
          <w:b/>
          <w:bCs/>
        </w:rPr>
      </w:pPr>
      <w:r>
        <w:rPr>
          <w:b/>
          <w:bCs/>
          <w:highlight w:val="none"/>
        </w:rPr>
      </w:r>
      <w:r>
        <w:rPr>
          <w:b/>
          <w:bCs/>
        </w:rPr>
      </w:r>
      <w:r>
        <w:rPr>
          <w:b/>
          <w:bCs/>
        </w:rPr>
      </w:r>
    </w:p>
    <w:p w14:paraId="0CC188FC">
      <w:pPr>
        <w:pStyle w:val="1128"/>
        <w:suppressLineNumbers w:val="false"/>
        <w:pBdr/>
        <w:spacing w:line="300" w:lineRule="auto"/>
        <w:ind w:firstLine="0"/>
        <w:rPr/>
      </w:pPr>
      <w:r/>
      <w:r/>
    </w:p>
    <w:p w14:paraId="4F2DDACE">
      <w:pPr>
        <w:pStyle w:val="1128"/>
        <w:suppressLineNumbers w:val="false"/>
        <w:pBdr/>
        <w:spacing w:line="300" w:lineRule="auto"/>
        <w:ind w:firstLine="0"/>
        <w:rPr>
          <w:b/>
          <w:bCs/>
          <w:sz w:val="28"/>
          <w:szCs w:val="28"/>
        </w:rPr>
      </w:pPr>
      <w:r>
        <w:rPr>
          <w:b/>
          <w:bCs/>
          <w:sz w:val="28"/>
          <w:szCs w:val="28"/>
          <w:highlight w:val="none"/>
        </w:rPr>
        <w:t xml:space="preserve">5.4.3 Retrieval/index design used in frozen Chapter 5 pass</w:t>
      </w:r>
      <w:r>
        <w:rPr>
          <w:b/>
          <w:bCs/>
          <w:sz w:val="28"/>
          <w:szCs w:val="28"/>
        </w:rPr>
      </w:r>
      <w:r>
        <w:rPr>
          <w:b/>
          <w:bCs/>
          <w:sz w:val="28"/>
          <w:szCs w:val="28"/>
        </w:rPr>
      </w:r>
    </w:p>
    <w:p w14:paraId="06B8F066">
      <w:pPr>
        <w:pStyle w:val="1128"/>
        <w:suppressLineNumbers w:val="false"/>
        <w:pBdr/>
        <w:spacing w:line="300" w:lineRule="auto"/>
        <w:ind w:firstLine="720"/>
        <w:rPr/>
      </w:pPr>
      <w:r>
        <w:rPr>
          <w:highlight w:val="none"/>
        </w:rPr>
        <w:t xml:space="preserve">From Prototyping_reformat/chapter5_pico_wrapper/results/kb_build_pass4_latest/kb_manifest.json:</w:t>
      </w:r>
      <w:r>
        <w:rPr>
          <w:highlight w:val="none"/>
        </w:rPr>
      </w:r>
      <w:r/>
    </w:p>
    <w:p w14:paraId="5C005970">
      <w:pPr>
        <w:pStyle w:val="1128"/>
        <w:numPr>
          <w:ilvl w:val="0"/>
          <w:numId w:val="83"/>
        </w:numPr>
        <w:suppressLineNumbers w:val="false"/>
        <w:pBdr/>
        <w:spacing w:line="300" w:lineRule="auto"/>
        <w:ind/>
        <w:rPr/>
      </w:pPr>
      <w:r>
        <w:rPr>
          <w:highlight w:val="none"/>
        </w:rPr>
        <w:t xml:space="preserve">source files: 3</w:t>
      </w:r>
      <w:r/>
    </w:p>
    <w:p w14:paraId="37CE1912">
      <w:pPr>
        <w:pStyle w:val="1128"/>
        <w:numPr>
          <w:ilvl w:val="0"/>
          <w:numId w:val="83"/>
        </w:numPr>
        <w:suppressLineNumbers w:val="false"/>
        <w:pBdr/>
        <w:spacing w:line="300" w:lineRule="auto"/>
        <w:ind/>
        <w:rPr/>
      </w:pPr>
      <w:r>
        <w:rPr>
          <w:highlight w:val="none"/>
        </w:rPr>
        <w:t xml:space="preserve">documents: 3</w:t>
      </w:r>
      <w:r/>
    </w:p>
    <w:p w14:paraId="39DE50A4">
      <w:pPr>
        <w:pStyle w:val="1128"/>
        <w:numPr>
          <w:ilvl w:val="0"/>
          <w:numId w:val="83"/>
        </w:numPr>
        <w:suppressLineNumbers w:val="false"/>
        <w:pBdr/>
        <w:spacing w:line="300" w:lineRule="auto"/>
        <w:ind/>
        <w:rPr/>
      </w:pPr>
      <w:r>
        <w:rPr>
          <w:highlight w:val="none"/>
        </w:rPr>
        <w:t xml:space="preserve">chunks: 12</w:t>
      </w:r>
      <w:r/>
    </w:p>
    <w:p w14:paraId="665342D0">
      <w:pPr>
        <w:pStyle w:val="1128"/>
        <w:numPr>
          <w:ilvl w:val="0"/>
          <w:numId w:val="83"/>
        </w:numPr>
        <w:suppressLineNumbers w:val="false"/>
        <w:pBdr/>
        <w:spacing w:line="300" w:lineRule="auto"/>
        <w:ind/>
        <w:rPr/>
      </w:pPr>
      <w:r>
        <w:rPr>
          <w:highlight w:val="none"/>
        </w:rPr>
        <w:t xml:space="preserve">chunking: max_words=180, overlap_words=30, min_words=30, seed=42</w:t>
      </w:r>
      <w:r/>
    </w:p>
    <w:p w14:paraId="7484D656">
      <w:pPr>
        <w:pStyle w:val="1128"/>
        <w:numPr>
          <w:ilvl w:val="0"/>
          <w:numId w:val="83"/>
        </w:numPr>
        <w:suppressLineNumbers w:val="false"/>
        <w:pBdr/>
        <w:spacing w:line="300" w:lineRule="auto"/>
        <w:ind/>
        <w:rPr/>
      </w:pPr>
      <w:r>
        <w:rPr>
          <w:highlight w:val="none"/>
        </w:rPr>
        <w:t xml:space="preserve">backend family available: keyword, tfidf, semantic_lsa, hybrid</w:t>
      </w:r>
      <w:r/>
    </w:p>
    <w:p w14:paraId="4E4B1CB9">
      <w:pPr>
        <w:pStyle w:val="1128"/>
        <w:numPr>
          <w:ilvl w:val="0"/>
          <w:numId w:val="83"/>
        </w:numPr>
        <w:suppressLineNumbers w:val="false"/>
        <w:pBdr/>
        <w:spacing w:line="300" w:lineRule="auto"/>
        <w:ind/>
        <w:rPr/>
      </w:pPr>
      <w:r>
        <w:rPr>
          <w:highlight w:val="none"/>
        </w:rPr>
        <w:t xml:space="preserve">pass4 reporting backend: hybrid with reranker enabled.</w:t>
      </w:r>
      <w:r/>
    </w:p>
    <w:p w14:paraId="0CF0386C">
      <w:pPr>
        <w:pStyle w:val="1128"/>
        <w:suppressLineNumbers w:val="false"/>
        <w:pBdr/>
        <w:spacing w:line="300" w:lineRule="auto"/>
        <w:ind w:firstLine="0"/>
        <w:rPr>
          <w:b/>
          <w:bCs/>
        </w:rPr>
      </w:pPr>
      <w:r>
        <w:rPr>
          <w:b/>
          <w:bCs/>
          <w:highlight w:val="none"/>
        </w:rPr>
        <w:t xml:space="preserve">5.4.4 Safety policy implementation</w:t>
      </w:r>
      <w:r>
        <w:rPr>
          <w:b/>
          <w:bCs/>
        </w:rPr>
      </w:r>
      <w:r>
        <w:rPr>
          <w:b/>
          <w:bCs/>
        </w:rPr>
      </w:r>
    </w:p>
    <w:p w14:paraId="21B58EC6">
      <w:pPr>
        <w:pStyle w:val="1128"/>
        <w:suppressLineNumbers w:val="false"/>
        <w:pBdr/>
        <w:spacing w:line="300" w:lineRule="auto"/>
        <w:ind w:firstLine="720"/>
        <w:rPr/>
      </w:pPr>
      <w:r>
        <w:rPr>
          <w:highlight w:val="none"/>
        </w:rPr>
        <w:t xml:space="preserve">The wrapper applies explicit safety constraints:</w:t>
      </w:r>
      <w:r>
        <w:rPr>
          <w:highlight w:val="none"/>
        </w:rPr>
      </w:r>
      <w:r/>
    </w:p>
    <w:p w14:paraId="1DB29977">
      <w:pPr>
        <w:pStyle w:val="1128"/>
        <w:numPr>
          <w:ilvl w:val="0"/>
          <w:numId w:val="84"/>
        </w:numPr>
        <w:suppressLineNumbers w:val="false"/>
        <w:pBdr/>
        <w:spacing w:line="300" w:lineRule="auto"/>
        <w:ind/>
        <w:rPr/>
      </w:pPr>
      <w:r>
        <w:rPr>
          <w:highlight w:val="none"/>
        </w:rPr>
        <w:t xml:space="preserve">dosing-sensitive prompts can trigger refusal behavior;</w:t>
      </w:r>
      <w:r/>
    </w:p>
    <w:p w14:paraId="615E12F6">
      <w:pPr>
        <w:pStyle w:val="1128"/>
        <w:numPr>
          <w:ilvl w:val="0"/>
          <w:numId w:val="84"/>
        </w:numPr>
        <w:suppressLineNumbers w:val="false"/>
        <w:pBdr/>
        <w:spacing w:line="300" w:lineRule="auto"/>
        <w:ind/>
        <w:rPr/>
      </w:pPr>
      <w:r>
        <w:rPr>
          <w:highlight w:val="none"/>
        </w:rPr>
        <w:t xml:space="preserve">low-evidence retrieval paths trigger conservative uncertainty/limitation text;</w:t>
      </w:r>
      <w:r/>
    </w:p>
    <w:p w14:paraId="418C867A">
      <w:pPr>
        <w:pStyle w:val="1128"/>
        <w:numPr>
          <w:ilvl w:val="0"/>
          <w:numId w:val="84"/>
        </w:numPr>
        <w:suppressLineNumbers w:val="false"/>
        <w:pBdr/>
        <w:spacing w:line="300" w:lineRule="auto"/>
        <w:ind/>
        <w:rPr/>
      </w:pPr>
      <w:r>
        <w:rPr>
          <w:highlight w:val="none"/>
        </w:rPr>
        <w:t xml:space="preserve">all outputs include clinician-review disclaimers;</w:t>
      </w:r>
      <w:r/>
    </w:p>
    <w:p w14:paraId="3556A12B">
      <w:pPr>
        <w:pStyle w:val="1128"/>
        <w:numPr>
          <w:ilvl w:val="0"/>
          <w:numId w:val="84"/>
        </w:numPr>
        <w:suppressLineNumbers w:val="false"/>
        <w:pBdr/>
        <w:spacing w:line="300" w:lineRule="auto"/>
        <w:ind/>
        <w:rPr/>
      </w:pPr>
      <w:r>
        <w:rPr>
          <w:highlight w:val="none"/>
        </w:rPr>
        <w:t xml:space="preserve">policy-excluded claims are tracked separately in answer evaluation.</w:t>
      </w:r>
      <w:r/>
    </w:p>
    <w:p w14:paraId="790DDB1B">
      <w:pPr>
        <w:pStyle w:val="1128"/>
        <w:suppressLineNumbers w:val="false"/>
        <w:pBdr/>
        <w:spacing w:line="300" w:lineRule="auto"/>
        <w:ind w:firstLine="0"/>
        <w:rPr>
          <w:b/>
          <w:bCs/>
          <w:sz w:val="28"/>
          <w:szCs w:val="28"/>
        </w:rPr>
      </w:pPr>
      <w:r>
        <w:rPr>
          <w:b/>
          <w:bCs/>
          <w:sz w:val="28"/>
          <w:szCs w:val="28"/>
          <w:highlight w:val="none"/>
        </w:rPr>
        <w:t xml:space="preserve">5.5 Experimental Protocol and Frozen Artifacts</w:t>
      </w:r>
      <w:r>
        <w:rPr>
          <w:b/>
          <w:bCs/>
          <w:sz w:val="28"/>
          <w:szCs w:val="28"/>
        </w:rPr>
      </w:r>
      <w:r>
        <w:rPr>
          <w:b/>
          <w:bCs/>
          <w:sz w:val="28"/>
          <w:szCs w:val="28"/>
        </w:rPr>
      </w:r>
    </w:p>
    <w:p w14:paraId="7F4C8C66">
      <w:pPr>
        <w:pStyle w:val="1128"/>
        <w:suppressLineNumbers w:val="false"/>
        <w:pBdr/>
        <w:spacing w:line="300" w:lineRule="auto"/>
        <w:ind w:firstLine="0"/>
        <w:rPr>
          <w:b/>
          <w:bCs/>
        </w:rPr>
      </w:pPr>
      <w:r>
        <w:rPr>
          <w:b/>
          <w:bCs/>
          <w:highlight w:val="none"/>
        </w:rPr>
        <w:t xml:space="preserve">5.5.1 Query and gold sets</w:t>
      </w:r>
      <w:r>
        <w:rPr>
          <w:b/>
          <w:bCs/>
        </w:rPr>
      </w:r>
      <w:r>
        <w:rPr>
          <w:b/>
          <w:bCs/>
        </w:rPr>
      </w:r>
    </w:p>
    <w:p w14:paraId="1DC60337">
      <w:pPr>
        <w:pStyle w:val="1128"/>
        <w:suppressLineNumbers w:val="false"/>
        <w:pBdr/>
        <w:spacing w:line="300" w:lineRule="auto"/>
        <w:ind w:firstLine="720"/>
        <w:rPr/>
      </w:pPr>
      <w:r>
        <w:rPr>
          <w:highlight w:val="none"/>
        </w:rPr>
        <w:t xml:space="preserve">From Prototyping_reformat/chapter5_pico_wrapper/data/queries/:</w:t>
      </w:r>
      <w:r>
        <w:rPr>
          <w:highlight w:val="none"/>
        </w:rPr>
      </w:r>
      <w:r/>
    </w:p>
    <w:p w14:paraId="426D55FC">
      <w:pPr>
        <w:pStyle w:val="1128"/>
        <w:numPr>
          <w:ilvl w:val="0"/>
          <w:numId w:val="85"/>
        </w:numPr>
        <w:suppressLineNumbers w:val="false"/>
        <w:pBdr/>
        <w:spacing w:line="300" w:lineRule="auto"/>
        <w:ind/>
        <w:rPr/>
      </w:pPr>
      <w:r>
        <w:rPr>
          <w:highlight w:val="none"/>
        </w:rPr>
        <w:t xml:space="preserve">queries.jsonl: n=50</w:t>
      </w:r>
      <w:r/>
    </w:p>
    <w:p w14:paraId="511D6A65">
      <w:pPr>
        <w:pStyle w:val="1128"/>
        <w:numPr>
          <w:ilvl w:val="0"/>
          <w:numId w:val="85"/>
        </w:numPr>
        <w:suppressLineNumbers w:val="false"/>
        <w:pBdr/>
        <w:spacing w:line="300" w:lineRule="auto"/>
        <w:ind/>
        <w:rPr/>
      </w:pPr>
      <w:r>
        <w:rPr>
          <w:highlight w:val="none"/>
        </w:rPr>
        <w:t xml:space="preserve">pico_gold.jsonl: n=20</w:t>
      </w:r>
      <w:r/>
    </w:p>
    <w:p w14:paraId="59001894">
      <w:pPr>
        <w:pStyle w:val="1128"/>
        <w:numPr>
          <w:ilvl w:val="0"/>
          <w:numId w:val="85"/>
        </w:numPr>
        <w:suppressLineNumbers w:val="false"/>
        <w:pBdr/>
        <w:spacing w:line="300" w:lineRule="auto"/>
        <w:ind/>
        <w:rPr/>
      </w:pPr>
      <w:r>
        <w:rPr>
          <w:highlight w:val="none"/>
        </w:rPr>
        <w:t xml:space="preserve">retrieval_gold.jsonl: n=10</w:t>
      </w:r>
      <w:r/>
    </w:p>
    <w:p w14:paraId="25A0AF44">
      <w:pPr>
        <w:pStyle w:val="1128"/>
        <w:suppressLineNumbers w:val="false"/>
        <w:pBdr/>
        <w:spacing w:line="300" w:lineRule="auto"/>
        <w:ind w:firstLine="0"/>
        <w:rPr>
          <w:b/>
          <w:bCs/>
        </w:rPr>
      </w:pPr>
      <w:r>
        <w:rPr>
          <w:b/>
          <w:bCs/>
          <w:highlight w:val="none"/>
        </w:rPr>
        <w:t xml:space="preserve">5.5.2 Frozen pass used for chapter reporting</w:t>
      </w:r>
      <w:r>
        <w:rPr>
          <w:b/>
          <w:bCs/>
        </w:rPr>
      </w:r>
      <w:r>
        <w:rPr>
          <w:b/>
          <w:bCs/>
        </w:rPr>
      </w:r>
    </w:p>
    <w:p w14:paraId="6EBC600E">
      <w:pPr>
        <w:pStyle w:val="1128"/>
        <w:suppressLineNumbers w:val="false"/>
        <w:pBdr/>
        <w:spacing w:line="300" w:lineRule="auto"/>
        <w:ind w:firstLine="720"/>
        <w:rPr/>
      </w:pPr>
      <w:r>
        <w:rPr>
          <w:highlight w:val="none"/>
        </w:rPr>
        <w:t xml:space="preserve">This chapter reports the pass4 artifact set to remain consistent with completion audit and figure pipeline:</w:t>
      </w:r>
      <w:r>
        <w:rPr>
          <w:highlight w:val="none"/>
        </w:rPr>
      </w:r>
      <w:r/>
    </w:p>
    <w:p w14:paraId="451A5F91">
      <w:pPr>
        <w:pStyle w:val="1128"/>
        <w:numPr>
          <w:ilvl w:val="0"/>
          <w:numId w:val="86"/>
        </w:numPr>
        <w:suppressLineNumbers w:val="false"/>
        <w:pBdr/>
        <w:spacing w:line="300" w:lineRule="auto"/>
        <w:ind/>
        <w:rPr/>
      </w:pPr>
      <w:r>
        <w:rPr>
          <w:highlight w:val="none"/>
        </w:rPr>
        <w:t xml:space="preserve">KB: results/kb_build_pass4_latest/</w:t>
      </w:r>
      <w:r/>
    </w:p>
    <w:p w14:paraId="6FD29A93">
      <w:pPr>
        <w:pStyle w:val="1128"/>
        <w:numPr>
          <w:ilvl w:val="0"/>
          <w:numId w:val="86"/>
        </w:numPr>
        <w:suppressLineNumbers w:val="false"/>
        <w:pBdr/>
        <w:spacing w:line="300" w:lineRule="auto"/>
        <w:ind/>
        <w:rPr/>
      </w:pPr>
      <w:r>
        <w:rPr>
          <w:highlight w:val="none"/>
        </w:rPr>
        <w:t xml:space="preserve">wrapper outputs: results/wrapper_eval_pass4_latest/</w:t>
      </w:r>
      <w:r/>
    </w:p>
    <w:p w14:paraId="3682BB38">
      <w:pPr>
        <w:pStyle w:val="1128"/>
        <w:numPr>
          <w:ilvl w:val="0"/>
          <w:numId w:val="86"/>
        </w:numPr>
        <w:suppressLineNumbers w:val="false"/>
        <w:pBdr/>
        <w:spacing w:line="300" w:lineRule="auto"/>
        <w:ind/>
        <w:rPr/>
      </w:pPr>
      <w:r>
        <w:rPr>
          <w:highlight w:val="none"/>
        </w:rPr>
        <w:t xml:space="preserve">wrapper output file: Prototyping_reformat/chapter5_pico_wrapper/results/wrapper_eval_pass4_latest/wrapper_outputs.jsonl</w:t>
      </w:r>
      <w:r/>
    </w:p>
    <w:p w14:paraId="2C4817EA">
      <w:pPr>
        <w:pStyle w:val="1128"/>
        <w:numPr>
          <w:ilvl w:val="0"/>
          <w:numId w:val="86"/>
        </w:numPr>
        <w:suppressLineNumbers w:val="false"/>
        <w:pBdr/>
        <w:spacing w:line="300" w:lineRule="auto"/>
        <w:ind/>
        <w:rPr/>
      </w:pPr>
      <w:r>
        <w:rPr>
          <w:highlight w:val="none"/>
        </w:rPr>
        <w:t xml:space="preserve">evaluations: results/eval_pass4_latest/</w:t>
      </w:r>
      <w:r/>
    </w:p>
    <w:p w14:paraId="662E75F9">
      <w:pPr>
        <w:pStyle w:val="1128"/>
        <w:numPr>
          <w:ilvl w:val="0"/>
          <w:numId w:val="86"/>
        </w:numPr>
        <w:suppressLineNumbers w:val="false"/>
        <w:pBdr/>
        <w:spacing w:line="300" w:lineRule="auto"/>
        <w:ind/>
        <w:rPr/>
      </w:pPr>
      <w:r>
        <w:rPr>
          <w:highlight w:val="none"/>
        </w:rPr>
        <w:t xml:space="preserve">completion audit: results/chapter5_completion_audit_ch5_freeze_20260306/</w:t>
      </w:r>
      <w:r/>
    </w:p>
    <w:p w14:paraId="63EF0153">
      <w:pPr>
        <w:pStyle w:val="1128"/>
        <w:numPr>
          <w:ilvl w:val="0"/>
          <w:numId w:val="86"/>
        </w:numPr>
        <w:suppressLineNumbers w:val="false"/>
        <w:pBdr/>
        <w:spacing w:line="300" w:lineRule="auto"/>
        <w:ind/>
        <w:rPr/>
      </w:pPr>
      <w:r>
        <w:rPr>
          <w:highlight w:val="none"/>
        </w:rPr>
        <w:t xml:space="preserve">pipeline summary: results/pipeline_pass4_latest/pipeline_summary.json</w:t>
      </w:r>
      <w:r/>
    </w:p>
    <w:p w14:paraId="5319966C">
      <w:pPr>
        <w:pStyle w:val="1128"/>
        <w:suppressLineNumbers w:val="false"/>
        <w:pBdr/>
        <w:spacing w:line="300" w:lineRule="auto"/>
        <w:ind w:firstLine="0"/>
        <w:rPr/>
      </w:pPr>
      <w:r>
        <w:rPr>
          <w:highlight w:val="none"/>
        </w:rPr>
        <w:t xml:space="preserve">Key wrapper config (results/wrapper_eval_pass4_latest/run_config.json):</w:t>
      </w:r>
      <w:r>
        <w:rPr>
          <w:highlight w:val="none"/>
        </w:rPr>
      </w:r>
      <w:r/>
    </w:p>
    <w:tbl>
      <w:tblPr>
        <w:tblStyle w:val="1185"/>
        <w:tblW w:w="0" w:type="auto"/>
        <w:tblBorders/>
        <w:tblLayout w:type="fixed"/>
        <w:tblLook w:val="04A0" w:firstRow="1" w:lastRow="0" w:firstColumn="1" w:lastColumn="0" w:noHBand="0" w:noVBand="1"/>
      </w:tblPr>
      <w:tblGrid>
        <w:gridCol w:w="4011"/>
        <w:gridCol w:w="4629"/>
      </w:tblGrid>
      <w:tr>
        <w:trPr/>
        <w:tc>
          <w:tcPr>
            <w:tcBorders/>
            <w:tcW w:w="4011" w:type="dxa"/>
            <w:textDirection w:val="lrTb"/>
            <w:noWrap w:val="false"/>
          </w:tcPr>
          <w:p w14:paraId="3B1ED205">
            <w:pPr>
              <w:pBdr/>
              <w:spacing w:after="0" w:before="0" w:line="240" w:lineRule="auto"/>
              <w:ind/>
              <w:rPr>
                <w:color w:val="000000" w:themeColor="text1"/>
              </w:rPr>
            </w:pPr>
            <w:r>
              <w:rPr>
                <w:rFonts w:ascii="Liberation Sans" w:hAnsi="Liberation Sans" w:eastAsia="Liberation Sans" w:cs="Liberation Sans"/>
                <w:b/>
                <w:color w:val="000000" w:themeColor="text1"/>
                <w:sz w:val="21"/>
              </w:rPr>
              <w:t xml:space="preserve">Parameter</w:t>
            </w:r>
            <w:r>
              <w:rPr>
                <w:color w:val="000000" w:themeColor="text1"/>
              </w:rPr>
            </w:r>
            <w:r>
              <w:rPr>
                <w:color w:val="000000" w:themeColor="text1"/>
              </w:rPr>
            </w:r>
          </w:p>
        </w:tc>
        <w:tc>
          <w:tcPr>
            <w:tcBorders/>
            <w:tcW w:w="4629" w:type="dxa"/>
            <w:textDirection w:val="lrTb"/>
            <w:noWrap w:val="false"/>
          </w:tcPr>
          <w:p w14:paraId="5BFA5EF5">
            <w:pPr>
              <w:pBdr/>
              <w:spacing w:after="0" w:before="0" w:line="240" w:lineRule="auto"/>
              <w:ind/>
              <w:rPr>
                <w:color w:val="000000" w:themeColor="text1"/>
              </w:rPr>
            </w:pPr>
            <w:r>
              <w:rPr>
                <w:rFonts w:ascii="Liberation Sans" w:hAnsi="Liberation Sans" w:eastAsia="Liberation Sans" w:cs="Liberation Sans"/>
                <w:b/>
                <w:color w:val="000000" w:themeColor="text1"/>
                <w:sz w:val="21"/>
              </w:rPr>
              <w:t xml:space="preserve">Value</w:t>
            </w:r>
            <w:r>
              <w:rPr>
                <w:color w:val="000000" w:themeColor="text1"/>
              </w:rPr>
            </w:r>
            <w:r>
              <w:rPr>
                <w:color w:val="000000" w:themeColor="text1"/>
              </w:rPr>
            </w:r>
          </w:p>
        </w:tc>
      </w:tr>
      <w:tr>
        <w:trPr/>
        <w:tc>
          <w:tcPr>
            <w:tcBorders/>
            <w:tcW w:w="4011" w:type="dxa"/>
            <w:textDirection w:val="lrTb"/>
            <w:noWrap w:val="false"/>
          </w:tcPr>
          <w:p w14:paraId="3C87EAB8">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run_id</w:t>
            </w:r>
            <w:r>
              <w:rPr>
                <w:rFonts w:ascii="Arial" w:hAnsi="Arial" w:eastAsia="Arial" w:cs="Arial"/>
                <w:color w:val="000000" w:themeColor="text1"/>
              </w:rPr>
            </w:r>
            <w:r>
              <w:rPr>
                <w:rFonts w:ascii="Arial" w:hAnsi="Arial" w:cs="Arial"/>
                <w:color w:val="000000" w:themeColor="text1"/>
              </w:rPr>
            </w:r>
          </w:p>
        </w:tc>
        <w:tc>
          <w:tcPr>
            <w:tcBorders/>
            <w:tcW w:w="4629" w:type="dxa"/>
            <w:textDirection w:val="lrTb"/>
            <w:noWrap w:val="false"/>
          </w:tcPr>
          <w:p w14:paraId="56238A4B">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chapter5_wrapper_20260305T024427Z_6nx5r2</w:t>
            </w:r>
            <w:r>
              <w:rPr>
                <w:rFonts w:ascii="Arial" w:hAnsi="Arial" w:eastAsia="Arial" w:cs="Arial"/>
                <w:color w:val="000000" w:themeColor="text1"/>
              </w:rPr>
            </w:r>
            <w:r>
              <w:rPr>
                <w:rFonts w:ascii="Arial" w:hAnsi="Arial" w:cs="Arial"/>
                <w:color w:val="000000" w:themeColor="text1"/>
              </w:rPr>
            </w:r>
          </w:p>
        </w:tc>
      </w:tr>
      <w:tr>
        <w:trPr/>
        <w:tc>
          <w:tcPr>
            <w:tcBorders/>
            <w:tcW w:w="4011" w:type="dxa"/>
            <w:textDirection w:val="lrTb"/>
            <w:noWrap w:val="false"/>
          </w:tcPr>
          <w:p w14:paraId="1B05C357">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mode_requested</w:t>
            </w:r>
            <w:r>
              <w:rPr>
                <w:rFonts w:ascii="Arial" w:hAnsi="Arial" w:eastAsia="Arial" w:cs="Arial"/>
                <w:color w:val="000000" w:themeColor="text1"/>
              </w:rPr>
            </w:r>
            <w:r>
              <w:rPr>
                <w:rFonts w:ascii="Arial" w:hAnsi="Arial" w:cs="Arial"/>
                <w:color w:val="000000" w:themeColor="text1"/>
              </w:rPr>
            </w:r>
          </w:p>
        </w:tc>
        <w:tc>
          <w:tcPr>
            <w:tcBorders/>
            <w:tcW w:w="4629" w:type="dxa"/>
            <w:textDirection w:val="lrTb"/>
            <w:noWrap w:val="false"/>
          </w:tcPr>
          <w:p w14:paraId="4600CC5C">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baseline</w:t>
            </w:r>
            <w:r>
              <w:rPr>
                <w:rFonts w:ascii="Arial" w:hAnsi="Arial" w:eastAsia="Arial" w:cs="Arial"/>
                <w:color w:val="000000" w:themeColor="text1"/>
              </w:rPr>
            </w:r>
            <w:r>
              <w:rPr>
                <w:rFonts w:ascii="Arial" w:hAnsi="Arial" w:cs="Arial"/>
                <w:color w:val="000000" w:themeColor="text1"/>
              </w:rPr>
            </w:r>
          </w:p>
        </w:tc>
      </w:tr>
      <w:tr>
        <w:trPr/>
        <w:tc>
          <w:tcPr>
            <w:tcBorders/>
            <w:tcW w:w="4011" w:type="dxa"/>
            <w:textDirection w:val="lrTb"/>
            <w:noWrap w:val="false"/>
          </w:tcPr>
          <w:p w14:paraId="63D7E43C">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n_queries</w:t>
            </w:r>
            <w:r>
              <w:rPr>
                <w:rFonts w:ascii="Arial" w:hAnsi="Arial" w:eastAsia="Arial" w:cs="Arial"/>
                <w:color w:val="000000" w:themeColor="text1"/>
              </w:rPr>
            </w:r>
            <w:r>
              <w:rPr>
                <w:rFonts w:ascii="Arial" w:hAnsi="Arial" w:cs="Arial"/>
                <w:color w:val="000000" w:themeColor="text1"/>
              </w:rPr>
            </w:r>
          </w:p>
        </w:tc>
        <w:tc>
          <w:tcPr>
            <w:tcBorders/>
            <w:tcW w:w="4629" w:type="dxa"/>
            <w:textDirection w:val="lrTb"/>
            <w:noWrap w:val="false"/>
          </w:tcPr>
          <w:p w14:paraId="4AABC630">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50</w:t>
            </w:r>
            <w:r>
              <w:rPr>
                <w:rFonts w:ascii="Arial" w:hAnsi="Arial" w:eastAsia="Arial" w:cs="Arial"/>
                <w:color w:val="000000" w:themeColor="text1"/>
              </w:rPr>
            </w:r>
            <w:r>
              <w:rPr>
                <w:rFonts w:ascii="Arial" w:hAnsi="Arial" w:cs="Arial"/>
                <w:color w:val="000000" w:themeColor="text1"/>
              </w:rPr>
            </w:r>
          </w:p>
        </w:tc>
      </w:tr>
      <w:tr>
        <w:trPr/>
        <w:tc>
          <w:tcPr>
            <w:tcBorders/>
            <w:tcW w:w="4011" w:type="dxa"/>
            <w:textDirection w:val="lrTb"/>
            <w:noWrap w:val="false"/>
          </w:tcPr>
          <w:p w14:paraId="08720D14">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retrieval_k</w:t>
            </w:r>
            <w:r>
              <w:rPr>
                <w:rFonts w:ascii="Arial" w:hAnsi="Arial" w:eastAsia="Arial" w:cs="Arial"/>
                <w:color w:val="000000" w:themeColor="text1"/>
              </w:rPr>
            </w:r>
            <w:r>
              <w:rPr>
                <w:rFonts w:ascii="Arial" w:hAnsi="Arial" w:cs="Arial"/>
                <w:color w:val="000000" w:themeColor="text1"/>
              </w:rPr>
            </w:r>
          </w:p>
        </w:tc>
        <w:tc>
          <w:tcPr>
            <w:tcBorders/>
            <w:tcW w:w="4629" w:type="dxa"/>
            <w:textDirection w:val="lrTb"/>
            <w:noWrap w:val="false"/>
          </w:tcPr>
          <w:p w14:paraId="1559BCE7">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5</w:t>
            </w:r>
            <w:r>
              <w:rPr>
                <w:rFonts w:ascii="Arial" w:hAnsi="Arial" w:eastAsia="Arial" w:cs="Arial"/>
                <w:color w:val="000000" w:themeColor="text1"/>
              </w:rPr>
            </w:r>
            <w:r>
              <w:rPr>
                <w:rFonts w:ascii="Arial" w:hAnsi="Arial" w:cs="Arial"/>
                <w:color w:val="000000" w:themeColor="text1"/>
              </w:rPr>
            </w:r>
          </w:p>
        </w:tc>
      </w:tr>
      <w:tr>
        <w:trPr/>
        <w:tc>
          <w:tcPr>
            <w:tcBorders/>
            <w:tcW w:w="4011" w:type="dxa"/>
            <w:textDirection w:val="lrTb"/>
            <w:noWrap w:val="false"/>
          </w:tcPr>
          <w:p w14:paraId="2FDF1638">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retrieval_backend</w:t>
            </w:r>
            <w:r>
              <w:rPr>
                <w:rFonts w:ascii="Arial" w:hAnsi="Arial" w:eastAsia="Arial" w:cs="Arial"/>
                <w:color w:val="000000" w:themeColor="text1"/>
              </w:rPr>
            </w:r>
            <w:r>
              <w:rPr>
                <w:rFonts w:ascii="Arial" w:hAnsi="Arial" w:cs="Arial"/>
                <w:color w:val="000000" w:themeColor="text1"/>
              </w:rPr>
            </w:r>
          </w:p>
        </w:tc>
        <w:tc>
          <w:tcPr>
            <w:tcBorders/>
            <w:tcW w:w="4629" w:type="dxa"/>
            <w:textDirection w:val="lrTb"/>
            <w:noWrap w:val="false"/>
          </w:tcPr>
          <w:p w14:paraId="3D785119">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hybrid</w:t>
            </w:r>
            <w:r>
              <w:rPr>
                <w:rFonts w:ascii="Arial" w:hAnsi="Arial" w:eastAsia="Arial" w:cs="Arial"/>
                <w:color w:val="000000" w:themeColor="text1"/>
              </w:rPr>
            </w:r>
            <w:r>
              <w:rPr>
                <w:rFonts w:ascii="Arial" w:hAnsi="Arial" w:cs="Arial"/>
                <w:color w:val="000000" w:themeColor="text1"/>
              </w:rPr>
            </w:r>
          </w:p>
        </w:tc>
      </w:tr>
      <w:tr>
        <w:trPr/>
        <w:tc>
          <w:tcPr>
            <w:tcBorders/>
            <w:tcW w:w="4011" w:type="dxa"/>
            <w:textDirection w:val="lrTb"/>
            <w:noWrap w:val="false"/>
          </w:tcPr>
          <w:p w14:paraId="4C6121ED">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rerank_enabled</w:t>
            </w:r>
            <w:r>
              <w:rPr>
                <w:rFonts w:ascii="Arial" w:hAnsi="Arial" w:eastAsia="Arial" w:cs="Arial"/>
                <w:color w:val="000000" w:themeColor="text1"/>
              </w:rPr>
            </w:r>
            <w:r>
              <w:rPr>
                <w:rFonts w:ascii="Arial" w:hAnsi="Arial" w:cs="Arial"/>
                <w:color w:val="000000" w:themeColor="text1"/>
              </w:rPr>
            </w:r>
          </w:p>
        </w:tc>
        <w:tc>
          <w:tcPr>
            <w:tcBorders/>
            <w:tcW w:w="4629" w:type="dxa"/>
            <w:textDirection w:val="lrTb"/>
            <w:noWrap w:val="false"/>
          </w:tcPr>
          <w:p w14:paraId="43F81070">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true</w:t>
            </w:r>
            <w:r>
              <w:rPr>
                <w:rFonts w:ascii="Arial" w:hAnsi="Arial" w:eastAsia="Arial" w:cs="Arial"/>
                <w:color w:val="000000" w:themeColor="text1"/>
              </w:rPr>
            </w:r>
            <w:r>
              <w:rPr>
                <w:rFonts w:ascii="Arial" w:hAnsi="Arial" w:cs="Arial"/>
                <w:color w:val="000000" w:themeColor="text1"/>
              </w:rPr>
            </w:r>
          </w:p>
        </w:tc>
      </w:tr>
      <w:tr>
        <w:trPr/>
        <w:tc>
          <w:tcPr>
            <w:tcBorders/>
            <w:tcW w:w="4011" w:type="dxa"/>
            <w:textDirection w:val="lrTb"/>
            <w:noWrap w:val="false"/>
          </w:tcPr>
          <w:p w14:paraId="772B655A">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rerank_pool</w:t>
            </w:r>
            <w:r>
              <w:rPr>
                <w:rFonts w:ascii="Arial" w:hAnsi="Arial" w:eastAsia="Arial" w:cs="Arial"/>
                <w:color w:val="000000" w:themeColor="text1"/>
              </w:rPr>
            </w:r>
            <w:r>
              <w:rPr>
                <w:rFonts w:ascii="Arial" w:hAnsi="Arial" w:cs="Arial"/>
                <w:color w:val="000000" w:themeColor="text1"/>
              </w:rPr>
            </w:r>
          </w:p>
        </w:tc>
        <w:tc>
          <w:tcPr>
            <w:tcBorders/>
            <w:tcW w:w="4629" w:type="dxa"/>
            <w:textDirection w:val="lrTb"/>
            <w:noWrap w:val="false"/>
          </w:tcPr>
          <w:p w14:paraId="03458057">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20</w:t>
            </w:r>
            <w:r>
              <w:rPr>
                <w:rFonts w:ascii="Arial" w:hAnsi="Arial" w:eastAsia="Arial" w:cs="Arial"/>
                <w:color w:val="000000" w:themeColor="text1"/>
              </w:rPr>
            </w:r>
            <w:r>
              <w:rPr>
                <w:rFonts w:ascii="Arial" w:hAnsi="Arial" w:cs="Arial"/>
                <w:color w:val="000000" w:themeColor="text1"/>
              </w:rPr>
            </w:r>
          </w:p>
        </w:tc>
      </w:tr>
      <w:tr>
        <w:trPr/>
        <w:tc>
          <w:tcPr>
            <w:tcBorders/>
            <w:tcW w:w="4011" w:type="dxa"/>
            <w:vMerge w:val="restart"/>
            <w:textDirection w:val="lrTb"/>
            <w:noWrap w:val="false"/>
          </w:tcPr>
          <w:p w14:paraId="17586B56">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rerank_alpha</w:t>
            </w:r>
            <w:r>
              <w:rPr>
                <w:rFonts w:ascii="Arial" w:hAnsi="Arial" w:eastAsia="Arial" w:cs="Arial"/>
                <w:color w:val="000000" w:themeColor="text1"/>
              </w:rPr>
            </w:r>
            <w:r>
              <w:rPr>
                <w:rFonts w:ascii="Arial" w:hAnsi="Arial" w:cs="Arial"/>
                <w:color w:val="000000" w:themeColor="text1"/>
              </w:rPr>
            </w:r>
          </w:p>
        </w:tc>
        <w:tc>
          <w:tcPr>
            <w:tcBorders/>
            <w:tcW w:w="4629" w:type="dxa"/>
            <w:vMerge w:val="restart"/>
            <w:textDirection w:val="lrTb"/>
            <w:noWrap w:val="false"/>
          </w:tcPr>
          <w:p w14:paraId="26D6B6A9">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0.2</w:t>
            </w:r>
            <w:r>
              <w:rPr>
                <w:rFonts w:ascii="Arial" w:hAnsi="Arial" w:eastAsia="Arial" w:cs="Arial"/>
                <w:color w:val="000000" w:themeColor="text1"/>
              </w:rPr>
            </w:r>
            <w:r>
              <w:rPr>
                <w:rFonts w:ascii="Arial" w:hAnsi="Arial" w:cs="Arial"/>
                <w:color w:val="000000" w:themeColor="text1"/>
              </w:rPr>
            </w:r>
          </w:p>
        </w:tc>
      </w:tr>
      <w:tr>
        <w:trPr/>
        <w:tc>
          <w:tcPr>
            <w:tcBorders/>
            <w:tcW w:w="4011" w:type="dxa"/>
            <w:vMerge w:val="restart"/>
            <w:textDirection w:val="lrTb"/>
            <w:noWrap w:val="false"/>
          </w:tcPr>
          <w:p w14:paraId="728A443E">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min_top_score_for_answer</w:t>
            </w:r>
            <w:r>
              <w:rPr>
                <w:rFonts w:ascii="Arial" w:hAnsi="Arial" w:eastAsia="Arial" w:cs="Arial"/>
                <w:color w:val="000000" w:themeColor="text1"/>
              </w:rPr>
            </w:r>
            <w:r>
              <w:rPr>
                <w:rFonts w:ascii="Arial" w:hAnsi="Arial" w:cs="Arial"/>
                <w:color w:val="000000" w:themeColor="text1"/>
              </w:rPr>
            </w:r>
          </w:p>
        </w:tc>
        <w:tc>
          <w:tcPr>
            <w:tcBorders/>
            <w:tcW w:w="4629" w:type="dxa"/>
            <w:vMerge w:val="restart"/>
            <w:textDirection w:val="lrTb"/>
            <w:noWrap w:val="false"/>
          </w:tcPr>
          <w:p w14:paraId="38D82E42">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0.18</w:t>
            </w:r>
            <w:r>
              <w:rPr>
                <w:rFonts w:ascii="Arial" w:hAnsi="Arial" w:eastAsia="Arial" w:cs="Arial"/>
                <w:color w:val="000000" w:themeColor="text1"/>
              </w:rPr>
            </w:r>
            <w:r>
              <w:rPr>
                <w:rFonts w:ascii="Arial" w:hAnsi="Arial" w:cs="Arial"/>
                <w:color w:val="000000" w:themeColor="text1"/>
              </w:rPr>
            </w:r>
          </w:p>
        </w:tc>
      </w:tr>
      <w:tr>
        <w:trPr/>
        <w:tc>
          <w:tcPr>
            <w:tcBorders/>
            <w:tcW w:w="4011" w:type="dxa"/>
            <w:vMerge w:val="restart"/>
            <w:textDirection w:val="lrTb"/>
            <w:noWrap w:val="false"/>
          </w:tcPr>
          <w:p w14:paraId="0D8217DD">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min_mean_score_for_answer</w:t>
            </w:r>
            <w:r>
              <w:rPr>
                <w:rFonts w:ascii="Arial" w:hAnsi="Arial" w:eastAsia="Arial" w:cs="Arial"/>
                <w:color w:val="000000" w:themeColor="text1"/>
              </w:rPr>
            </w:r>
            <w:r>
              <w:rPr>
                <w:rFonts w:ascii="Arial" w:hAnsi="Arial" w:cs="Arial"/>
                <w:color w:val="000000" w:themeColor="text1"/>
              </w:rPr>
            </w:r>
          </w:p>
        </w:tc>
        <w:tc>
          <w:tcPr>
            <w:tcBorders/>
            <w:tcW w:w="4629" w:type="dxa"/>
            <w:vMerge w:val="restart"/>
            <w:textDirection w:val="lrTb"/>
            <w:noWrap w:val="false"/>
          </w:tcPr>
          <w:p w14:paraId="27D93688">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0.12</w:t>
            </w:r>
            <w:r>
              <w:rPr>
                <w:rFonts w:ascii="Arial" w:hAnsi="Arial" w:eastAsia="Arial" w:cs="Arial"/>
                <w:color w:val="000000" w:themeColor="text1"/>
              </w:rPr>
            </w:r>
            <w:r>
              <w:rPr>
                <w:rFonts w:ascii="Arial" w:hAnsi="Arial" w:cs="Arial"/>
                <w:color w:val="000000" w:themeColor="text1"/>
              </w:rPr>
            </w:r>
          </w:p>
        </w:tc>
      </w:tr>
      <w:tr>
        <w:trPr/>
        <w:tc>
          <w:tcPr>
            <w:tcBorders/>
            <w:tcW w:w="4011" w:type="dxa"/>
            <w:vMerge w:val="restart"/>
            <w:textDirection w:val="lrTb"/>
            <w:noWrap w:val="false"/>
          </w:tcPr>
          <w:p w14:paraId="73734277">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min_retrieved_for_answer</w:t>
            </w:r>
            <w:r>
              <w:rPr>
                <w:rFonts w:ascii="Arial" w:hAnsi="Arial" w:eastAsia="Arial" w:cs="Arial"/>
                <w:color w:val="000000" w:themeColor="text1"/>
              </w:rPr>
            </w:r>
            <w:r>
              <w:rPr>
                <w:rFonts w:ascii="Arial" w:hAnsi="Arial" w:cs="Arial"/>
                <w:color w:val="000000" w:themeColor="text1"/>
              </w:rPr>
            </w:r>
          </w:p>
        </w:tc>
        <w:tc>
          <w:tcPr>
            <w:tcBorders/>
            <w:tcW w:w="4629" w:type="dxa"/>
            <w:vMerge w:val="restart"/>
            <w:textDirection w:val="lrTb"/>
            <w:noWrap w:val="false"/>
          </w:tcPr>
          <w:p w14:paraId="515D7CA5">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2</w:t>
            </w:r>
            <w:r>
              <w:rPr>
                <w:rFonts w:ascii="Arial" w:hAnsi="Arial" w:eastAsia="Arial" w:cs="Arial"/>
                <w:color w:val="000000" w:themeColor="text1"/>
              </w:rPr>
            </w:r>
            <w:r>
              <w:rPr>
                <w:rFonts w:ascii="Arial" w:hAnsi="Arial" w:cs="Arial"/>
                <w:color w:val="000000" w:themeColor="text1"/>
              </w:rPr>
            </w:r>
          </w:p>
        </w:tc>
      </w:tr>
      <w:tr>
        <w:trPr/>
        <w:tc>
          <w:tcPr>
            <w:tcBorders/>
            <w:tcW w:w="4011" w:type="dxa"/>
            <w:vMerge w:val="restart"/>
            <w:textDirection w:val="lrTb"/>
            <w:noWrap w:val="false"/>
          </w:tcPr>
          <w:p w14:paraId="6FFCA92E">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has_severity_context</w:t>
            </w:r>
            <w:r>
              <w:rPr>
                <w:rFonts w:ascii="Arial" w:hAnsi="Arial" w:eastAsia="Arial" w:cs="Arial"/>
                <w:color w:val="000000" w:themeColor="text1"/>
              </w:rPr>
            </w:r>
            <w:r>
              <w:rPr>
                <w:rFonts w:ascii="Arial" w:hAnsi="Arial" w:cs="Arial"/>
                <w:color w:val="000000" w:themeColor="text1"/>
              </w:rPr>
            </w:r>
          </w:p>
        </w:tc>
        <w:tc>
          <w:tcPr>
            <w:tcBorders/>
            <w:tcW w:w="4629" w:type="dxa"/>
            <w:vMerge w:val="restart"/>
            <w:textDirection w:val="lrTb"/>
            <w:noWrap w:val="false"/>
          </w:tcPr>
          <w:p w14:paraId="37B7B056">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false</w:t>
            </w:r>
            <w:r>
              <w:rPr>
                <w:rFonts w:ascii="Arial" w:hAnsi="Arial" w:eastAsia="Arial" w:cs="Arial"/>
                <w:color w:val="000000" w:themeColor="text1"/>
              </w:rPr>
            </w:r>
            <w:r>
              <w:rPr>
                <w:rFonts w:ascii="Arial" w:hAnsi="Arial" w:cs="Arial"/>
                <w:color w:val="000000" w:themeColor="text1"/>
              </w:rPr>
            </w:r>
          </w:p>
        </w:tc>
      </w:tr>
    </w:tbl>
    <w:p w14:paraId="6325F197" w14:textId="34188E83">
      <w:pPr>
        <w:pStyle w:val="1128"/>
        <w:suppressLineNumbers w:val="false"/>
        <w:pBdr/>
        <w:spacing w:line="300" w:lineRule="auto"/>
        <w:ind/>
        <w:rPr/>
      </w:pPr>
      <w:r/>
      <w:r/>
    </w:p>
    <w:p w14:paraId="18A1BE9B">
      <w:pPr>
        <w:pStyle w:val="1128"/>
        <w:suppressLineNumbers w:val="false"/>
        <w:pBdr/>
        <w:spacing w:line="300" w:lineRule="auto"/>
        <w:ind w:firstLine="0"/>
        <w:rPr>
          <w:b/>
          <w:bCs/>
          <w:sz w:val="28"/>
          <w:szCs w:val="28"/>
        </w:rPr>
      </w:pPr>
      <w:r>
        <w:rPr>
          <w:b/>
          <w:bCs/>
          <w:sz w:val="28"/>
          <w:szCs w:val="28"/>
        </w:rPr>
        <w:t xml:space="preserve">5.6 Results</w:t>
      </w:r>
      <w:r>
        <w:rPr>
          <w:b/>
          <w:bCs/>
          <w:sz w:val="28"/>
          <w:szCs w:val="28"/>
        </w:rPr>
      </w:r>
      <w:r>
        <w:rPr>
          <w:b/>
          <w:bCs/>
          <w:sz w:val="28"/>
          <w:szCs w:val="28"/>
        </w:rPr>
      </w:r>
    </w:p>
    <w:p w14:paraId="6709D402">
      <w:pPr>
        <w:pStyle w:val="1128"/>
        <w:suppressLineNumbers w:val="false"/>
        <w:pBdr/>
        <w:spacing w:line="300" w:lineRule="auto"/>
        <w:ind w:firstLine="0"/>
        <w:rPr>
          <w:b/>
          <w:bCs/>
        </w:rPr>
      </w:pPr>
      <w:r>
        <w:rPr>
          <w:b/>
          <w:bCs/>
        </w:rPr>
        <w:t xml:space="preserve">5.6.1 PICO extraction quality</w:t>
      </w:r>
      <w:r>
        <w:rPr>
          <w:b/>
          <w:bCs/>
        </w:rPr>
      </w:r>
      <w:r>
        <w:rPr>
          <w:b/>
          <w:bCs/>
        </w:rPr>
      </w:r>
    </w:p>
    <w:p w14:paraId="1F3FBC0F" w14:textId="2ED9BEBE">
      <w:pPr>
        <w:pStyle w:val="1128"/>
        <w:suppressLineNumbers w:val="false"/>
        <w:pBdr/>
        <w:spacing w:line="300" w:lineRule="auto"/>
        <w:ind w:firstLine="0"/>
        <w:rPr>
          <w:highlight w:val="none"/>
        </w:rPr>
      </w:pPr>
      <w:r>
        <w:t xml:space="preserve">Source: Prototyping_reformat/chapter5_pico_wrapper/results/eval_pass4_latest/pico_eval.json.</w:t>
      </w:r>
      <w:r>
        <w:rPr>
          <w:highlight w:val="none"/>
        </w:rPr>
      </w:r>
      <w:r>
        <w:rPr>
          <w:highlight w:val="none"/>
        </w:rPr>
      </w:r>
    </w:p>
    <w:p w14:paraId="2BB30FC3">
      <w:pPr>
        <w:pStyle w:val="1128"/>
        <w:suppressLineNumbers w:val="false"/>
        <w:pBdr/>
        <w:spacing w:line="300" w:lineRule="auto"/>
        <w:ind w:firstLine="0"/>
        <w:rPr/>
      </w:pPr>
      <w:r/>
      <w:r/>
    </w:p>
    <w:tbl>
      <w:tblPr>
        <w:tblStyle w:val="1185"/>
        <w:tblW w:w="0" w:type="auto"/>
        <w:tblBorders/>
        <w:tblLook w:val="04A0" w:firstRow="1" w:lastRow="0" w:firstColumn="1" w:lastColumn="0" w:noHBand="0" w:noVBand="1"/>
      </w:tblPr>
      <w:tblGrid>
        <w:gridCol w:w="2160"/>
        <w:gridCol w:w="2160"/>
        <w:gridCol w:w="2160"/>
        <w:gridCol w:w="2160"/>
      </w:tblGrid>
      <w:tr>
        <w:trPr/>
        <w:tc>
          <w:tcPr>
            <w:tcBorders/>
            <w:tcW w:w="2160" w:type="dxa"/>
            <w:textDirection w:val="lrTb"/>
            <w:noWrap w:val="false"/>
          </w:tcPr>
          <w:p w14:paraId="6337E1A4">
            <w:pPr>
              <w:pBdr/>
              <w:spacing w:after="0" w:before="0" w:line="240" w:lineRule="auto"/>
              <w:ind/>
              <w:rPr>
                <w:color w:val="000000" w:themeColor="text1"/>
              </w:rPr>
            </w:pPr>
            <w:r>
              <w:rPr>
                <w:rFonts w:ascii="Liberation Sans" w:hAnsi="Liberation Sans" w:eastAsia="Liberation Sans" w:cs="Liberation Sans"/>
                <w:b/>
                <w:color w:val="000000" w:themeColor="text1"/>
                <w:sz w:val="21"/>
              </w:rPr>
              <w:t xml:space="preserve">Field</w:t>
            </w:r>
            <w:r>
              <w:rPr>
                <w:color w:val="000000" w:themeColor="text1"/>
              </w:rPr>
            </w:r>
            <w:r>
              <w:rPr>
                <w:color w:val="000000" w:themeColor="text1"/>
              </w:rPr>
            </w:r>
          </w:p>
        </w:tc>
        <w:tc>
          <w:tcPr>
            <w:tcBorders/>
            <w:tcW w:w="2160" w:type="dxa"/>
            <w:textDirection w:val="lrTb"/>
            <w:noWrap w:val="false"/>
          </w:tcPr>
          <w:p w14:paraId="4DFA9362">
            <w:pPr>
              <w:pBdr/>
              <w:spacing w:after="0" w:before="0" w:line="240" w:lineRule="auto"/>
              <w:ind/>
              <w:jc w:val="right"/>
              <w:rPr>
                <w:color w:val="000000" w:themeColor="text1"/>
              </w:rPr>
            </w:pPr>
            <w:r>
              <w:rPr>
                <w:rFonts w:ascii="Liberation Sans" w:hAnsi="Liberation Sans" w:eastAsia="Liberation Sans" w:cs="Liberation Sans"/>
                <w:b/>
                <w:color w:val="000000" w:themeColor="text1"/>
                <w:sz w:val="21"/>
              </w:rPr>
              <w:t xml:space="preserve">Precision</w:t>
            </w:r>
            <w:r>
              <w:rPr>
                <w:color w:val="000000" w:themeColor="text1"/>
              </w:rPr>
            </w:r>
            <w:r>
              <w:rPr>
                <w:color w:val="000000" w:themeColor="text1"/>
              </w:rPr>
            </w:r>
          </w:p>
        </w:tc>
        <w:tc>
          <w:tcPr>
            <w:tcBorders/>
            <w:tcW w:w="2160" w:type="dxa"/>
            <w:textDirection w:val="lrTb"/>
            <w:noWrap w:val="false"/>
          </w:tcPr>
          <w:p w14:paraId="1115CF08">
            <w:pPr>
              <w:pBdr/>
              <w:spacing w:after="0" w:before="0" w:line="240" w:lineRule="auto"/>
              <w:ind/>
              <w:jc w:val="right"/>
              <w:rPr>
                <w:color w:val="000000" w:themeColor="text1"/>
              </w:rPr>
            </w:pPr>
            <w:r>
              <w:rPr>
                <w:rFonts w:ascii="Liberation Sans" w:hAnsi="Liberation Sans" w:eastAsia="Liberation Sans" w:cs="Liberation Sans"/>
                <w:b/>
                <w:color w:val="000000" w:themeColor="text1"/>
                <w:sz w:val="21"/>
              </w:rPr>
              <w:t xml:space="preserve">Recall</w:t>
            </w:r>
            <w:r>
              <w:rPr>
                <w:color w:val="000000" w:themeColor="text1"/>
              </w:rPr>
            </w:r>
            <w:r>
              <w:rPr>
                <w:color w:val="000000" w:themeColor="text1"/>
              </w:rPr>
            </w:r>
          </w:p>
        </w:tc>
        <w:tc>
          <w:tcPr>
            <w:tcBorders/>
            <w:tcW w:w="2160" w:type="dxa"/>
            <w:textDirection w:val="lrTb"/>
            <w:noWrap w:val="false"/>
          </w:tcPr>
          <w:p w14:paraId="77EAB3AF">
            <w:pPr>
              <w:pBdr/>
              <w:spacing w:after="0" w:before="0" w:line="240" w:lineRule="auto"/>
              <w:ind/>
              <w:jc w:val="right"/>
              <w:rPr>
                <w:color w:val="000000" w:themeColor="text1"/>
              </w:rPr>
            </w:pPr>
            <w:r>
              <w:rPr>
                <w:rFonts w:ascii="Liberation Sans" w:hAnsi="Liberation Sans" w:eastAsia="Liberation Sans" w:cs="Liberation Sans"/>
                <w:b/>
                <w:color w:val="000000" w:themeColor="text1"/>
                <w:sz w:val="21"/>
              </w:rPr>
              <w:t xml:space="preserve">F1</w:t>
            </w:r>
            <w:r>
              <w:rPr>
                <w:color w:val="000000" w:themeColor="text1"/>
              </w:rPr>
            </w:r>
            <w:r>
              <w:rPr>
                <w:color w:val="000000" w:themeColor="text1"/>
              </w:rPr>
            </w:r>
          </w:p>
        </w:tc>
      </w:tr>
      <w:tr>
        <w:trPr/>
        <w:tc>
          <w:tcPr>
            <w:tcBorders/>
            <w:tcW w:w="2160" w:type="dxa"/>
            <w:textDirection w:val="lrTb"/>
            <w:noWrap w:val="false"/>
          </w:tcPr>
          <w:p w14:paraId="603A5684">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Population</w:t>
            </w:r>
            <w:r>
              <w:rPr>
                <w:color w:val="000000" w:themeColor="text1"/>
              </w:rPr>
            </w:r>
            <w:r>
              <w:rPr>
                <w:color w:val="000000" w:themeColor="text1"/>
              </w:rPr>
            </w:r>
          </w:p>
        </w:tc>
        <w:tc>
          <w:tcPr>
            <w:tcBorders/>
            <w:tcW w:w="2160" w:type="dxa"/>
            <w:textDirection w:val="lrTb"/>
            <w:noWrap w:val="false"/>
          </w:tcPr>
          <w:p w14:paraId="520C46F9">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1.0000</w:t>
            </w:r>
            <w:r>
              <w:rPr>
                <w:color w:val="000000" w:themeColor="text1"/>
              </w:rPr>
            </w:r>
            <w:r>
              <w:rPr>
                <w:color w:val="000000" w:themeColor="text1"/>
              </w:rPr>
            </w:r>
          </w:p>
        </w:tc>
        <w:tc>
          <w:tcPr>
            <w:tcBorders/>
            <w:tcW w:w="2160" w:type="dxa"/>
            <w:textDirection w:val="lrTb"/>
            <w:noWrap w:val="false"/>
          </w:tcPr>
          <w:p w14:paraId="6C410187">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1.0000</w:t>
            </w:r>
            <w:r>
              <w:rPr>
                <w:color w:val="000000" w:themeColor="text1"/>
              </w:rPr>
            </w:r>
            <w:r>
              <w:rPr>
                <w:color w:val="000000" w:themeColor="text1"/>
              </w:rPr>
            </w:r>
          </w:p>
        </w:tc>
        <w:tc>
          <w:tcPr>
            <w:tcBorders/>
            <w:tcW w:w="2160" w:type="dxa"/>
            <w:textDirection w:val="lrTb"/>
            <w:noWrap w:val="false"/>
          </w:tcPr>
          <w:p w14:paraId="21579F82">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1.0000</w:t>
            </w:r>
            <w:r>
              <w:rPr>
                <w:color w:val="000000" w:themeColor="text1"/>
              </w:rPr>
            </w:r>
            <w:r>
              <w:rPr>
                <w:color w:val="000000" w:themeColor="text1"/>
              </w:rPr>
            </w:r>
          </w:p>
        </w:tc>
      </w:tr>
      <w:tr>
        <w:trPr/>
        <w:tc>
          <w:tcPr>
            <w:tcBorders/>
            <w:tcW w:w="2160" w:type="dxa"/>
            <w:textDirection w:val="lrTb"/>
            <w:noWrap w:val="false"/>
          </w:tcPr>
          <w:p w14:paraId="736B9438">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Intervention</w:t>
            </w:r>
            <w:r>
              <w:rPr>
                <w:color w:val="000000" w:themeColor="text1"/>
              </w:rPr>
            </w:r>
            <w:r>
              <w:rPr>
                <w:color w:val="000000" w:themeColor="text1"/>
              </w:rPr>
            </w:r>
          </w:p>
        </w:tc>
        <w:tc>
          <w:tcPr>
            <w:tcBorders/>
            <w:tcW w:w="2160" w:type="dxa"/>
            <w:textDirection w:val="lrTb"/>
            <w:noWrap w:val="false"/>
          </w:tcPr>
          <w:p w14:paraId="143E2EE5">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0.6250</w:t>
            </w:r>
            <w:r>
              <w:rPr>
                <w:color w:val="000000" w:themeColor="text1"/>
              </w:rPr>
            </w:r>
            <w:r>
              <w:rPr>
                <w:color w:val="000000" w:themeColor="text1"/>
              </w:rPr>
            </w:r>
          </w:p>
        </w:tc>
        <w:tc>
          <w:tcPr>
            <w:tcBorders/>
            <w:tcW w:w="2160" w:type="dxa"/>
            <w:textDirection w:val="lrTb"/>
            <w:noWrap w:val="false"/>
          </w:tcPr>
          <w:p w14:paraId="115EC822">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1.0000</w:t>
            </w:r>
            <w:r>
              <w:rPr>
                <w:color w:val="000000" w:themeColor="text1"/>
              </w:rPr>
            </w:r>
            <w:r>
              <w:rPr>
                <w:color w:val="000000" w:themeColor="text1"/>
              </w:rPr>
            </w:r>
          </w:p>
        </w:tc>
        <w:tc>
          <w:tcPr>
            <w:tcBorders/>
            <w:tcW w:w="2160" w:type="dxa"/>
            <w:textDirection w:val="lrTb"/>
            <w:noWrap w:val="false"/>
          </w:tcPr>
          <w:p w14:paraId="56D13784">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0.7692</w:t>
            </w:r>
            <w:r>
              <w:rPr>
                <w:color w:val="000000" w:themeColor="text1"/>
              </w:rPr>
            </w:r>
            <w:r>
              <w:rPr>
                <w:color w:val="000000" w:themeColor="text1"/>
              </w:rPr>
            </w:r>
          </w:p>
        </w:tc>
      </w:tr>
      <w:tr>
        <w:trPr/>
        <w:tc>
          <w:tcPr>
            <w:tcBorders/>
            <w:tcW w:w="2160" w:type="dxa"/>
            <w:textDirection w:val="lrTb"/>
            <w:noWrap w:val="false"/>
          </w:tcPr>
          <w:p w14:paraId="5758B98A">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Comparator</w:t>
            </w:r>
            <w:r>
              <w:rPr>
                <w:color w:val="000000" w:themeColor="text1"/>
              </w:rPr>
            </w:r>
            <w:r>
              <w:rPr>
                <w:color w:val="000000" w:themeColor="text1"/>
              </w:rPr>
            </w:r>
          </w:p>
        </w:tc>
        <w:tc>
          <w:tcPr>
            <w:tcBorders/>
            <w:tcW w:w="2160" w:type="dxa"/>
            <w:textDirection w:val="lrTb"/>
            <w:noWrap w:val="false"/>
          </w:tcPr>
          <w:p w14:paraId="2D7CE853">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0.8800</w:t>
            </w:r>
            <w:r>
              <w:rPr>
                <w:color w:val="000000" w:themeColor="text1"/>
              </w:rPr>
            </w:r>
            <w:r>
              <w:rPr>
                <w:color w:val="000000" w:themeColor="text1"/>
              </w:rPr>
            </w:r>
          </w:p>
        </w:tc>
        <w:tc>
          <w:tcPr>
            <w:tcBorders/>
            <w:tcW w:w="2160" w:type="dxa"/>
            <w:textDirection w:val="lrTb"/>
            <w:noWrap w:val="false"/>
          </w:tcPr>
          <w:p w14:paraId="7D021284">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1.0000</w:t>
            </w:r>
            <w:r>
              <w:rPr>
                <w:color w:val="000000" w:themeColor="text1"/>
              </w:rPr>
            </w:r>
            <w:r>
              <w:rPr>
                <w:color w:val="000000" w:themeColor="text1"/>
              </w:rPr>
            </w:r>
          </w:p>
        </w:tc>
        <w:tc>
          <w:tcPr>
            <w:tcBorders/>
            <w:tcW w:w="2160" w:type="dxa"/>
            <w:textDirection w:val="lrTb"/>
            <w:noWrap w:val="false"/>
          </w:tcPr>
          <w:p w14:paraId="4089304E">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0.9362</w:t>
            </w:r>
            <w:r>
              <w:rPr>
                <w:color w:val="000000" w:themeColor="text1"/>
              </w:rPr>
            </w:r>
            <w:r>
              <w:rPr>
                <w:color w:val="000000" w:themeColor="text1"/>
              </w:rPr>
            </w:r>
          </w:p>
        </w:tc>
      </w:tr>
      <w:tr>
        <w:trPr/>
        <w:tc>
          <w:tcPr>
            <w:tcBorders/>
            <w:tcW w:w="2160" w:type="dxa"/>
            <w:textDirection w:val="lrTb"/>
            <w:noWrap w:val="false"/>
          </w:tcPr>
          <w:p w14:paraId="3F26CB2A">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Outcomes</w:t>
            </w:r>
            <w:r>
              <w:rPr>
                <w:color w:val="000000" w:themeColor="text1"/>
              </w:rPr>
            </w:r>
            <w:r>
              <w:rPr>
                <w:color w:val="000000" w:themeColor="text1"/>
              </w:rPr>
            </w:r>
          </w:p>
        </w:tc>
        <w:tc>
          <w:tcPr>
            <w:tcBorders/>
            <w:tcW w:w="2160" w:type="dxa"/>
            <w:textDirection w:val="lrTb"/>
            <w:noWrap w:val="false"/>
          </w:tcPr>
          <w:p w14:paraId="63BC4E14">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0.4000</w:t>
            </w:r>
            <w:r>
              <w:rPr>
                <w:color w:val="000000" w:themeColor="text1"/>
              </w:rPr>
            </w:r>
            <w:r>
              <w:rPr>
                <w:color w:val="000000" w:themeColor="text1"/>
              </w:rPr>
            </w:r>
          </w:p>
        </w:tc>
        <w:tc>
          <w:tcPr>
            <w:tcBorders/>
            <w:tcW w:w="2160" w:type="dxa"/>
            <w:textDirection w:val="lrTb"/>
            <w:noWrap w:val="false"/>
          </w:tcPr>
          <w:p w14:paraId="3F7F33CB">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0.5000</w:t>
            </w:r>
            <w:r>
              <w:rPr>
                <w:color w:val="000000" w:themeColor="text1"/>
              </w:rPr>
            </w:r>
            <w:r>
              <w:rPr>
                <w:color w:val="000000" w:themeColor="text1"/>
              </w:rPr>
            </w:r>
          </w:p>
        </w:tc>
        <w:tc>
          <w:tcPr>
            <w:tcBorders/>
            <w:tcW w:w="2160" w:type="dxa"/>
            <w:textDirection w:val="lrTb"/>
            <w:noWrap w:val="false"/>
          </w:tcPr>
          <w:p w14:paraId="4B620143">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0.4444</w:t>
            </w:r>
            <w:r>
              <w:rPr>
                <w:color w:val="000000" w:themeColor="text1"/>
              </w:rPr>
            </w:r>
            <w:r>
              <w:rPr>
                <w:color w:val="000000" w:themeColor="text1"/>
              </w:rPr>
            </w:r>
          </w:p>
        </w:tc>
      </w:tr>
      <w:tr>
        <w:trPr/>
        <w:tc>
          <w:tcPr>
            <w:tcBorders/>
            <w:tcW w:w="2160" w:type="dxa"/>
            <w:textDirection w:val="lrTb"/>
            <w:noWrap w:val="false"/>
          </w:tcPr>
          <w:p w14:paraId="21B2174A">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Severity anchors</w:t>
            </w:r>
            <w:r>
              <w:rPr>
                <w:color w:val="000000" w:themeColor="text1"/>
              </w:rPr>
            </w:r>
            <w:r>
              <w:rPr>
                <w:color w:val="000000" w:themeColor="text1"/>
              </w:rPr>
            </w:r>
          </w:p>
        </w:tc>
        <w:tc>
          <w:tcPr>
            <w:tcBorders/>
            <w:tcW w:w="2160" w:type="dxa"/>
            <w:textDirection w:val="lrTb"/>
            <w:noWrap w:val="false"/>
          </w:tcPr>
          <w:p w14:paraId="1E9CF800">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0.4667</w:t>
            </w:r>
            <w:r>
              <w:rPr>
                <w:color w:val="000000" w:themeColor="text1"/>
              </w:rPr>
            </w:r>
            <w:r>
              <w:rPr>
                <w:color w:val="000000" w:themeColor="text1"/>
              </w:rPr>
            </w:r>
          </w:p>
        </w:tc>
        <w:tc>
          <w:tcPr>
            <w:tcBorders/>
            <w:tcW w:w="2160" w:type="dxa"/>
            <w:textDirection w:val="lrTb"/>
            <w:noWrap w:val="false"/>
          </w:tcPr>
          <w:p w14:paraId="0D7FBD62">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1.0000</w:t>
            </w:r>
            <w:r>
              <w:rPr>
                <w:color w:val="000000" w:themeColor="text1"/>
              </w:rPr>
            </w:r>
            <w:r>
              <w:rPr>
                <w:color w:val="000000" w:themeColor="text1"/>
              </w:rPr>
            </w:r>
          </w:p>
        </w:tc>
        <w:tc>
          <w:tcPr>
            <w:tcBorders/>
            <w:tcW w:w="2160" w:type="dxa"/>
            <w:textDirection w:val="lrTb"/>
            <w:noWrap w:val="false"/>
          </w:tcPr>
          <w:p w14:paraId="38E9D7AC">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0.6364</w:t>
            </w:r>
            <w:r>
              <w:rPr>
                <w:color w:val="000000" w:themeColor="text1"/>
              </w:rPr>
            </w:r>
            <w:r>
              <w:rPr>
                <w:color w:val="000000" w:themeColor="text1"/>
              </w:rPr>
            </w:r>
          </w:p>
        </w:tc>
      </w:tr>
      <w:tr>
        <w:trPr/>
        <w:tc>
          <w:tcPr>
            <w:tcBorders/>
            <w:tcW w:w="2160" w:type="dxa"/>
            <w:textDirection w:val="lrTb"/>
            <w:noWrap w:val="false"/>
          </w:tcPr>
          <w:p w14:paraId="43CE56E3">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Timeframe</w:t>
            </w:r>
            <w:r>
              <w:rPr>
                <w:color w:val="000000" w:themeColor="text1"/>
              </w:rPr>
            </w:r>
            <w:r>
              <w:rPr>
                <w:color w:val="000000" w:themeColor="text1"/>
              </w:rPr>
            </w:r>
          </w:p>
        </w:tc>
        <w:tc>
          <w:tcPr>
            <w:tcBorders/>
            <w:tcW w:w="2160" w:type="dxa"/>
            <w:textDirection w:val="lrTb"/>
            <w:noWrap w:val="false"/>
          </w:tcPr>
          <w:p w14:paraId="7B840453">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1.0000</w:t>
            </w:r>
            <w:r>
              <w:rPr>
                <w:color w:val="000000" w:themeColor="text1"/>
              </w:rPr>
            </w:r>
            <w:r>
              <w:rPr>
                <w:color w:val="000000" w:themeColor="text1"/>
              </w:rPr>
            </w:r>
          </w:p>
        </w:tc>
        <w:tc>
          <w:tcPr>
            <w:tcBorders/>
            <w:tcW w:w="2160" w:type="dxa"/>
            <w:textDirection w:val="lrTb"/>
            <w:noWrap w:val="false"/>
          </w:tcPr>
          <w:p w14:paraId="7F803F39">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1.0000</w:t>
            </w:r>
            <w:r>
              <w:rPr>
                <w:color w:val="000000" w:themeColor="text1"/>
              </w:rPr>
            </w:r>
            <w:r>
              <w:rPr>
                <w:color w:val="000000" w:themeColor="text1"/>
              </w:rPr>
            </w:r>
          </w:p>
        </w:tc>
        <w:tc>
          <w:tcPr>
            <w:tcBorders/>
            <w:tcW w:w="2160" w:type="dxa"/>
            <w:textDirection w:val="lrTb"/>
            <w:noWrap w:val="false"/>
          </w:tcPr>
          <w:p w14:paraId="0FB09402">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1.0000</w:t>
            </w:r>
            <w:r>
              <w:rPr>
                <w:color w:val="000000" w:themeColor="text1"/>
              </w:rPr>
            </w:r>
            <w:r>
              <w:rPr>
                <w:color w:val="000000" w:themeColor="text1"/>
              </w:rPr>
            </w:r>
          </w:p>
        </w:tc>
      </w:tr>
      <w:tr>
        <w:trPr/>
        <w:tc>
          <w:tcPr>
            <w:tcBorders/>
            <w:tcW w:w="2160" w:type="dxa"/>
            <w:textDirection w:val="lrTb"/>
            <w:noWrap w:val="false"/>
          </w:tcPr>
          <w:p w14:paraId="4BD91E67">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Setting</w:t>
            </w:r>
            <w:r>
              <w:rPr>
                <w:color w:val="000000" w:themeColor="text1"/>
              </w:rPr>
            </w:r>
            <w:r>
              <w:rPr>
                <w:color w:val="000000" w:themeColor="text1"/>
              </w:rPr>
            </w:r>
          </w:p>
        </w:tc>
        <w:tc>
          <w:tcPr>
            <w:tcBorders/>
            <w:tcW w:w="2160" w:type="dxa"/>
            <w:textDirection w:val="lrTb"/>
            <w:noWrap w:val="false"/>
          </w:tcPr>
          <w:p w14:paraId="029167AB">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0.8000</w:t>
            </w:r>
            <w:r>
              <w:rPr>
                <w:color w:val="000000" w:themeColor="text1"/>
              </w:rPr>
            </w:r>
            <w:r>
              <w:rPr>
                <w:color w:val="000000" w:themeColor="text1"/>
              </w:rPr>
            </w:r>
          </w:p>
        </w:tc>
        <w:tc>
          <w:tcPr>
            <w:tcBorders/>
            <w:tcW w:w="2160" w:type="dxa"/>
            <w:textDirection w:val="lrTb"/>
            <w:noWrap w:val="false"/>
          </w:tcPr>
          <w:p w14:paraId="3F6FAE3F">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0.5000</w:t>
            </w:r>
            <w:r>
              <w:rPr>
                <w:color w:val="000000" w:themeColor="text1"/>
              </w:rPr>
            </w:r>
            <w:r>
              <w:rPr>
                <w:color w:val="000000" w:themeColor="text1"/>
              </w:rPr>
            </w:r>
          </w:p>
        </w:tc>
        <w:tc>
          <w:tcPr>
            <w:tcBorders/>
            <w:tcW w:w="2160" w:type="dxa"/>
            <w:textDirection w:val="lrTb"/>
            <w:noWrap w:val="false"/>
          </w:tcPr>
          <w:p w14:paraId="2957A080">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0.6154</w:t>
            </w:r>
            <w:r>
              <w:rPr>
                <w:color w:val="000000" w:themeColor="text1"/>
              </w:rPr>
            </w:r>
            <w:r>
              <w:rPr>
                <w:color w:val="000000" w:themeColor="text1"/>
              </w:rPr>
            </w:r>
          </w:p>
        </w:tc>
      </w:tr>
      <w:tr>
        <w:trPr/>
        <w:tc>
          <w:tcPr>
            <w:tcBorders/>
            <w:tcW w:w="2160" w:type="dxa"/>
            <w:vMerge w:val="restart"/>
            <w:textDirection w:val="lrTb"/>
            <w:noWrap w:val="false"/>
          </w:tcPr>
          <w:p w14:paraId="4241C026">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Constraints</w:t>
            </w:r>
            <w:r>
              <w:rPr>
                <w:color w:val="000000" w:themeColor="text1"/>
              </w:rPr>
            </w:r>
            <w:r>
              <w:rPr>
                <w:color w:val="000000" w:themeColor="text1"/>
              </w:rPr>
            </w:r>
          </w:p>
        </w:tc>
        <w:tc>
          <w:tcPr>
            <w:tcBorders/>
            <w:tcW w:w="2160" w:type="dxa"/>
            <w:vMerge w:val="restart"/>
            <w:textDirection w:val="lrTb"/>
            <w:noWrap w:val="false"/>
          </w:tcPr>
          <w:p w14:paraId="1863EDAE">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0.0000</w:t>
            </w:r>
            <w:r>
              <w:rPr>
                <w:color w:val="000000" w:themeColor="text1"/>
              </w:rPr>
            </w:r>
            <w:r>
              <w:rPr>
                <w:color w:val="000000" w:themeColor="text1"/>
              </w:rPr>
            </w:r>
          </w:p>
        </w:tc>
        <w:tc>
          <w:tcPr>
            <w:tcBorders/>
            <w:tcW w:w="2160" w:type="dxa"/>
            <w:vMerge w:val="restart"/>
            <w:textDirection w:val="lrTb"/>
            <w:noWrap w:val="false"/>
          </w:tcPr>
          <w:p w14:paraId="694B0031">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0.0000</w:t>
            </w:r>
            <w:r>
              <w:rPr>
                <w:color w:val="000000" w:themeColor="text1"/>
              </w:rPr>
            </w:r>
            <w:r>
              <w:rPr>
                <w:color w:val="000000" w:themeColor="text1"/>
              </w:rPr>
            </w:r>
          </w:p>
        </w:tc>
        <w:tc>
          <w:tcPr>
            <w:tcBorders/>
            <w:tcW w:w="2160" w:type="dxa"/>
            <w:vMerge w:val="restart"/>
            <w:textDirection w:val="lrTb"/>
            <w:noWrap w:val="false"/>
          </w:tcPr>
          <w:p w14:paraId="0B6CB53E">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0.0000</w:t>
            </w:r>
            <w:r>
              <w:rPr>
                <w:color w:val="000000" w:themeColor="text1"/>
              </w:rPr>
            </w:r>
            <w:r>
              <w:rPr>
                <w:color w:val="000000" w:themeColor="text1"/>
              </w:rPr>
            </w:r>
          </w:p>
        </w:tc>
      </w:tr>
    </w:tbl>
    <w:p w14:paraId="18FDBC37">
      <w:pPr>
        <w:pStyle w:val="1128"/>
        <w:suppressLineNumbers w:val="false"/>
        <w:pBdr/>
        <w:spacing w:line="300" w:lineRule="auto"/>
        <w:ind w:firstLine="0"/>
        <w:rPr/>
      </w:pPr>
      <w:r/>
      <w:r/>
    </w:p>
    <w:p w14:paraId="3DDCC921">
      <w:pPr>
        <w:pStyle w:val="1128"/>
        <w:suppressLineNumbers w:val="false"/>
        <w:pBdr/>
        <w:spacing w:line="300" w:lineRule="auto"/>
        <w:ind w:firstLine="0"/>
        <w:rPr/>
      </w:pPr>
      <w:r>
        <w:rPr>
          <w:highlight w:val="none"/>
        </w:rPr>
        <w:t xml:space="preserve">Aggregate values:</w:t>
      </w:r>
      <w:r>
        <w:rPr>
          <w:highlight w:val="none"/>
        </w:rPr>
      </w:r>
      <w:r/>
    </w:p>
    <w:p w14:paraId="76880DE7">
      <w:pPr>
        <w:pStyle w:val="1128"/>
        <w:numPr>
          <w:ilvl w:val="0"/>
          <w:numId w:val="87"/>
        </w:numPr>
        <w:suppressLineNumbers w:val="false"/>
        <w:pBdr/>
        <w:spacing w:line="300" w:lineRule="auto"/>
        <w:ind/>
        <w:rPr/>
      </w:pPr>
      <w:r>
        <w:rPr>
          <w:highlight w:val="none"/>
        </w:rPr>
        <w:t xml:space="preserve">required-field macro-F1 (P/I/C/O + severity_anchors): 0.7572 (n=20)</w:t>
      </w:r>
      <w:r/>
    </w:p>
    <w:p w14:paraId="710B4D7E">
      <w:pPr>
        <w:pStyle w:val="1128"/>
        <w:numPr>
          <w:ilvl w:val="0"/>
          <w:numId w:val="87"/>
        </w:numPr>
        <w:suppressLineNumbers w:val="false"/>
        <w:pBdr/>
        <w:spacing w:line="300" w:lineRule="auto"/>
        <w:ind/>
        <w:rPr/>
      </w:pPr>
      <w:r>
        <w:rPr>
          <w:highlight w:val="none"/>
        </w:rPr>
        <w:t xml:space="preserve">all-field macro-F1: 0.6752</w:t>
      </w:r>
      <w:r/>
    </w:p>
    <w:p w14:paraId="22783104">
      <w:pPr>
        <w:pStyle w:val="1128"/>
        <w:suppressLineNumbers w:val="false"/>
        <w:pBdr/>
        <w:spacing w:line="300" w:lineRule="auto"/>
        <w:ind w:firstLine="720"/>
        <w:rPr>
          <w:highlight w:val="none"/>
        </w:rPr>
      </w:pPr>
      <w:r>
        <w:rPr>
          <w:highlight w:val="none"/>
        </w:rPr>
        <w:t xml:space="preserve">The extractor is recall-heavy for core required fields but has precision weakness in outcomes and severity anchors, indicating broad lexical matching behavior.</w:t>
      </w:r>
      <w:r>
        <w:rPr>
          <w:highlight w:val="none"/>
        </w:rPr>
      </w:r>
      <w:r>
        <w:rPr>
          <w:highlight w:val="none"/>
        </w:rPr>
      </w:r>
    </w:p>
    <w:p w14:paraId="66B8241A">
      <w:pPr>
        <w:pStyle w:val="1128"/>
        <w:suppressLineNumbers w:val="false"/>
        <w:pBdr/>
        <w:spacing w:line="300" w:lineRule="auto"/>
        <w:ind w:firstLine="0"/>
        <w:rPr/>
      </w:pPr>
      <w:r/>
      <w:r/>
    </w:p>
    <w:p w14:paraId="23F75980">
      <w:pPr>
        <w:pStyle w:val="1128"/>
        <w:suppressLineNumbers w:val="false"/>
        <w:pBdr/>
        <w:spacing w:line="300" w:lineRule="auto"/>
        <w:ind w:firstLine="0"/>
        <w:rPr/>
      </w:pPr>
      <w:r/>
      <w:r/>
    </w:p>
    <w:p w14:paraId="2DD38AD1">
      <w:pPr>
        <w:pStyle w:val="1128"/>
        <w:suppressLineNumbers w:val="false"/>
        <w:pBdr/>
        <w:spacing w:line="300" w:lineRule="auto"/>
        <w:ind w:firstLine="0"/>
        <w:rPr>
          <w:highlight w:val="none"/>
        </w:rPr>
      </w:pPr>
      <w:r>
        <mc:AlternateContent>
          <mc:Choice Requires="wpg">
            <w:drawing>
              <wp:inline xmlns:wp="http://schemas.openxmlformats.org/drawingml/2006/wordprocessingDrawing" distT="0" distB="0" distL="0" distR="0">
                <wp:extent cx="5942625" cy="2500725"/>
                <wp:effectExtent l="0" t="0" r="0" b="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105441" name=""/>
                        <pic:cNvPicPr>
                          <a:picLocks noChangeAspect="1"/>
                        </pic:cNvPicPr>
                        <pic:nvPr/>
                      </pic:nvPicPr>
                      <pic:blipFill rotWithShape="1">
                        <a:blip r:embed="rId28"/>
                        <a:stretch/>
                      </pic:blipFill>
                      <pic:spPr bwMode="auto">
                        <a:xfrm flipH="0" flipV="0">
                          <a:off x="0" y="0"/>
                          <a:ext cx="5942624" cy="250072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467.92pt;height:196.91pt;mso-wrap-distance-left:0.00pt;mso-wrap-distance-top:0.00pt;mso-wrap-distance-right:0.00pt;mso-wrap-distance-bottom:0.00pt;z-index:1;" stroked="false">
                <v:imagedata r:id="rId28" o:title=""/>
                <o:lock v:ext="edit" rotation="t"/>
              </v:shape>
            </w:pict>
          </mc:Fallback>
        </mc:AlternateContent>
      </w:r>
      <w:r>
        <w:rPr>
          <w:highlight w:val="none"/>
        </w:rPr>
      </w:r>
      <w:r>
        <w:rPr>
          <w:highlight w:val="none"/>
        </w:rPr>
      </w:r>
    </w:p>
    <w:p w14:paraId="363329A6">
      <w:pPr>
        <w:pStyle w:val="1128"/>
        <w:suppressLineNumbers w:val="false"/>
        <w:pBdr/>
        <w:spacing w:line="300" w:lineRule="auto"/>
        <w:ind w:firstLine="0"/>
        <w:rPr>
          <w:highlight w:val="none"/>
        </w:rPr>
      </w:pPr>
      <w:r>
        <w:rPr>
          <w:highlight w:val="none"/>
        </w:rPr>
      </w:r>
      <w:r>
        <w:rPr>
          <w:highlight w:val="none"/>
        </w:rPr>
        <w:t xml:space="preserve">Per-field PICO extraction scores; shaded groups in the figure indicate required fields.</w:t>
      </w:r>
      <w:r>
        <w:rPr>
          <w:highlight w:val="none"/>
        </w:rPr>
      </w:r>
      <w:r>
        <w:rPr>
          <w:highlight w:val="none"/>
        </w:rPr>
      </w:r>
    </w:p>
    <w:p w14:paraId="0F65C045">
      <w:pPr>
        <w:pStyle w:val="1128"/>
        <w:suppressLineNumbers w:val="false"/>
        <w:pBdr/>
        <w:spacing w:line="300" w:lineRule="auto"/>
        <w:ind w:firstLine="0"/>
        <w:rPr/>
      </w:pPr>
      <w:r/>
      <w:r/>
    </w:p>
    <w:p w14:paraId="18B5B8E1">
      <w:pPr>
        <w:pStyle w:val="1128"/>
        <w:suppressLineNumbers w:val="false"/>
        <w:pBdr/>
        <w:spacing w:line="300" w:lineRule="auto"/>
        <w:ind w:firstLine="0"/>
        <w:rPr>
          <w:b/>
          <w:bCs/>
        </w:rPr>
      </w:pPr>
      <w:r>
        <w:rPr>
          <w:b/>
          <w:bCs/>
          <w:highlight w:val="none"/>
        </w:rPr>
        <w:t xml:space="preserve">5.6.2 Retrieval quality and uncertainty</w:t>
      </w:r>
      <w:r>
        <w:rPr>
          <w:b/>
          <w:bCs/>
        </w:rPr>
      </w:r>
      <w:r>
        <w:rPr>
          <w:b/>
          <w:bCs/>
        </w:rPr>
      </w:r>
    </w:p>
    <w:p w14:paraId="67733C65">
      <w:pPr>
        <w:pStyle w:val="1128"/>
        <w:suppressLineNumbers w:val="false"/>
        <w:pBdr/>
        <w:spacing w:line="300" w:lineRule="auto"/>
        <w:ind w:firstLine="0"/>
        <w:rPr/>
      </w:pPr>
      <w:r>
        <w:rPr>
          <w:highlight w:val="none"/>
        </w:rPr>
        <w:t xml:space="preserve">Source: Prototyping_reformat/chapter5_pico_wrapper/results/eval_pass4_latest/retrieval_eval.json.</w:t>
      </w:r>
      <w:r>
        <w:rPr>
          <w:highlight w:val="none"/>
        </w:rPr>
      </w:r>
      <w:r/>
    </w:p>
    <w:tbl>
      <w:tblPr>
        <w:tblStyle w:val="1185"/>
        <w:tblW w:w="0" w:type="auto"/>
        <w:tblBorders/>
        <w:tblLook w:val="04A0" w:firstRow="1" w:lastRow="0" w:firstColumn="1" w:lastColumn="0" w:noHBand="0" w:noVBand="1"/>
      </w:tblPr>
      <w:tblGrid>
        <w:gridCol w:w="2160"/>
        <w:gridCol w:w="2160"/>
        <w:gridCol w:w="2160"/>
        <w:gridCol w:w="2160"/>
      </w:tblGrid>
      <w:tr>
        <w:trPr/>
        <w:tc>
          <w:tcPr>
            <w:tcBorders/>
            <w:tcW w:w="2160" w:type="dxa"/>
            <w:textDirection w:val="lrTb"/>
            <w:noWrap w:val="false"/>
          </w:tcPr>
          <w:p w14:paraId="38B1C02A">
            <w:pPr>
              <w:pBdr/>
              <w:spacing w:after="0" w:before="0" w:line="240" w:lineRule="auto"/>
              <w:ind/>
              <w:rPr>
                <w:color w:val="000000" w:themeColor="text1"/>
              </w:rPr>
            </w:pPr>
            <w:r>
              <w:rPr>
                <w:rFonts w:ascii="Liberation Sans" w:hAnsi="Liberation Sans" w:eastAsia="Liberation Sans" w:cs="Liberation Sans"/>
                <w:b/>
                <w:color w:val="000000" w:themeColor="text1"/>
                <w:sz w:val="21"/>
              </w:rPr>
              <w:t xml:space="preserve">Metric</w:t>
            </w:r>
            <w:r>
              <w:rPr>
                <w:color w:val="000000" w:themeColor="text1"/>
              </w:rPr>
            </w:r>
            <w:r>
              <w:rPr>
                <w:color w:val="000000" w:themeColor="text1"/>
              </w:rPr>
            </w:r>
          </w:p>
        </w:tc>
        <w:tc>
          <w:tcPr>
            <w:tcBorders/>
            <w:tcW w:w="2160" w:type="dxa"/>
            <w:textDirection w:val="lrTb"/>
            <w:noWrap w:val="false"/>
          </w:tcPr>
          <w:p w14:paraId="260B607D">
            <w:pPr>
              <w:pBdr/>
              <w:spacing w:after="0" w:before="0" w:line="240" w:lineRule="auto"/>
              <w:ind/>
              <w:jc w:val="right"/>
              <w:rPr>
                <w:color w:val="000000" w:themeColor="text1"/>
              </w:rPr>
            </w:pPr>
            <w:r>
              <w:rPr>
                <w:rFonts w:ascii="Liberation Sans" w:hAnsi="Liberation Sans" w:eastAsia="Liberation Sans" w:cs="Liberation Sans"/>
                <w:b/>
                <w:color w:val="000000" w:themeColor="text1"/>
                <w:sz w:val="21"/>
              </w:rPr>
              <w:t xml:space="preserve">@1</w:t>
            </w:r>
            <w:r>
              <w:rPr>
                <w:color w:val="000000" w:themeColor="text1"/>
              </w:rPr>
            </w:r>
            <w:r>
              <w:rPr>
                <w:color w:val="000000" w:themeColor="text1"/>
              </w:rPr>
            </w:r>
          </w:p>
        </w:tc>
        <w:tc>
          <w:tcPr>
            <w:tcBorders/>
            <w:tcW w:w="2160" w:type="dxa"/>
            <w:textDirection w:val="lrTb"/>
            <w:noWrap w:val="false"/>
          </w:tcPr>
          <w:p w14:paraId="0CCECF68">
            <w:pPr>
              <w:pBdr/>
              <w:spacing w:after="0" w:before="0" w:line="240" w:lineRule="auto"/>
              <w:ind/>
              <w:jc w:val="right"/>
              <w:rPr>
                <w:color w:val="000000" w:themeColor="text1"/>
              </w:rPr>
            </w:pPr>
            <w:r>
              <w:rPr>
                <w:rFonts w:ascii="Liberation Sans" w:hAnsi="Liberation Sans" w:eastAsia="Liberation Sans" w:cs="Liberation Sans"/>
                <w:b/>
                <w:color w:val="000000" w:themeColor="text1"/>
                <w:sz w:val="21"/>
              </w:rPr>
              <w:t xml:space="preserve">@3</w:t>
            </w:r>
            <w:r>
              <w:rPr>
                <w:color w:val="000000" w:themeColor="text1"/>
              </w:rPr>
            </w:r>
            <w:r>
              <w:rPr>
                <w:color w:val="000000" w:themeColor="text1"/>
              </w:rPr>
            </w:r>
          </w:p>
        </w:tc>
        <w:tc>
          <w:tcPr>
            <w:tcBorders/>
            <w:tcW w:w="2160" w:type="dxa"/>
            <w:textDirection w:val="lrTb"/>
            <w:noWrap w:val="false"/>
          </w:tcPr>
          <w:p w14:paraId="30C3817F">
            <w:pPr>
              <w:pBdr/>
              <w:spacing w:after="0" w:before="0" w:line="240" w:lineRule="auto"/>
              <w:ind/>
              <w:jc w:val="right"/>
              <w:rPr>
                <w:color w:val="000000" w:themeColor="text1"/>
              </w:rPr>
            </w:pPr>
            <w:r>
              <w:rPr>
                <w:rFonts w:ascii="Liberation Sans" w:hAnsi="Liberation Sans" w:eastAsia="Liberation Sans" w:cs="Liberation Sans"/>
                <w:b/>
                <w:color w:val="000000" w:themeColor="text1"/>
                <w:sz w:val="21"/>
              </w:rPr>
              <w:t xml:space="preserve">@5</w:t>
            </w:r>
            <w:r>
              <w:rPr>
                <w:color w:val="000000" w:themeColor="text1"/>
              </w:rPr>
            </w:r>
            <w:r>
              <w:rPr>
                <w:color w:val="000000" w:themeColor="text1"/>
              </w:rPr>
            </w:r>
          </w:p>
        </w:tc>
      </w:tr>
      <w:tr>
        <w:trPr/>
        <w:tc>
          <w:tcPr>
            <w:tcBorders/>
            <w:tcW w:w="2160" w:type="dxa"/>
            <w:textDirection w:val="lrTb"/>
            <w:noWrap w:val="false"/>
          </w:tcPr>
          <w:p w14:paraId="7455194A">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Precision@k</w:t>
            </w:r>
            <w:r>
              <w:rPr>
                <w:color w:val="000000" w:themeColor="text1"/>
              </w:rPr>
            </w:r>
            <w:r>
              <w:rPr>
                <w:color w:val="000000" w:themeColor="text1"/>
              </w:rPr>
            </w:r>
          </w:p>
        </w:tc>
        <w:tc>
          <w:tcPr>
            <w:tcBorders/>
            <w:tcW w:w="2160" w:type="dxa"/>
            <w:textDirection w:val="lrTb"/>
            <w:noWrap w:val="false"/>
          </w:tcPr>
          <w:p w14:paraId="0EE07F87">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0.2000</w:t>
            </w:r>
            <w:r>
              <w:rPr>
                <w:color w:val="000000" w:themeColor="text1"/>
              </w:rPr>
            </w:r>
            <w:r>
              <w:rPr>
                <w:color w:val="000000" w:themeColor="text1"/>
              </w:rPr>
            </w:r>
          </w:p>
        </w:tc>
        <w:tc>
          <w:tcPr>
            <w:tcBorders/>
            <w:tcW w:w="2160" w:type="dxa"/>
            <w:textDirection w:val="lrTb"/>
            <w:noWrap w:val="false"/>
          </w:tcPr>
          <w:p w14:paraId="187E1A9F">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0.1667</w:t>
            </w:r>
            <w:r>
              <w:rPr>
                <w:color w:val="000000" w:themeColor="text1"/>
              </w:rPr>
            </w:r>
            <w:r>
              <w:rPr>
                <w:color w:val="000000" w:themeColor="text1"/>
              </w:rPr>
            </w:r>
          </w:p>
        </w:tc>
        <w:tc>
          <w:tcPr>
            <w:tcBorders/>
            <w:tcW w:w="2160" w:type="dxa"/>
            <w:textDirection w:val="lrTb"/>
            <w:noWrap w:val="false"/>
          </w:tcPr>
          <w:p w14:paraId="46817137">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0.1600</w:t>
            </w:r>
            <w:r>
              <w:rPr>
                <w:color w:val="000000" w:themeColor="text1"/>
              </w:rPr>
            </w:r>
            <w:r>
              <w:rPr>
                <w:color w:val="000000" w:themeColor="text1"/>
              </w:rPr>
            </w:r>
          </w:p>
        </w:tc>
      </w:tr>
      <w:tr>
        <w:trPr/>
        <w:tc>
          <w:tcPr>
            <w:tcBorders/>
            <w:tcW w:w="2160" w:type="dxa"/>
            <w:textDirection w:val="lrTb"/>
            <w:noWrap w:val="false"/>
          </w:tcPr>
          <w:p w14:paraId="5910AD58">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Recall@k</w:t>
            </w:r>
            <w:r>
              <w:rPr>
                <w:color w:val="000000" w:themeColor="text1"/>
              </w:rPr>
            </w:r>
            <w:r>
              <w:rPr>
                <w:color w:val="000000" w:themeColor="text1"/>
              </w:rPr>
            </w:r>
          </w:p>
        </w:tc>
        <w:tc>
          <w:tcPr>
            <w:tcBorders/>
            <w:tcW w:w="2160" w:type="dxa"/>
            <w:textDirection w:val="lrTb"/>
            <w:noWrap w:val="false"/>
          </w:tcPr>
          <w:p w14:paraId="78886ED1">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0.1000</w:t>
            </w:r>
            <w:r>
              <w:rPr>
                <w:color w:val="000000" w:themeColor="text1"/>
              </w:rPr>
            </w:r>
            <w:r>
              <w:rPr>
                <w:color w:val="000000" w:themeColor="text1"/>
              </w:rPr>
            </w:r>
          </w:p>
        </w:tc>
        <w:tc>
          <w:tcPr>
            <w:tcBorders/>
            <w:tcW w:w="2160" w:type="dxa"/>
            <w:textDirection w:val="lrTb"/>
            <w:noWrap w:val="false"/>
          </w:tcPr>
          <w:p w14:paraId="65ED25CF">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0.2500</w:t>
            </w:r>
            <w:r>
              <w:rPr>
                <w:color w:val="000000" w:themeColor="text1"/>
              </w:rPr>
            </w:r>
            <w:r>
              <w:rPr>
                <w:color w:val="000000" w:themeColor="text1"/>
              </w:rPr>
            </w:r>
          </w:p>
        </w:tc>
        <w:tc>
          <w:tcPr>
            <w:tcBorders/>
            <w:tcW w:w="2160" w:type="dxa"/>
            <w:textDirection w:val="lrTb"/>
            <w:noWrap w:val="false"/>
          </w:tcPr>
          <w:p w14:paraId="001969B2">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0.4500</w:t>
            </w:r>
            <w:r>
              <w:rPr>
                <w:color w:val="000000" w:themeColor="text1"/>
              </w:rPr>
            </w:r>
            <w:r>
              <w:rPr>
                <w:color w:val="000000" w:themeColor="text1"/>
              </w:rPr>
            </w:r>
          </w:p>
        </w:tc>
      </w:tr>
      <w:tr>
        <w:trPr/>
        <w:tc>
          <w:tcPr>
            <w:tcBorders/>
            <w:tcW w:w="2160" w:type="dxa"/>
            <w:textDirection w:val="lrTb"/>
            <w:noWrap w:val="false"/>
          </w:tcPr>
          <w:p w14:paraId="6FA1721A">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Hit rate@k</w:t>
            </w:r>
            <w:r>
              <w:rPr>
                <w:color w:val="000000" w:themeColor="text1"/>
              </w:rPr>
            </w:r>
            <w:r>
              <w:rPr>
                <w:color w:val="000000" w:themeColor="text1"/>
              </w:rPr>
            </w:r>
          </w:p>
        </w:tc>
        <w:tc>
          <w:tcPr>
            <w:tcBorders/>
            <w:tcW w:w="2160" w:type="dxa"/>
            <w:textDirection w:val="lrTb"/>
            <w:noWrap w:val="false"/>
          </w:tcPr>
          <w:p w14:paraId="530A64ED">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0.2000</w:t>
            </w:r>
            <w:r>
              <w:rPr>
                <w:color w:val="000000" w:themeColor="text1"/>
              </w:rPr>
            </w:r>
            <w:r>
              <w:rPr>
                <w:color w:val="000000" w:themeColor="text1"/>
              </w:rPr>
            </w:r>
          </w:p>
        </w:tc>
        <w:tc>
          <w:tcPr>
            <w:tcBorders/>
            <w:tcW w:w="2160" w:type="dxa"/>
            <w:textDirection w:val="lrTb"/>
            <w:noWrap w:val="false"/>
          </w:tcPr>
          <w:p w14:paraId="2C841809">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0.3000</w:t>
            </w:r>
            <w:r>
              <w:rPr>
                <w:color w:val="000000" w:themeColor="text1"/>
              </w:rPr>
            </w:r>
            <w:r>
              <w:rPr>
                <w:color w:val="000000" w:themeColor="text1"/>
              </w:rPr>
            </w:r>
          </w:p>
        </w:tc>
        <w:tc>
          <w:tcPr>
            <w:tcBorders/>
            <w:tcW w:w="2160" w:type="dxa"/>
            <w:textDirection w:val="lrTb"/>
            <w:noWrap w:val="false"/>
          </w:tcPr>
          <w:p w14:paraId="647997F5">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0.6000</w:t>
            </w:r>
            <w:r>
              <w:rPr>
                <w:color w:val="000000" w:themeColor="text1"/>
              </w:rPr>
            </w:r>
            <w:r>
              <w:rPr>
                <w:color w:val="000000" w:themeColor="text1"/>
              </w:rPr>
            </w:r>
          </w:p>
        </w:tc>
      </w:tr>
    </w:tbl>
    <w:p w14:paraId="131F6EC2">
      <w:pPr>
        <w:pStyle w:val="1128"/>
        <w:suppressLineNumbers w:val="false"/>
        <w:pBdr/>
        <w:spacing w:line="300" w:lineRule="auto"/>
        <w:ind w:firstLine="0"/>
        <w:rPr>
          <w:highlight w:val="none"/>
        </w:rPr>
      </w:pPr>
      <w:r>
        <w:t xml:space="preserve">Bootstrap 95% confidence intervals (2000 iterations, seed=42)</w:t>
      </w:r>
      <w:r>
        <w:rPr>
          <w:highlight w:val="none"/>
        </w:rPr>
      </w:r>
      <w:r>
        <w:rPr>
          <w:highlight w:val="none"/>
        </w:rPr>
      </w:r>
    </w:p>
    <w:p w14:paraId="1FC1F4C8">
      <w:pPr>
        <w:pStyle w:val="1128"/>
        <w:suppressLineNumbers w:val="false"/>
        <w:pBdr/>
        <w:spacing w:line="300" w:lineRule="auto"/>
        <w:ind w:firstLine="0"/>
        <w:rPr/>
      </w:pPr>
      <w:r/>
      <w:r/>
    </w:p>
    <w:tbl>
      <w:tblPr>
        <w:tblStyle w:val="1185"/>
        <w:tblW w:w="0" w:type="auto"/>
        <w:tblBorders/>
        <w:tblLook w:val="04A0" w:firstRow="1" w:lastRow="0" w:firstColumn="1" w:lastColumn="0" w:noHBand="0" w:noVBand="1"/>
      </w:tblPr>
      <w:tblGrid>
        <w:gridCol w:w="2160"/>
        <w:gridCol w:w="2160"/>
        <w:gridCol w:w="2160"/>
        <w:gridCol w:w="2160"/>
      </w:tblGrid>
      <w:tr>
        <w:trPr/>
        <w:tc>
          <w:tcPr>
            <w:tcBorders/>
            <w:tcW w:w="2160" w:type="dxa"/>
            <w:textDirection w:val="lrTb"/>
            <w:noWrap w:val="false"/>
          </w:tcPr>
          <w:p w14:paraId="30E93426">
            <w:pPr>
              <w:pBdr/>
              <w:spacing w:after="0" w:before="0" w:line="240" w:lineRule="auto"/>
              <w:ind/>
              <w:rPr>
                <w:color w:val="000000" w:themeColor="text1"/>
              </w:rPr>
            </w:pPr>
            <w:r>
              <w:rPr>
                <w:rFonts w:ascii="Liberation Sans" w:hAnsi="Liberation Sans" w:eastAsia="Liberation Sans" w:cs="Liberation Sans"/>
                <w:b/>
                <w:color w:val="000000" w:themeColor="text1"/>
                <w:sz w:val="21"/>
              </w:rPr>
              <w:t xml:space="preserve">Metric</w:t>
            </w:r>
            <w:r>
              <w:rPr>
                <w:color w:val="000000" w:themeColor="text1"/>
              </w:rPr>
            </w:r>
            <w:r>
              <w:rPr>
                <w:color w:val="000000" w:themeColor="text1"/>
              </w:rPr>
            </w:r>
          </w:p>
        </w:tc>
        <w:tc>
          <w:tcPr>
            <w:tcBorders/>
            <w:tcW w:w="2160" w:type="dxa"/>
            <w:textDirection w:val="lrTb"/>
            <w:noWrap w:val="false"/>
          </w:tcPr>
          <w:p w14:paraId="21B0D92F">
            <w:pPr>
              <w:pBdr/>
              <w:spacing w:after="0" w:before="0" w:line="240" w:lineRule="auto"/>
              <w:ind/>
              <w:rPr>
                <w:color w:val="000000" w:themeColor="text1"/>
              </w:rPr>
            </w:pPr>
            <w:r>
              <w:rPr>
                <w:rFonts w:ascii="Liberation Sans" w:hAnsi="Liberation Sans" w:eastAsia="Liberation Sans" w:cs="Liberation Sans"/>
                <w:b/>
                <w:color w:val="000000" w:themeColor="text1"/>
                <w:sz w:val="21"/>
              </w:rPr>
              <w:t xml:space="preserve">@1 CI</w:t>
            </w:r>
            <w:r>
              <w:rPr>
                <w:color w:val="000000" w:themeColor="text1"/>
              </w:rPr>
            </w:r>
            <w:r>
              <w:rPr>
                <w:color w:val="000000" w:themeColor="text1"/>
              </w:rPr>
            </w:r>
          </w:p>
        </w:tc>
        <w:tc>
          <w:tcPr>
            <w:tcBorders/>
            <w:tcW w:w="2160" w:type="dxa"/>
            <w:textDirection w:val="lrTb"/>
            <w:noWrap w:val="false"/>
          </w:tcPr>
          <w:p w14:paraId="2E680FC8">
            <w:pPr>
              <w:pBdr/>
              <w:spacing w:after="0" w:before="0" w:line="240" w:lineRule="auto"/>
              <w:ind/>
              <w:rPr>
                <w:color w:val="000000" w:themeColor="text1"/>
              </w:rPr>
            </w:pPr>
            <w:r>
              <w:rPr>
                <w:rFonts w:ascii="Liberation Sans" w:hAnsi="Liberation Sans" w:eastAsia="Liberation Sans" w:cs="Liberation Sans"/>
                <w:b/>
                <w:color w:val="000000" w:themeColor="text1"/>
                <w:sz w:val="21"/>
              </w:rPr>
              <w:t xml:space="preserve">@3 CI</w:t>
            </w:r>
            <w:r>
              <w:rPr>
                <w:color w:val="000000" w:themeColor="text1"/>
              </w:rPr>
            </w:r>
            <w:r>
              <w:rPr>
                <w:color w:val="000000" w:themeColor="text1"/>
              </w:rPr>
            </w:r>
          </w:p>
        </w:tc>
        <w:tc>
          <w:tcPr>
            <w:tcBorders/>
            <w:tcW w:w="2160" w:type="dxa"/>
            <w:textDirection w:val="lrTb"/>
            <w:noWrap w:val="false"/>
          </w:tcPr>
          <w:p w14:paraId="42B89C98">
            <w:pPr>
              <w:pBdr/>
              <w:spacing w:after="0" w:before="0" w:line="240" w:lineRule="auto"/>
              <w:ind/>
              <w:rPr>
                <w:color w:val="000000" w:themeColor="text1"/>
              </w:rPr>
            </w:pPr>
            <w:r>
              <w:rPr>
                <w:rFonts w:ascii="Liberation Sans" w:hAnsi="Liberation Sans" w:eastAsia="Liberation Sans" w:cs="Liberation Sans"/>
                <w:b/>
                <w:color w:val="000000" w:themeColor="text1"/>
                <w:sz w:val="21"/>
              </w:rPr>
              <w:t xml:space="preserve">@5 CI</w:t>
            </w:r>
            <w:r>
              <w:rPr>
                <w:color w:val="000000" w:themeColor="text1"/>
              </w:rPr>
            </w:r>
            <w:r>
              <w:rPr>
                <w:color w:val="000000" w:themeColor="text1"/>
              </w:rPr>
            </w:r>
          </w:p>
        </w:tc>
      </w:tr>
      <w:tr>
        <w:trPr/>
        <w:tc>
          <w:tcPr>
            <w:tcBorders/>
            <w:tcW w:w="2160" w:type="dxa"/>
            <w:textDirection w:val="lrTb"/>
            <w:noWrap w:val="false"/>
          </w:tcPr>
          <w:p w14:paraId="571CCD95">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Precision@k</w:t>
            </w:r>
            <w:r>
              <w:rPr>
                <w:color w:val="000000" w:themeColor="text1"/>
              </w:rPr>
            </w:r>
            <w:r>
              <w:rPr>
                <w:color w:val="000000" w:themeColor="text1"/>
              </w:rPr>
            </w:r>
          </w:p>
        </w:tc>
        <w:tc>
          <w:tcPr>
            <w:tcBorders/>
            <w:tcW w:w="2160" w:type="dxa"/>
            <w:textDirection w:val="lrTb"/>
            <w:noWrap w:val="false"/>
          </w:tcPr>
          <w:p w14:paraId="7E21642E">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[0.00, 0.50]</w:t>
            </w:r>
            <w:r>
              <w:rPr>
                <w:color w:val="000000" w:themeColor="text1"/>
              </w:rPr>
            </w:r>
            <w:r>
              <w:rPr>
                <w:color w:val="000000" w:themeColor="text1"/>
              </w:rPr>
            </w:r>
          </w:p>
        </w:tc>
        <w:tc>
          <w:tcPr>
            <w:tcBorders/>
            <w:tcW w:w="2160" w:type="dxa"/>
            <w:textDirection w:val="lrTb"/>
            <w:noWrap w:val="false"/>
          </w:tcPr>
          <w:p w14:paraId="10D6F1F0">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[0.00, 0.3667]</w:t>
            </w:r>
            <w:r>
              <w:rPr>
                <w:color w:val="000000" w:themeColor="text1"/>
              </w:rPr>
            </w:r>
            <w:r>
              <w:rPr>
                <w:color w:val="000000" w:themeColor="text1"/>
              </w:rPr>
            </w:r>
          </w:p>
        </w:tc>
        <w:tc>
          <w:tcPr>
            <w:tcBorders/>
            <w:tcW w:w="2160" w:type="dxa"/>
            <w:textDirection w:val="lrTb"/>
            <w:noWrap w:val="false"/>
          </w:tcPr>
          <w:p w14:paraId="3C2BA78A">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[0.08, 0.26]</w:t>
            </w:r>
            <w:r>
              <w:rPr>
                <w:color w:val="000000" w:themeColor="text1"/>
              </w:rPr>
            </w:r>
            <w:r>
              <w:rPr>
                <w:color w:val="000000" w:themeColor="text1"/>
              </w:rPr>
            </w:r>
          </w:p>
        </w:tc>
      </w:tr>
      <w:tr>
        <w:trPr/>
        <w:tc>
          <w:tcPr>
            <w:tcBorders/>
            <w:tcW w:w="2160" w:type="dxa"/>
            <w:textDirection w:val="lrTb"/>
            <w:noWrap w:val="false"/>
          </w:tcPr>
          <w:p w14:paraId="0AD2D91B">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Recall@k</w:t>
            </w:r>
            <w:r>
              <w:rPr>
                <w:color w:val="000000" w:themeColor="text1"/>
              </w:rPr>
            </w:r>
            <w:r>
              <w:rPr>
                <w:color w:val="000000" w:themeColor="text1"/>
              </w:rPr>
            </w:r>
          </w:p>
        </w:tc>
        <w:tc>
          <w:tcPr>
            <w:tcBorders/>
            <w:tcW w:w="2160" w:type="dxa"/>
            <w:textDirection w:val="lrTb"/>
            <w:noWrap w:val="false"/>
          </w:tcPr>
          <w:p w14:paraId="5EC5C09D">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[0.00, 0.25]</w:t>
            </w:r>
            <w:r>
              <w:rPr>
                <w:color w:val="000000" w:themeColor="text1"/>
              </w:rPr>
            </w:r>
            <w:r>
              <w:rPr>
                <w:color w:val="000000" w:themeColor="text1"/>
              </w:rPr>
            </w:r>
          </w:p>
        </w:tc>
        <w:tc>
          <w:tcPr>
            <w:tcBorders/>
            <w:tcW w:w="2160" w:type="dxa"/>
            <w:textDirection w:val="lrTb"/>
            <w:noWrap w:val="false"/>
          </w:tcPr>
          <w:p w14:paraId="3ED4F5A3">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[0.00, 0.55]</w:t>
            </w:r>
            <w:r>
              <w:rPr>
                <w:color w:val="000000" w:themeColor="text1"/>
              </w:rPr>
            </w:r>
            <w:r>
              <w:rPr>
                <w:color w:val="000000" w:themeColor="text1"/>
              </w:rPr>
            </w:r>
          </w:p>
        </w:tc>
        <w:tc>
          <w:tcPr>
            <w:tcBorders/>
            <w:tcW w:w="2160" w:type="dxa"/>
            <w:textDirection w:val="lrTb"/>
            <w:noWrap w:val="false"/>
          </w:tcPr>
          <w:p w14:paraId="3BF0191D">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[0.20, 0.70]</w:t>
            </w:r>
            <w:r>
              <w:rPr>
                <w:color w:val="000000" w:themeColor="text1"/>
              </w:rPr>
            </w:r>
            <w:r>
              <w:rPr>
                <w:color w:val="000000" w:themeColor="text1"/>
              </w:rPr>
            </w:r>
          </w:p>
        </w:tc>
      </w:tr>
      <w:tr>
        <w:trPr/>
        <w:tc>
          <w:tcPr>
            <w:tcBorders/>
            <w:tcW w:w="2160" w:type="dxa"/>
            <w:textDirection w:val="lrTb"/>
            <w:noWrap w:val="false"/>
          </w:tcPr>
          <w:p w14:paraId="35E6ECE8">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Hit rate@k</w:t>
            </w:r>
            <w:r>
              <w:rPr>
                <w:color w:val="000000" w:themeColor="text1"/>
              </w:rPr>
            </w:r>
            <w:r>
              <w:rPr>
                <w:color w:val="000000" w:themeColor="text1"/>
              </w:rPr>
            </w:r>
          </w:p>
        </w:tc>
        <w:tc>
          <w:tcPr>
            <w:tcBorders/>
            <w:tcW w:w="2160" w:type="dxa"/>
            <w:textDirection w:val="lrTb"/>
            <w:noWrap w:val="false"/>
          </w:tcPr>
          <w:p w14:paraId="677BDC56">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[0.00, 0.50]</w:t>
            </w:r>
            <w:r>
              <w:rPr>
                <w:color w:val="000000" w:themeColor="text1"/>
              </w:rPr>
            </w:r>
            <w:r>
              <w:rPr>
                <w:color w:val="000000" w:themeColor="text1"/>
              </w:rPr>
            </w:r>
          </w:p>
        </w:tc>
        <w:tc>
          <w:tcPr>
            <w:tcBorders/>
            <w:tcW w:w="2160" w:type="dxa"/>
            <w:textDirection w:val="lrTb"/>
            <w:noWrap w:val="false"/>
          </w:tcPr>
          <w:p w14:paraId="66E748E1">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[0.00, 0.60]</w:t>
            </w:r>
            <w:r>
              <w:rPr>
                <w:color w:val="000000" w:themeColor="text1"/>
              </w:rPr>
            </w:r>
            <w:r>
              <w:rPr>
                <w:color w:val="000000" w:themeColor="text1"/>
              </w:rPr>
            </w:r>
          </w:p>
        </w:tc>
        <w:tc>
          <w:tcPr>
            <w:tcBorders/>
            <w:tcW w:w="2160" w:type="dxa"/>
            <w:textDirection w:val="lrTb"/>
            <w:noWrap w:val="false"/>
          </w:tcPr>
          <w:p w14:paraId="73917109">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[0.30, 0.90]</w:t>
            </w:r>
            <w:r>
              <w:rPr>
                <w:color w:val="000000" w:themeColor="text1"/>
              </w:rPr>
            </w:r>
            <w:r>
              <w:rPr>
                <w:color w:val="000000" w:themeColor="text1"/>
              </w:rPr>
            </w:r>
          </w:p>
        </w:tc>
      </w:tr>
    </w:tbl>
    <w:p w14:paraId="550E2433">
      <w:pPr>
        <w:pStyle w:val="1128"/>
        <w:suppressLineNumbers w:val="false"/>
        <w:pBdr/>
        <w:spacing w:line="300" w:lineRule="auto"/>
        <w:ind w:firstLine="0"/>
        <w:rPr/>
      </w:pPr>
      <w:r>
        <w:t xml:space="preserve">Interpretation: top-5 retrieval gives workable coverage on the current small KB, but wide intervals reflect small retrieval-gold sample size (n=10).</w:t>
      </w:r>
      <w:r/>
    </w:p>
    <w:p w14:paraId="354E27E6">
      <w:pPr>
        <w:pStyle w:val="1128"/>
        <w:suppressLineNumbers w:val="false"/>
        <w:pBdr/>
        <w:spacing w:line="300" w:lineRule="auto"/>
        <w:ind w:firstLine="0"/>
        <w:rPr>
          <w:highlight w:val="none"/>
        </w:rPr>
      </w:pPr>
      <w:r>
        <mc:AlternateContent>
          <mc:Choice Requires="wpg">
            <w:drawing>
              <wp:inline xmlns:wp="http://schemas.openxmlformats.org/drawingml/2006/wordprocessingDrawing" distT="0" distB="0" distL="0" distR="0">
                <wp:extent cx="5898250" cy="3538950"/>
                <wp:effectExtent l="0" t="0" r="0" b="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652993" name=""/>
                        <pic:cNvPicPr>
                          <a:picLocks noChangeAspect="1"/>
                        </pic:cNvPicPr>
                        <pic:nvPr/>
                      </pic:nvPicPr>
                      <pic:blipFill rotWithShape="1">
                        <a:blip r:embed="rId29"/>
                        <a:stretch/>
                      </pic:blipFill>
                      <pic:spPr bwMode="auto">
                        <a:xfrm flipH="0" flipV="0">
                          <a:off x="0" y="0"/>
                          <a:ext cx="5898249" cy="35389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464.43pt;height:278.66pt;mso-wrap-distance-left:0.00pt;mso-wrap-distance-top:0.00pt;mso-wrap-distance-right:0.00pt;mso-wrap-distance-bottom:0.00pt;z-index:1;" stroked="false">
                <v:imagedata r:id="rId29" o:title=""/>
                <o:lock v:ext="edit" rotation="t"/>
              </v:shape>
            </w:pict>
          </mc:Fallback>
        </mc:AlternateContent>
      </w:r>
      <w:r>
        <w:rPr>
          <w:highlight w:val="none"/>
        </w:rPr>
      </w:r>
      <w:r>
        <w:rPr>
          <w:highlight w:val="none"/>
        </w:rPr>
      </w:r>
    </w:p>
    <w:p w14:paraId="2FF02AC4">
      <w:pPr>
        <w:pStyle w:val="1128"/>
        <w:suppressLineNumbers w:val="false"/>
        <w:pBdr/>
        <w:spacing w:line="300" w:lineRule="auto"/>
        <w:ind w:firstLine="0"/>
        <w:rPr>
          <w:highlight w:val="none"/>
        </w:rPr>
      </w:pPr>
      <w:r>
        <w:rPr>
          <w:highlight w:val="none"/>
        </w:rPr>
      </w:r>
      <w:r>
        <w:rPr>
          <w:highlight w:val="none"/>
        </w:rPr>
        <w:t xml:space="preserve">Retrieval precision/recall/hit-rate profiles with uncertainty bands.</w:t>
      </w:r>
      <w:r>
        <w:rPr>
          <w:highlight w:val="none"/>
        </w:rPr>
      </w:r>
      <w:r>
        <w:rPr>
          <w:highlight w:val="none"/>
        </w:rPr>
      </w:r>
    </w:p>
    <w:p w14:paraId="2B4EC682">
      <w:pPr>
        <w:pStyle w:val="1128"/>
        <w:suppressLineNumbers w:val="false"/>
        <w:pBdr/>
        <w:spacing w:line="300" w:lineRule="auto"/>
        <w:ind w:firstLine="0"/>
        <w:rPr/>
      </w:pPr>
      <w:r/>
      <w:r/>
    </w:p>
    <w:p w14:paraId="4F960A5C">
      <w:pPr>
        <w:pStyle w:val="1128"/>
        <w:suppressLineNumbers w:val="false"/>
        <w:pBdr/>
        <w:spacing w:line="300" w:lineRule="auto"/>
        <w:ind w:firstLine="0"/>
        <w:rPr>
          <w:b/>
          <w:bCs/>
        </w:rPr>
      </w:pPr>
      <w:r>
        <w:rPr>
          <w:b/>
          <w:bCs/>
          <w:highlight w:val="none"/>
        </w:rPr>
      </w:r>
      <w:r>
        <w:rPr>
          <w:b/>
          <w:bCs/>
          <w:highlight w:val="none"/>
        </w:rPr>
        <w:t xml:space="preserve">5.6.3 Retrieval ablation (backend/rerank sensitivity)</w:t>
      </w:r>
      <w:r>
        <w:rPr>
          <w:b/>
          <w:bCs/>
        </w:rPr>
      </w:r>
      <w:r>
        <w:rPr>
          <w:b/>
          <w:bCs/>
        </w:rPr>
      </w:r>
    </w:p>
    <w:p w14:paraId="23E6197E">
      <w:pPr>
        <w:pStyle w:val="1128"/>
        <w:suppressLineNumbers w:val="false"/>
        <w:pBdr/>
        <w:spacing w:line="300" w:lineRule="auto"/>
        <w:ind w:firstLine="0"/>
        <w:rPr>
          <w:highlight w:val="none"/>
        </w:rPr>
      </w:pPr>
      <w:r>
        <w:t xml:space="preserve">Source: Prototyping_reformat/chapter5_pico_wrapper/results/eval_pass3_ablation/retrieval_ablation_summary.tsv.</w:t>
      </w:r>
      <w:r>
        <w:rPr>
          <w:highlight w:val="none"/>
        </w:rPr>
      </w:r>
      <w:r>
        <w:rPr>
          <w:highlight w:val="none"/>
        </w:rPr>
      </w:r>
    </w:p>
    <w:p w14:paraId="124A3DC4">
      <w:pPr>
        <w:pStyle w:val="1128"/>
        <w:suppressLineNumbers w:val="false"/>
        <w:pBdr/>
        <w:spacing w:line="300" w:lineRule="auto"/>
        <w:ind w:firstLine="0"/>
        <w:rPr/>
      </w:pPr>
      <w:r/>
      <w:r/>
    </w:p>
    <w:tbl>
      <w:tblPr>
        <w:tblStyle w:val="1185"/>
        <w:tblW w:w="0" w:type="auto"/>
        <w:tblBorders/>
        <w:tblLook w:val="04A0" w:firstRow="1" w:lastRow="0" w:firstColumn="1" w:lastColumn="0" w:noHBand="0" w:noVBand="1"/>
      </w:tblPr>
      <w:tblGrid>
        <w:gridCol w:w="1234"/>
        <w:gridCol w:w="1234"/>
        <w:gridCol w:w="1234"/>
        <w:gridCol w:w="1234"/>
        <w:gridCol w:w="1234"/>
        <w:gridCol w:w="1234"/>
        <w:gridCol w:w="1234"/>
      </w:tblGrid>
      <w:tr>
        <w:trPr/>
        <w:tc>
          <w:tcPr>
            <w:tcBorders/>
            <w:tcW w:w="1234" w:type="dxa"/>
            <w:textDirection w:val="lrTb"/>
            <w:noWrap w:val="false"/>
          </w:tcPr>
          <w:p w14:paraId="2AEF3244">
            <w:pPr>
              <w:pBdr/>
              <w:spacing w:after="0" w:before="0" w:line="240" w:lineRule="auto"/>
              <w:ind/>
              <w:rPr>
                <w:color w:val="000000" w:themeColor="text1"/>
              </w:rPr>
            </w:pPr>
            <w:r>
              <w:rPr>
                <w:rFonts w:ascii="Liberation Sans" w:hAnsi="Liberation Sans" w:eastAsia="Liberation Sans" w:cs="Liberation Sans"/>
                <w:b/>
                <w:color w:val="000000" w:themeColor="text1"/>
                <w:sz w:val="21"/>
              </w:rPr>
              <w:t xml:space="preserve">Case</w:t>
            </w:r>
            <w:r>
              <w:rPr>
                <w:color w:val="000000" w:themeColor="text1"/>
              </w:rPr>
            </w:r>
            <w:r>
              <w:rPr>
                <w:color w:val="000000" w:themeColor="text1"/>
              </w:rPr>
            </w:r>
          </w:p>
        </w:tc>
        <w:tc>
          <w:tcPr>
            <w:tcBorders/>
            <w:tcW w:w="1234" w:type="dxa"/>
            <w:textDirection w:val="lrTb"/>
            <w:noWrap w:val="false"/>
          </w:tcPr>
          <w:p w14:paraId="03023128">
            <w:pPr>
              <w:pBdr/>
              <w:spacing w:after="0" w:before="0" w:line="240" w:lineRule="auto"/>
              <w:ind/>
              <w:rPr>
                <w:color w:val="000000" w:themeColor="text1"/>
              </w:rPr>
            </w:pPr>
            <w:r>
              <w:rPr>
                <w:rFonts w:ascii="Liberation Sans" w:hAnsi="Liberation Sans" w:eastAsia="Liberation Sans" w:cs="Liberation Sans"/>
                <w:b/>
                <w:color w:val="000000" w:themeColor="text1"/>
                <w:sz w:val="21"/>
              </w:rPr>
              <w:t xml:space="preserve">Backend</w:t>
            </w:r>
            <w:r>
              <w:rPr>
                <w:color w:val="000000" w:themeColor="text1"/>
              </w:rPr>
            </w:r>
            <w:r>
              <w:rPr>
                <w:color w:val="000000" w:themeColor="text1"/>
              </w:rPr>
            </w:r>
          </w:p>
        </w:tc>
        <w:tc>
          <w:tcPr>
            <w:tcBorders/>
            <w:tcW w:w="1234" w:type="dxa"/>
            <w:textDirection w:val="lrTb"/>
            <w:noWrap w:val="false"/>
          </w:tcPr>
          <w:p w14:paraId="10915B06">
            <w:pPr>
              <w:pBdr/>
              <w:spacing w:after="0" w:before="0" w:line="240" w:lineRule="auto"/>
              <w:ind/>
              <w:rPr>
                <w:color w:val="000000" w:themeColor="text1"/>
              </w:rPr>
            </w:pPr>
            <w:r>
              <w:rPr>
                <w:rFonts w:ascii="Liberation Sans" w:hAnsi="Liberation Sans" w:eastAsia="Liberation Sans" w:cs="Liberation Sans"/>
                <w:b/>
                <w:color w:val="000000" w:themeColor="text1"/>
                <w:sz w:val="21"/>
              </w:rPr>
              <w:t xml:space="preserve">Rerank</w:t>
            </w:r>
            <w:r>
              <w:rPr>
                <w:color w:val="000000" w:themeColor="text1"/>
              </w:rPr>
            </w:r>
            <w:r>
              <w:rPr>
                <w:color w:val="000000" w:themeColor="text1"/>
              </w:rPr>
            </w:r>
          </w:p>
        </w:tc>
        <w:tc>
          <w:tcPr>
            <w:tcBorders/>
            <w:tcW w:w="1234" w:type="dxa"/>
            <w:textDirection w:val="lrTb"/>
            <w:noWrap w:val="false"/>
          </w:tcPr>
          <w:p w14:paraId="783E2FA3">
            <w:pPr>
              <w:pBdr/>
              <w:spacing w:after="0" w:before="0" w:line="240" w:lineRule="auto"/>
              <w:ind/>
              <w:jc w:val="right"/>
              <w:rPr>
                <w:color w:val="000000" w:themeColor="text1"/>
              </w:rPr>
            </w:pPr>
            <w:r>
              <w:rPr>
                <w:rFonts w:ascii="Liberation Sans" w:hAnsi="Liberation Sans" w:eastAsia="Liberation Sans" w:cs="Liberation Sans"/>
                <w:b/>
                <w:color w:val="000000" w:themeColor="text1"/>
                <w:sz w:val="21"/>
              </w:rPr>
              <w:t xml:space="preserve">Alpha</w:t>
            </w:r>
            <w:r>
              <w:rPr>
                <w:color w:val="000000" w:themeColor="text1"/>
              </w:rPr>
            </w:r>
            <w:r>
              <w:rPr>
                <w:color w:val="000000" w:themeColor="text1"/>
              </w:rPr>
            </w:r>
          </w:p>
        </w:tc>
        <w:tc>
          <w:tcPr>
            <w:tcBorders/>
            <w:tcW w:w="1234" w:type="dxa"/>
            <w:textDirection w:val="lrTb"/>
            <w:noWrap w:val="false"/>
          </w:tcPr>
          <w:p w14:paraId="3689A247">
            <w:pPr>
              <w:pBdr/>
              <w:spacing w:after="0" w:before="0" w:line="240" w:lineRule="auto"/>
              <w:ind/>
              <w:jc w:val="right"/>
              <w:rPr>
                <w:color w:val="000000" w:themeColor="text1"/>
              </w:rPr>
            </w:pPr>
            <w:r>
              <w:rPr>
                <w:rFonts w:ascii="Liberation Sans" w:hAnsi="Liberation Sans" w:eastAsia="Liberation Sans" w:cs="Liberation Sans"/>
                <w:b/>
                <w:color w:val="000000" w:themeColor="text1"/>
                <w:sz w:val="21"/>
              </w:rPr>
              <w:t xml:space="preserve">Hit@1</w:t>
            </w:r>
            <w:r>
              <w:rPr>
                <w:color w:val="000000" w:themeColor="text1"/>
              </w:rPr>
            </w:r>
            <w:r>
              <w:rPr>
                <w:color w:val="000000" w:themeColor="text1"/>
              </w:rPr>
            </w:r>
          </w:p>
        </w:tc>
        <w:tc>
          <w:tcPr>
            <w:tcBorders/>
            <w:tcW w:w="1234" w:type="dxa"/>
            <w:textDirection w:val="lrTb"/>
            <w:noWrap w:val="false"/>
          </w:tcPr>
          <w:p w14:paraId="477D2899">
            <w:pPr>
              <w:pBdr/>
              <w:spacing w:after="0" w:before="0" w:line="240" w:lineRule="auto"/>
              <w:ind/>
              <w:jc w:val="right"/>
              <w:rPr>
                <w:color w:val="000000" w:themeColor="text1"/>
              </w:rPr>
            </w:pPr>
            <w:r>
              <w:rPr>
                <w:rFonts w:ascii="Liberation Sans" w:hAnsi="Liberation Sans" w:eastAsia="Liberation Sans" w:cs="Liberation Sans"/>
                <w:b/>
                <w:color w:val="000000" w:themeColor="text1"/>
                <w:sz w:val="21"/>
              </w:rPr>
              <w:t xml:space="preserve">Hit@5</w:t>
            </w:r>
            <w:r>
              <w:rPr>
                <w:color w:val="000000" w:themeColor="text1"/>
              </w:rPr>
            </w:r>
            <w:r>
              <w:rPr>
                <w:color w:val="000000" w:themeColor="text1"/>
              </w:rPr>
            </w:r>
          </w:p>
        </w:tc>
        <w:tc>
          <w:tcPr>
            <w:tcBorders/>
            <w:tcW w:w="1234" w:type="dxa"/>
            <w:textDirection w:val="lrTb"/>
            <w:noWrap w:val="false"/>
          </w:tcPr>
          <w:p w14:paraId="0C2C28B9">
            <w:pPr>
              <w:pBdr/>
              <w:spacing w:after="0" w:before="0" w:line="240" w:lineRule="auto"/>
              <w:ind/>
              <w:jc w:val="right"/>
              <w:rPr>
                <w:color w:val="000000" w:themeColor="text1"/>
              </w:rPr>
            </w:pPr>
            <w:r>
              <w:rPr>
                <w:rFonts w:ascii="Liberation Sans" w:hAnsi="Liberation Sans" w:eastAsia="Liberation Sans" w:cs="Liberation Sans"/>
                <w:b/>
                <w:color w:val="000000" w:themeColor="text1"/>
                <w:sz w:val="21"/>
              </w:rPr>
              <w:t xml:space="preserve">Recall@5</w:t>
            </w:r>
            <w:r>
              <w:rPr>
                <w:color w:val="000000" w:themeColor="text1"/>
              </w:rPr>
            </w:r>
            <w:r>
              <w:rPr>
                <w:color w:val="000000" w:themeColor="text1"/>
              </w:rPr>
            </w:r>
          </w:p>
        </w:tc>
      </w:tr>
      <w:tr>
        <w:trPr/>
        <w:tc>
          <w:tcPr>
            <w:tcBorders/>
            <w:tcW w:w="1234" w:type="dxa"/>
            <w:textDirection w:val="lrTb"/>
            <w:noWrap w:val="false"/>
          </w:tcPr>
          <w:p w14:paraId="7BB74779">
            <w:pPr>
              <w:pBdr/>
              <w:spacing w:after="0" w:before="0" w:line="240" w:lineRule="auto"/>
              <w:ind/>
              <w:rPr>
                <w:color w:val="000000" w:themeColor="text1"/>
              </w:rPr>
            </w:pPr>
            <w:r>
              <w:rPr>
                <w:rFonts w:ascii="Droid Sans Mono" w:hAnsi="Droid Sans Mono" w:eastAsia="Droid Sans Mono" w:cs="Droid Sans Mono"/>
                <w:color w:val="000000" w:themeColor="text1"/>
                <w:sz w:val="24"/>
                <w:highlight w:val="white"/>
              </w:rPr>
              <w:t xml:space="preserve">keyword_no_rerank</w:t>
            </w:r>
            <w:r>
              <w:rPr>
                <w:color w:val="000000" w:themeColor="text1"/>
              </w:rPr>
            </w:r>
            <w:r>
              <w:rPr>
                <w:color w:val="000000" w:themeColor="text1"/>
              </w:rPr>
            </w:r>
          </w:p>
        </w:tc>
        <w:tc>
          <w:tcPr>
            <w:tcBorders/>
            <w:tcW w:w="1234" w:type="dxa"/>
            <w:textDirection w:val="lrTb"/>
            <w:noWrap w:val="false"/>
          </w:tcPr>
          <w:p w14:paraId="5D6C8763">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keyword</w:t>
            </w:r>
            <w:r>
              <w:rPr>
                <w:color w:val="000000" w:themeColor="text1"/>
              </w:rPr>
            </w:r>
            <w:r>
              <w:rPr>
                <w:color w:val="000000" w:themeColor="text1"/>
              </w:rPr>
            </w:r>
          </w:p>
        </w:tc>
        <w:tc>
          <w:tcPr>
            <w:tcBorders/>
            <w:tcW w:w="1234" w:type="dxa"/>
            <w:textDirection w:val="lrTb"/>
            <w:noWrap w:val="false"/>
          </w:tcPr>
          <w:p w14:paraId="18778D81">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no</w:t>
            </w:r>
            <w:r>
              <w:rPr>
                <w:color w:val="000000" w:themeColor="text1"/>
              </w:rPr>
            </w:r>
            <w:r>
              <w:rPr>
                <w:color w:val="000000" w:themeColor="text1"/>
              </w:rPr>
            </w:r>
          </w:p>
        </w:tc>
        <w:tc>
          <w:tcPr>
            <w:tcBorders/>
            <w:tcW w:w="1234" w:type="dxa"/>
            <w:textDirection w:val="lrTb"/>
            <w:noWrap w:val="false"/>
          </w:tcPr>
          <w:p w14:paraId="48D1F961">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0.35</w:t>
            </w:r>
            <w:r>
              <w:rPr>
                <w:color w:val="000000" w:themeColor="text1"/>
              </w:rPr>
            </w:r>
            <w:r>
              <w:rPr>
                <w:color w:val="000000" w:themeColor="text1"/>
              </w:rPr>
            </w:r>
          </w:p>
        </w:tc>
        <w:tc>
          <w:tcPr>
            <w:tcBorders/>
            <w:tcW w:w="1234" w:type="dxa"/>
            <w:textDirection w:val="lrTb"/>
            <w:noWrap w:val="false"/>
          </w:tcPr>
          <w:p w14:paraId="3F709B15">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0.20</w:t>
            </w:r>
            <w:r>
              <w:rPr>
                <w:color w:val="000000" w:themeColor="text1"/>
              </w:rPr>
            </w:r>
            <w:r>
              <w:rPr>
                <w:color w:val="000000" w:themeColor="text1"/>
              </w:rPr>
            </w:r>
          </w:p>
        </w:tc>
        <w:tc>
          <w:tcPr>
            <w:tcBorders/>
            <w:tcW w:w="1234" w:type="dxa"/>
            <w:textDirection w:val="lrTb"/>
            <w:noWrap w:val="false"/>
          </w:tcPr>
          <w:p w14:paraId="18070BC0">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0.50</w:t>
            </w:r>
            <w:r>
              <w:rPr>
                <w:color w:val="000000" w:themeColor="text1"/>
              </w:rPr>
            </w:r>
            <w:r>
              <w:rPr>
                <w:color w:val="000000" w:themeColor="text1"/>
              </w:rPr>
            </w:r>
          </w:p>
        </w:tc>
        <w:tc>
          <w:tcPr>
            <w:tcBorders/>
            <w:tcW w:w="1234" w:type="dxa"/>
            <w:textDirection w:val="lrTb"/>
            <w:noWrap w:val="false"/>
          </w:tcPr>
          <w:p w14:paraId="319AE537">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0.30</w:t>
            </w:r>
            <w:r>
              <w:rPr>
                <w:color w:val="000000" w:themeColor="text1"/>
              </w:rPr>
            </w:r>
            <w:r>
              <w:rPr>
                <w:color w:val="000000" w:themeColor="text1"/>
              </w:rPr>
            </w:r>
          </w:p>
        </w:tc>
      </w:tr>
      <w:tr>
        <w:trPr/>
        <w:tc>
          <w:tcPr>
            <w:tcBorders/>
            <w:tcW w:w="1234" w:type="dxa"/>
            <w:textDirection w:val="lrTb"/>
            <w:noWrap w:val="false"/>
          </w:tcPr>
          <w:p w14:paraId="729761E4">
            <w:pPr>
              <w:pBdr/>
              <w:spacing w:after="0" w:before="0" w:line="240" w:lineRule="auto"/>
              <w:ind/>
              <w:rPr>
                <w:color w:val="000000" w:themeColor="text1"/>
              </w:rPr>
            </w:pPr>
            <w:r>
              <w:rPr>
                <w:rFonts w:ascii="Droid Sans Mono" w:hAnsi="Droid Sans Mono" w:eastAsia="Droid Sans Mono" w:cs="Droid Sans Mono"/>
                <w:color w:val="000000" w:themeColor="text1"/>
                <w:sz w:val="24"/>
                <w:highlight w:val="white"/>
              </w:rPr>
              <w:t xml:space="preserve">hybrid_rerank_a035</w:t>
            </w:r>
            <w:r>
              <w:rPr>
                <w:color w:val="000000" w:themeColor="text1"/>
              </w:rPr>
            </w:r>
            <w:r>
              <w:rPr>
                <w:color w:val="000000" w:themeColor="text1"/>
              </w:rPr>
            </w:r>
          </w:p>
        </w:tc>
        <w:tc>
          <w:tcPr>
            <w:tcBorders/>
            <w:tcW w:w="1234" w:type="dxa"/>
            <w:textDirection w:val="lrTb"/>
            <w:noWrap w:val="false"/>
          </w:tcPr>
          <w:p w14:paraId="601E9087">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hybrid</w:t>
            </w:r>
            <w:r>
              <w:rPr>
                <w:color w:val="000000" w:themeColor="text1"/>
              </w:rPr>
            </w:r>
            <w:r>
              <w:rPr>
                <w:color w:val="000000" w:themeColor="text1"/>
              </w:rPr>
            </w:r>
          </w:p>
        </w:tc>
        <w:tc>
          <w:tcPr>
            <w:tcBorders/>
            <w:tcW w:w="1234" w:type="dxa"/>
            <w:textDirection w:val="lrTb"/>
            <w:noWrap w:val="false"/>
          </w:tcPr>
          <w:p w14:paraId="49E0C1CB">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yes</w:t>
            </w:r>
            <w:r>
              <w:rPr>
                <w:color w:val="000000" w:themeColor="text1"/>
              </w:rPr>
            </w:r>
            <w:r>
              <w:rPr>
                <w:color w:val="000000" w:themeColor="text1"/>
              </w:rPr>
            </w:r>
          </w:p>
        </w:tc>
        <w:tc>
          <w:tcPr>
            <w:tcBorders/>
            <w:tcW w:w="1234" w:type="dxa"/>
            <w:textDirection w:val="lrTb"/>
            <w:noWrap w:val="false"/>
          </w:tcPr>
          <w:p w14:paraId="4630C43F">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0.35</w:t>
            </w:r>
            <w:r>
              <w:rPr>
                <w:color w:val="000000" w:themeColor="text1"/>
              </w:rPr>
            </w:r>
            <w:r>
              <w:rPr>
                <w:color w:val="000000" w:themeColor="text1"/>
              </w:rPr>
            </w:r>
          </w:p>
        </w:tc>
        <w:tc>
          <w:tcPr>
            <w:tcBorders/>
            <w:tcW w:w="1234" w:type="dxa"/>
            <w:textDirection w:val="lrTb"/>
            <w:noWrap w:val="false"/>
          </w:tcPr>
          <w:p w14:paraId="65194121">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0.20</w:t>
            </w:r>
            <w:r>
              <w:rPr>
                <w:color w:val="000000" w:themeColor="text1"/>
              </w:rPr>
            </w:r>
            <w:r>
              <w:rPr>
                <w:color w:val="000000" w:themeColor="text1"/>
              </w:rPr>
            </w:r>
          </w:p>
        </w:tc>
        <w:tc>
          <w:tcPr>
            <w:tcBorders/>
            <w:tcW w:w="1234" w:type="dxa"/>
            <w:textDirection w:val="lrTb"/>
            <w:noWrap w:val="false"/>
          </w:tcPr>
          <w:p w14:paraId="43BB2300">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0.50</w:t>
            </w:r>
            <w:r>
              <w:rPr>
                <w:color w:val="000000" w:themeColor="text1"/>
              </w:rPr>
            </w:r>
            <w:r>
              <w:rPr>
                <w:color w:val="000000" w:themeColor="text1"/>
              </w:rPr>
            </w:r>
          </w:p>
        </w:tc>
        <w:tc>
          <w:tcPr>
            <w:tcBorders/>
            <w:tcW w:w="1234" w:type="dxa"/>
            <w:textDirection w:val="lrTb"/>
            <w:noWrap w:val="false"/>
          </w:tcPr>
          <w:p w14:paraId="44C065A8">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0.35</w:t>
            </w:r>
            <w:r>
              <w:rPr>
                <w:color w:val="000000" w:themeColor="text1"/>
              </w:rPr>
            </w:r>
            <w:r>
              <w:rPr>
                <w:color w:val="000000" w:themeColor="text1"/>
              </w:rPr>
            </w:r>
          </w:p>
        </w:tc>
      </w:tr>
      <w:tr>
        <w:trPr/>
        <w:tc>
          <w:tcPr>
            <w:tcBorders/>
            <w:tcW w:w="1234" w:type="dxa"/>
            <w:textDirection w:val="lrTb"/>
            <w:noWrap w:val="false"/>
          </w:tcPr>
          <w:p w14:paraId="444813F0">
            <w:pPr>
              <w:pBdr/>
              <w:spacing w:after="0" w:before="0" w:line="240" w:lineRule="auto"/>
              <w:ind/>
              <w:rPr>
                <w:color w:val="000000" w:themeColor="text1"/>
              </w:rPr>
            </w:pPr>
            <w:r>
              <w:rPr>
                <w:rFonts w:ascii="Droid Sans Mono" w:hAnsi="Droid Sans Mono" w:eastAsia="Droid Sans Mono" w:cs="Droid Sans Mono"/>
                <w:color w:val="000000" w:themeColor="text1"/>
                <w:sz w:val="24"/>
                <w:highlight w:val="white"/>
              </w:rPr>
              <w:t xml:space="preserve">hybrid_rerank_a050</w:t>
            </w:r>
            <w:r>
              <w:rPr>
                <w:color w:val="000000" w:themeColor="text1"/>
              </w:rPr>
            </w:r>
            <w:r>
              <w:rPr>
                <w:color w:val="000000" w:themeColor="text1"/>
              </w:rPr>
            </w:r>
          </w:p>
        </w:tc>
        <w:tc>
          <w:tcPr>
            <w:tcBorders/>
            <w:tcW w:w="1234" w:type="dxa"/>
            <w:textDirection w:val="lrTb"/>
            <w:noWrap w:val="false"/>
          </w:tcPr>
          <w:p w14:paraId="4722C593">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hybrid</w:t>
            </w:r>
            <w:r>
              <w:rPr>
                <w:color w:val="000000" w:themeColor="text1"/>
              </w:rPr>
            </w:r>
            <w:r>
              <w:rPr>
                <w:color w:val="000000" w:themeColor="text1"/>
              </w:rPr>
            </w:r>
          </w:p>
        </w:tc>
        <w:tc>
          <w:tcPr>
            <w:tcBorders/>
            <w:tcW w:w="1234" w:type="dxa"/>
            <w:textDirection w:val="lrTb"/>
            <w:noWrap w:val="false"/>
          </w:tcPr>
          <w:p w14:paraId="3E325D12">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yes</w:t>
            </w:r>
            <w:r>
              <w:rPr>
                <w:color w:val="000000" w:themeColor="text1"/>
              </w:rPr>
            </w:r>
            <w:r>
              <w:rPr>
                <w:color w:val="000000" w:themeColor="text1"/>
              </w:rPr>
            </w:r>
          </w:p>
        </w:tc>
        <w:tc>
          <w:tcPr>
            <w:tcBorders/>
            <w:tcW w:w="1234" w:type="dxa"/>
            <w:textDirection w:val="lrTb"/>
            <w:noWrap w:val="false"/>
          </w:tcPr>
          <w:p w14:paraId="6B8AD128">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0.50</w:t>
            </w:r>
            <w:r>
              <w:rPr>
                <w:color w:val="000000" w:themeColor="text1"/>
              </w:rPr>
            </w:r>
            <w:r>
              <w:rPr>
                <w:color w:val="000000" w:themeColor="text1"/>
              </w:rPr>
            </w:r>
          </w:p>
        </w:tc>
        <w:tc>
          <w:tcPr>
            <w:tcBorders/>
            <w:tcW w:w="1234" w:type="dxa"/>
            <w:textDirection w:val="lrTb"/>
            <w:noWrap w:val="false"/>
          </w:tcPr>
          <w:p w14:paraId="20A46A79">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0.20</w:t>
            </w:r>
            <w:r>
              <w:rPr>
                <w:color w:val="000000" w:themeColor="text1"/>
              </w:rPr>
            </w:r>
            <w:r>
              <w:rPr>
                <w:color w:val="000000" w:themeColor="text1"/>
              </w:rPr>
            </w:r>
          </w:p>
        </w:tc>
        <w:tc>
          <w:tcPr>
            <w:tcBorders/>
            <w:tcW w:w="1234" w:type="dxa"/>
            <w:textDirection w:val="lrTb"/>
            <w:noWrap w:val="false"/>
          </w:tcPr>
          <w:p w14:paraId="22F717E4">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0.50</w:t>
            </w:r>
            <w:r>
              <w:rPr>
                <w:color w:val="000000" w:themeColor="text1"/>
              </w:rPr>
            </w:r>
            <w:r>
              <w:rPr>
                <w:color w:val="000000" w:themeColor="text1"/>
              </w:rPr>
            </w:r>
          </w:p>
        </w:tc>
        <w:tc>
          <w:tcPr>
            <w:tcBorders/>
            <w:tcW w:w="1234" w:type="dxa"/>
            <w:textDirection w:val="lrTb"/>
            <w:noWrap w:val="false"/>
          </w:tcPr>
          <w:p w14:paraId="0782D761">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0.35</w:t>
            </w:r>
            <w:r>
              <w:rPr>
                <w:color w:val="000000" w:themeColor="text1"/>
              </w:rPr>
            </w:r>
            <w:r>
              <w:rPr>
                <w:color w:val="000000" w:themeColor="text1"/>
              </w:rPr>
            </w:r>
          </w:p>
        </w:tc>
      </w:tr>
      <w:tr>
        <w:trPr/>
        <w:tc>
          <w:tcPr>
            <w:tcBorders/>
            <w:tcW w:w="1234" w:type="dxa"/>
            <w:textDirection w:val="lrTb"/>
            <w:noWrap w:val="false"/>
          </w:tcPr>
          <w:p w14:paraId="6FD84FDA">
            <w:pPr>
              <w:pBdr/>
              <w:spacing w:after="0" w:before="0" w:line="240" w:lineRule="auto"/>
              <w:ind/>
              <w:rPr>
                <w:color w:val="000000" w:themeColor="text1"/>
              </w:rPr>
            </w:pPr>
            <w:r>
              <w:rPr>
                <w:rFonts w:ascii="Droid Sans Mono" w:hAnsi="Droid Sans Mono" w:eastAsia="Droid Sans Mono" w:cs="Droid Sans Mono"/>
                <w:color w:val="000000" w:themeColor="text1"/>
                <w:sz w:val="24"/>
                <w:highlight w:val="white"/>
              </w:rPr>
              <w:t xml:space="preserve">tfidf_no_rerank</w:t>
            </w:r>
            <w:r>
              <w:rPr>
                <w:color w:val="000000" w:themeColor="text1"/>
              </w:rPr>
            </w:r>
            <w:r>
              <w:rPr>
                <w:color w:val="000000" w:themeColor="text1"/>
              </w:rPr>
            </w:r>
          </w:p>
        </w:tc>
        <w:tc>
          <w:tcPr>
            <w:tcBorders/>
            <w:tcW w:w="1234" w:type="dxa"/>
            <w:textDirection w:val="lrTb"/>
            <w:noWrap w:val="false"/>
          </w:tcPr>
          <w:p w14:paraId="0805AA9C">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tfidf</w:t>
            </w:r>
            <w:r>
              <w:rPr>
                <w:color w:val="000000" w:themeColor="text1"/>
              </w:rPr>
            </w:r>
            <w:r>
              <w:rPr>
                <w:color w:val="000000" w:themeColor="text1"/>
              </w:rPr>
            </w:r>
          </w:p>
        </w:tc>
        <w:tc>
          <w:tcPr>
            <w:tcBorders/>
            <w:tcW w:w="1234" w:type="dxa"/>
            <w:textDirection w:val="lrTb"/>
            <w:noWrap w:val="false"/>
          </w:tcPr>
          <w:p w14:paraId="239333B1">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no</w:t>
            </w:r>
            <w:r>
              <w:rPr>
                <w:color w:val="000000" w:themeColor="text1"/>
              </w:rPr>
            </w:r>
            <w:r>
              <w:rPr>
                <w:color w:val="000000" w:themeColor="text1"/>
              </w:rPr>
            </w:r>
          </w:p>
        </w:tc>
        <w:tc>
          <w:tcPr>
            <w:tcBorders/>
            <w:tcW w:w="1234" w:type="dxa"/>
            <w:textDirection w:val="lrTb"/>
            <w:noWrap w:val="false"/>
          </w:tcPr>
          <w:p w14:paraId="3DD229DA">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0.35</w:t>
            </w:r>
            <w:r>
              <w:rPr>
                <w:color w:val="000000" w:themeColor="text1"/>
              </w:rPr>
            </w:r>
            <w:r>
              <w:rPr>
                <w:color w:val="000000" w:themeColor="text1"/>
              </w:rPr>
            </w:r>
          </w:p>
        </w:tc>
        <w:tc>
          <w:tcPr>
            <w:tcBorders/>
            <w:tcW w:w="1234" w:type="dxa"/>
            <w:textDirection w:val="lrTb"/>
            <w:noWrap w:val="false"/>
          </w:tcPr>
          <w:p w14:paraId="34C55A9A">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0.10</w:t>
            </w:r>
            <w:r>
              <w:rPr>
                <w:color w:val="000000" w:themeColor="text1"/>
              </w:rPr>
            </w:r>
            <w:r>
              <w:rPr>
                <w:color w:val="000000" w:themeColor="text1"/>
              </w:rPr>
            </w:r>
          </w:p>
        </w:tc>
        <w:tc>
          <w:tcPr>
            <w:tcBorders/>
            <w:tcW w:w="1234" w:type="dxa"/>
            <w:textDirection w:val="lrTb"/>
            <w:noWrap w:val="false"/>
          </w:tcPr>
          <w:p w14:paraId="3150056F">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0.60</w:t>
            </w:r>
            <w:r>
              <w:rPr>
                <w:color w:val="000000" w:themeColor="text1"/>
              </w:rPr>
            </w:r>
            <w:r>
              <w:rPr>
                <w:color w:val="000000" w:themeColor="text1"/>
              </w:rPr>
            </w:r>
          </w:p>
        </w:tc>
        <w:tc>
          <w:tcPr>
            <w:tcBorders/>
            <w:tcW w:w="1234" w:type="dxa"/>
            <w:textDirection w:val="lrTb"/>
            <w:noWrap w:val="false"/>
          </w:tcPr>
          <w:p w14:paraId="0F5C1394">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0.45</w:t>
            </w:r>
            <w:r>
              <w:rPr>
                <w:color w:val="000000" w:themeColor="text1"/>
              </w:rPr>
            </w:r>
            <w:r>
              <w:rPr>
                <w:color w:val="000000" w:themeColor="text1"/>
              </w:rPr>
            </w:r>
          </w:p>
        </w:tc>
      </w:tr>
      <w:tr>
        <w:trPr/>
        <w:tc>
          <w:tcPr>
            <w:tcBorders/>
            <w:tcW w:w="1234" w:type="dxa"/>
            <w:textDirection w:val="lrTb"/>
            <w:noWrap w:val="false"/>
          </w:tcPr>
          <w:p w14:paraId="600C7D5A">
            <w:pPr>
              <w:pBdr/>
              <w:spacing w:after="0" w:before="0" w:line="240" w:lineRule="auto"/>
              <w:ind/>
              <w:rPr>
                <w:color w:val="000000" w:themeColor="text1"/>
              </w:rPr>
            </w:pPr>
            <w:r>
              <w:rPr>
                <w:rFonts w:ascii="Droid Sans Mono" w:hAnsi="Droid Sans Mono" w:eastAsia="Droid Sans Mono" w:cs="Droid Sans Mono"/>
                <w:color w:val="000000" w:themeColor="text1"/>
                <w:sz w:val="24"/>
                <w:highlight w:val="white"/>
              </w:rPr>
              <w:t xml:space="preserve">tfidf_rerank_a035</w:t>
            </w:r>
            <w:r>
              <w:rPr>
                <w:color w:val="000000" w:themeColor="text1"/>
              </w:rPr>
            </w:r>
            <w:r>
              <w:rPr>
                <w:color w:val="000000" w:themeColor="text1"/>
              </w:rPr>
            </w:r>
          </w:p>
        </w:tc>
        <w:tc>
          <w:tcPr>
            <w:tcBorders/>
            <w:tcW w:w="1234" w:type="dxa"/>
            <w:textDirection w:val="lrTb"/>
            <w:noWrap w:val="false"/>
          </w:tcPr>
          <w:p w14:paraId="74D830B2">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tfidf</w:t>
            </w:r>
            <w:r>
              <w:rPr>
                <w:color w:val="000000" w:themeColor="text1"/>
              </w:rPr>
            </w:r>
            <w:r>
              <w:rPr>
                <w:color w:val="000000" w:themeColor="text1"/>
              </w:rPr>
            </w:r>
          </w:p>
        </w:tc>
        <w:tc>
          <w:tcPr>
            <w:tcBorders/>
            <w:tcW w:w="1234" w:type="dxa"/>
            <w:textDirection w:val="lrTb"/>
            <w:noWrap w:val="false"/>
          </w:tcPr>
          <w:p w14:paraId="4EF077CC">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yes</w:t>
            </w:r>
            <w:r>
              <w:rPr>
                <w:color w:val="000000" w:themeColor="text1"/>
              </w:rPr>
            </w:r>
            <w:r>
              <w:rPr>
                <w:color w:val="000000" w:themeColor="text1"/>
              </w:rPr>
            </w:r>
          </w:p>
        </w:tc>
        <w:tc>
          <w:tcPr>
            <w:tcBorders/>
            <w:tcW w:w="1234" w:type="dxa"/>
            <w:textDirection w:val="lrTb"/>
            <w:noWrap w:val="false"/>
          </w:tcPr>
          <w:p w14:paraId="0B453AF7">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0.35</w:t>
            </w:r>
            <w:r>
              <w:rPr>
                <w:color w:val="000000" w:themeColor="text1"/>
              </w:rPr>
            </w:r>
            <w:r>
              <w:rPr>
                <w:color w:val="000000" w:themeColor="text1"/>
              </w:rPr>
            </w:r>
          </w:p>
        </w:tc>
        <w:tc>
          <w:tcPr>
            <w:tcBorders/>
            <w:tcW w:w="1234" w:type="dxa"/>
            <w:textDirection w:val="lrTb"/>
            <w:noWrap w:val="false"/>
          </w:tcPr>
          <w:p w14:paraId="1D50C2E5">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0.20</w:t>
            </w:r>
            <w:r>
              <w:rPr>
                <w:color w:val="000000" w:themeColor="text1"/>
              </w:rPr>
            </w:r>
            <w:r>
              <w:rPr>
                <w:color w:val="000000" w:themeColor="text1"/>
              </w:rPr>
            </w:r>
          </w:p>
        </w:tc>
        <w:tc>
          <w:tcPr>
            <w:tcBorders/>
            <w:tcW w:w="1234" w:type="dxa"/>
            <w:textDirection w:val="lrTb"/>
            <w:noWrap w:val="false"/>
          </w:tcPr>
          <w:p w14:paraId="3BC638BB">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0.60</w:t>
            </w:r>
            <w:r>
              <w:rPr>
                <w:color w:val="000000" w:themeColor="text1"/>
              </w:rPr>
            </w:r>
            <w:r>
              <w:rPr>
                <w:color w:val="000000" w:themeColor="text1"/>
              </w:rPr>
            </w:r>
          </w:p>
        </w:tc>
        <w:tc>
          <w:tcPr>
            <w:tcBorders/>
            <w:tcW w:w="1234" w:type="dxa"/>
            <w:textDirection w:val="lrTb"/>
            <w:noWrap w:val="false"/>
          </w:tcPr>
          <w:p w14:paraId="6B72BD70">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0.45</w:t>
            </w:r>
            <w:r>
              <w:rPr>
                <w:color w:val="000000" w:themeColor="text1"/>
              </w:rPr>
            </w:r>
            <w:r>
              <w:rPr>
                <w:color w:val="000000" w:themeColor="text1"/>
              </w:rPr>
            </w:r>
          </w:p>
        </w:tc>
      </w:tr>
      <w:tr>
        <w:trPr/>
        <w:tc>
          <w:tcPr>
            <w:tcBorders/>
            <w:tcW w:w="1234" w:type="dxa"/>
            <w:textDirection w:val="lrTb"/>
            <w:noWrap w:val="false"/>
          </w:tcPr>
          <w:p w14:paraId="44E740CA">
            <w:pPr>
              <w:pBdr/>
              <w:spacing w:after="0" w:before="0" w:line="240" w:lineRule="auto"/>
              <w:ind/>
              <w:rPr>
                <w:color w:val="000000" w:themeColor="text1"/>
              </w:rPr>
            </w:pPr>
            <w:r>
              <w:rPr>
                <w:rFonts w:ascii="Droid Sans Mono" w:hAnsi="Droid Sans Mono" w:eastAsia="Droid Sans Mono" w:cs="Droid Sans Mono"/>
                <w:color w:val="000000" w:themeColor="text1"/>
                <w:sz w:val="24"/>
                <w:highlight w:val="white"/>
              </w:rPr>
              <w:t xml:space="preserve">hybrid_no_rerank</w:t>
            </w:r>
            <w:r>
              <w:rPr>
                <w:color w:val="000000" w:themeColor="text1"/>
              </w:rPr>
            </w:r>
            <w:r>
              <w:rPr>
                <w:color w:val="000000" w:themeColor="text1"/>
              </w:rPr>
            </w:r>
          </w:p>
        </w:tc>
        <w:tc>
          <w:tcPr>
            <w:tcBorders/>
            <w:tcW w:w="1234" w:type="dxa"/>
            <w:textDirection w:val="lrTb"/>
            <w:noWrap w:val="false"/>
          </w:tcPr>
          <w:p w14:paraId="2F19941D">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hybrid</w:t>
            </w:r>
            <w:r>
              <w:rPr>
                <w:color w:val="000000" w:themeColor="text1"/>
              </w:rPr>
            </w:r>
            <w:r>
              <w:rPr>
                <w:color w:val="000000" w:themeColor="text1"/>
              </w:rPr>
            </w:r>
          </w:p>
        </w:tc>
        <w:tc>
          <w:tcPr>
            <w:tcBorders/>
            <w:tcW w:w="1234" w:type="dxa"/>
            <w:textDirection w:val="lrTb"/>
            <w:noWrap w:val="false"/>
          </w:tcPr>
          <w:p w14:paraId="1CEFEE7C">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no</w:t>
            </w:r>
            <w:r>
              <w:rPr>
                <w:color w:val="000000" w:themeColor="text1"/>
              </w:rPr>
            </w:r>
            <w:r>
              <w:rPr>
                <w:color w:val="000000" w:themeColor="text1"/>
              </w:rPr>
            </w:r>
          </w:p>
        </w:tc>
        <w:tc>
          <w:tcPr>
            <w:tcBorders/>
            <w:tcW w:w="1234" w:type="dxa"/>
            <w:textDirection w:val="lrTb"/>
            <w:noWrap w:val="false"/>
          </w:tcPr>
          <w:p w14:paraId="1BB71A4D">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0.35</w:t>
            </w:r>
            <w:r>
              <w:rPr>
                <w:color w:val="000000" w:themeColor="text1"/>
              </w:rPr>
            </w:r>
            <w:r>
              <w:rPr>
                <w:color w:val="000000" w:themeColor="text1"/>
              </w:rPr>
            </w:r>
          </w:p>
        </w:tc>
        <w:tc>
          <w:tcPr>
            <w:tcBorders/>
            <w:tcW w:w="1234" w:type="dxa"/>
            <w:textDirection w:val="lrTb"/>
            <w:noWrap w:val="false"/>
          </w:tcPr>
          <w:p w14:paraId="5CA8A3CC">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0.20</w:t>
            </w:r>
            <w:r>
              <w:rPr>
                <w:color w:val="000000" w:themeColor="text1"/>
              </w:rPr>
            </w:r>
            <w:r>
              <w:rPr>
                <w:color w:val="000000" w:themeColor="text1"/>
              </w:rPr>
            </w:r>
          </w:p>
        </w:tc>
        <w:tc>
          <w:tcPr>
            <w:tcBorders/>
            <w:tcW w:w="1234" w:type="dxa"/>
            <w:textDirection w:val="lrTb"/>
            <w:noWrap w:val="false"/>
          </w:tcPr>
          <w:p w14:paraId="0B63A098">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0.60</w:t>
            </w:r>
            <w:r>
              <w:rPr>
                <w:color w:val="000000" w:themeColor="text1"/>
              </w:rPr>
            </w:r>
            <w:r>
              <w:rPr>
                <w:color w:val="000000" w:themeColor="text1"/>
              </w:rPr>
            </w:r>
          </w:p>
        </w:tc>
        <w:tc>
          <w:tcPr>
            <w:tcBorders/>
            <w:tcW w:w="1234" w:type="dxa"/>
            <w:textDirection w:val="lrTb"/>
            <w:noWrap w:val="false"/>
          </w:tcPr>
          <w:p w14:paraId="1C9233CA">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0.45</w:t>
            </w:r>
            <w:r>
              <w:rPr>
                <w:color w:val="000000" w:themeColor="text1"/>
              </w:rPr>
            </w:r>
            <w:r>
              <w:rPr>
                <w:color w:val="000000" w:themeColor="text1"/>
              </w:rPr>
            </w:r>
          </w:p>
        </w:tc>
      </w:tr>
      <w:tr>
        <w:trPr/>
        <w:tc>
          <w:tcPr>
            <w:tcBorders/>
            <w:tcW w:w="1234" w:type="dxa"/>
            <w:textDirection w:val="lrTb"/>
            <w:noWrap w:val="false"/>
          </w:tcPr>
          <w:p w14:paraId="7453E20B">
            <w:pPr>
              <w:pBdr/>
              <w:spacing w:after="0" w:before="0" w:line="240" w:lineRule="auto"/>
              <w:ind/>
              <w:rPr>
                <w:color w:val="000000" w:themeColor="text1"/>
              </w:rPr>
            </w:pPr>
            <w:r>
              <w:rPr>
                <w:rFonts w:ascii="Droid Sans Mono" w:hAnsi="Droid Sans Mono" w:eastAsia="Droid Sans Mono" w:cs="Droid Sans Mono"/>
                <w:color w:val="000000" w:themeColor="text1"/>
                <w:sz w:val="24"/>
                <w:highlight w:val="white"/>
              </w:rPr>
              <w:t xml:space="preserve">hybrid_rerank_a020</w:t>
            </w:r>
            <w:r>
              <w:rPr>
                <w:color w:val="000000" w:themeColor="text1"/>
              </w:rPr>
            </w:r>
            <w:r>
              <w:rPr>
                <w:color w:val="000000" w:themeColor="text1"/>
              </w:rPr>
            </w:r>
          </w:p>
        </w:tc>
        <w:tc>
          <w:tcPr>
            <w:tcBorders/>
            <w:tcW w:w="1234" w:type="dxa"/>
            <w:textDirection w:val="lrTb"/>
            <w:noWrap w:val="false"/>
          </w:tcPr>
          <w:p w14:paraId="7E2F931F">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hybrid</w:t>
            </w:r>
            <w:r>
              <w:rPr>
                <w:color w:val="000000" w:themeColor="text1"/>
              </w:rPr>
            </w:r>
            <w:r>
              <w:rPr>
                <w:color w:val="000000" w:themeColor="text1"/>
              </w:rPr>
            </w:r>
          </w:p>
        </w:tc>
        <w:tc>
          <w:tcPr>
            <w:tcBorders/>
            <w:tcW w:w="1234" w:type="dxa"/>
            <w:textDirection w:val="lrTb"/>
            <w:noWrap w:val="false"/>
          </w:tcPr>
          <w:p w14:paraId="33533573">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yes</w:t>
            </w:r>
            <w:r>
              <w:rPr>
                <w:color w:val="000000" w:themeColor="text1"/>
              </w:rPr>
            </w:r>
            <w:r>
              <w:rPr>
                <w:color w:val="000000" w:themeColor="text1"/>
              </w:rPr>
            </w:r>
          </w:p>
        </w:tc>
        <w:tc>
          <w:tcPr>
            <w:tcBorders/>
            <w:tcW w:w="1234" w:type="dxa"/>
            <w:textDirection w:val="lrTb"/>
            <w:noWrap w:val="false"/>
          </w:tcPr>
          <w:p w14:paraId="6BC9BD12">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0.20</w:t>
            </w:r>
            <w:r>
              <w:rPr>
                <w:color w:val="000000" w:themeColor="text1"/>
              </w:rPr>
            </w:r>
            <w:r>
              <w:rPr>
                <w:color w:val="000000" w:themeColor="text1"/>
              </w:rPr>
            </w:r>
          </w:p>
        </w:tc>
        <w:tc>
          <w:tcPr>
            <w:tcBorders/>
            <w:tcW w:w="1234" w:type="dxa"/>
            <w:textDirection w:val="lrTb"/>
            <w:noWrap w:val="false"/>
          </w:tcPr>
          <w:p w14:paraId="4AB17804">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0.20</w:t>
            </w:r>
            <w:r>
              <w:rPr>
                <w:color w:val="000000" w:themeColor="text1"/>
              </w:rPr>
            </w:r>
            <w:r>
              <w:rPr>
                <w:color w:val="000000" w:themeColor="text1"/>
              </w:rPr>
            </w:r>
          </w:p>
        </w:tc>
        <w:tc>
          <w:tcPr>
            <w:tcBorders/>
            <w:tcW w:w="1234" w:type="dxa"/>
            <w:textDirection w:val="lrTb"/>
            <w:noWrap w:val="false"/>
          </w:tcPr>
          <w:p w14:paraId="519D089B">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0.60</w:t>
            </w:r>
            <w:r>
              <w:rPr>
                <w:color w:val="000000" w:themeColor="text1"/>
              </w:rPr>
            </w:r>
            <w:r>
              <w:rPr>
                <w:color w:val="000000" w:themeColor="text1"/>
              </w:rPr>
            </w:r>
          </w:p>
        </w:tc>
        <w:tc>
          <w:tcPr>
            <w:tcBorders/>
            <w:tcW w:w="1234" w:type="dxa"/>
            <w:textDirection w:val="lrTb"/>
            <w:noWrap w:val="false"/>
          </w:tcPr>
          <w:p w14:paraId="6E364B4D">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0.45</w:t>
            </w:r>
            <w:r>
              <w:rPr>
                <w:color w:val="000000" w:themeColor="text1"/>
              </w:rPr>
            </w:r>
            <w:r>
              <w:rPr>
                <w:color w:val="000000" w:themeColor="text1"/>
              </w:rPr>
            </w:r>
          </w:p>
        </w:tc>
      </w:tr>
    </w:tbl>
    <w:p w14:paraId="01190ED4">
      <w:pPr>
        <w:pStyle w:val="1128"/>
        <w:suppressLineNumbers w:val="false"/>
        <w:pBdr/>
        <w:spacing w:line="300" w:lineRule="auto"/>
        <w:ind w:firstLine="0"/>
        <w:rPr>
          <w:highlight w:val="none"/>
        </w:rPr>
      </w:pPr>
      <w:r>
        <w:rPr>
          <w:highlight w:val="none"/>
        </w:rPr>
      </w:r>
      <w:r>
        <w:rPr>
          <w:highlight w:val="none"/>
        </w:rPr>
        <w:t xml:space="preserve">Selected default in pass4: hybrid + rerank alpha=0.20, which ties best Recall@5 while preserving stronger Hit@1 than non-reranked TF-IDF.</w:t>
      </w:r>
      <w:r>
        <w:rPr>
          <w:highlight w:val="none"/>
        </w:rPr>
      </w:r>
      <w:r>
        <w:rPr>
          <w:highlight w:val="none"/>
        </w:rPr>
      </w:r>
    </w:p>
    <w:p w14:paraId="2866B2C8">
      <w:pPr>
        <w:pStyle w:val="1128"/>
        <w:suppressLineNumbers w:val="false"/>
        <w:pBdr/>
        <w:spacing w:line="300" w:lineRule="auto"/>
        <w:ind w:firstLine="0"/>
        <w:rPr/>
      </w:pPr>
      <w:r/>
      <w:r/>
    </w:p>
    <w:p w14:paraId="53C81D3B">
      <w:pPr>
        <w:pStyle w:val="1128"/>
        <w:suppressLineNumbers w:val="false"/>
        <w:pBdr/>
        <w:spacing w:line="300" w:lineRule="auto"/>
        <w:ind w:firstLine="0"/>
        <w:rPr>
          <w:highlight w:val="none"/>
        </w:rPr>
      </w:pPr>
      <w:r>
        <w:rPr>
          <w:highlight w:val="none"/>
        </w:rPr>
        <mc:AlternateContent>
          <mc:Choice Requires="wpg">
            <w:drawing>
              <wp:inline xmlns:wp="http://schemas.openxmlformats.org/drawingml/2006/wordprocessingDrawing" distT="0" distB="0" distL="0" distR="0">
                <wp:extent cx="5858700" cy="2929350"/>
                <wp:effectExtent l="0" t="0" r="0" b="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411775" name=""/>
                        <pic:cNvPicPr>
                          <a:picLocks noChangeAspect="1"/>
                        </pic:cNvPicPr>
                        <pic:nvPr/>
                      </pic:nvPicPr>
                      <pic:blipFill rotWithShape="1">
                        <a:blip r:embed="rId30"/>
                        <a:stretch/>
                      </pic:blipFill>
                      <pic:spPr bwMode="auto">
                        <a:xfrm flipH="0" flipV="0">
                          <a:off x="0" y="0"/>
                          <a:ext cx="5858699" cy="292934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461.31pt;height:230.66pt;mso-wrap-distance-left:0.00pt;mso-wrap-distance-top:0.00pt;mso-wrap-distance-right:0.00pt;mso-wrap-distance-bottom:0.00pt;z-index:1;" stroked="false">
                <v:imagedata r:id="rId30" o:title=""/>
                <o:lock v:ext="edit" rotation="t"/>
              </v:shape>
            </w:pict>
          </mc:Fallback>
        </mc:AlternateContent>
      </w:r>
      <w:r>
        <w:rPr>
          <w:highlight w:val="none"/>
        </w:rPr>
      </w:r>
      <w:r>
        <w:rPr>
          <w:highlight w:val="none"/>
        </w:rPr>
      </w:r>
    </w:p>
    <w:p w14:paraId="613FC46D">
      <w:pPr>
        <w:pStyle w:val="1128"/>
        <w:suppressLineNumbers w:val="false"/>
        <w:pBdr/>
        <w:spacing w:line="300" w:lineRule="auto"/>
        <w:ind w:firstLine="0"/>
        <w:rPr>
          <w:highlight w:val="none"/>
        </w:rPr>
      </w:pPr>
      <w:r>
        <w:rPr>
          <w:highlight w:val="none"/>
        </w:rPr>
      </w:r>
      <w:r>
        <w:rPr>
          <w:highlight w:val="none"/>
        </w:rPr>
        <w:t xml:space="preserve">Recall@5 comparison across backend/rerank configurations; multiple settings tie at the top in this small benchmark.</w:t>
      </w:r>
      <w:r>
        <w:rPr>
          <w:highlight w:val="none"/>
        </w:rPr>
      </w:r>
      <w:r>
        <w:rPr>
          <w:highlight w:val="none"/>
        </w:rPr>
      </w:r>
    </w:p>
    <w:p w14:paraId="52E34231">
      <w:pPr>
        <w:pStyle w:val="1128"/>
        <w:suppressLineNumbers w:val="false"/>
        <w:pBdr/>
        <w:spacing w:line="300" w:lineRule="auto"/>
        <w:ind w:firstLine="0"/>
        <w:rPr/>
      </w:pPr>
      <w:r/>
      <w:r/>
    </w:p>
    <w:p w14:paraId="2C98503A">
      <w:pPr>
        <w:pStyle w:val="1128"/>
        <w:suppressLineNumbers w:val="false"/>
        <w:pBdr/>
        <w:spacing w:line="300" w:lineRule="auto"/>
        <w:ind w:firstLine="0"/>
        <w:rPr>
          <w:b/>
          <w:bCs/>
        </w:rPr>
      </w:pPr>
      <w:r>
        <w:rPr>
          <w:b/>
          <w:bCs/>
          <w:highlight w:val="none"/>
        </w:rPr>
        <w:t xml:space="preserve">5.6.4 Answer quality and citation grounding</w:t>
      </w:r>
      <w:r>
        <w:rPr>
          <w:b/>
          <w:bCs/>
        </w:rPr>
      </w:r>
      <w:r>
        <w:rPr>
          <w:b/>
          <w:bCs/>
        </w:rPr>
      </w:r>
    </w:p>
    <w:p w14:paraId="630ADA5D">
      <w:pPr>
        <w:pStyle w:val="1128"/>
        <w:suppressLineNumbers w:val="false"/>
        <w:pBdr/>
        <w:spacing w:line="300" w:lineRule="auto"/>
        <w:ind w:firstLine="0"/>
        <w:rPr/>
      </w:pPr>
      <w:r>
        <w:rPr>
          <w:highlight w:val="none"/>
        </w:rPr>
        <w:t xml:space="preserve">Source: Prototyping_reformat/chapter5_pico_wrapper/results/eval_pass4_latest/answer_eval.json.</w:t>
      </w:r>
      <w:r>
        <w:rPr>
          <w:highlight w:val="none"/>
        </w:rPr>
      </w:r>
      <w:r/>
    </w:p>
    <w:p w14:paraId="1286B50C">
      <w:pPr>
        <w:pStyle w:val="1128"/>
        <w:suppressLineNumbers w:val="false"/>
        <w:pBdr/>
        <w:spacing w:line="300" w:lineRule="auto"/>
        <w:ind w:firstLine="0"/>
        <w:rPr/>
      </w:pPr>
      <w:r/>
      <w:r/>
    </w:p>
    <w:tbl>
      <w:tblPr>
        <w:tblStyle w:val="1185"/>
        <w:tblW w:w="0" w:type="auto"/>
        <w:tblBorders/>
        <w:tblLook w:val="04A0" w:firstRow="1" w:lastRow="0" w:firstColumn="1" w:lastColumn="0" w:noHBand="0" w:noVBand="1"/>
      </w:tblPr>
      <w:tblGrid>
        <w:gridCol w:w="4320"/>
        <w:gridCol w:w="4320"/>
      </w:tblGrid>
      <w:tr>
        <w:trPr/>
        <w:tc>
          <w:tcPr>
            <w:tcBorders/>
            <w:tcW w:w="4320" w:type="dxa"/>
            <w:textDirection w:val="lrTb"/>
            <w:noWrap w:val="false"/>
          </w:tcPr>
          <w:p w14:paraId="6D07916A">
            <w:pPr>
              <w:pBdr/>
              <w:spacing w:after="0" w:before="0" w:line="240" w:lineRule="auto"/>
              <w:ind/>
              <w:jc w:val="center"/>
              <w:rPr>
                <w:color w:val="000000" w:themeColor="text1"/>
              </w:rPr>
            </w:pPr>
            <w:r>
              <w:rPr>
                <w:rFonts w:ascii="Liberation Sans" w:hAnsi="Liberation Sans" w:eastAsia="Liberation Sans" w:cs="Liberation Sans"/>
                <w:b/>
                <w:color w:val="000000" w:themeColor="text1"/>
                <w:sz w:val="21"/>
              </w:rPr>
              <w:t xml:space="preserve">Metric</w:t>
            </w:r>
            <w:r>
              <w:rPr>
                <w:color w:val="000000" w:themeColor="text1"/>
              </w:rPr>
            </w:r>
            <w:r>
              <w:rPr>
                <w:color w:val="000000" w:themeColor="text1"/>
              </w:rPr>
            </w:r>
          </w:p>
        </w:tc>
        <w:tc>
          <w:tcPr>
            <w:tcBorders/>
            <w:tcW w:w="4320" w:type="dxa"/>
            <w:textDirection w:val="lrTb"/>
            <w:noWrap w:val="false"/>
          </w:tcPr>
          <w:p w14:paraId="68A3046F">
            <w:pPr>
              <w:pBdr/>
              <w:spacing w:after="0" w:before="0" w:line="240" w:lineRule="auto"/>
              <w:ind/>
              <w:jc w:val="center"/>
              <w:rPr>
                <w:color w:val="000000" w:themeColor="text1"/>
              </w:rPr>
            </w:pPr>
            <w:r>
              <w:rPr>
                <w:rFonts w:ascii="Liberation Sans" w:hAnsi="Liberation Sans" w:eastAsia="Liberation Sans" w:cs="Liberation Sans"/>
                <w:b/>
                <w:color w:val="000000" w:themeColor="text1"/>
                <w:sz w:val="21"/>
              </w:rPr>
              <w:t xml:space="preserve">Value</w:t>
            </w:r>
            <w:r>
              <w:rPr>
                <w:color w:val="000000" w:themeColor="text1"/>
              </w:rPr>
            </w:r>
            <w:r>
              <w:rPr>
                <w:color w:val="000000" w:themeColor="text1"/>
              </w:rPr>
            </w:r>
          </w:p>
        </w:tc>
      </w:tr>
      <w:tr>
        <w:trPr/>
        <w:tc>
          <w:tcPr>
            <w:tcBorders/>
            <w:tcW w:w="4320" w:type="dxa"/>
            <w:textDirection w:val="lrTb"/>
            <w:noWrap w:val="false"/>
          </w:tcPr>
          <w:p w14:paraId="7B8C509A">
            <w:pPr>
              <w:pBdr/>
              <w:spacing w:after="0" w:before="0" w:line="240" w:lineRule="auto"/>
              <w:ind/>
              <w:jc w:val="center"/>
              <w:rPr>
                <w:color w:val="000000" w:themeColor="text1"/>
              </w:rPr>
            </w:pPr>
            <w:r>
              <w:rPr>
                <w:rFonts w:ascii="Liberation Sans" w:hAnsi="Liberation Sans" w:eastAsia="Liberation Sans" w:cs="Liberation Sans"/>
                <w:color w:val="000000" w:themeColor="text1"/>
                <w:sz w:val="21"/>
              </w:rPr>
              <w:t xml:space="preserve">Outputs evaluated</w:t>
            </w:r>
            <w:r>
              <w:rPr>
                <w:color w:val="000000" w:themeColor="text1"/>
              </w:rPr>
            </w:r>
            <w:r>
              <w:rPr>
                <w:color w:val="000000" w:themeColor="text1"/>
              </w:rPr>
            </w:r>
          </w:p>
        </w:tc>
        <w:tc>
          <w:tcPr>
            <w:tcBorders/>
            <w:tcW w:w="4320" w:type="dxa"/>
            <w:textDirection w:val="lrTb"/>
            <w:noWrap w:val="false"/>
          </w:tcPr>
          <w:p w14:paraId="653EF68E">
            <w:pPr>
              <w:pBdr/>
              <w:spacing w:after="0" w:before="0" w:line="240" w:lineRule="auto"/>
              <w:ind/>
              <w:jc w:val="center"/>
              <w:rPr>
                <w:color w:val="000000" w:themeColor="text1"/>
              </w:rPr>
            </w:pPr>
            <w:r>
              <w:rPr>
                <w:rFonts w:ascii="Liberation Sans" w:hAnsi="Liberation Sans" w:eastAsia="Liberation Sans" w:cs="Liberation Sans"/>
                <w:color w:val="000000" w:themeColor="text1"/>
                <w:sz w:val="21"/>
              </w:rPr>
              <w:t xml:space="preserve">50</w:t>
            </w:r>
            <w:r>
              <w:rPr>
                <w:color w:val="000000" w:themeColor="text1"/>
              </w:rPr>
            </w:r>
            <w:r>
              <w:rPr>
                <w:color w:val="000000" w:themeColor="text1"/>
              </w:rPr>
            </w:r>
          </w:p>
        </w:tc>
      </w:tr>
      <w:tr>
        <w:trPr/>
        <w:tc>
          <w:tcPr>
            <w:tcBorders/>
            <w:tcW w:w="4320" w:type="dxa"/>
            <w:textDirection w:val="lrTb"/>
            <w:noWrap w:val="false"/>
          </w:tcPr>
          <w:p w14:paraId="596BCF59">
            <w:pPr>
              <w:pBdr/>
              <w:spacing w:after="0" w:before="0" w:line="240" w:lineRule="auto"/>
              <w:ind/>
              <w:jc w:val="center"/>
              <w:rPr>
                <w:color w:val="000000" w:themeColor="text1"/>
              </w:rPr>
            </w:pPr>
            <w:r>
              <w:rPr>
                <w:rFonts w:ascii="Liberation Sans" w:hAnsi="Liberation Sans" w:eastAsia="Liberation Sans" w:cs="Liberation Sans"/>
                <w:color w:val="000000" w:themeColor="text1"/>
                <w:sz w:val="21"/>
              </w:rPr>
              <w:t xml:space="preserve">Claims extracted</w:t>
            </w:r>
            <w:r>
              <w:rPr>
                <w:color w:val="000000" w:themeColor="text1"/>
              </w:rPr>
            </w:r>
            <w:r>
              <w:rPr>
                <w:color w:val="000000" w:themeColor="text1"/>
              </w:rPr>
            </w:r>
          </w:p>
        </w:tc>
        <w:tc>
          <w:tcPr>
            <w:tcBorders/>
            <w:tcW w:w="4320" w:type="dxa"/>
            <w:textDirection w:val="lrTb"/>
            <w:noWrap w:val="false"/>
          </w:tcPr>
          <w:p w14:paraId="3EBF0475">
            <w:pPr>
              <w:pBdr/>
              <w:spacing w:after="0" w:before="0" w:line="240" w:lineRule="auto"/>
              <w:ind/>
              <w:jc w:val="center"/>
              <w:rPr>
                <w:color w:val="000000" w:themeColor="text1"/>
              </w:rPr>
            </w:pPr>
            <w:r>
              <w:rPr>
                <w:rFonts w:ascii="Liberation Sans" w:hAnsi="Liberation Sans" w:eastAsia="Liberation Sans" w:cs="Liberation Sans"/>
                <w:color w:val="000000" w:themeColor="text1"/>
                <w:sz w:val="21"/>
              </w:rPr>
              <w:t xml:space="preserve">142</w:t>
            </w:r>
            <w:r>
              <w:rPr>
                <w:color w:val="000000" w:themeColor="text1"/>
              </w:rPr>
            </w:r>
            <w:r>
              <w:rPr>
                <w:color w:val="000000" w:themeColor="text1"/>
              </w:rPr>
            </w:r>
          </w:p>
        </w:tc>
      </w:tr>
      <w:tr>
        <w:trPr/>
        <w:tc>
          <w:tcPr>
            <w:tcBorders/>
            <w:tcW w:w="4320" w:type="dxa"/>
            <w:textDirection w:val="lrTb"/>
            <w:noWrap w:val="false"/>
          </w:tcPr>
          <w:p w14:paraId="66D71DCB">
            <w:pPr>
              <w:pBdr/>
              <w:spacing w:after="0" w:before="0" w:line="240" w:lineRule="auto"/>
              <w:ind/>
              <w:jc w:val="center"/>
              <w:rPr>
                <w:color w:val="000000" w:themeColor="text1"/>
              </w:rPr>
            </w:pPr>
            <w:r>
              <w:rPr>
                <w:rFonts w:ascii="Liberation Sans" w:hAnsi="Liberation Sans" w:eastAsia="Liberation Sans" w:cs="Liberation Sans"/>
                <w:color w:val="000000" w:themeColor="text1"/>
                <w:sz w:val="21"/>
              </w:rPr>
              <w:t xml:space="preserve">Claims evaluated</w:t>
            </w:r>
            <w:r>
              <w:rPr>
                <w:color w:val="000000" w:themeColor="text1"/>
              </w:rPr>
            </w:r>
            <w:r>
              <w:rPr>
                <w:color w:val="000000" w:themeColor="text1"/>
              </w:rPr>
            </w:r>
          </w:p>
        </w:tc>
        <w:tc>
          <w:tcPr>
            <w:tcBorders/>
            <w:tcW w:w="4320" w:type="dxa"/>
            <w:textDirection w:val="lrTb"/>
            <w:noWrap w:val="false"/>
          </w:tcPr>
          <w:p w14:paraId="5697DCD9">
            <w:pPr>
              <w:pBdr/>
              <w:spacing w:after="0" w:before="0" w:line="240" w:lineRule="auto"/>
              <w:ind/>
              <w:jc w:val="center"/>
              <w:rPr>
                <w:color w:val="000000" w:themeColor="text1"/>
              </w:rPr>
            </w:pPr>
            <w:r>
              <w:rPr>
                <w:rFonts w:ascii="Liberation Sans" w:hAnsi="Liberation Sans" w:eastAsia="Liberation Sans" w:cs="Liberation Sans"/>
                <w:color w:val="000000" w:themeColor="text1"/>
                <w:sz w:val="21"/>
              </w:rPr>
              <w:t xml:space="preserve">138</w:t>
            </w:r>
            <w:r>
              <w:rPr>
                <w:color w:val="000000" w:themeColor="text1"/>
              </w:rPr>
            </w:r>
            <w:r>
              <w:rPr>
                <w:color w:val="000000" w:themeColor="text1"/>
              </w:rPr>
            </w:r>
          </w:p>
        </w:tc>
      </w:tr>
      <w:tr>
        <w:trPr/>
        <w:tc>
          <w:tcPr>
            <w:tcBorders/>
            <w:tcW w:w="4320" w:type="dxa"/>
            <w:textDirection w:val="lrTb"/>
            <w:noWrap w:val="false"/>
          </w:tcPr>
          <w:p w14:paraId="158A5602">
            <w:pPr>
              <w:pBdr/>
              <w:spacing w:after="0" w:before="0" w:line="240" w:lineRule="auto"/>
              <w:ind/>
              <w:jc w:val="center"/>
              <w:rPr>
                <w:color w:val="000000" w:themeColor="text1"/>
              </w:rPr>
            </w:pPr>
            <w:r>
              <w:rPr>
                <w:rFonts w:ascii="Liberation Sans" w:hAnsi="Liberation Sans" w:eastAsia="Liberation Sans" w:cs="Liberation Sans"/>
                <w:color w:val="000000" w:themeColor="text1"/>
                <w:sz w:val="21"/>
              </w:rPr>
              <w:t xml:space="preserve">Policy claims excluded</w:t>
            </w:r>
            <w:r>
              <w:rPr>
                <w:color w:val="000000" w:themeColor="text1"/>
              </w:rPr>
            </w:r>
            <w:r>
              <w:rPr>
                <w:color w:val="000000" w:themeColor="text1"/>
              </w:rPr>
            </w:r>
          </w:p>
        </w:tc>
        <w:tc>
          <w:tcPr>
            <w:tcBorders/>
            <w:tcW w:w="4320" w:type="dxa"/>
            <w:textDirection w:val="lrTb"/>
            <w:noWrap w:val="false"/>
          </w:tcPr>
          <w:p w14:paraId="00FDC0C9">
            <w:pPr>
              <w:pBdr/>
              <w:spacing w:after="0" w:before="0" w:line="240" w:lineRule="auto"/>
              <w:ind/>
              <w:jc w:val="center"/>
              <w:rPr>
                <w:color w:val="000000" w:themeColor="text1"/>
              </w:rPr>
            </w:pPr>
            <w:r>
              <w:rPr>
                <w:rFonts w:ascii="Liberation Sans" w:hAnsi="Liberation Sans" w:eastAsia="Liberation Sans" w:cs="Liberation Sans"/>
                <w:color w:val="000000" w:themeColor="text1"/>
                <w:sz w:val="21"/>
              </w:rPr>
              <w:t xml:space="preserve">4</w:t>
            </w:r>
            <w:r>
              <w:rPr>
                <w:color w:val="000000" w:themeColor="text1"/>
              </w:rPr>
            </w:r>
            <w:r>
              <w:rPr>
                <w:color w:val="000000" w:themeColor="text1"/>
              </w:rPr>
            </w:r>
          </w:p>
        </w:tc>
      </w:tr>
      <w:tr>
        <w:trPr/>
        <w:tc>
          <w:tcPr>
            <w:tcBorders/>
            <w:tcW w:w="4320" w:type="dxa"/>
            <w:textDirection w:val="lrTb"/>
            <w:noWrap w:val="false"/>
          </w:tcPr>
          <w:p w14:paraId="2BCCFC17">
            <w:pPr>
              <w:pBdr/>
              <w:spacing w:after="0" w:before="0" w:line="240" w:lineRule="auto"/>
              <w:ind/>
              <w:jc w:val="center"/>
              <w:rPr>
                <w:color w:val="000000" w:themeColor="text1"/>
              </w:rPr>
            </w:pPr>
            <w:r>
              <w:rPr>
                <w:rFonts w:ascii="Liberation Sans" w:hAnsi="Liberation Sans" w:eastAsia="Liberation Sans" w:cs="Liberation Sans"/>
                <w:color w:val="000000" w:themeColor="text1"/>
                <w:sz w:val="21"/>
              </w:rPr>
              <w:t xml:space="preserve">Refusal count</w:t>
            </w:r>
            <w:r>
              <w:rPr>
                <w:color w:val="000000" w:themeColor="text1"/>
              </w:rPr>
            </w:r>
            <w:r>
              <w:rPr>
                <w:color w:val="000000" w:themeColor="text1"/>
              </w:rPr>
            </w:r>
          </w:p>
        </w:tc>
        <w:tc>
          <w:tcPr>
            <w:tcBorders/>
            <w:tcW w:w="4320" w:type="dxa"/>
            <w:textDirection w:val="lrTb"/>
            <w:noWrap w:val="false"/>
          </w:tcPr>
          <w:p w14:paraId="426E4228">
            <w:pPr>
              <w:pBdr/>
              <w:spacing w:after="0" w:before="0" w:line="240" w:lineRule="auto"/>
              <w:ind/>
              <w:jc w:val="center"/>
              <w:rPr>
                <w:color w:val="000000" w:themeColor="text1"/>
              </w:rPr>
            </w:pPr>
            <w:r>
              <w:rPr>
                <w:rFonts w:ascii="Liberation Sans" w:hAnsi="Liberation Sans" w:eastAsia="Liberation Sans" w:cs="Liberation Sans"/>
                <w:color w:val="000000" w:themeColor="text1"/>
                <w:sz w:val="21"/>
              </w:rPr>
              <w:t xml:space="preserve">4</w:t>
            </w:r>
            <w:r>
              <w:rPr>
                <w:color w:val="000000" w:themeColor="text1"/>
              </w:rPr>
            </w:r>
            <w:r>
              <w:rPr>
                <w:color w:val="000000" w:themeColor="text1"/>
              </w:rPr>
            </w:r>
          </w:p>
        </w:tc>
      </w:tr>
      <w:tr>
        <w:trPr/>
        <w:tc>
          <w:tcPr>
            <w:tcBorders/>
            <w:tcW w:w="4320" w:type="dxa"/>
            <w:textDirection w:val="lrTb"/>
            <w:noWrap w:val="false"/>
          </w:tcPr>
          <w:p w14:paraId="1553608A">
            <w:pPr>
              <w:pBdr/>
              <w:spacing w:after="0" w:before="0" w:line="240" w:lineRule="auto"/>
              <w:ind/>
              <w:jc w:val="center"/>
              <w:rPr>
                <w:color w:val="000000" w:themeColor="text1"/>
              </w:rPr>
            </w:pPr>
            <w:r>
              <w:rPr>
                <w:rFonts w:ascii="Liberation Sans" w:hAnsi="Liberation Sans" w:eastAsia="Liberation Sans" w:cs="Liberation Sans"/>
                <w:color w:val="000000" w:themeColor="text1"/>
                <w:sz w:val="21"/>
              </w:rPr>
              <w:t xml:space="preserve">Refusal rate</w:t>
            </w:r>
            <w:r>
              <w:rPr>
                <w:color w:val="000000" w:themeColor="text1"/>
              </w:rPr>
            </w:r>
            <w:r>
              <w:rPr>
                <w:color w:val="000000" w:themeColor="text1"/>
              </w:rPr>
            </w:r>
          </w:p>
        </w:tc>
        <w:tc>
          <w:tcPr>
            <w:tcBorders/>
            <w:tcW w:w="4320" w:type="dxa"/>
            <w:textDirection w:val="lrTb"/>
            <w:noWrap w:val="false"/>
          </w:tcPr>
          <w:p w14:paraId="7847C7CD">
            <w:pPr>
              <w:pBdr/>
              <w:spacing w:after="0" w:before="0" w:line="240" w:lineRule="auto"/>
              <w:ind/>
              <w:jc w:val="center"/>
              <w:rPr>
                <w:color w:val="000000" w:themeColor="text1"/>
              </w:rPr>
            </w:pPr>
            <w:r>
              <w:rPr>
                <w:rFonts w:ascii="Liberation Sans" w:hAnsi="Liberation Sans" w:eastAsia="Liberation Sans" w:cs="Liberation Sans"/>
                <w:color w:val="000000" w:themeColor="text1"/>
                <w:sz w:val="21"/>
              </w:rPr>
              <w:t xml:space="preserve">0.0800</w:t>
            </w:r>
            <w:r>
              <w:rPr>
                <w:color w:val="000000" w:themeColor="text1"/>
              </w:rPr>
            </w:r>
            <w:r>
              <w:rPr>
                <w:color w:val="000000" w:themeColor="text1"/>
              </w:rPr>
            </w:r>
          </w:p>
        </w:tc>
      </w:tr>
      <w:tr>
        <w:trPr/>
        <w:tc>
          <w:tcPr>
            <w:tcBorders/>
            <w:tcW w:w="4320" w:type="dxa"/>
            <w:textDirection w:val="lrTb"/>
            <w:noWrap w:val="false"/>
          </w:tcPr>
          <w:p w14:paraId="294E1A8A">
            <w:pPr>
              <w:pBdr/>
              <w:spacing w:after="0" w:before="0" w:line="240" w:lineRule="auto"/>
              <w:ind/>
              <w:jc w:val="center"/>
              <w:rPr>
                <w:color w:val="000000" w:themeColor="text1"/>
              </w:rPr>
            </w:pPr>
            <w:r>
              <w:rPr>
                <w:rFonts w:ascii="Liberation Sans" w:hAnsi="Liberation Sans" w:eastAsia="Liberation Sans" w:cs="Liberation Sans"/>
                <w:color w:val="000000" w:themeColor="text1"/>
                <w:sz w:val="21"/>
              </w:rPr>
              <w:t xml:space="preserve">Citation coverage</w:t>
            </w:r>
            <w:r>
              <w:rPr>
                <w:color w:val="000000" w:themeColor="text1"/>
              </w:rPr>
            </w:r>
            <w:r>
              <w:rPr>
                <w:color w:val="000000" w:themeColor="text1"/>
              </w:rPr>
            </w:r>
          </w:p>
        </w:tc>
        <w:tc>
          <w:tcPr>
            <w:tcBorders/>
            <w:tcW w:w="4320" w:type="dxa"/>
            <w:textDirection w:val="lrTb"/>
            <w:noWrap w:val="false"/>
          </w:tcPr>
          <w:p w14:paraId="44C3B492">
            <w:pPr>
              <w:pBdr/>
              <w:spacing w:after="0" w:before="0" w:line="240" w:lineRule="auto"/>
              <w:ind/>
              <w:jc w:val="center"/>
              <w:rPr>
                <w:color w:val="000000" w:themeColor="text1"/>
              </w:rPr>
            </w:pPr>
            <w:r>
              <w:rPr>
                <w:rFonts w:ascii="Liberation Sans" w:hAnsi="Liberation Sans" w:eastAsia="Liberation Sans" w:cs="Liberation Sans"/>
                <w:color w:val="000000" w:themeColor="text1"/>
                <w:sz w:val="21"/>
              </w:rPr>
              <w:t xml:space="preserve">1.0000</w:t>
            </w:r>
            <w:r>
              <w:rPr>
                <w:color w:val="000000" w:themeColor="text1"/>
              </w:rPr>
            </w:r>
            <w:r>
              <w:rPr>
                <w:color w:val="000000" w:themeColor="text1"/>
              </w:rPr>
            </w:r>
          </w:p>
        </w:tc>
      </w:tr>
      <w:tr>
        <w:trPr/>
        <w:tc>
          <w:tcPr>
            <w:tcBorders/>
            <w:tcW w:w="4320" w:type="dxa"/>
            <w:vMerge w:val="restart"/>
            <w:textDirection w:val="lrTb"/>
            <w:noWrap w:val="false"/>
          </w:tcPr>
          <w:p w14:paraId="07EFB1D4">
            <w:pPr>
              <w:pBdr/>
              <w:spacing w:after="0" w:before="0" w:line="240" w:lineRule="auto"/>
              <w:ind/>
              <w:jc w:val="center"/>
              <w:rPr>
                <w:color w:val="000000" w:themeColor="text1"/>
              </w:rPr>
            </w:pPr>
            <w:r>
              <w:rPr>
                <w:rFonts w:ascii="Liberation Sans" w:hAnsi="Liberation Sans" w:eastAsia="Liberation Sans" w:cs="Liberation Sans"/>
                <w:color w:val="000000" w:themeColor="text1"/>
                <w:sz w:val="21"/>
              </w:rPr>
              <w:t xml:space="preserve">Citation correctness (heuristic)</w:t>
            </w:r>
            <w:r>
              <w:rPr>
                <w:color w:val="000000" w:themeColor="text1"/>
              </w:rPr>
            </w:r>
            <w:r>
              <w:rPr>
                <w:color w:val="000000" w:themeColor="text1"/>
              </w:rPr>
            </w:r>
          </w:p>
        </w:tc>
        <w:tc>
          <w:tcPr>
            <w:tcBorders/>
            <w:tcW w:w="4320" w:type="dxa"/>
            <w:vMerge w:val="restart"/>
            <w:textDirection w:val="lrTb"/>
            <w:noWrap w:val="false"/>
          </w:tcPr>
          <w:p w14:paraId="34DFC67C">
            <w:pPr>
              <w:pBdr/>
              <w:spacing w:after="0" w:before="0" w:line="240" w:lineRule="auto"/>
              <w:ind/>
              <w:jc w:val="center"/>
              <w:rPr>
                <w:color w:val="000000" w:themeColor="text1"/>
              </w:rPr>
            </w:pPr>
            <w:r>
              <w:rPr>
                <w:rFonts w:ascii="Liberation Sans" w:hAnsi="Liberation Sans" w:eastAsia="Liberation Sans" w:cs="Liberation Sans"/>
                <w:color w:val="000000" w:themeColor="text1"/>
                <w:sz w:val="21"/>
              </w:rPr>
              <w:t xml:space="preserve">1.0000</w:t>
            </w:r>
            <w:r>
              <w:rPr>
                <w:color w:val="000000" w:themeColor="text1"/>
              </w:rPr>
            </w:r>
            <w:r>
              <w:rPr>
                <w:color w:val="000000" w:themeColor="text1"/>
              </w:rPr>
            </w:r>
          </w:p>
        </w:tc>
      </w:tr>
      <w:tr>
        <w:trPr/>
        <w:tc>
          <w:tcPr>
            <w:tcBorders/>
            <w:tcW w:w="4320" w:type="dxa"/>
            <w:vMerge w:val="restart"/>
            <w:textDirection w:val="lrTb"/>
            <w:noWrap w:val="false"/>
          </w:tcPr>
          <w:p w14:paraId="3FD0DE5C">
            <w:pPr>
              <w:pBdr/>
              <w:spacing w:after="0" w:before="0" w:line="240" w:lineRule="auto"/>
              <w:ind/>
              <w:jc w:val="center"/>
              <w:rPr>
                <w:color w:val="000000" w:themeColor="text1"/>
              </w:rPr>
            </w:pPr>
            <w:r>
              <w:rPr>
                <w:rFonts w:ascii="Liberation Sans" w:hAnsi="Liberation Sans" w:eastAsia="Liberation Sans" w:cs="Liberation Sans"/>
                <w:color w:val="000000" w:themeColor="text1"/>
                <w:sz w:val="21"/>
              </w:rPr>
              <w:t xml:space="preserve">Claim support (heuristic)</w:t>
            </w:r>
            <w:r>
              <w:rPr>
                <w:color w:val="000000" w:themeColor="text1"/>
              </w:rPr>
            </w:r>
            <w:r>
              <w:rPr>
                <w:color w:val="000000" w:themeColor="text1"/>
              </w:rPr>
            </w:r>
          </w:p>
        </w:tc>
        <w:tc>
          <w:tcPr>
            <w:tcBorders/>
            <w:tcW w:w="4320" w:type="dxa"/>
            <w:vMerge w:val="restart"/>
            <w:textDirection w:val="lrTb"/>
            <w:noWrap w:val="false"/>
          </w:tcPr>
          <w:p w14:paraId="2A5DB359">
            <w:pPr>
              <w:pBdr/>
              <w:spacing w:after="0" w:before="0" w:line="240" w:lineRule="auto"/>
              <w:ind/>
              <w:jc w:val="center"/>
              <w:rPr>
                <w:color w:val="000000" w:themeColor="text1"/>
              </w:rPr>
            </w:pPr>
            <w:r>
              <w:rPr>
                <w:rFonts w:ascii="Liberation Sans" w:hAnsi="Liberation Sans" w:eastAsia="Liberation Sans" w:cs="Liberation Sans"/>
                <w:color w:val="000000" w:themeColor="text1"/>
                <w:sz w:val="21"/>
              </w:rPr>
              <w:t xml:space="preserve">1.0000</w:t>
            </w:r>
            <w:r>
              <w:rPr>
                <w:color w:val="000000" w:themeColor="text1"/>
              </w:rPr>
            </w:r>
            <w:r>
              <w:rPr>
                <w:color w:val="000000" w:themeColor="text1"/>
              </w:rPr>
            </w:r>
          </w:p>
        </w:tc>
      </w:tr>
      <w:tr>
        <w:trPr/>
        <w:tc>
          <w:tcPr>
            <w:tcBorders/>
            <w:tcW w:w="4320" w:type="dxa"/>
            <w:vMerge w:val="restart"/>
            <w:textDirection w:val="lrTb"/>
            <w:noWrap w:val="false"/>
          </w:tcPr>
          <w:p w14:paraId="6D606A39">
            <w:pPr>
              <w:pBdr/>
              <w:spacing w:after="0" w:before="0" w:line="240" w:lineRule="auto"/>
              <w:ind/>
              <w:jc w:val="center"/>
              <w:rPr>
                <w:color w:val="000000" w:themeColor="text1"/>
              </w:rPr>
            </w:pPr>
            <w:r>
              <w:rPr>
                <w:rFonts w:ascii="Liberation Sans" w:hAnsi="Liberation Sans" w:eastAsia="Liberation Sans" w:cs="Liberation Sans"/>
                <w:color w:val="000000" w:themeColor="text1"/>
                <w:sz w:val="21"/>
              </w:rPr>
              <w:t xml:space="preserve">Claim support (strict)</w:t>
            </w:r>
            <w:r>
              <w:rPr>
                <w:color w:val="000000" w:themeColor="text1"/>
              </w:rPr>
            </w:r>
            <w:r>
              <w:rPr>
                <w:color w:val="000000" w:themeColor="text1"/>
              </w:rPr>
            </w:r>
          </w:p>
        </w:tc>
        <w:tc>
          <w:tcPr>
            <w:tcBorders/>
            <w:tcW w:w="4320" w:type="dxa"/>
            <w:vMerge w:val="restart"/>
            <w:textDirection w:val="lrTb"/>
            <w:noWrap w:val="false"/>
          </w:tcPr>
          <w:p w14:paraId="3C5092B0">
            <w:pPr>
              <w:pBdr/>
              <w:spacing w:after="0" w:before="0" w:line="240" w:lineRule="auto"/>
              <w:ind/>
              <w:jc w:val="center"/>
              <w:rPr>
                <w:color w:val="000000" w:themeColor="text1"/>
              </w:rPr>
            </w:pPr>
            <w:r>
              <w:rPr>
                <w:rFonts w:ascii="Liberation Sans" w:hAnsi="Liberation Sans" w:eastAsia="Liberation Sans" w:cs="Liberation Sans"/>
                <w:color w:val="000000" w:themeColor="text1"/>
                <w:sz w:val="21"/>
              </w:rPr>
              <w:t xml:space="preserve">0.8696</w:t>
            </w:r>
            <w:r>
              <w:rPr>
                <w:color w:val="000000" w:themeColor="text1"/>
              </w:rPr>
            </w:r>
            <w:r>
              <w:rPr>
                <w:color w:val="000000" w:themeColor="text1"/>
              </w:rPr>
            </w:r>
          </w:p>
        </w:tc>
      </w:tr>
      <w:tr>
        <w:trPr/>
        <w:tc>
          <w:tcPr>
            <w:tcBorders/>
            <w:tcW w:w="4320" w:type="dxa"/>
            <w:vMerge w:val="restart"/>
            <w:textDirection w:val="lrTb"/>
            <w:noWrap w:val="false"/>
          </w:tcPr>
          <w:p w14:paraId="6669866B">
            <w:pPr>
              <w:pBdr/>
              <w:spacing w:after="0" w:before="0" w:line="240" w:lineRule="auto"/>
              <w:ind/>
              <w:jc w:val="center"/>
              <w:rPr>
                <w:color w:val="000000" w:themeColor="text1"/>
              </w:rPr>
            </w:pPr>
            <w:r>
              <w:rPr>
                <w:rFonts w:ascii="Liberation Sans" w:hAnsi="Liberation Sans" w:eastAsia="Liberation Sans" w:cs="Liberation Sans"/>
                <w:color w:val="000000" w:themeColor="text1"/>
                <w:sz w:val="21"/>
              </w:rPr>
              <w:t xml:space="preserve">Contradiction proxy</w:t>
            </w:r>
            <w:r>
              <w:rPr>
                <w:color w:val="000000" w:themeColor="text1"/>
              </w:rPr>
            </w:r>
            <w:r>
              <w:rPr>
                <w:color w:val="000000" w:themeColor="text1"/>
              </w:rPr>
            </w:r>
          </w:p>
        </w:tc>
        <w:tc>
          <w:tcPr>
            <w:tcBorders/>
            <w:tcW w:w="4320" w:type="dxa"/>
            <w:vMerge w:val="restart"/>
            <w:textDirection w:val="lrTb"/>
            <w:noWrap w:val="false"/>
          </w:tcPr>
          <w:p w14:paraId="2A10E317">
            <w:pPr>
              <w:pBdr/>
              <w:spacing w:after="0" w:before="0" w:line="240" w:lineRule="auto"/>
              <w:ind/>
              <w:jc w:val="center"/>
              <w:rPr>
                <w:color w:val="000000" w:themeColor="text1"/>
              </w:rPr>
            </w:pPr>
            <w:r>
              <w:rPr>
                <w:rFonts w:ascii="Liberation Sans" w:hAnsi="Liberation Sans" w:eastAsia="Liberation Sans" w:cs="Liberation Sans"/>
                <w:color w:val="000000" w:themeColor="text1"/>
                <w:sz w:val="21"/>
              </w:rPr>
              <w:t xml:space="preserve">0.0000</w:t>
            </w:r>
            <w:r>
              <w:rPr>
                <w:color w:val="000000" w:themeColor="text1"/>
              </w:rPr>
            </w:r>
            <w:r>
              <w:rPr>
                <w:color w:val="000000" w:themeColor="text1"/>
              </w:rPr>
            </w:r>
          </w:p>
        </w:tc>
      </w:tr>
      <w:tr>
        <w:trPr/>
        <w:tc>
          <w:tcPr>
            <w:tcBorders/>
            <w:tcW w:w="4320" w:type="dxa"/>
            <w:vMerge w:val="restart"/>
            <w:textDirection w:val="lrTb"/>
            <w:noWrap w:val="false"/>
          </w:tcPr>
          <w:p w14:paraId="7AEBE866">
            <w:pPr>
              <w:pBdr/>
              <w:spacing w:after="0" w:before="0" w:line="240" w:lineRule="auto"/>
              <w:ind/>
              <w:jc w:val="center"/>
              <w:rPr>
                <w:color w:val="000000" w:themeColor="text1"/>
              </w:rPr>
            </w:pPr>
            <w:r>
              <w:rPr>
                <w:rFonts w:ascii="Liberation Sans" w:hAnsi="Liberation Sans" w:eastAsia="Liberation Sans" w:cs="Liberation Sans"/>
                <w:color w:val="000000" w:themeColor="text1"/>
                <w:sz w:val="21"/>
              </w:rPr>
              <w:t xml:space="preserve">Hallucination proxy</w:t>
            </w:r>
            <w:r>
              <w:rPr>
                <w:color w:val="000000" w:themeColor="text1"/>
              </w:rPr>
            </w:r>
            <w:r>
              <w:rPr>
                <w:color w:val="000000" w:themeColor="text1"/>
              </w:rPr>
            </w:r>
          </w:p>
        </w:tc>
        <w:tc>
          <w:tcPr>
            <w:tcBorders/>
            <w:tcW w:w="4320" w:type="dxa"/>
            <w:vMerge w:val="restart"/>
            <w:textDirection w:val="lrTb"/>
            <w:noWrap w:val="false"/>
          </w:tcPr>
          <w:p w14:paraId="0AE102B3">
            <w:pPr>
              <w:pBdr/>
              <w:spacing w:after="0" w:before="0" w:line="240" w:lineRule="auto"/>
              <w:ind/>
              <w:jc w:val="center"/>
              <w:rPr>
                <w:color w:val="000000" w:themeColor="text1"/>
              </w:rPr>
            </w:pPr>
            <w:r>
              <w:rPr>
                <w:rFonts w:ascii="Liberation Sans" w:hAnsi="Liberation Sans" w:eastAsia="Liberation Sans" w:cs="Liberation Sans"/>
                <w:color w:val="000000" w:themeColor="text1"/>
                <w:sz w:val="21"/>
              </w:rPr>
              <w:t xml:space="preserve">0.0000</w:t>
            </w:r>
            <w:r>
              <w:rPr>
                <w:color w:val="000000" w:themeColor="text1"/>
              </w:rPr>
            </w:r>
            <w:r>
              <w:rPr>
                <w:color w:val="000000" w:themeColor="text1"/>
              </w:rPr>
            </w:r>
          </w:p>
        </w:tc>
      </w:tr>
      <w:tr>
        <w:trPr/>
        <w:tc>
          <w:tcPr>
            <w:tcBorders/>
            <w:tcW w:w="4320" w:type="dxa"/>
            <w:vMerge w:val="restart"/>
            <w:textDirection w:val="lrTb"/>
            <w:noWrap w:val="false"/>
          </w:tcPr>
          <w:p w14:paraId="7C3CA0FC">
            <w:pPr>
              <w:pBdr/>
              <w:spacing w:after="0" w:before="0" w:line="240" w:lineRule="auto"/>
              <w:ind/>
              <w:jc w:val="center"/>
              <w:rPr>
                <w:color w:val="000000" w:themeColor="text1"/>
              </w:rPr>
            </w:pPr>
            <w:r>
              <w:rPr>
                <w:rFonts w:ascii="Liberation Sans" w:hAnsi="Liberation Sans" w:eastAsia="Liberation Sans" w:cs="Liberation Sans"/>
                <w:color w:val="000000" w:themeColor="text1"/>
                <w:sz w:val="21"/>
              </w:rPr>
              <w:t xml:space="preserve">Citation link integrity</w:t>
            </w:r>
            <w:r>
              <w:rPr>
                <w:color w:val="000000" w:themeColor="text1"/>
              </w:rPr>
            </w:r>
            <w:r>
              <w:rPr>
                <w:color w:val="000000" w:themeColor="text1"/>
              </w:rPr>
            </w:r>
          </w:p>
        </w:tc>
        <w:tc>
          <w:tcPr>
            <w:tcBorders/>
            <w:tcW w:w="4320" w:type="dxa"/>
            <w:vMerge w:val="restart"/>
            <w:textDirection w:val="lrTb"/>
            <w:noWrap w:val="false"/>
          </w:tcPr>
          <w:p w14:paraId="19CBD580">
            <w:pPr>
              <w:pBdr/>
              <w:spacing w:after="0" w:before="0" w:line="240" w:lineRule="auto"/>
              <w:ind/>
              <w:jc w:val="center"/>
              <w:rPr>
                <w:color w:val="000000" w:themeColor="text1"/>
              </w:rPr>
            </w:pPr>
            <w:r>
              <w:rPr>
                <w:rFonts w:ascii="Liberation Sans" w:hAnsi="Liberation Sans" w:eastAsia="Liberation Sans" w:cs="Liberation Sans"/>
                <w:color w:val="000000" w:themeColor="text1"/>
                <w:sz w:val="21"/>
              </w:rPr>
              <w:t xml:space="preserve">1.0000</w:t>
            </w:r>
            <w:r>
              <w:rPr>
                <w:color w:val="000000" w:themeColor="text1"/>
              </w:rPr>
            </w:r>
            <w:r>
              <w:rPr>
                <w:color w:val="000000" w:themeColor="text1"/>
              </w:rPr>
            </w:r>
          </w:p>
        </w:tc>
      </w:tr>
    </w:tbl>
    <w:p w14:paraId="61372E02">
      <w:pPr>
        <w:pStyle w:val="1128"/>
        <w:suppressLineNumbers w:val="false"/>
        <w:pBdr/>
        <w:spacing w:line="300" w:lineRule="auto"/>
        <w:ind w:firstLine="0"/>
        <w:rPr/>
      </w:pPr>
      <w:r/>
      <w:r/>
    </w:p>
    <w:p w14:paraId="3D9D25D3">
      <w:pPr>
        <w:pStyle w:val="1128"/>
        <w:suppressLineNumbers w:val="false"/>
        <w:pBdr/>
        <w:spacing w:line="300" w:lineRule="auto"/>
        <w:ind w:firstLine="0"/>
        <w:rPr>
          <w:highlight w:val="none"/>
        </w:rPr>
      </w:pPr>
      <w:r>
        <w:t xml:space="preserve">Strict support is intentionally harder than the heuristic overlap checks (min_overlap_ratio=0.25, min_overlap_terms=3), providing a tighter baseline for future manual review.</w:t>
      </w:r>
      <w:r>
        <w:rPr>
          <w:highlight w:val="none"/>
        </w:rPr>
      </w:r>
      <w:r>
        <w:rPr>
          <w:highlight w:val="none"/>
        </w:rPr>
      </w:r>
    </w:p>
    <w:p w14:paraId="75D88BCB">
      <w:pPr>
        <w:pStyle w:val="1128"/>
        <w:suppressLineNumbers w:val="false"/>
        <w:pBdr/>
        <w:spacing w:line="300" w:lineRule="auto"/>
        <w:ind w:firstLine="0"/>
        <w:rPr>
          <w:highlight w:val="none"/>
        </w:rPr>
      </w:pPr>
      <w:r>
        <w:rPr>
          <w:highlight w:val="none"/>
        </w:rPr>
        <mc:AlternateContent>
          <mc:Choice Requires="wpg">
            <w:drawing>
              <wp:inline xmlns:wp="http://schemas.openxmlformats.org/drawingml/2006/wordprocessingDrawing" distT="0" distB="0" distL="0" distR="0">
                <wp:extent cx="5486400" cy="3135086"/>
                <wp:effectExtent l="0" t="0" r="0" b="0"/>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255750" name=""/>
                        <pic:cNvPicPr>
                          <a:picLocks noChangeAspect="1"/>
                        </pic:cNvPicPr>
                        <pic:nvPr/>
                      </pic:nvPicPr>
                      <pic:blipFill rotWithShape="1">
                        <a:blip r:embed="rId31"/>
                        <a:stretch/>
                      </pic:blipFill>
                      <pic:spPr bwMode="auto">
                        <a:xfrm>
                          <a:off x="0" y="0"/>
                          <a:ext cx="5486399" cy="313508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432.00pt;height:246.86pt;mso-wrap-distance-left:0.00pt;mso-wrap-distance-top:0.00pt;mso-wrap-distance-right:0.00pt;mso-wrap-distance-bottom:0.00pt;z-index:1;" stroked="false">
                <v:imagedata r:id="rId31" o:title=""/>
                <o:lock v:ext="edit" rotation="t"/>
              </v:shape>
            </w:pict>
          </mc:Fallback>
        </mc:AlternateContent>
      </w:r>
      <w:r>
        <w:rPr>
          <w:highlight w:val="none"/>
        </w:rPr>
      </w:r>
      <w:r>
        <w:rPr>
          <w:highlight w:val="none"/>
        </w:rPr>
      </w:r>
    </w:p>
    <w:p w14:paraId="0DA77336">
      <w:pPr>
        <w:pStyle w:val="1128"/>
        <w:suppressLineNumbers w:val="false"/>
        <w:pBdr/>
        <w:spacing w:line="300" w:lineRule="auto"/>
        <w:ind w:firstLine="0"/>
        <w:rPr>
          <w:highlight w:val="none"/>
        </w:rPr>
      </w:pPr>
      <w:r>
        <w:rPr>
          <w:highlight w:val="none"/>
        </w:rPr>
      </w:r>
      <w:r>
        <w:rPr>
          <w:highlight w:val="none"/>
        </w:rPr>
        <w:t xml:space="preserve">Composite panel with answer KPIs, refusal rate, and completion audit checklist status.</w:t>
      </w:r>
      <w:r>
        <w:rPr>
          <w:highlight w:val="none"/>
        </w:rPr>
      </w:r>
      <w:r>
        <w:rPr>
          <w:highlight w:val="none"/>
        </w:rPr>
      </w:r>
    </w:p>
    <w:p w14:paraId="052FD097">
      <w:pPr>
        <w:pStyle w:val="1128"/>
        <w:suppressLineNumbers w:val="false"/>
        <w:pBdr/>
        <w:spacing w:line="300" w:lineRule="auto"/>
        <w:ind w:firstLine="0"/>
        <w:rPr/>
      </w:pPr>
      <w:r>
        <w:rPr>
          <w:highlight w:val="none"/>
        </w:rPr>
      </w:r>
      <w:r>
        <w:rPr>
          <w:highlight w:val="none"/>
        </w:rPr>
      </w:r>
      <w:r/>
    </w:p>
    <w:p w14:paraId="535590E6">
      <w:pPr>
        <w:pStyle w:val="1128"/>
        <w:suppressLineNumbers w:val="false"/>
        <w:pBdr/>
        <w:spacing w:line="300" w:lineRule="auto"/>
        <w:ind w:firstLine="0"/>
        <w:rPr>
          <w:b/>
          <w:bCs/>
          <w:sz w:val="28"/>
          <w:szCs w:val="28"/>
        </w:rPr>
      </w:pPr>
      <w:r>
        <w:rPr>
          <w:b/>
          <w:bCs/>
          <w:sz w:val="28"/>
          <w:szCs w:val="28"/>
        </w:rPr>
        <w:t xml:space="preserve">5.7 Error Analysis and Observed Failure Modes</w:t>
      </w:r>
      <w:r>
        <w:rPr>
          <w:b/>
          <w:bCs/>
          <w:sz w:val="28"/>
          <w:szCs w:val="28"/>
        </w:rPr>
      </w:r>
      <w:r>
        <w:rPr>
          <w:b/>
          <w:bCs/>
          <w:sz w:val="28"/>
          <w:szCs w:val="28"/>
        </w:rPr>
      </w:r>
    </w:p>
    <w:p w14:paraId="3A7BE0D8">
      <w:pPr>
        <w:pStyle w:val="1128"/>
        <w:suppressLineNumbers w:val="false"/>
        <w:pBdr/>
        <w:spacing w:line="300" w:lineRule="auto"/>
        <w:ind w:firstLine="720"/>
        <w:rPr/>
      </w:pPr>
      <w:r>
        <w:t xml:space="preserve">The pass4 evidence indicates several recurring failure modes:</w:t>
      </w:r>
      <w:r/>
    </w:p>
    <w:p w14:paraId="3D0AD2A3">
      <w:pPr>
        <w:pStyle w:val="1128"/>
        <w:numPr>
          <w:ilvl w:val="0"/>
          <w:numId w:val="88"/>
        </w:numPr>
        <w:suppressLineNumbers w:val="false"/>
        <w:pBdr/>
        <w:spacing w:line="300" w:lineRule="auto"/>
        <w:ind/>
        <w:rPr/>
      </w:pPr>
      <w:r>
        <w:rPr>
          <w:b/>
          <w:bCs/>
        </w:rPr>
        <w:t xml:space="preserve">Outcome extraction over-triggering: </w:t>
      </w:r>
      <w:r>
        <w:t xml:space="preserve">outcomes precision (0.4000) is substantially lower than recall (0.5000), suggesting lexical over-coverage.</w:t>
      </w:r>
      <w:r/>
    </w:p>
    <w:p w14:paraId="7F56D829">
      <w:pPr>
        <w:pStyle w:val="1128"/>
        <w:numPr>
          <w:ilvl w:val="0"/>
          <w:numId w:val="88"/>
        </w:numPr>
        <w:suppressLineNumbers w:val="false"/>
        <w:pBdr/>
        <w:spacing w:line="300" w:lineRule="auto"/>
        <w:ind/>
        <w:rPr/>
      </w:pPr>
      <w:r>
        <w:rPr>
          <w:b/>
          <w:bCs/>
        </w:rPr>
        <w:t xml:space="preserve">Severity-anchor over-triggering:</w:t>
      </w:r>
      <w:r>
        <w:t xml:space="preserve"> severity_anchors recall is high (1.0000) but precision is low (0.4667), reflecting broad term matching.</w:t>
      </w:r>
      <w:r/>
    </w:p>
    <w:p w14:paraId="478A650B">
      <w:pPr>
        <w:pStyle w:val="1128"/>
        <w:numPr>
          <w:ilvl w:val="0"/>
          <w:numId w:val="88"/>
        </w:numPr>
        <w:suppressLineNumbers w:val="false"/>
        <w:pBdr/>
        <w:spacing w:line="300" w:lineRule="auto"/>
        <w:ind/>
        <w:rPr/>
      </w:pPr>
      <w:r>
        <w:rPr>
          <w:b/>
          <w:bCs/>
        </w:rPr>
        <w:t xml:space="preserve">Top-rank retrieval fragility:</w:t>
      </w:r>
      <w:r>
        <w:t xml:space="preserve"> recall improves with larger k, but top-1 behavior remains brittle (Recall@1=0.1000).</w:t>
      </w:r>
      <w:r/>
    </w:p>
    <w:p w14:paraId="21FD6732">
      <w:pPr>
        <w:pStyle w:val="1128"/>
        <w:numPr>
          <w:ilvl w:val="0"/>
          <w:numId w:val="88"/>
        </w:numPr>
        <w:suppressLineNumbers w:val="false"/>
        <w:pBdr/>
        <w:spacing w:line="300" w:lineRule="auto"/>
        <w:ind/>
        <w:rPr/>
      </w:pPr>
      <w:r>
        <w:rPr>
          <w:b/>
          <w:bCs/>
        </w:rPr>
        <w:t xml:space="preserve">Evidence-threshold sensitivity: </w:t>
      </w:r>
      <w:r>
        <w:t xml:space="preserve">strict claim-support scoring (0.8696) is lower than heuristic support (1.0000), showing dependence on overlap thresholds.</w:t>
      </w:r>
      <w:r/>
    </w:p>
    <w:p w14:paraId="2A949799">
      <w:pPr>
        <w:pStyle w:val="1128"/>
        <w:numPr>
          <w:ilvl w:val="0"/>
          <w:numId w:val="88"/>
        </w:numPr>
        <w:suppressLineNumbers w:val="false"/>
        <w:pBdr/>
        <w:spacing w:line="300" w:lineRule="auto"/>
        <w:ind/>
        <w:rPr/>
      </w:pPr>
      <w:r>
        <w:rPr>
          <w:b/>
          <w:bCs/>
        </w:rPr>
        <w:t xml:space="preserve">Policy handling effects:</w:t>
      </w:r>
      <w:r>
        <w:t xml:space="preserve"> refusals are necessary for safety but reduce answer issuance rate (92% non-refusal issuance).</w:t>
      </w:r>
      <w:r/>
    </w:p>
    <w:p w14:paraId="2D43024C">
      <w:pPr>
        <w:pStyle w:val="1128"/>
        <w:suppressLineNumbers w:val="false"/>
        <w:pBdr/>
        <w:spacing w:line="300" w:lineRule="auto"/>
        <w:ind w:firstLine="0"/>
        <w:rPr/>
      </w:pPr>
      <w:r>
        <w:t xml:space="preserve">These effects are expected for a baseline that prioritizes traceability and deterministic behavior over free-form fluency.</w:t>
      </w:r>
      <w:r/>
    </w:p>
    <w:p w14:paraId="7D99AAF4">
      <w:pPr>
        <w:pStyle w:val="1128"/>
        <w:suppressLineNumbers w:val="false"/>
        <w:pBdr/>
        <w:spacing w:line="300" w:lineRule="auto"/>
        <w:ind w:firstLine="0"/>
        <w:rPr/>
      </w:pPr>
      <w:r/>
      <w:r/>
    </w:p>
    <w:p w14:paraId="0B1A0CB7">
      <w:pPr>
        <w:pStyle w:val="1128"/>
        <w:suppressLineNumbers w:val="false"/>
        <w:pBdr/>
        <w:spacing w:line="300" w:lineRule="auto"/>
        <w:ind w:firstLine="0"/>
        <w:rPr>
          <w:b/>
          <w:bCs/>
          <w:sz w:val="28"/>
          <w:szCs w:val="28"/>
        </w:rPr>
      </w:pPr>
      <w:r>
        <w:rPr>
          <w:b/>
          <w:bCs/>
          <w:sz w:val="28"/>
          <w:szCs w:val="28"/>
        </w:rPr>
        <w:t xml:space="preserve">5.8 Threats to Validity and Limitations</w:t>
      </w:r>
      <w:r>
        <w:rPr>
          <w:b/>
          <w:bCs/>
          <w:sz w:val="28"/>
          <w:szCs w:val="28"/>
        </w:rPr>
      </w:r>
      <w:r>
        <w:rPr>
          <w:b/>
          <w:bCs/>
          <w:sz w:val="28"/>
          <w:szCs w:val="28"/>
        </w:rPr>
      </w:r>
    </w:p>
    <w:p w14:paraId="6120EC2F">
      <w:pPr>
        <w:pStyle w:val="1128"/>
        <w:numPr>
          <w:ilvl w:val="0"/>
          <w:numId w:val="89"/>
        </w:numPr>
        <w:suppressLineNumbers w:val="false"/>
        <w:pBdr/>
        <w:spacing w:line="300" w:lineRule="auto"/>
        <w:ind/>
        <w:rPr/>
      </w:pPr>
      <w:r>
        <w:t xml:space="preserve">Small KB footprint: only 3 source documents and 12 chunks limit retrieval diversity.</w:t>
      </w:r>
      <w:r/>
    </w:p>
    <w:p w14:paraId="73835233">
      <w:pPr>
        <w:pStyle w:val="1128"/>
        <w:numPr>
          <w:ilvl w:val="0"/>
          <w:numId w:val="89"/>
        </w:numPr>
        <w:suppressLineNumbers w:val="false"/>
        <w:pBdr/>
        <w:spacing w:line="300" w:lineRule="auto"/>
        <w:ind/>
        <w:rPr/>
      </w:pPr>
      <w:r>
        <w:t xml:space="preserve">Synthetic/small evaluation subsets: retrieval gold (n=10) and PICO gold (n=20) are useful for method checks, not broad clinical generalization.</w:t>
      </w:r>
      <w:r/>
    </w:p>
    <w:p w14:paraId="78233FD5">
      <w:pPr>
        <w:pStyle w:val="1128"/>
        <w:numPr>
          <w:ilvl w:val="0"/>
          <w:numId w:val="89"/>
        </w:numPr>
        <w:suppressLineNumbers w:val="false"/>
        <w:pBdr/>
        <w:spacing w:line="300" w:lineRule="auto"/>
        <w:ind/>
        <w:rPr/>
      </w:pPr>
      <w:r>
        <w:t xml:space="preserve">Heuristic grounding metrics: citation correctness and hallucination proxies are lexical and must be complemented by clinician semantic review.</w:t>
      </w:r>
      <w:r/>
    </w:p>
    <w:p w14:paraId="6A5102C3">
      <w:pPr>
        <w:pStyle w:val="1128"/>
        <w:numPr>
          <w:ilvl w:val="0"/>
          <w:numId w:val="89"/>
        </w:numPr>
        <w:suppressLineNumbers w:val="false"/>
        <w:pBdr/>
        <w:spacing w:line="300" w:lineRule="auto"/>
        <w:ind/>
        <w:rPr/>
      </w:pPr>
      <w:r>
        <w:t xml:space="preserve">No external API LLM dependency in baseline: improves reproducibility but does not yet benchmark richer model-assisted synthesis.</w:t>
      </w:r>
      <w:r/>
    </w:p>
    <w:p w14:paraId="3E9AF359">
      <w:pPr>
        <w:pStyle w:val="1128"/>
        <w:numPr>
          <w:ilvl w:val="0"/>
          <w:numId w:val="89"/>
        </w:numPr>
        <w:suppressLineNumbers w:val="false"/>
        <w:pBdr/>
        <w:spacing w:line="300" w:lineRule="auto"/>
        <w:ind/>
        <w:rPr/>
      </w:pPr>
      <w:r>
        <w:t xml:space="preserve">No deployment claim: this chapter demonstrates engineering feasibility and reproducibility, not bedside readiness.</w:t>
      </w:r>
      <w:r/>
    </w:p>
    <w:p w14:paraId="45E35C22">
      <w:pPr>
        <w:pStyle w:val="1128"/>
        <w:suppressLineNumbers w:val="false"/>
        <w:pBdr/>
        <w:spacing w:line="300" w:lineRule="auto"/>
        <w:ind w:firstLine="0"/>
        <w:rPr>
          <w:b/>
          <w:bCs/>
          <w:sz w:val="28"/>
          <w:szCs w:val="28"/>
        </w:rPr>
      </w:pPr>
      <w:r>
        <w:rPr>
          <w:b/>
          <w:bCs/>
          <w:sz w:val="28"/>
          <w:szCs w:val="28"/>
        </w:rPr>
        <w:t xml:space="preserve">5.9 Reproducibility and Completion Audit Status</w:t>
      </w:r>
      <w:r>
        <w:rPr>
          <w:b/>
          <w:bCs/>
          <w:sz w:val="28"/>
          <w:szCs w:val="28"/>
        </w:rPr>
      </w:r>
      <w:r>
        <w:rPr>
          <w:b/>
          <w:bCs/>
          <w:sz w:val="28"/>
          <w:szCs w:val="28"/>
        </w:rPr>
      </w:r>
    </w:p>
    <w:p w14:paraId="4F394C68">
      <w:pPr>
        <w:pStyle w:val="1128"/>
        <w:suppressLineNumbers w:val="false"/>
        <w:pBdr/>
        <w:spacing w:line="300" w:lineRule="auto"/>
        <w:ind w:firstLine="0"/>
        <w:rPr/>
      </w:pPr>
      <w:r>
        <w:t xml:space="preserve">Completion audit source:</w:t>
      </w:r>
      <w:r/>
    </w:p>
    <w:p w14:paraId="0AD5B346">
      <w:pPr>
        <w:pStyle w:val="1128"/>
        <w:numPr>
          <w:ilvl w:val="0"/>
          <w:numId w:val="90"/>
        </w:numPr>
        <w:suppressLineNumbers w:val="false"/>
        <w:pBdr/>
        <w:spacing w:line="300" w:lineRule="auto"/>
        <w:ind/>
        <w:rPr/>
      </w:pPr>
      <w:r>
        <w:t xml:space="preserve">Prototyping_reformat/chapter5_pico_wrapper/results/chapter5_completion_audit_ch5_freeze_20260306/chapter5_completion_report.json</w:t>
      </w:r>
      <w:r/>
    </w:p>
    <w:p w14:paraId="25DE4993">
      <w:pPr>
        <w:pStyle w:val="1128"/>
        <w:numPr>
          <w:ilvl w:val="0"/>
          <w:numId w:val="90"/>
        </w:numPr>
        <w:suppressLineNumbers w:val="false"/>
        <w:pBdr/>
        <w:spacing w:line="300" w:lineRule="auto"/>
        <w:ind/>
        <w:rPr/>
      </w:pPr>
      <w:r>
        <w:t xml:space="preserve">Prototyping_reformat/chapter5_pico_wrapper/results/chapter5_completion_audit_ch5_freeze_20260306/chapter5_completion_report.md</w:t>
      </w:r>
      <w:r/>
    </w:p>
    <w:p w14:paraId="280E1D0E">
      <w:pPr>
        <w:pStyle w:val="1128"/>
        <w:suppressLineNumbers w:val="false"/>
        <w:pBdr/>
        <w:spacing w:line="300" w:lineRule="auto"/>
        <w:ind w:firstLine="720"/>
        <w:rPr/>
      </w:pPr>
      <w:r>
        <w:t xml:space="preserve">Audit status: PASS (6/6 checklist items passed), including artifact existence, minimum query coverage, and chapter-text synchronization checks.</w:t>
      </w:r>
      <w:r/>
    </w:p>
    <w:p w14:paraId="5BDF6CBD">
      <w:pPr>
        <w:pStyle w:val="1128"/>
        <w:suppressLineNumbers w:val="false"/>
        <w:pBdr/>
        <w:spacing w:line="300" w:lineRule="auto"/>
        <w:ind w:firstLine="0"/>
        <w:rPr/>
      </w:pPr>
      <w:r>
        <w:t xml:space="preserve">Core scripts:</w:t>
      </w:r>
      <w:r/>
    </w:p>
    <w:p w14:paraId="59723A4E">
      <w:pPr>
        <w:pStyle w:val="1128"/>
        <w:numPr>
          <w:ilvl w:val="0"/>
          <w:numId w:val="91"/>
        </w:numPr>
        <w:suppressLineNumbers w:val="false"/>
        <w:pBdr/>
        <w:spacing w:line="300" w:lineRule="auto"/>
        <w:ind/>
        <w:rPr/>
      </w:pPr>
      <w:r>
        <w:t xml:space="preserve">scripts/build_kb.py</w:t>
      </w:r>
      <w:r/>
    </w:p>
    <w:p w14:paraId="469AA274">
      <w:pPr>
        <w:pStyle w:val="1128"/>
        <w:numPr>
          <w:ilvl w:val="0"/>
          <w:numId w:val="91"/>
        </w:numPr>
        <w:suppressLineNumbers w:val="false"/>
        <w:pBdr/>
        <w:spacing w:line="300" w:lineRule="auto"/>
        <w:ind/>
        <w:rPr/>
      </w:pPr>
      <w:r>
        <w:t xml:space="preserve">scripts/make_queryset.py</w:t>
      </w:r>
      <w:r/>
    </w:p>
    <w:p w14:paraId="7FC8B3C0">
      <w:pPr>
        <w:pStyle w:val="1128"/>
        <w:numPr>
          <w:ilvl w:val="0"/>
          <w:numId w:val="91"/>
        </w:numPr>
        <w:suppressLineNumbers w:val="false"/>
        <w:pBdr/>
        <w:spacing w:line="300" w:lineRule="auto"/>
        <w:ind/>
        <w:rPr/>
      </w:pPr>
      <w:r>
        <w:t xml:space="preserve">scripts/run_wrapper.py</w:t>
      </w:r>
      <w:r/>
    </w:p>
    <w:p w14:paraId="2AB27B27">
      <w:pPr>
        <w:pStyle w:val="1128"/>
        <w:numPr>
          <w:ilvl w:val="0"/>
          <w:numId w:val="91"/>
        </w:numPr>
        <w:suppressLineNumbers w:val="false"/>
        <w:pBdr/>
        <w:spacing w:line="300" w:lineRule="auto"/>
        <w:ind/>
        <w:rPr/>
      </w:pPr>
      <w:r>
        <w:t xml:space="preserve">scripts/run_ui.py</w:t>
      </w:r>
      <w:r/>
    </w:p>
    <w:p w14:paraId="49FBEB39">
      <w:pPr>
        <w:pStyle w:val="1128"/>
        <w:numPr>
          <w:ilvl w:val="0"/>
          <w:numId w:val="91"/>
        </w:numPr>
        <w:suppressLineNumbers w:val="false"/>
        <w:pBdr/>
        <w:spacing w:line="300" w:lineRule="auto"/>
        <w:ind/>
        <w:rPr/>
      </w:pPr>
      <w:r>
        <w:t xml:space="preserve">scripts/eval_pico.py</w:t>
      </w:r>
      <w:r/>
    </w:p>
    <w:p w14:paraId="3B2AC1B0">
      <w:pPr>
        <w:pStyle w:val="1128"/>
        <w:numPr>
          <w:ilvl w:val="0"/>
          <w:numId w:val="91"/>
        </w:numPr>
        <w:suppressLineNumbers w:val="false"/>
        <w:pBdr/>
        <w:spacing w:line="300" w:lineRule="auto"/>
        <w:ind/>
        <w:rPr/>
      </w:pPr>
      <w:r>
        <w:t xml:space="preserve">scripts/eval_retrieval.py</w:t>
      </w:r>
      <w:r/>
    </w:p>
    <w:p w14:paraId="42069961">
      <w:pPr>
        <w:pStyle w:val="1128"/>
        <w:numPr>
          <w:ilvl w:val="0"/>
          <w:numId w:val="91"/>
        </w:numPr>
        <w:suppressLineNumbers w:val="false"/>
        <w:pBdr/>
        <w:spacing w:line="300" w:lineRule="auto"/>
        <w:ind/>
        <w:rPr/>
      </w:pPr>
      <w:r>
        <w:t xml:space="preserve">scripts/eval_answers.py</w:t>
      </w:r>
      <w:r/>
    </w:p>
    <w:p w14:paraId="64D1C83B">
      <w:pPr>
        <w:pStyle w:val="1128"/>
        <w:numPr>
          <w:ilvl w:val="0"/>
          <w:numId w:val="91"/>
        </w:numPr>
        <w:suppressLineNumbers w:val="false"/>
        <w:pBdr/>
        <w:spacing w:line="300" w:lineRule="auto"/>
        <w:ind/>
        <w:rPr/>
      </w:pPr>
      <w:r>
        <w:t xml:space="preserve">scripts/chapter5_completion_audit.py</w:t>
      </w:r>
      <w:r/>
    </w:p>
    <w:p w14:paraId="582997FD">
      <w:pPr>
        <w:pStyle w:val="1128"/>
        <w:numPr>
          <w:ilvl w:val="0"/>
          <w:numId w:val="91"/>
        </w:numPr>
        <w:suppressLineNumbers w:val="false"/>
        <w:pBdr/>
        <w:spacing w:line="300" w:lineRule="auto"/>
        <w:ind/>
        <w:rPr/>
      </w:pPr>
      <w:r>
        <w:t xml:space="preserve">scripts/run_full_pipeline.py</w:t>
      </w:r>
      <w:r/>
    </w:p>
    <w:p w14:paraId="2D79273B">
      <w:pPr>
        <w:pStyle w:val="1128"/>
        <w:suppressLineNumbers w:val="false"/>
        <w:pBdr/>
        <w:spacing w:line="300" w:lineRule="auto"/>
        <w:ind w:firstLine="0" w:left="720"/>
        <w:rPr/>
      </w:pPr>
      <w:r>
        <w:rPr>
          <w:highlight w:val="none"/>
        </w:rPr>
      </w:r>
      <w:r>
        <w:rPr>
          <w:highlight w:val="none"/>
        </w:rPr>
      </w:r>
      <w:r/>
    </w:p>
    <w:p w14:paraId="582569C9">
      <w:pPr>
        <w:pStyle w:val="1128"/>
        <w:suppressLineNumbers w:val="false"/>
        <w:pBdr/>
        <w:spacing w:line="300" w:lineRule="auto"/>
        <w:ind w:firstLine="0"/>
        <w:rPr>
          <w:b/>
          <w:bCs/>
          <w:sz w:val="28"/>
          <w:szCs w:val="28"/>
        </w:rPr>
      </w:pPr>
      <w:r>
        <w:rPr>
          <w:b/>
          <w:bCs/>
          <w:sz w:val="28"/>
          <w:szCs w:val="28"/>
        </w:rPr>
        <w:t xml:space="preserve">5.10 Chapter 5 Claim Guardrail</w:t>
      </w:r>
      <w:r>
        <w:rPr>
          <w:b/>
          <w:bCs/>
          <w:sz w:val="28"/>
          <w:szCs w:val="28"/>
        </w:rPr>
      </w:r>
      <w:r>
        <w:rPr>
          <w:b/>
          <w:bCs/>
          <w:sz w:val="28"/>
          <w:szCs w:val="28"/>
        </w:rPr>
      </w:r>
    </w:p>
    <w:p w14:paraId="44FCA789">
      <w:pPr>
        <w:pStyle w:val="1128"/>
        <w:suppressLineNumbers w:val="false"/>
        <w:pBdr/>
        <w:spacing w:line="300" w:lineRule="auto"/>
        <w:ind w:firstLine="0"/>
        <w:rPr/>
      </w:pPr>
      <w:r>
        <w:t xml:space="preserve">Allowed headline claims:</w:t>
      </w:r>
      <w:r/>
    </w:p>
    <w:p w14:paraId="1F0922CB">
      <w:pPr>
        <w:pStyle w:val="1128"/>
        <w:numPr>
          <w:ilvl w:val="0"/>
          <w:numId w:val="92"/>
        </w:numPr>
        <w:suppressLineNumbers w:val="false"/>
        <w:pBdr/>
        <w:spacing w:line="300" w:lineRule="auto"/>
        <w:ind/>
        <w:rPr/>
      </w:pPr>
      <w:r>
        <w:t xml:space="preserve">Chapter 5 provides a reproducible, citation-aware wrapper around frozen upstream Chapter 4 severity capability.</w:t>
      </w:r>
      <w:r/>
    </w:p>
    <w:p w14:paraId="6AC08497">
      <w:pPr>
        <w:pStyle w:val="1128"/>
        <w:numPr>
          <w:ilvl w:val="0"/>
          <w:numId w:val="92"/>
        </w:numPr>
        <w:suppressLineNumbers w:val="false"/>
        <w:pBdr/>
        <w:spacing w:line="300" w:lineRule="auto"/>
        <w:ind/>
        <w:rPr/>
      </w:pPr>
      <w:r>
        <w:t xml:space="preserve">Required-field PICO extraction and top-5 retrieval show workable baseline behavior on internal benchmark artifacts.</w:t>
      </w:r>
      <w:r/>
    </w:p>
    <w:p w14:paraId="5B10EA5D">
      <w:pPr>
        <w:pStyle w:val="1128"/>
        <w:numPr>
          <w:ilvl w:val="0"/>
          <w:numId w:val="92"/>
        </w:numPr>
        <w:suppressLineNumbers w:val="false"/>
        <w:pBdr/>
        <w:spacing w:line="300" w:lineRule="auto"/>
        <w:ind/>
        <w:rPr/>
      </w:pPr>
      <w:r>
        <w:t xml:space="preserve">Citation-linked synthesis and refusal handling are operational in pass4 and auditable from persisted outputs.</w:t>
      </w:r>
      <w:r/>
    </w:p>
    <w:p w14:paraId="27220C2D">
      <w:pPr>
        <w:pStyle w:val="1128"/>
        <w:suppressLineNumbers w:val="false"/>
        <w:pBdr/>
        <w:spacing w:line="300" w:lineRule="auto"/>
        <w:ind w:firstLine="0"/>
        <w:rPr/>
      </w:pPr>
      <w:r>
        <w:t xml:space="preserve">Disallowed headline claims:</w:t>
      </w:r>
      <w:r/>
    </w:p>
    <w:p w14:paraId="5B6DE03F">
      <w:pPr>
        <w:pStyle w:val="1128"/>
        <w:numPr>
          <w:ilvl w:val="0"/>
          <w:numId w:val="94"/>
        </w:numPr>
        <w:suppressLineNumbers w:val="false"/>
        <w:pBdr/>
        <w:spacing w:line="300" w:lineRule="auto"/>
        <w:ind/>
        <w:rPr/>
      </w:pPr>
      <w:r>
        <w:t xml:space="preserve">Do not claim external clinical deployment readiness from the current internal KB and synthetic/small gold subsets.</w:t>
      </w:r>
      <w:r/>
    </w:p>
    <w:p w14:paraId="35FA881A">
      <w:pPr>
        <w:pStyle w:val="1128"/>
        <w:numPr>
          <w:ilvl w:val="0"/>
          <w:numId w:val="94"/>
        </w:numPr>
        <w:suppressLineNumbers w:val="false"/>
        <w:pBdr/>
        <w:spacing w:line="300" w:lineRule="auto"/>
        <w:ind/>
        <w:rPr/>
      </w:pPr>
      <w:r>
        <w:t xml:space="preserve">Do not present retrieval or grounding heuristics as a substitute for clinician semantic adjudication.</w:t>
      </w:r>
      <w:r/>
    </w:p>
    <w:p w14:paraId="398EECAE">
      <w:pPr>
        <w:pStyle w:val="1128"/>
        <w:numPr>
          <w:ilvl w:val="0"/>
          <w:numId w:val="94"/>
        </w:numPr>
        <w:suppressLineNumbers w:val="false"/>
        <w:pBdr/>
        <w:spacing w:line="300" w:lineRule="auto"/>
        <w:ind/>
        <w:rPr/>
      </w:pPr>
      <w:r>
        <w:t xml:space="preserve">Do not interpret this chapter as replacing Chapter 4 severity model validation.</w:t>
      </w:r>
      <w:r/>
    </w:p>
    <w:p w14:paraId="6CEE4DD0">
      <w:pPr>
        <w:pStyle w:val="1128"/>
        <w:suppressLineNumbers w:val="false"/>
        <w:pBdr/>
        <w:spacing w:line="300" w:lineRule="auto"/>
        <w:ind w:firstLine="0"/>
        <w:rPr/>
      </w:pPr>
      <w:r>
        <w:rPr>
          <w:highlight w:val="none"/>
        </w:rPr>
      </w:r>
      <w:r>
        <w:rPr>
          <w:highlight w:val="none"/>
        </w:rPr>
      </w:r>
      <w:r/>
    </w:p>
    <w:p w14:paraId="509D5DB9">
      <w:pPr>
        <w:pStyle w:val="1128"/>
        <w:suppressLineNumbers w:val="false"/>
        <w:pBdr/>
        <w:spacing w:line="300" w:lineRule="auto"/>
        <w:ind w:firstLine="0"/>
        <w:rPr>
          <w:b/>
          <w:bCs/>
          <w:sz w:val="28"/>
          <w:szCs w:val="28"/>
          <w:highlight w:val="none"/>
        </w:rPr>
      </w:pPr>
      <w:r>
        <w:rPr>
          <w:b/>
          <w:bCs/>
          <w:sz w:val="28"/>
          <w:szCs w:val="28"/>
        </w:rPr>
        <w:t xml:space="preserve">5.11 Summary</w:t>
      </w:r>
      <w:r>
        <w:rPr>
          <w:b/>
          <w:bCs/>
          <w:sz w:val="28"/>
          <w:szCs w:val="28"/>
          <w:highlight w:val="none"/>
        </w:rPr>
      </w:r>
      <w:r>
        <w:rPr>
          <w:b/>
          <w:bCs/>
          <w:sz w:val="28"/>
          <w:szCs w:val="28"/>
          <w:highlight w:val="none"/>
        </w:rPr>
      </w:r>
    </w:p>
    <w:p w14:paraId="59714060">
      <w:pPr>
        <w:pStyle w:val="1128"/>
        <w:suppressLineNumbers w:val="false"/>
        <w:pBdr/>
        <w:spacing w:line="300" w:lineRule="auto"/>
        <w:ind w:firstLine="720"/>
        <w:rPr/>
      </w:pPr>
      <w:r>
        <w:t xml:space="preserve">C</w:t>
      </w:r>
      <w:r>
        <w:t xml:space="preserve">hapter 5 delivers a complete PICO-grounded wrapper layer that is structured, safety-constrained, and reproducibility-first. The wrapper does not attempt to hide uncertainty; it surfaces citations, supports refusal behavior, and exposes clear artifact trail</w:t>
      </w:r>
      <w:r>
        <w:t xml:space="preserve">s for audit.</w:t>
      </w:r>
      <w:r/>
    </w:p>
    <w:p w14:paraId="3CA5AE67">
      <w:pPr>
        <w:pStyle w:val="1128"/>
        <w:suppressLineNumbers w:val="false"/>
        <w:pBdr/>
        <w:spacing w:line="300" w:lineRule="auto"/>
        <w:ind w:firstLine="0"/>
        <w:rPr/>
      </w:pPr>
      <w:r>
        <w:t xml:space="preserve">R</w:t>
      </w:r>
      <w:r>
        <w:t xml:space="preserve">elative to a monolithic end-to-end generator, the chapter demonstrates a modular path: frozen visual severity evidence from Chapter 4 combined with explicit retrieval-grounded synthesis control. Future work should extend this baseline with a larger curated</w:t>
      </w:r>
      <w:r>
        <w:t xml:space="preserve"> evidence store, stronger retrieval supervision, and clinician-scored semantic grounding studies, while preserving the same claim discipline and auditability standards used throughout this dissertation.</w:t>
      </w:r>
      <w:r/>
    </w:p>
    <w:p w14:paraId="4E9C7024">
      <w:pPr>
        <w:pStyle w:val="1128"/>
        <w:suppressLineNumbers w:val="false"/>
        <w:pBdr/>
        <w:spacing w:line="300" w:lineRule="auto"/>
        <w:ind w:firstLine="0"/>
        <w:rPr/>
      </w:pPr>
      <w:r/>
      <w:r/>
    </w:p>
    <w:p w14:paraId="0B93E0F1">
      <w:pPr>
        <w:pStyle w:val="1128"/>
        <w:suppressLineNumbers w:val="false"/>
        <w:pBdr/>
        <w:spacing w:line="300" w:lineRule="auto"/>
        <w:ind w:firstLine="0"/>
        <w:rPr/>
      </w:pPr>
      <w:r/>
      <w:r/>
    </w:p>
    <w:p w14:paraId="0A18796B">
      <w:pPr>
        <w:pStyle w:val="1115"/>
        <w:suppressLineNumbers w:val="false"/>
        <w:pBdr/>
        <w:spacing w:line="300" w:lineRule="auto"/>
        <w:ind/>
        <w:rPr/>
      </w:pPr>
      <w:r>
        <w:br/>
      </w:r>
      <w:r>
        <w:br/>
      </w:r>
      <w:r>
        <w:t xml:space="preserve">Conclusions and Future Research</w:t>
      </w:r>
      <w:r>
        <w:rPr>
          <w:b/>
          <w:bCs/>
        </w:rPr>
      </w:r>
      <w:r/>
    </w:p>
    <w:p w14:paraId="29D4A6E1">
      <w:pPr>
        <w:pStyle w:val="1128"/>
        <w:pBdr/>
        <w:spacing/>
        <w:ind/>
        <w:rPr/>
      </w:pPr>
      <w:r>
        <w:rPr>
          <w:b/>
          <w:bCs/>
        </w:rPr>
      </w:r>
      <w:r/>
    </w:p>
    <w:p w14:paraId="24CC3847">
      <w:pPr>
        <w:pStyle w:val="1128"/>
        <w:suppressLineNumbers w:val="false"/>
        <w:pBdr/>
        <w:spacing w:line="300" w:lineRule="auto"/>
        <w:ind w:firstLine="0"/>
        <w:rPr>
          <w:b/>
          <w:bCs/>
          <w:sz w:val="28"/>
          <w:szCs w:val="28"/>
        </w:rPr>
      </w:pPr>
      <w:r>
        <w:rPr>
          <w:b/>
          <w:bCs/>
          <w:sz w:val="28"/>
          <w:szCs w:val="28"/>
          <w:lang w:val="en-US"/>
        </w:rPr>
        <w:t xml:space="preserve">6</w:t>
      </w:r>
      <w:r>
        <w:rPr>
          <w:b/>
          <w:bCs/>
          <w:sz w:val="28"/>
          <w:szCs w:val="28"/>
        </w:rPr>
        <w:t xml:space="preserve">.1 </w:t>
      </w:r>
      <w:r>
        <w:rPr>
          <w:b/>
          <w:bCs/>
          <w:sz w:val="28"/>
          <w:szCs w:val="28"/>
        </w:rPr>
        <w:t xml:space="preserve">Chapter Purpose and Position in the Dissertation</w:t>
      </w:r>
      <w:r>
        <w:rPr>
          <w:b/>
          <w:bCs/>
          <w:sz w:val="28"/>
          <w:szCs w:val="28"/>
        </w:rPr>
      </w:r>
      <w:r>
        <w:rPr>
          <w:b/>
          <w:bCs/>
          <w:sz w:val="28"/>
          <w:szCs w:val="28"/>
        </w:rPr>
      </w:r>
    </w:p>
    <w:p w14:paraId="501486F2">
      <w:pPr>
        <w:pStyle w:val="1128"/>
        <w:suppressLineNumbers w:val="false"/>
        <w:pBdr/>
        <w:spacing w:line="300" w:lineRule="auto"/>
        <w:ind w:firstLine="720"/>
        <w:rPr/>
      </w:pPr>
      <w:r>
        <w:rPr>
          <w:highlight w:val="none"/>
        </w:rPr>
        <w:t xml:space="preserve">T</w:t>
      </w:r>
      <w:r>
        <w:rPr>
          <w:highlight w:val="none"/>
        </w:rPr>
        <w:t xml:space="preserve">his chapter closes the dissertation by consolidating the technical, empirical, and translational findings developed from Chapter 1 through Chapter 5. The work began with a practical clinical AI tension: GI-endoscopy visual question answering (VQA) systems </w:t>
      </w:r>
      <w:r>
        <w:rPr>
          <w:highlight w:val="none"/>
        </w:rPr>
        <w:t xml:space="preserve">can report encouraging benchmark scores, yet clinical usefulness depends on reliability under class imbalance, robustness under domain shift, explicit uncertainty communication, and evidence-grounded response behaviour</w:t>
      </w:r>
      <w:r>
        <w:rPr>
          <w:highlight w:val="none"/>
        </w:rPr>
        <w:t xml:space="preserve">.</w:t>
      </w:r>
      <w:r>
        <w:rPr>
          <w:highlight w:val="none"/>
        </w:rPr>
      </w:r>
      <w:r/>
    </w:p>
    <w:p w14:paraId="7474EE1F">
      <w:pPr>
        <w:pStyle w:val="1128"/>
        <w:suppressLineNumbers w:val="false"/>
        <w:pBdr/>
        <w:spacing w:line="300" w:lineRule="auto"/>
        <w:ind w:firstLine="720"/>
        <w:rPr/>
      </w:pPr>
      <w:r>
        <w:rPr>
          <w:highlight w:val="none"/>
        </w:rPr>
        <w:t xml:space="preserve">To address this, the dissertation followed a staged methodological arc rather than a single-model optimization arc:</w:t>
      </w:r>
      <w:r>
        <w:rPr>
          <w:highlight w:val="none"/>
        </w:rPr>
      </w:r>
      <w:r/>
    </w:p>
    <w:p w14:paraId="60DF2183">
      <w:pPr>
        <w:pStyle w:val="1128"/>
        <w:numPr>
          <w:ilvl w:val="0"/>
          <w:numId w:val="96"/>
        </w:numPr>
        <w:suppressLineNumbers w:val="false"/>
        <w:pBdr/>
        <w:spacing w:line="300" w:lineRule="auto"/>
        <w:ind/>
        <w:rPr/>
      </w:pPr>
      <w:r>
        <w:rPr>
          <w:highlight w:val="none"/>
        </w:rPr>
        <w:t xml:space="preserve">define the clinical problem, scope, and research questions (Chapter 1);</w:t>
      </w:r>
      <w:r/>
    </w:p>
    <w:p w14:paraId="09E74B78">
      <w:pPr>
        <w:pStyle w:val="1128"/>
        <w:numPr>
          <w:ilvl w:val="0"/>
          <w:numId w:val="96"/>
        </w:numPr>
        <w:suppressLineNumbers w:val="false"/>
        <w:pBdr/>
        <w:spacing w:line="300" w:lineRule="auto"/>
        <w:ind/>
        <w:rPr/>
      </w:pPr>
      <w:r>
        <w:rPr>
          <w:highlight w:val="none"/>
        </w:rPr>
        <w:t xml:space="preserve">establish the MedVQA and GI-endoscopy literature and benchmark landscape (Chapter 2);</w:t>
      </w:r>
      <w:r/>
    </w:p>
    <w:p w14:paraId="49D2C941">
      <w:pPr>
        <w:pStyle w:val="1128"/>
        <w:numPr>
          <w:ilvl w:val="0"/>
          <w:numId w:val="96"/>
        </w:numPr>
        <w:suppressLineNumbers w:val="false"/>
        <w:pBdr/>
        <w:spacing w:line="300" w:lineRule="auto"/>
        <w:ind/>
        <w:rPr/>
      </w:pPr>
      <w:r>
        <w:rPr>
          <w:highlight w:val="none"/>
        </w:rPr>
        <w:t xml:space="preserve">empirically audit existing model families using persisted GI artifacts (Chapter 3);</w:t>
      </w:r>
      <w:r/>
    </w:p>
    <w:p w14:paraId="665B694C">
      <w:pPr>
        <w:pStyle w:val="1128"/>
        <w:numPr>
          <w:ilvl w:val="0"/>
          <w:numId w:val="96"/>
        </w:numPr>
        <w:suppressLineNumbers w:val="false"/>
        <w:pBdr/>
        <w:spacing w:line="300" w:lineRule="auto"/>
        <w:ind/>
        <w:rPr/>
      </w:pPr>
      <w:r>
        <w:rPr>
          <w:highlight w:val="none"/>
        </w:rPr>
        <w:t xml:space="preserve">develop a controlled generative UC severity module with frozen reporting boundaries (Chapter 4);</w:t>
      </w:r>
      <w:r/>
    </w:p>
    <w:p w14:paraId="499A89B5">
      <w:pPr>
        <w:pStyle w:val="1128"/>
        <w:numPr>
          <w:ilvl w:val="0"/>
          <w:numId w:val="96"/>
        </w:numPr>
        <w:suppressLineNumbers w:val="false"/>
        <w:pBdr/>
        <w:spacing w:line="300" w:lineRule="auto"/>
        <w:ind/>
        <w:rPr/>
      </w:pPr>
      <w:r>
        <w:rPr>
          <w:highlight w:val="none"/>
        </w:rPr>
        <w:t xml:space="preserve">integrate severity-compatible, PICO-grounded, citation-aware physician-query support (Chapter 5).</w:t>
      </w:r>
      <w:r/>
    </w:p>
    <w:p w14:paraId="44455428">
      <w:pPr>
        <w:pStyle w:val="1128"/>
        <w:suppressLineNumbers w:val="false"/>
        <w:pBdr/>
        <w:spacing w:line="300" w:lineRule="auto"/>
        <w:ind w:firstLine="720"/>
        <w:rPr/>
      </w:pPr>
      <w:r>
        <w:rPr>
          <w:highlight w:val="none"/>
        </w:rPr>
        <w:t xml:space="preserve">The central conclusion is that clinically meaningful progress in GI MedVQA is achieved through constrained, auditable systems engineering and bounded claims, not through unconstrained generation alone.</w:t>
      </w:r>
      <w:r/>
    </w:p>
    <w:p w14:paraId="07D5FA14">
      <w:pPr>
        <w:pStyle w:val="1128"/>
        <w:suppressLineNumbers w:val="false"/>
        <w:pBdr/>
        <w:spacing w:line="300" w:lineRule="auto"/>
        <w:ind w:firstLine="0"/>
        <w:rPr/>
      </w:pPr>
      <w:r>
        <w:rPr>
          <w:highlight w:val="none"/>
        </w:rPr>
      </w:r>
      <w:r/>
    </w:p>
    <w:p w14:paraId="43F85200">
      <w:pPr>
        <w:pStyle w:val="1128"/>
        <w:suppressLineNumbers w:val="false"/>
        <w:pBdr/>
        <w:spacing w:line="300" w:lineRule="auto"/>
        <w:ind w:firstLine="720"/>
        <w:rPr/>
      </w:pPr>
      <w:r>
        <w:rPr>
          <w:highlight w:val="none"/>
        </w:rPr>
        <w:t xml:space="preserve">A</w:t>
      </w:r>
      <w:r>
        <w:rPr>
          <w:highlight w:val="none"/>
        </w:rPr>
        <w:t xml:space="preserve"> second, equally important conclusion is that the dissertation contributes a deployment logic and not only a model result. The contribution is therefore not reducible to a single score table. It is a layered decision framework that clarifies when evidence </w:t>
      </w:r>
      <w:r>
        <w:rPr>
          <w:highlight w:val="none"/>
        </w:rPr>
        <w:t xml:space="preserve">is strong enough for limited clinical decision support and when the output should be escalated, deferred, or rejected. This distinction is essential in medical AI, where overstating generalization is more harmful than reporting conservative gains.</w:t>
      </w:r>
      <w:r/>
    </w:p>
    <w:p w14:paraId="77AEF067">
      <w:pPr>
        <w:pStyle w:val="1128"/>
        <w:suppressLineNumbers w:val="false"/>
        <w:pBdr/>
        <w:spacing w:line="300" w:lineRule="auto"/>
        <w:ind w:firstLine="0"/>
        <w:rPr/>
      </w:pPr>
      <w:r>
        <w:rPr>
          <w:highlight w:val="none"/>
        </w:rPr>
      </w:r>
      <w:r/>
    </w:p>
    <w:p w14:paraId="76DA5D85">
      <w:pPr>
        <w:pStyle w:val="1128"/>
        <w:suppressLineNumbers w:val="false"/>
        <w:pBdr/>
        <w:spacing w:line="300" w:lineRule="auto"/>
        <w:ind w:firstLine="0"/>
        <w:rPr>
          <w:b/>
          <w:bCs/>
          <w:sz w:val="28"/>
          <w:szCs w:val="28"/>
        </w:rPr>
      </w:pPr>
      <w:r>
        <w:rPr>
          <w:b/>
          <w:bCs/>
          <w:sz w:val="28"/>
          <w:szCs w:val="28"/>
          <w:highlight w:val="none"/>
        </w:rPr>
        <w:t xml:space="preserve">6.2 Consolidated Narrative of What Was Demonstrated</w:t>
      </w:r>
      <w:r>
        <w:rPr>
          <w:b/>
          <w:bCs/>
          <w:sz w:val="28"/>
          <w:szCs w:val="28"/>
        </w:rPr>
      </w:r>
      <w:r>
        <w:rPr>
          <w:b/>
          <w:bCs/>
          <w:sz w:val="28"/>
          <w:szCs w:val="28"/>
        </w:rPr>
      </w:r>
    </w:p>
    <w:p w14:paraId="04F9200B">
      <w:pPr>
        <w:pStyle w:val="1128"/>
        <w:suppressLineNumbers w:val="false"/>
        <w:pBdr/>
        <w:spacing w:line="300" w:lineRule="auto"/>
        <w:ind w:firstLine="720"/>
        <w:rPr/>
      </w:pPr>
      <w:r>
        <w:rPr>
          <w:highlight w:val="none"/>
        </w:rPr>
        <w:t xml:space="preserve">Across the full pipeline, five cross-chapter findings are consistent and mutually reinforcing.</w:t>
      </w:r>
      <w:r>
        <w:rPr>
          <w:highlight w:val="none"/>
        </w:rPr>
      </w:r>
      <w:r/>
    </w:p>
    <w:p w14:paraId="4282DBC2">
      <w:pPr>
        <w:pStyle w:val="1128"/>
        <w:numPr>
          <w:ilvl w:val="0"/>
          <w:numId w:val="97"/>
        </w:numPr>
        <w:suppressLineNumbers w:val="false"/>
        <w:pBdr/>
        <w:spacing w:line="300" w:lineRule="auto"/>
        <w:ind/>
        <w:rPr/>
      </w:pPr>
      <w:r>
        <w:rPr>
          <w:highlight w:val="none"/>
        </w:rPr>
        <w:t xml:space="preserve">D</w:t>
      </w:r>
      <w:r>
        <w:rPr>
          <w:highlight w:val="none"/>
        </w:rPr>
        <w:t xml:space="preserve">ataset and answer-space structure governs observed reliability. GI MedVQA resources vary substantially in question families, answer cardinality, supervision style, and label semantics, so aggregate metrics can hide clinically important weaknesses [54]-[57]</w:t>
      </w:r>
      <w:r>
        <w:rPr>
          <w:highlight w:val="none"/>
        </w:rPr>
        <w:t xml:space="preserve">.</w:t>
      </w:r>
      <w:r/>
    </w:p>
    <w:p w14:paraId="724C5E2F">
      <w:pPr>
        <w:pStyle w:val="1128"/>
        <w:numPr>
          <w:ilvl w:val="0"/>
          <w:numId w:val="97"/>
        </w:numPr>
        <w:suppressLineNumbers w:val="false"/>
        <w:pBdr/>
        <w:spacing w:line="300" w:lineRule="auto"/>
        <w:ind/>
        <w:rPr/>
      </w:pPr>
      <w:r>
        <w:rPr>
          <w:highlight w:val="none"/>
        </w:rPr>
        <w:t xml:space="preserve">Constrained/supervised pipelines remain a necessary reliability anchor. Chapter 3 repeatedly showed that naive open-ended generation is brittle under GI-specific constraints, especially for underrepresented classes and output-space variability.</w:t>
      </w:r>
      <w:r/>
    </w:p>
    <w:p w14:paraId="4FDEA6FE">
      <w:pPr>
        <w:pStyle w:val="1128"/>
        <w:numPr>
          <w:ilvl w:val="0"/>
          <w:numId w:val="97"/>
        </w:numPr>
        <w:suppressLineNumbers w:val="false"/>
        <w:pBdr/>
        <w:spacing w:line="300" w:lineRule="auto"/>
        <w:ind/>
        <w:rPr/>
      </w:pPr>
      <w:r>
        <w:rPr>
          <w:highlight w:val="none"/>
        </w:rPr>
        <w:t xml:space="preserve">C</w:t>
      </w:r>
      <w:r>
        <w:rPr>
          <w:highlight w:val="none"/>
        </w:rPr>
        <w:t xml:space="preserve">ontrolled generative adaptation can surpass strong supervised baselines in-domain. In Chapter 4 internal LIMUC evaluation, the frozen generative mode1 lane exceeded the supervised anchor on QWK, macro-F1, balanced accuracy, and accuracy while preserving pa</w:t>
      </w:r>
      <w:r>
        <w:rPr>
          <w:highlight w:val="none"/>
        </w:rPr>
        <w:t xml:space="preserve">rse compliance [78], [80]-[84].</w:t>
      </w:r>
      <w:r/>
    </w:p>
    <w:p w14:paraId="4BFD53EC">
      <w:pPr>
        <w:pStyle w:val="1128"/>
        <w:numPr>
          <w:ilvl w:val="0"/>
          <w:numId w:val="97"/>
        </w:numPr>
        <w:suppressLineNumbers w:val="false"/>
        <w:pBdr/>
        <w:spacing w:line="300" w:lineRule="auto"/>
        <w:ind/>
        <w:rPr/>
      </w:pPr>
      <w:r>
        <w:rPr>
          <w:highlight w:val="none"/>
        </w:rPr>
        <w:t xml:space="preserve">Domain-shift robustness is not solved by in-domain gains. Chapter 4 external proxy evaluation showed substantial degradation, so internal improvements must be interpreted as bounded internal validity rather than universal transfer performance.</w:t>
      </w:r>
      <w:r/>
    </w:p>
    <w:p w14:paraId="5A8AD7BD">
      <w:pPr>
        <w:pStyle w:val="1128"/>
        <w:numPr>
          <w:ilvl w:val="0"/>
          <w:numId w:val="97"/>
        </w:numPr>
        <w:suppressLineNumbers w:val="false"/>
        <w:pBdr/>
        <w:spacing w:line="300" w:lineRule="auto"/>
        <w:ind/>
        <w:rPr/>
      </w:pPr>
      <w:r>
        <w:rPr>
          <w:highlight w:val="none"/>
        </w:rPr>
        <w:t xml:space="preserve">W</w:t>
      </w:r>
      <w:r>
        <w:rPr>
          <w:highlight w:val="none"/>
        </w:rPr>
        <w:t xml:space="preserve">orkflow-level safeguards are critical for physician-facing use. Chapter 5 demonstrated that citation linkage, refusal/escalation behavior, uncertainty surfacing, and completion-audit traceability can be operationalized in a reproducible wrapper [93]-[100].</w:t>
      </w:r>
      <w:r>
        <w:rPr>
          <w:highlight w:val="none"/>
        </w:rPr>
      </w:r>
      <w:r/>
    </w:p>
    <w:p w14:paraId="38067452">
      <w:pPr>
        <w:pStyle w:val="1128"/>
        <w:suppressLineNumbers w:val="false"/>
        <w:pBdr/>
        <w:spacing w:line="300" w:lineRule="auto"/>
        <w:ind w:firstLine="720" w:left="0"/>
        <w:rPr/>
      </w:pPr>
      <w:r>
        <w:rPr>
          <w:highlight w:val="none"/>
        </w:rPr>
        <w:t xml:space="preserve">These findings, taken together, support a practical translational posture: optimize reliability layers and safety behavior first, then scale model capability under explicit governance.</w:t>
      </w:r>
      <w:r>
        <w:rPr>
          <w:highlight w:val="none"/>
        </w:rPr>
      </w:r>
      <w:r/>
    </w:p>
    <w:p w14:paraId="055B2B24">
      <w:pPr>
        <w:pStyle w:val="1128"/>
        <w:suppressLineNumbers w:val="false"/>
        <w:pBdr/>
        <w:spacing w:line="300" w:lineRule="auto"/>
        <w:ind w:firstLine="720"/>
        <w:rPr>
          <w:highlight w:val="none"/>
        </w:rPr>
      </w:pPr>
      <w:r>
        <w:rPr>
          <w:highlight w:val="none"/>
        </w:rPr>
        <w:t xml:space="preserve">T</w:t>
      </w:r>
      <w:r>
        <w:rPr>
          <w:highlight w:val="none"/>
        </w:rPr>
        <w:t xml:space="preserve">he results also reveal a dependency structure across chapters. Chapter 2 established what should be measured, Chapter 3 showed where existing methods break, Chapter 4 tested whether controlled generation can improve severity reliability, and Chapter 5 test</w:t>
      </w:r>
      <w:r>
        <w:rPr>
          <w:highlight w:val="none"/>
        </w:rPr>
        <w:t xml:space="preserve">e</w:t>
      </w:r>
      <w:r>
        <w:rPr>
          <w:highlight w:val="none"/>
        </w:rPr>
        <w:t xml:space="preserve">d whether improved modeling can be translated into clinician-facing interaction without removing safeguards. </w:t>
      </w:r>
      <w:r>
        <w:rPr>
          <w:highlight w:val="none"/>
        </w:rPr>
      </w:r>
      <w:r>
        <w:rPr>
          <w:highlight w:val="none"/>
        </w:rPr>
      </w:r>
    </w:p>
    <w:p w14:paraId="08E55185">
      <w:pPr>
        <w:pStyle w:val="1128"/>
        <w:suppressLineNumbers w:val="false"/>
        <w:pBdr/>
        <w:spacing w:line="300" w:lineRule="auto"/>
        <w:ind w:firstLine="0"/>
        <w:rPr/>
      </w:pPr>
      <w:r/>
      <w:r/>
    </w:p>
    <w:p w14:paraId="4F0D8296">
      <w:pPr>
        <w:pStyle w:val="1128"/>
        <w:suppressLineNumbers w:val="false"/>
        <w:pBdr/>
        <w:spacing w:line="300" w:lineRule="auto"/>
        <w:ind w:firstLine="0"/>
        <w:rPr>
          <w:b/>
          <w:bCs/>
        </w:rPr>
      </w:pPr>
      <w:r>
        <w:rPr>
          <w:b/>
          <w:bCs/>
          <w:highlight w:val="none"/>
        </w:rPr>
        <w:t xml:space="preserve">6.3 Integrated Answers to Research Questions</w:t>
      </w:r>
      <w:r>
        <w:rPr>
          <w:b/>
          <w:bCs/>
        </w:rPr>
      </w:r>
      <w:r>
        <w:rPr>
          <w:b/>
          <w:bCs/>
        </w:rPr>
      </w:r>
    </w:p>
    <w:p w14:paraId="46F56714">
      <w:pPr>
        <w:pStyle w:val="1128"/>
        <w:suppressLineNumbers w:val="false"/>
        <w:pBdr/>
        <w:spacing w:line="300" w:lineRule="auto"/>
        <w:ind w:firstLine="720"/>
        <w:rPr>
          <w:highlight w:val="none"/>
        </w:rPr>
      </w:pPr>
      <w:r>
        <w:rPr>
          <w:highlight w:val="none"/>
        </w:rPr>
        <w:t xml:space="preserve">Chapter 1 defined six research questions (RQ1-RQ6). Their final evidence-backed answers are summarized below.</w:t>
      </w:r>
      <w:r>
        <w:rPr>
          <w:highlight w:val="none"/>
        </w:rPr>
      </w:r>
      <w:r>
        <w:rPr>
          <w:highlight w:val="none"/>
        </w:rPr>
      </w:r>
    </w:p>
    <w:p w14:paraId="64A35D04">
      <w:pPr>
        <w:pStyle w:val="1128"/>
        <w:suppressLineNumbers w:val="false"/>
        <w:pBdr/>
        <w:spacing w:line="300" w:lineRule="auto"/>
        <w:ind w:firstLine="0"/>
        <w:rPr/>
      </w:pPr>
      <w:r/>
      <w:r/>
    </w:p>
    <w:tbl>
      <w:tblPr>
        <w:tblStyle w:val="1185"/>
        <w:tblW w:w="0" w:type="auto"/>
        <w:tblBorders/>
        <w:tblLayout w:type="fixed"/>
        <w:tblLook w:val="04A0" w:firstRow="1" w:lastRow="0" w:firstColumn="1" w:lastColumn="0" w:noHBand="0" w:noVBand="1"/>
      </w:tblPr>
      <w:tblGrid>
        <w:gridCol w:w="3444"/>
        <w:gridCol w:w="5196"/>
      </w:tblGrid>
      <w:tr>
        <w:trPr/>
        <w:tc>
          <w:tcPr>
            <w:tcBorders/>
            <w:tcW w:w="3444" w:type="dxa"/>
            <w:textDirection w:val="lrTb"/>
            <w:noWrap w:val="false"/>
          </w:tcPr>
          <w:p w14:paraId="7098C757">
            <w:pPr>
              <w:pBdr/>
              <w:spacing w:after="0" w:before="0" w:line="240" w:lineRule="auto"/>
              <w:ind/>
              <w:rPr>
                <w:color w:val="000000" w:themeColor="text1"/>
              </w:rPr>
            </w:pPr>
            <w:r>
              <w:rPr>
                <w:rFonts w:ascii="Liberation Sans" w:hAnsi="Liberation Sans" w:eastAsia="Liberation Sans" w:cs="Liberation Sans"/>
                <w:b/>
                <w:color w:val="000000" w:themeColor="text1"/>
                <w:sz w:val="21"/>
              </w:rPr>
              <w:t xml:space="preserve">Research Question</w:t>
            </w:r>
            <w:r>
              <w:rPr>
                <w:color w:val="000000" w:themeColor="text1"/>
              </w:rPr>
            </w:r>
            <w:r>
              <w:rPr>
                <w:color w:val="000000" w:themeColor="text1"/>
              </w:rPr>
            </w:r>
          </w:p>
        </w:tc>
        <w:tc>
          <w:tcPr>
            <w:tcBorders/>
            <w:tcW w:w="5196" w:type="dxa"/>
            <w:textDirection w:val="lrTb"/>
            <w:noWrap w:val="false"/>
          </w:tcPr>
          <w:p w14:paraId="343EBDE1">
            <w:pPr>
              <w:pBdr/>
              <w:spacing w:after="0" w:before="0" w:line="240" w:lineRule="auto"/>
              <w:ind/>
              <w:rPr>
                <w:color w:val="000000" w:themeColor="text1"/>
              </w:rPr>
            </w:pPr>
            <w:r>
              <w:rPr>
                <w:rFonts w:ascii="Liberation Sans" w:hAnsi="Liberation Sans" w:eastAsia="Liberation Sans" w:cs="Liberation Sans"/>
                <w:b/>
                <w:color w:val="000000" w:themeColor="text1"/>
                <w:sz w:val="21"/>
              </w:rPr>
              <w:t xml:space="preserve">Final Answer from Dissertation Evidence</w:t>
            </w:r>
            <w:r>
              <w:rPr>
                <w:color w:val="000000" w:themeColor="text1"/>
              </w:rPr>
            </w:r>
            <w:r>
              <w:rPr>
                <w:color w:val="000000" w:themeColor="text1"/>
              </w:rPr>
            </w:r>
          </w:p>
        </w:tc>
      </w:tr>
      <w:tr>
        <w:trPr/>
        <w:tc>
          <w:tcPr>
            <w:tcBorders/>
            <w:tcW w:w="3444" w:type="dxa"/>
            <w:textDirection w:val="lrTb"/>
            <w:noWrap w:val="false"/>
          </w:tcPr>
          <w:p w14:paraId="02A676F4">
            <w:pPr>
              <w:pBdr/>
              <w:spacing w:after="0" w:before="0" w:line="240" w:lineRule="auto"/>
              <w:ind/>
              <w:rPr>
                <w:color w:val="000000" w:themeColor="text1"/>
              </w:rPr>
            </w:pPr>
            <w:r>
              <w:rPr>
                <w:rFonts w:ascii="Liberation Sans" w:hAnsi="Liberation Sans" w:eastAsia="Liberation Sans" w:cs="Liberation Sans"/>
                <w:b/>
                <w:color w:val="000000" w:themeColor="text1"/>
                <w:sz w:val="21"/>
              </w:rPr>
              <w:t xml:space="preserve">RQ1 (Coverage):</w:t>
            </w:r>
            <w:r>
              <w:rPr>
                <w:rFonts w:ascii="Liberation Sans" w:hAnsi="Liberation Sans" w:eastAsia="Liberation Sans" w:cs="Liberation Sans"/>
                <w:color w:val="000000" w:themeColor="text1"/>
                <w:sz w:val="21"/>
              </w:rPr>
              <w:t xml:space="preserve"> What clinically relevant GI question families and answer spaces are represented in available datasets?</w:t>
            </w:r>
            <w:r>
              <w:rPr>
                <w:color w:val="000000" w:themeColor="text1"/>
              </w:rPr>
            </w:r>
            <w:r>
              <w:rPr>
                <w:color w:val="000000" w:themeColor="text1"/>
              </w:rPr>
            </w:r>
          </w:p>
        </w:tc>
        <w:tc>
          <w:tcPr>
            <w:tcBorders/>
            <w:tcW w:w="5196" w:type="dxa"/>
            <w:textDirection w:val="lrTb"/>
            <w:noWrap w:val="false"/>
          </w:tcPr>
          <w:p w14:paraId="33C55BDD">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Coverage exists but is uneven. Dominant families (for example yes/no and template-style prompts) are overrepresented relative to complex reasoning and high-risk edge-case queries, which creates evaluation skew and overestimation risk if not controlled [54]</w:t>
            </w:r>
            <w:r>
              <w:rPr>
                <w:rFonts w:ascii="Liberation Sans" w:hAnsi="Liberation Sans" w:eastAsia="Liberation Sans" w:cs="Liberation Sans"/>
                <w:color w:val="000000" w:themeColor="text1"/>
                <w:sz w:val="21"/>
              </w:rPr>
              <w:t xml:space="preserve">-[57].</w:t>
            </w:r>
            <w:r>
              <w:rPr>
                <w:color w:val="000000" w:themeColor="text1"/>
              </w:rPr>
            </w:r>
            <w:r>
              <w:rPr>
                <w:color w:val="000000" w:themeColor="text1"/>
              </w:rPr>
            </w:r>
          </w:p>
        </w:tc>
      </w:tr>
      <w:tr>
        <w:trPr/>
        <w:tc>
          <w:tcPr>
            <w:tcBorders/>
            <w:tcW w:w="3444" w:type="dxa"/>
            <w:textDirection w:val="lrTb"/>
            <w:noWrap w:val="false"/>
          </w:tcPr>
          <w:p w14:paraId="67D06E69">
            <w:pPr>
              <w:pBdr/>
              <w:spacing w:after="0" w:before="0" w:line="240" w:lineRule="auto"/>
              <w:ind/>
              <w:rPr>
                <w:color w:val="000000" w:themeColor="text1"/>
              </w:rPr>
            </w:pPr>
            <w:r>
              <w:rPr>
                <w:rFonts w:ascii="Liberation Sans" w:hAnsi="Liberation Sans" w:eastAsia="Liberation Sans" w:cs="Liberation Sans"/>
                <w:b/>
                <w:color w:val="000000" w:themeColor="text1"/>
                <w:sz w:val="21"/>
              </w:rPr>
              <w:t xml:space="preserve">RQ2 (Comparative reliability):</w:t>
            </w:r>
            <w:r>
              <w:rPr>
                <w:rFonts w:ascii="Liberation Sans" w:hAnsi="Liberation Sans" w:eastAsia="Liberation Sans" w:cs="Liberation Sans"/>
                <w:color w:val="000000" w:themeColor="text1"/>
                <w:sz w:val="21"/>
              </w:rPr>
              <w:t xml:space="preserve"> Are constrained/discriminative approaches more reliable than naive zero-shot open generation for GI MedVQA?</w:t>
            </w:r>
            <w:r>
              <w:rPr>
                <w:color w:val="000000" w:themeColor="text1"/>
              </w:rPr>
            </w:r>
            <w:r>
              <w:rPr>
                <w:color w:val="000000" w:themeColor="text1"/>
              </w:rPr>
            </w:r>
          </w:p>
        </w:tc>
        <w:tc>
          <w:tcPr>
            <w:tcBorders/>
            <w:tcW w:w="5196" w:type="dxa"/>
            <w:textDirection w:val="lrTb"/>
            <w:noWrap w:val="false"/>
          </w:tcPr>
          <w:p w14:paraId="292DAFF9">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Yes, in current repository evidence and task settings. Chapter 3 shows constrained/supervised behavior as a recurring reliability anchor across GI datasets.</w:t>
            </w:r>
            <w:r>
              <w:rPr>
                <w:color w:val="000000" w:themeColor="text1"/>
              </w:rPr>
            </w:r>
            <w:r>
              <w:rPr>
                <w:color w:val="000000" w:themeColor="text1"/>
              </w:rPr>
            </w:r>
          </w:p>
        </w:tc>
      </w:tr>
      <w:tr>
        <w:trPr/>
        <w:tc>
          <w:tcPr>
            <w:tcBorders/>
            <w:tcW w:w="3444" w:type="dxa"/>
            <w:textDirection w:val="lrTb"/>
            <w:noWrap w:val="false"/>
          </w:tcPr>
          <w:p w14:paraId="6252FA52">
            <w:pPr>
              <w:pBdr/>
              <w:spacing w:after="0" w:before="0" w:line="240" w:lineRule="auto"/>
              <w:ind/>
              <w:rPr>
                <w:color w:val="000000" w:themeColor="text1"/>
              </w:rPr>
            </w:pPr>
            <w:r>
              <w:rPr>
                <w:rFonts w:ascii="Liberation Sans" w:hAnsi="Liberation Sans" w:eastAsia="Liberation Sans" w:cs="Liberation Sans"/>
                <w:b/>
                <w:color w:val="000000" w:themeColor="text1"/>
                <w:sz w:val="21"/>
              </w:rPr>
              <w:t xml:space="preserve">RQ3 (Failure modes):</w:t>
            </w:r>
            <w:r>
              <w:rPr>
                <w:rFonts w:ascii="Liberation Sans" w:hAnsi="Liberation Sans" w:eastAsia="Liberation Sans" w:cs="Liberation Sans"/>
                <w:color w:val="000000" w:themeColor="text1"/>
                <w:sz w:val="21"/>
              </w:rPr>
              <w:t xml:space="preserve"> Which failure classes dominate current systems?</w:t>
            </w:r>
            <w:r>
              <w:rPr>
                <w:color w:val="000000" w:themeColor="text1"/>
              </w:rPr>
            </w:r>
            <w:r>
              <w:rPr>
                <w:color w:val="000000" w:themeColor="text1"/>
              </w:rPr>
            </w:r>
          </w:p>
        </w:tc>
        <w:tc>
          <w:tcPr>
            <w:tcBorders/>
            <w:tcW w:w="5196" w:type="dxa"/>
            <w:textDirection w:val="lrTb"/>
            <w:noWrap w:val="false"/>
          </w:tcPr>
          <w:p w14:paraId="009B96F2">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Class imbalance sensitivity, output-space mismatch, mapping/OOV instability, and domain-shift fragility emerged as dominant recurring failures.</w:t>
            </w:r>
            <w:r>
              <w:rPr>
                <w:color w:val="000000" w:themeColor="text1"/>
              </w:rPr>
            </w:r>
            <w:r>
              <w:rPr>
                <w:color w:val="000000" w:themeColor="text1"/>
              </w:rPr>
            </w:r>
          </w:p>
        </w:tc>
      </w:tr>
      <w:tr>
        <w:trPr/>
        <w:tc>
          <w:tcPr>
            <w:tcBorders/>
            <w:tcW w:w="3444" w:type="dxa"/>
            <w:textDirection w:val="lrTb"/>
            <w:noWrap w:val="false"/>
          </w:tcPr>
          <w:p w14:paraId="784DEB01">
            <w:pPr>
              <w:pBdr/>
              <w:spacing w:after="0" w:before="0" w:line="240" w:lineRule="auto"/>
              <w:ind/>
              <w:rPr>
                <w:color w:val="000000" w:themeColor="text1"/>
              </w:rPr>
            </w:pPr>
            <w:r>
              <w:rPr>
                <w:rFonts w:ascii="Liberation Sans" w:hAnsi="Liberation Sans" w:eastAsia="Liberation Sans" w:cs="Liberation Sans"/>
                <w:b/>
                <w:color w:val="000000" w:themeColor="text1"/>
                <w:sz w:val="21"/>
              </w:rPr>
              <w:t xml:space="preserve">RQ4 (Severity robustness):</w:t>
            </w:r>
            <w:r>
              <w:rPr>
                <w:rFonts w:ascii="Liberation Sans" w:hAnsi="Liberation Sans" w:eastAsia="Liberation Sans" w:cs="Liberation Sans"/>
                <w:color w:val="000000" w:themeColor="text1"/>
                <w:sz w:val="21"/>
              </w:rPr>
              <w:t xml:space="preserve"> How reliably can models handle UC severity-oriented VQA, including severe classes?</w:t>
            </w:r>
            <w:r>
              <w:rPr>
                <w:color w:val="000000" w:themeColor="text1"/>
              </w:rPr>
            </w:r>
            <w:r>
              <w:rPr>
                <w:color w:val="000000" w:themeColor="text1"/>
              </w:rPr>
            </w:r>
          </w:p>
        </w:tc>
        <w:tc>
          <w:tcPr>
            <w:tcBorders/>
            <w:tcW w:w="5196" w:type="dxa"/>
            <w:textDirection w:val="lrTb"/>
            <w:noWrap w:val="false"/>
          </w:tcPr>
          <w:p w14:paraId="31F1EE8D">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Controlled adaptation in Chapter 4 materially improved ordinal and class-balanced reliability internally, but minority-severity challenges and external robustness limitations remain [78], [80]-[84].</w:t>
            </w:r>
            <w:r>
              <w:rPr>
                <w:color w:val="000000" w:themeColor="text1"/>
              </w:rPr>
            </w:r>
            <w:r>
              <w:rPr>
                <w:color w:val="000000" w:themeColor="text1"/>
              </w:rPr>
            </w:r>
          </w:p>
        </w:tc>
      </w:tr>
      <w:tr>
        <w:trPr/>
        <w:tc>
          <w:tcPr>
            <w:tcBorders/>
            <w:tcW w:w="3444" w:type="dxa"/>
            <w:textDirection w:val="lrTb"/>
            <w:noWrap w:val="false"/>
          </w:tcPr>
          <w:p w14:paraId="23C16751">
            <w:pPr>
              <w:pBdr/>
              <w:spacing w:after="0" w:before="0" w:line="240" w:lineRule="auto"/>
              <w:ind/>
              <w:rPr>
                <w:color w:val="000000" w:themeColor="text1"/>
              </w:rPr>
            </w:pPr>
            <w:r>
              <w:rPr>
                <w:rFonts w:ascii="Liberation Sans" w:hAnsi="Liberation Sans" w:eastAsia="Liberation Sans" w:cs="Liberation Sans"/>
                <w:b/>
                <w:color w:val="000000" w:themeColor="text1"/>
                <w:sz w:val="21"/>
              </w:rPr>
              <w:t xml:space="preserve">RQ5 (Clinical output format):</w:t>
            </w:r>
            <w:r>
              <w:rPr>
                <w:rFonts w:ascii="Liberation Sans" w:hAnsi="Liberation Sans" w:eastAsia="Liberation Sans" w:cs="Liberation Sans"/>
                <w:color w:val="000000" w:themeColor="text1"/>
                <w:sz w:val="21"/>
              </w:rPr>
              <w:t xml:space="preserve"> Which output style better supports clinician trust and usability?</w:t>
            </w:r>
            <w:r>
              <w:rPr>
                <w:color w:val="000000" w:themeColor="text1"/>
              </w:rPr>
            </w:r>
            <w:r>
              <w:rPr>
                <w:color w:val="000000" w:themeColor="text1"/>
              </w:rPr>
            </w:r>
          </w:p>
        </w:tc>
        <w:tc>
          <w:tcPr>
            <w:tcBorders/>
            <w:tcW w:w="5196" w:type="dxa"/>
            <w:textDirection w:val="lrTb"/>
            <w:noWrap w:val="false"/>
          </w:tcPr>
          <w:p w14:paraId="25423F32">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Structured outputs with citation linkage, uncertainty, and policy-bounded limitations are more defensible for clinician review than unconstrained fluent responses under current evidence [89]-[100].</w:t>
            </w:r>
            <w:r>
              <w:rPr>
                <w:color w:val="000000" w:themeColor="text1"/>
              </w:rPr>
            </w:r>
            <w:r>
              <w:rPr>
                <w:color w:val="000000" w:themeColor="text1"/>
              </w:rPr>
            </w:r>
          </w:p>
        </w:tc>
      </w:tr>
      <w:tr>
        <w:trPr/>
        <w:tc>
          <w:tcPr>
            <w:tcBorders/>
            <w:tcW w:w="3444" w:type="dxa"/>
            <w:textDirection w:val="lrTb"/>
            <w:noWrap w:val="false"/>
          </w:tcPr>
          <w:p w14:paraId="48E8B688">
            <w:pPr>
              <w:pBdr/>
              <w:spacing w:after="0" w:before="0" w:line="240" w:lineRule="auto"/>
              <w:ind/>
              <w:rPr>
                <w:color w:val="000000" w:themeColor="text1"/>
              </w:rPr>
            </w:pPr>
            <w:r>
              <w:rPr>
                <w:rFonts w:ascii="Liberation Sans" w:hAnsi="Liberation Sans" w:eastAsia="Liberation Sans" w:cs="Liberation Sans"/>
                <w:b/>
                <w:color w:val="000000" w:themeColor="text1"/>
                <w:sz w:val="21"/>
              </w:rPr>
              <w:t xml:space="preserve">RQ6 (Evidence-aware extension):</w:t>
            </w:r>
            <w:r>
              <w:rPr>
                <w:rFonts w:ascii="Liberation Sans" w:hAnsi="Liberation Sans" w:eastAsia="Liberation Sans" w:cs="Liberation Sans"/>
                <w:color w:val="000000" w:themeColor="text1"/>
                <w:sz w:val="21"/>
              </w:rPr>
              <w:t xml:space="preserve"> Can retrieval-grounded reasoning be integrated without compromising core visual-grounded behavior?</w:t>
            </w:r>
            <w:r>
              <w:rPr>
                <w:color w:val="000000" w:themeColor="text1"/>
              </w:rPr>
            </w:r>
            <w:r>
              <w:rPr>
                <w:color w:val="000000" w:themeColor="text1"/>
              </w:rPr>
            </w:r>
          </w:p>
        </w:tc>
        <w:tc>
          <w:tcPr>
            <w:tcBorders/>
            <w:tcW w:w="5196" w:type="dxa"/>
            <w:textDirection w:val="lrTb"/>
            <w:noWrap w:val="false"/>
          </w:tcPr>
          <w:p w14:paraId="7840BCA5">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Yes, as a modular extension under explicit boundaries. Chapter 5 demonstrates a reproducible PICO-grounded wrapper with auditability and safety controls while preserving constrained claim scope [93]-[100].</w:t>
            </w:r>
            <w:r>
              <w:rPr>
                <w:color w:val="000000" w:themeColor="text1"/>
              </w:rPr>
            </w:r>
            <w:r>
              <w:rPr>
                <w:color w:val="000000" w:themeColor="text1"/>
              </w:rPr>
            </w:r>
          </w:p>
        </w:tc>
      </w:tr>
    </w:tbl>
    <w:p w14:paraId="5F82C9EE">
      <w:pPr>
        <w:pStyle w:val="1128"/>
        <w:suppressLineNumbers w:val="false"/>
        <w:pBdr/>
        <w:spacing w:line="300" w:lineRule="auto"/>
        <w:ind w:firstLine="0"/>
        <w:rPr/>
      </w:pPr>
      <w:r/>
      <w:r/>
    </w:p>
    <w:p w14:paraId="1958362C">
      <w:pPr>
        <w:pStyle w:val="1128"/>
        <w:suppressLineNumbers w:val="false"/>
        <w:pBdr/>
        <w:spacing w:line="300" w:lineRule="auto"/>
        <w:ind w:firstLine="0"/>
        <w:rPr>
          <w:b/>
          <w:bCs/>
        </w:rPr>
      </w:pPr>
      <w:r>
        <w:rPr>
          <w:b/>
          <w:bCs/>
          <w:highlight w:val="none"/>
        </w:rPr>
        <w:t xml:space="preserve">6.3.1 Interpretation of RQ Closure</w:t>
      </w:r>
      <w:r>
        <w:rPr>
          <w:b/>
          <w:bCs/>
        </w:rPr>
      </w:r>
      <w:r>
        <w:rPr>
          <w:b/>
          <w:bCs/>
        </w:rPr>
      </w:r>
    </w:p>
    <w:p w14:paraId="606CA14D">
      <w:pPr>
        <w:pStyle w:val="1128"/>
        <w:suppressLineNumbers w:val="false"/>
        <w:pBdr/>
        <w:spacing w:line="300" w:lineRule="auto"/>
        <w:ind w:firstLine="720"/>
        <w:rPr/>
      </w:pPr>
      <w:r>
        <w:rPr>
          <w:highlight w:val="none"/>
        </w:rPr>
        <w:t xml:space="preserve">T</w:t>
      </w:r>
      <w:r>
        <w:rPr>
          <w:highlight w:val="none"/>
        </w:rPr>
        <w:t xml:space="preserve">he RQ closure pattern is intentionally asymmetric: stronger answers were obtained for reliability characterization and pipeline feasibility than for clinical deployment readiness. This is an expected and acceptable outcome for a dissertation that prioritiz</w:t>
      </w:r>
      <w:r>
        <w:rPr>
          <w:highlight w:val="none"/>
        </w:rPr>
        <w:t xml:space="preserve">es reproducibility and claim discipline. The thesis resolves "what works reliably under controlled evidence conditions" and clearly marks "what still requires larger-scale clinical validation."</w:t>
      </w:r>
      <w:r>
        <w:rPr>
          <w:highlight w:val="none"/>
        </w:rPr>
      </w:r>
      <w:r/>
    </w:p>
    <w:p w14:paraId="698611C3">
      <w:pPr>
        <w:pStyle w:val="1128"/>
        <w:suppressLineNumbers w:val="false"/>
        <w:pBdr/>
        <w:spacing w:line="300" w:lineRule="auto"/>
        <w:ind w:firstLine="0"/>
        <w:rPr>
          <w:b/>
          <w:bCs/>
        </w:rPr>
      </w:pPr>
      <w:r>
        <w:rPr>
          <w:b/>
          <w:bCs/>
          <w:highlight w:val="none"/>
        </w:rPr>
        <w:t xml:space="preserve">6.3.2 What RQ Closure Means for Clinical Translation</w:t>
      </w:r>
      <w:r>
        <w:rPr>
          <w:b/>
          <w:bCs/>
        </w:rPr>
      </w:r>
      <w:r>
        <w:rPr>
          <w:b/>
          <w:bCs/>
        </w:rPr>
      </w:r>
    </w:p>
    <w:p w14:paraId="509AB2A2">
      <w:pPr>
        <w:pStyle w:val="1128"/>
        <w:suppressLineNumbers w:val="false"/>
        <w:pBdr/>
        <w:spacing w:line="300" w:lineRule="auto"/>
        <w:ind w:firstLine="720"/>
        <w:rPr/>
      </w:pPr>
      <w:r>
        <w:rPr>
          <w:highlight w:val="none"/>
        </w:rPr>
        <w:t xml:space="preserve">For translation, the most meaningful RQ outcome is not the strongest metric gain; it is the ability to map each claim to an evidence boundary. In practical terms, RQ closure supports the following translational interpretation:</w:t>
      </w:r>
      <w:r>
        <w:rPr>
          <w:highlight w:val="none"/>
        </w:rPr>
      </w:r>
      <w:r/>
    </w:p>
    <w:p w14:paraId="0AA76E9E">
      <w:pPr>
        <w:pStyle w:val="1128"/>
        <w:numPr>
          <w:ilvl w:val="0"/>
          <w:numId w:val="98"/>
        </w:numPr>
        <w:suppressLineNumbers w:val="false"/>
        <w:pBdr/>
        <w:spacing w:line="300" w:lineRule="auto"/>
        <w:ind/>
        <w:rPr/>
      </w:pPr>
      <w:r>
        <w:rPr>
          <w:highlight w:val="none"/>
        </w:rPr>
        <w:t xml:space="preserve">the system is suitable for research-grade decision support experiments under controlled supervision;</w:t>
      </w:r>
      <w:r/>
    </w:p>
    <w:p w14:paraId="19CDCB0C">
      <w:pPr>
        <w:pStyle w:val="1128"/>
        <w:numPr>
          <w:ilvl w:val="0"/>
          <w:numId w:val="98"/>
        </w:numPr>
        <w:suppressLineNumbers w:val="false"/>
        <w:pBdr/>
        <w:spacing w:line="300" w:lineRule="auto"/>
        <w:ind/>
        <w:rPr/>
      </w:pPr>
      <w:r>
        <w:rPr>
          <w:highlight w:val="none"/>
        </w:rPr>
        <w:t xml:space="preserve">the system is not yet suitable for unsupervised clinical autonomy;</w:t>
      </w:r>
      <w:r/>
    </w:p>
    <w:p w14:paraId="0E8E03E5">
      <w:pPr>
        <w:pStyle w:val="1128"/>
        <w:numPr>
          <w:ilvl w:val="0"/>
          <w:numId w:val="98"/>
        </w:numPr>
        <w:suppressLineNumbers w:val="false"/>
        <w:pBdr/>
        <w:spacing w:line="300" w:lineRule="auto"/>
        <w:ind/>
        <w:rPr/>
      </w:pPr>
      <w:r>
        <w:rPr>
          <w:highlight w:val="none"/>
        </w:rPr>
        <w:t xml:space="preserve">future deployment readiness depends more on robustness and governance evidence than on incremental in-domain benchmark gains.</w:t>
      </w:r>
      <w:r/>
    </w:p>
    <w:p w14:paraId="76423533">
      <w:pPr>
        <w:pStyle w:val="1128"/>
        <w:suppressLineNumbers w:val="false"/>
        <w:pBdr/>
        <w:spacing w:line="300" w:lineRule="auto"/>
        <w:ind w:firstLine="720"/>
        <w:rPr/>
      </w:pPr>
      <w:r>
        <w:rPr>
          <w:highlight w:val="none"/>
        </w:rPr>
        <w:t xml:space="preserve">This interpretation keeps the dissertation aligned with medical safety expectations while preserving the value of the demonstrated technical advances.</w:t>
      </w:r>
      <w:r/>
    </w:p>
    <w:p w14:paraId="67666E3F">
      <w:pPr>
        <w:pStyle w:val="1128"/>
        <w:suppressLineNumbers w:val="false"/>
        <w:pBdr/>
        <w:spacing w:line="300" w:lineRule="auto"/>
        <w:ind w:firstLine="0"/>
        <w:rPr/>
      </w:pPr>
      <w:r>
        <w:rPr>
          <w:highlight w:val="none"/>
        </w:rPr>
      </w:r>
      <w:r/>
    </w:p>
    <w:p w14:paraId="680EE4F2">
      <w:pPr>
        <w:pStyle w:val="1128"/>
        <w:suppressLineNumbers w:val="false"/>
        <w:pBdr/>
        <w:spacing w:line="300" w:lineRule="auto"/>
        <w:ind w:firstLine="0"/>
        <w:rPr>
          <w:b/>
          <w:bCs/>
        </w:rPr>
      </w:pPr>
      <w:r>
        <w:rPr>
          <w:b/>
          <w:bCs/>
          <w:highlight w:val="none"/>
        </w:rPr>
        <w:t xml:space="preserve">6.3.3 Examiner-Facing RQ Synthesis Table</w:t>
      </w:r>
      <w:r>
        <w:rPr>
          <w:b/>
          <w:bCs/>
        </w:rPr>
      </w:r>
      <w:r>
        <w:rPr>
          <w:b/>
          <w:bCs/>
        </w:rPr>
      </w:r>
    </w:p>
    <w:p w14:paraId="6EFDD2C3">
      <w:pPr>
        <w:pStyle w:val="1128"/>
        <w:suppressLineNumbers w:val="false"/>
        <w:pBdr/>
        <w:spacing w:line="300" w:lineRule="auto"/>
        <w:ind w:firstLine="720"/>
        <w:rPr/>
      </w:pPr>
      <w:r>
        <w:rPr>
          <w:highlight w:val="none"/>
        </w:rPr>
        <w:t xml:space="preserve">To support defense/viva readability, Table 6.2 links each research question to its answering chapter evidence and final bounded claim.</w:t>
      </w:r>
      <w:r/>
    </w:p>
    <w:p w14:paraId="02E93B08">
      <w:pPr>
        <w:pStyle w:val="1128"/>
        <w:suppressLineNumbers w:val="false"/>
        <w:pBdr/>
        <w:spacing w:line="300" w:lineRule="auto"/>
        <w:ind w:firstLine="0"/>
        <w:rPr/>
      </w:pPr>
      <w:r>
        <w:rPr>
          <w:highlight w:val="none"/>
        </w:rPr>
      </w:r>
      <w:r/>
    </w:p>
    <w:tbl>
      <w:tblPr>
        <w:tblStyle w:val="1185"/>
        <w:tblW w:w="0" w:type="auto"/>
        <w:tblBorders/>
        <w:tblLook w:val="04A0" w:firstRow="1" w:lastRow="0" w:firstColumn="1" w:lastColumn="0" w:noHBand="0" w:noVBand="1"/>
      </w:tblPr>
      <w:tblGrid>
        <w:gridCol w:w="2160"/>
        <w:gridCol w:w="2160"/>
        <w:gridCol w:w="2160"/>
        <w:gridCol w:w="2160"/>
      </w:tblGrid>
      <w:tr>
        <w:trPr/>
        <w:tc>
          <w:tcPr>
            <w:tcBorders/>
            <w:tcW w:w="2160" w:type="dxa"/>
            <w:textDirection w:val="lrTb"/>
            <w:noWrap w:val="false"/>
          </w:tcPr>
          <w:p w14:paraId="31879CF9">
            <w:pPr>
              <w:pBdr/>
              <w:spacing w:after="0" w:before="0" w:line="240" w:lineRule="auto"/>
              <w:ind/>
              <w:rPr>
                <w:color w:val="000000" w:themeColor="text1"/>
              </w:rPr>
            </w:pPr>
            <w:r>
              <w:rPr>
                <w:rFonts w:ascii="Liberation Sans" w:hAnsi="Liberation Sans" w:eastAsia="Liberation Sans" w:cs="Liberation Sans"/>
                <w:b/>
                <w:color w:val="000000" w:themeColor="text1"/>
                <w:sz w:val="21"/>
              </w:rPr>
              <w:t xml:space="preserve">Research question</w:t>
            </w:r>
            <w:r>
              <w:rPr>
                <w:color w:val="000000" w:themeColor="text1"/>
              </w:rPr>
            </w:r>
            <w:r>
              <w:rPr>
                <w:color w:val="000000" w:themeColor="text1"/>
              </w:rPr>
            </w:r>
          </w:p>
        </w:tc>
        <w:tc>
          <w:tcPr>
            <w:tcBorders/>
            <w:tcW w:w="2160" w:type="dxa"/>
            <w:textDirection w:val="lrTb"/>
            <w:noWrap w:val="false"/>
          </w:tcPr>
          <w:p w14:paraId="5C7DCFE2">
            <w:pPr>
              <w:pBdr/>
              <w:spacing w:after="0" w:before="0" w:line="240" w:lineRule="auto"/>
              <w:ind/>
              <w:rPr>
                <w:color w:val="000000" w:themeColor="text1"/>
              </w:rPr>
            </w:pPr>
            <w:r>
              <w:rPr>
                <w:rFonts w:ascii="Liberation Sans" w:hAnsi="Liberation Sans" w:eastAsia="Liberation Sans" w:cs="Liberation Sans"/>
                <w:b/>
                <w:color w:val="000000" w:themeColor="text1"/>
                <w:sz w:val="21"/>
              </w:rPr>
              <w:t xml:space="preserve">Primary chapter(s) answering it</w:t>
            </w:r>
            <w:r>
              <w:rPr>
                <w:color w:val="000000" w:themeColor="text1"/>
              </w:rPr>
            </w:r>
            <w:r>
              <w:rPr>
                <w:color w:val="000000" w:themeColor="text1"/>
              </w:rPr>
            </w:r>
          </w:p>
        </w:tc>
        <w:tc>
          <w:tcPr>
            <w:tcBorders/>
            <w:tcW w:w="2160" w:type="dxa"/>
            <w:textDirection w:val="lrTb"/>
            <w:noWrap w:val="false"/>
          </w:tcPr>
          <w:p w14:paraId="3137A168">
            <w:pPr>
              <w:pBdr/>
              <w:spacing w:after="0" w:before="0" w:line="240" w:lineRule="auto"/>
              <w:ind/>
              <w:rPr>
                <w:color w:val="000000" w:themeColor="text1"/>
              </w:rPr>
            </w:pPr>
            <w:r>
              <w:rPr>
                <w:rFonts w:ascii="Liberation Sans" w:hAnsi="Liberation Sans" w:eastAsia="Liberation Sans" w:cs="Liberation Sans"/>
                <w:b/>
                <w:color w:val="000000" w:themeColor="text1"/>
                <w:sz w:val="21"/>
              </w:rPr>
              <w:t xml:space="preserve">Key evidence used</w:t>
            </w:r>
            <w:r>
              <w:rPr>
                <w:color w:val="000000" w:themeColor="text1"/>
              </w:rPr>
            </w:r>
            <w:r>
              <w:rPr>
                <w:color w:val="000000" w:themeColor="text1"/>
              </w:rPr>
            </w:r>
          </w:p>
        </w:tc>
        <w:tc>
          <w:tcPr>
            <w:tcBorders/>
            <w:tcW w:w="2160" w:type="dxa"/>
            <w:textDirection w:val="lrTb"/>
            <w:noWrap w:val="false"/>
          </w:tcPr>
          <w:p w14:paraId="3E9E8DCA">
            <w:pPr>
              <w:pBdr/>
              <w:spacing w:after="0" w:before="0" w:line="240" w:lineRule="auto"/>
              <w:ind/>
              <w:rPr>
                <w:color w:val="000000" w:themeColor="text1"/>
              </w:rPr>
            </w:pPr>
            <w:r>
              <w:rPr>
                <w:rFonts w:ascii="Liberation Sans" w:hAnsi="Liberation Sans" w:eastAsia="Liberation Sans" w:cs="Liberation Sans"/>
                <w:b/>
                <w:color w:val="000000" w:themeColor="text1"/>
                <w:sz w:val="21"/>
              </w:rPr>
              <w:t xml:space="preserve">Bounded final claim</w:t>
            </w:r>
            <w:r>
              <w:rPr>
                <w:color w:val="000000" w:themeColor="text1"/>
              </w:rPr>
            </w:r>
            <w:r>
              <w:rPr>
                <w:color w:val="000000" w:themeColor="text1"/>
              </w:rPr>
            </w:r>
          </w:p>
        </w:tc>
      </w:tr>
      <w:tr>
        <w:trPr/>
        <w:tc>
          <w:tcPr>
            <w:tcBorders/>
            <w:tcW w:w="2160" w:type="dxa"/>
            <w:textDirection w:val="lrTb"/>
            <w:noWrap w:val="false"/>
          </w:tcPr>
          <w:p w14:paraId="546CCFAE">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RQ1 (coverage of GI MedVQA tasks and answer spaces)</w:t>
            </w:r>
            <w:r>
              <w:rPr>
                <w:color w:val="000000" w:themeColor="text1"/>
              </w:rPr>
            </w:r>
            <w:r>
              <w:rPr>
                <w:color w:val="000000" w:themeColor="text1"/>
              </w:rPr>
            </w:r>
          </w:p>
        </w:tc>
        <w:tc>
          <w:tcPr>
            <w:tcBorders/>
            <w:tcW w:w="2160" w:type="dxa"/>
            <w:textDirection w:val="lrTb"/>
            <w:noWrap w:val="false"/>
          </w:tcPr>
          <w:p w14:paraId="60BFE1BD">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Chapter 2, Chapter 3</w:t>
            </w:r>
            <w:r>
              <w:rPr>
                <w:color w:val="000000" w:themeColor="text1"/>
              </w:rPr>
            </w:r>
            <w:r>
              <w:rPr>
                <w:color w:val="000000" w:themeColor="text1"/>
              </w:rPr>
            </w:r>
          </w:p>
        </w:tc>
        <w:tc>
          <w:tcPr>
            <w:tcBorders/>
            <w:tcW w:w="2160" w:type="dxa"/>
            <w:textDirection w:val="lrTb"/>
            <w:noWrap w:val="false"/>
          </w:tcPr>
          <w:p w14:paraId="097DBBC8">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GI dataset/task-family mapping and benchmark audit [54]-[57]</w:t>
            </w:r>
            <w:r>
              <w:rPr>
                <w:color w:val="000000" w:themeColor="text1"/>
              </w:rPr>
            </w:r>
            <w:r>
              <w:rPr>
                <w:color w:val="000000" w:themeColor="text1"/>
              </w:rPr>
            </w:r>
          </w:p>
        </w:tc>
        <w:tc>
          <w:tcPr>
            <w:tcBorders/>
            <w:tcW w:w="2160" w:type="dxa"/>
            <w:textDirection w:val="lrTb"/>
            <w:noWrap w:val="false"/>
          </w:tcPr>
          <w:p w14:paraId="4EF72817">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Coverage is present but uneven; evaluation must control for skewed question/answer distributions.</w:t>
            </w:r>
            <w:r>
              <w:rPr>
                <w:color w:val="000000" w:themeColor="text1"/>
              </w:rPr>
            </w:r>
            <w:r>
              <w:rPr>
                <w:color w:val="000000" w:themeColor="text1"/>
              </w:rPr>
            </w:r>
          </w:p>
        </w:tc>
      </w:tr>
      <w:tr>
        <w:trPr/>
        <w:tc>
          <w:tcPr>
            <w:tcBorders/>
            <w:tcW w:w="2160" w:type="dxa"/>
            <w:textDirection w:val="lrTb"/>
            <w:noWrap w:val="false"/>
          </w:tcPr>
          <w:p w14:paraId="6B92AF4B">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RQ2 (constrained vs naive open generation reliability)</w:t>
            </w:r>
            <w:r>
              <w:rPr>
                <w:color w:val="000000" w:themeColor="text1"/>
              </w:rPr>
            </w:r>
            <w:r>
              <w:rPr>
                <w:color w:val="000000" w:themeColor="text1"/>
              </w:rPr>
            </w:r>
          </w:p>
        </w:tc>
        <w:tc>
          <w:tcPr>
            <w:tcBorders/>
            <w:tcW w:w="2160" w:type="dxa"/>
            <w:textDirection w:val="lrTb"/>
            <w:noWrap w:val="false"/>
          </w:tcPr>
          <w:p w14:paraId="2E717ED5">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Chapter 3, Chapter 4</w:t>
            </w:r>
            <w:r>
              <w:rPr>
                <w:color w:val="000000" w:themeColor="text1"/>
              </w:rPr>
            </w:r>
            <w:r>
              <w:rPr>
                <w:color w:val="000000" w:themeColor="text1"/>
              </w:rPr>
            </w:r>
          </w:p>
        </w:tc>
        <w:tc>
          <w:tcPr>
            <w:tcBorders/>
            <w:tcW w:w="2160" w:type="dxa"/>
            <w:textDirection w:val="lrTb"/>
            <w:noWrap w:val="false"/>
          </w:tcPr>
          <w:p w14:paraId="2C3A1878">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Cross-family reliability comparisons and LIMUC internal anchor [78], [80]-[84]</w:t>
            </w:r>
            <w:r>
              <w:rPr>
                <w:color w:val="000000" w:themeColor="text1"/>
              </w:rPr>
            </w:r>
            <w:r>
              <w:rPr>
                <w:color w:val="000000" w:themeColor="text1"/>
              </w:rPr>
            </w:r>
          </w:p>
        </w:tc>
        <w:tc>
          <w:tcPr>
            <w:tcBorders/>
            <w:tcW w:w="2160" w:type="dxa"/>
            <w:textDirection w:val="lrTb"/>
            <w:noWrap w:val="false"/>
          </w:tcPr>
          <w:p w14:paraId="1E3629FA">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Constrained/supervised pipelines remain a necessary reliability baseline under current GI settings.</w:t>
            </w:r>
            <w:r>
              <w:rPr>
                <w:color w:val="000000" w:themeColor="text1"/>
              </w:rPr>
            </w:r>
            <w:r>
              <w:rPr>
                <w:color w:val="000000" w:themeColor="text1"/>
              </w:rPr>
            </w:r>
          </w:p>
        </w:tc>
      </w:tr>
      <w:tr>
        <w:trPr/>
        <w:tc>
          <w:tcPr>
            <w:tcBorders/>
            <w:tcW w:w="2160" w:type="dxa"/>
            <w:textDirection w:val="lrTb"/>
            <w:noWrap w:val="false"/>
          </w:tcPr>
          <w:p w14:paraId="17AFD064">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RQ3 (dominant failure modes)</w:t>
            </w:r>
            <w:r>
              <w:rPr>
                <w:color w:val="000000" w:themeColor="text1"/>
              </w:rPr>
            </w:r>
            <w:r>
              <w:rPr>
                <w:color w:val="000000" w:themeColor="text1"/>
              </w:rPr>
            </w:r>
          </w:p>
        </w:tc>
        <w:tc>
          <w:tcPr>
            <w:tcBorders/>
            <w:tcW w:w="2160" w:type="dxa"/>
            <w:textDirection w:val="lrTb"/>
            <w:noWrap w:val="false"/>
          </w:tcPr>
          <w:p w14:paraId="4CD7F7A3">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Chapter 3</w:t>
            </w:r>
            <w:r>
              <w:rPr>
                <w:color w:val="000000" w:themeColor="text1"/>
              </w:rPr>
            </w:r>
            <w:r>
              <w:rPr>
                <w:color w:val="000000" w:themeColor="text1"/>
              </w:rPr>
            </w:r>
          </w:p>
        </w:tc>
        <w:tc>
          <w:tcPr>
            <w:tcBorders/>
            <w:tcW w:w="2160" w:type="dxa"/>
            <w:textDirection w:val="lrTb"/>
            <w:noWrap w:val="false"/>
          </w:tcPr>
          <w:p w14:paraId="78613D27">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Failure taxonomy across imbalance, lexical mapping, and OOV behavior</w:t>
            </w:r>
            <w:r>
              <w:rPr>
                <w:color w:val="000000" w:themeColor="text1"/>
              </w:rPr>
            </w:r>
            <w:r>
              <w:rPr>
                <w:color w:val="000000" w:themeColor="text1"/>
              </w:rPr>
            </w:r>
          </w:p>
        </w:tc>
        <w:tc>
          <w:tcPr>
            <w:tcBorders/>
            <w:tcW w:w="2160" w:type="dxa"/>
            <w:textDirection w:val="lrTb"/>
            <w:noWrap w:val="false"/>
          </w:tcPr>
          <w:p w14:paraId="5CB23EB2">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Reliability failures are systematic, not random, and should drive architecture constraints.</w:t>
            </w:r>
            <w:r>
              <w:rPr>
                <w:color w:val="000000" w:themeColor="text1"/>
              </w:rPr>
            </w:r>
            <w:r>
              <w:rPr>
                <w:color w:val="000000" w:themeColor="text1"/>
              </w:rPr>
            </w:r>
          </w:p>
        </w:tc>
      </w:tr>
      <w:tr>
        <w:trPr/>
        <w:tc>
          <w:tcPr>
            <w:tcBorders/>
            <w:tcW w:w="2160" w:type="dxa"/>
            <w:textDirection w:val="lrTb"/>
            <w:noWrap w:val="false"/>
          </w:tcPr>
          <w:p w14:paraId="7812C249">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RQ4 (UC severity robustness, including severe classes)</w:t>
            </w:r>
            <w:r>
              <w:rPr>
                <w:color w:val="000000" w:themeColor="text1"/>
              </w:rPr>
            </w:r>
            <w:r>
              <w:rPr>
                <w:color w:val="000000" w:themeColor="text1"/>
              </w:rPr>
            </w:r>
          </w:p>
        </w:tc>
        <w:tc>
          <w:tcPr>
            <w:tcBorders/>
            <w:tcW w:w="2160" w:type="dxa"/>
            <w:textDirection w:val="lrTb"/>
            <w:noWrap w:val="false"/>
          </w:tcPr>
          <w:p w14:paraId="4B110B5E">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Chapter 4</w:t>
            </w:r>
            <w:r>
              <w:rPr>
                <w:color w:val="000000" w:themeColor="text1"/>
              </w:rPr>
            </w:r>
            <w:r>
              <w:rPr>
                <w:color w:val="000000" w:themeColor="text1"/>
              </w:rPr>
            </w:r>
          </w:p>
        </w:tc>
        <w:tc>
          <w:tcPr>
            <w:tcBorders/>
            <w:tcW w:w="2160" w:type="dxa"/>
            <w:textDirection w:val="lrTb"/>
            <w:noWrap w:val="false"/>
          </w:tcPr>
          <w:p w14:paraId="19D276AD">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Internal multi-seed LIMUC metrics plus class-wise analysis [78], [80]-[84]</w:t>
            </w:r>
            <w:r>
              <w:rPr>
                <w:color w:val="000000" w:themeColor="text1"/>
              </w:rPr>
            </w:r>
            <w:r>
              <w:rPr>
                <w:color w:val="000000" w:themeColor="text1"/>
              </w:rPr>
            </w:r>
          </w:p>
        </w:tc>
        <w:tc>
          <w:tcPr>
            <w:tcBorders/>
            <w:tcW w:w="2160" w:type="dxa"/>
            <w:textDirection w:val="lrTb"/>
            <w:noWrap w:val="false"/>
          </w:tcPr>
          <w:p w14:paraId="50AB6E4C">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Controlled generative adaptation improves internal ordinal and balanced performance, but does not solve external robustness.</w:t>
            </w:r>
            <w:r>
              <w:rPr>
                <w:color w:val="000000" w:themeColor="text1"/>
              </w:rPr>
            </w:r>
            <w:r>
              <w:rPr>
                <w:color w:val="000000" w:themeColor="text1"/>
              </w:rPr>
            </w:r>
          </w:p>
        </w:tc>
      </w:tr>
      <w:tr>
        <w:trPr/>
        <w:tc>
          <w:tcPr>
            <w:tcBorders/>
            <w:tcW w:w="2160" w:type="dxa"/>
            <w:textDirection w:val="lrTb"/>
            <w:noWrap w:val="false"/>
          </w:tcPr>
          <w:p w14:paraId="3BCD9AC0">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RQ5 (clinician-facing output form)</w:t>
            </w:r>
            <w:r>
              <w:rPr>
                <w:color w:val="000000" w:themeColor="text1"/>
              </w:rPr>
            </w:r>
            <w:r>
              <w:rPr>
                <w:color w:val="000000" w:themeColor="text1"/>
              </w:rPr>
            </w:r>
          </w:p>
        </w:tc>
        <w:tc>
          <w:tcPr>
            <w:tcBorders/>
            <w:tcW w:w="2160" w:type="dxa"/>
            <w:textDirection w:val="lrTb"/>
            <w:noWrap w:val="false"/>
          </w:tcPr>
          <w:p w14:paraId="5D729CD8">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Chapter 5</w:t>
            </w:r>
            <w:r>
              <w:rPr>
                <w:color w:val="000000" w:themeColor="text1"/>
              </w:rPr>
            </w:r>
            <w:r>
              <w:rPr>
                <w:color w:val="000000" w:themeColor="text1"/>
              </w:rPr>
            </w:r>
          </w:p>
        </w:tc>
        <w:tc>
          <w:tcPr>
            <w:tcBorders/>
            <w:tcW w:w="2160" w:type="dxa"/>
            <w:textDirection w:val="lrTb"/>
            <w:noWrap w:val="false"/>
          </w:tcPr>
          <w:p w14:paraId="2B3A5890">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Wrapper output audits for citations, uncertainty, and refusal behavior [89]-[100]</w:t>
            </w:r>
            <w:r>
              <w:rPr>
                <w:color w:val="000000" w:themeColor="text1"/>
              </w:rPr>
            </w:r>
            <w:r>
              <w:rPr>
                <w:color w:val="000000" w:themeColor="text1"/>
              </w:rPr>
            </w:r>
          </w:p>
        </w:tc>
        <w:tc>
          <w:tcPr>
            <w:tcBorders/>
            <w:tcW w:w="2160" w:type="dxa"/>
            <w:textDirection w:val="lrTb"/>
            <w:noWrap w:val="false"/>
          </w:tcPr>
          <w:p w14:paraId="2C61C24D">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Structured, citation-aware outputs are more defensible than unconstrained free-form responses.</w:t>
            </w:r>
            <w:r>
              <w:rPr>
                <w:color w:val="000000" w:themeColor="text1"/>
              </w:rPr>
            </w:r>
            <w:r>
              <w:rPr>
                <w:color w:val="000000" w:themeColor="text1"/>
              </w:rPr>
            </w:r>
          </w:p>
        </w:tc>
      </w:tr>
      <w:tr>
        <w:trPr/>
        <w:tc>
          <w:tcPr>
            <w:tcBorders/>
            <w:tcW w:w="2160" w:type="dxa"/>
            <w:textDirection w:val="lrTb"/>
            <w:noWrap w:val="false"/>
          </w:tcPr>
          <w:p w14:paraId="1C94AEE3">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RQ6 (evidence-grounded extension feasibility)</w:t>
            </w:r>
            <w:r>
              <w:rPr>
                <w:color w:val="000000" w:themeColor="text1"/>
              </w:rPr>
            </w:r>
            <w:r>
              <w:rPr>
                <w:color w:val="000000" w:themeColor="text1"/>
              </w:rPr>
            </w:r>
          </w:p>
        </w:tc>
        <w:tc>
          <w:tcPr>
            <w:tcBorders/>
            <w:tcW w:w="2160" w:type="dxa"/>
            <w:textDirection w:val="lrTb"/>
            <w:noWrap w:val="false"/>
          </w:tcPr>
          <w:p w14:paraId="094B3A2A">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Chapter 5</w:t>
            </w:r>
            <w:r>
              <w:rPr>
                <w:color w:val="000000" w:themeColor="text1"/>
              </w:rPr>
            </w:r>
            <w:r>
              <w:rPr>
                <w:color w:val="000000" w:themeColor="text1"/>
              </w:rPr>
            </w:r>
          </w:p>
        </w:tc>
        <w:tc>
          <w:tcPr>
            <w:tcBorders/>
            <w:tcW w:w="2160" w:type="dxa"/>
            <w:textDirection w:val="lrTb"/>
            <w:noWrap w:val="false"/>
          </w:tcPr>
          <w:p w14:paraId="7C8DAD73">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PICO extraction, retrieval, and synthesis pipeline with typed contracts [93]-[100]</w:t>
            </w:r>
            <w:r>
              <w:rPr>
                <w:color w:val="000000" w:themeColor="text1"/>
              </w:rPr>
            </w:r>
            <w:r>
              <w:rPr>
                <w:color w:val="000000" w:themeColor="text1"/>
              </w:rPr>
            </w:r>
          </w:p>
        </w:tc>
        <w:tc>
          <w:tcPr>
            <w:tcBorders/>
            <w:tcW w:w="2160" w:type="dxa"/>
            <w:textDirection w:val="lrTb"/>
            <w:noWrap w:val="false"/>
          </w:tcPr>
          <w:p w14:paraId="250E06C7">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Retrieval-grounded extension is feasible as a modular layer when bounded by explicit policy and audit controls.</w:t>
            </w:r>
            <w:r>
              <w:rPr>
                <w:color w:val="000000" w:themeColor="text1"/>
              </w:rPr>
            </w:r>
            <w:r>
              <w:rPr>
                <w:color w:val="000000" w:themeColor="text1"/>
              </w:rPr>
            </w:r>
          </w:p>
        </w:tc>
      </w:tr>
    </w:tbl>
    <w:p w14:paraId="1EA5D803">
      <w:pPr>
        <w:pStyle w:val="1128"/>
        <w:suppressLineNumbers w:val="false"/>
        <w:pBdr/>
        <w:spacing w:line="300" w:lineRule="auto"/>
        <w:ind w:firstLine="720" w:left="720"/>
        <w:rPr>
          <w:highlight w:val="none"/>
        </w:rPr>
      </w:pPr>
      <w:r>
        <w:rPr>
          <w:highlight w:val="none"/>
        </w:rPr>
        <w:t xml:space="preserve">Table 6.2. Research Question Closure Matrix</w:t>
      </w:r>
      <w:r>
        <w:rPr>
          <w:highlight w:val="none"/>
        </w:rPr>
      </w:r>
      <w:r>
        <w:rPr>
          <w:highlight w:val="none"/>
        </w:rPr>
      </w:r>
    </w:p>
    <w:p w14:paraId="73465D84">
      <w:pPr>
        <w:pStyle w:val="1128"/>
        <w:suppressLineNumbers w:val="false"/>
        <w:pBdr/>
        <w:spacing w:line="300" w:lineRule="auto"/>
        <w:ind w:firstLine="0"/>
        <w:rPr/>
      </w:pPr>
      <w:r/>
      <w:r/>
    </w:p>
    <w:p w14:paraId="4AD59FE9">
      <w:pPr>
        <w:pStyle w:val="1128"/>
        <w:suppressLineNumbers w:val="false"/>
        <w:pBdr/>
        <w:spacing w:line="300" w:lineRule="auto"/>
        <w:ind w:firstLine="0"/>
        <w:rPr>
          <w:b/>
          <w:bCs/>
        </w:rPr>
      </w:pPr>
      <w:r>
        <w:rPr>
          <w:b/>
          <w:bCs/>
          <w:highlight w:val="none"/>
        </w:rPr>
        <w:t xml:space="preserve">6.4 Final Contributions</w:t>
      </w:r>
      <w:r>
        <w:rPr>
          <w:b/>
          <w:bCs/>
        </w:rPr>
      </w:r>
      <w:r>
        <w:rPr>
          <w:b/>
          <w:bCs/>
        </w:rPr>
      </w:r>
    </w:p>
    <w:p w14:paraId="4908A2E1">
      <w:pPr>
        <w:pStyle w:val="1128"/>
        <w:suppressLineNumbers w:val="false"/>
        <w:pBdr/>
        <w:spacing w:line="300" w:lineRule="auto"/>
        <w:ind w:firstLine="720"/>
        <w:rPr/>
      </w:pPr>
      <w:r>
        <w:rPr>
          <w:highlight w:val="none"/>
        </w:rPr>
        <w:t xml:space="preserve">The dissertation contributions can be grouped into methodological, empirical, and engineering contributions.</w:t>
      </w:r>
      <w:r>
        <w:rPr>
          <w:highlight w:val="none"/>
        </w:rPr>
      </w:r>
      <w:r/>
    </w:p>
    <w:p w14:paraId="41148160">
      <w:pPr>
        <w:pStyle w:val="1128"/>
        <w:suppressLineNumbers w:val="false"/>
        <w:pBdr/>
        <w:spacing w:line="300" w:lineRule="auto"/>
        <w:ind w:firstLine="720"/>
        <w:rPr/>
      </w:pPr>
      <w:r>
        <w:rPr>
          <w:highlight w:val="none"/>
        </w:rPr>
        <w:t xml:space="preserve">Together, these contributions define a reproducible pattern for multimodal medical AI development: establish boundaries first, optimize within boundaries second, and expose boundary violations explicitly in output behavior.</w:t>
      </w:r>
      <w:r>
        <w:rPr>
          <w:highlight w:val="none"/>
        </w:rPr>
      </w:r>
      <w:r/>
    </w:p>
    <w:p w14:paraId="0D40CB25">
      <w:pPr>
        <w:pStyle w:val="1128"/>
        <w:suppressLineNumbers w:val="false"/>
        <w:pBdr/>
        <w:spacing w:line="300" w:lineRule="auto"/>
        <w:ind w:firstLine="0"/>
        <w:rPr>
          <w:b/>
          <w:bCs/>
        </w:rPr>
      </w:pPr>
      <w:r>
        <w:rPr>
          <w:b/>
          <w:bCs/>
          <w:highlight w:val="none"/>
        </w:rPr>
        <w:t xml:space="preserve">6.4.1 Methodological contributions</w:t>
      </w:r>
      <w:r>
        <w:rPr>
          <w:b/>
          <w:bCs/>
        </w:rPr>
      </w:r>
      <w:r>
        <w:rPr>
          <w:b/>
          <w:bCs/>
        </w:rPr>
      </w:r>
    </w:p>
    <w:p w14:paraId="226E8FE3">
      <w:pPr>
        <w:pStyle w:val="1128"/>
        <w:numPr>
          <w:ilvl w:val="0"/>
          <w:numId w:val="99"/>
        </w:numPr>
        <w:suppressLineNumbers w:val="false"/>
        <w:pBdr/>
        <w:spacing w:line="300" w:lineRule="auto"/>
        <w:ind/>
        <w:rPr/>
      </w:pPr>
      <w:r>
        <w:rPr>
          <w:highlight w:val="none"/>
        </w:rPr>
        <w:t xml:space="preserve">A reproducibility-first, claim-bounded evaluation strategy across all core chapters.</w:t>
      </w:r>
      <w:r/>
    </w:p>
    <w:p w14:paraId="1FC83461">
      <w:pPr>
        <w:pStyle w:val="1128"/>
        <w:numPr>
          <w:ilvl w:val="0"/>
          <w:numId w:val="99"/>
        </w:numPr>
        <w:suppressLineNumbers w:val="false"/>
        <w:pBdr/>
        <w:spacing w:line="300" w:lineRule="auto"/>
        <w:ind/>
        <w:rPr/>
      </w:pPr>
      <w:r>
        <w:rPr>
          <w:highlight w:val="none"/>
        </w:rPr>
        <w:t xml:space="preserve">A staged architecture logic that separates severity scoring reliability from physician-query reasoning reliability.</w:t>
      </w:r>
      <w:r/>
    </w:p>
    <w:p w14:paraId="3F97A804">
      <w:pPr>
        <w:pStyle w:val="1128"/>
        <w:numPr>
          <w:ilvl w:val="0"/>
          <w:numId w:val="99"/>
        </w:numPr>
        <w:suppressLineNumbers w:val="false"/>
        <w:pBdr/>
        <w:spacing w:line="300" w:lineRule="auto"/>
        <w:ind/>
        <w:rPr/>
      </w:pPr>
      <w:r>
        <w:rPr>
          <w:highlight w:val="none"/>
        </w:rPr>
        <w:t xml:space="preserve">A concrete integration framework where controlled generation is paired with structured evidence presentation rather than free-text fluency-first design.</w:t>
      </w:r>
      <w:r/>
    </w:p>
    <w:p w14:paraId="02624244">
      <w:pPr>
        <w:pStyle w:val="1128"/>
        <w:suppressLineNumbers w:val="false"/>
        <w:pBdr/>
        <w:spacing w:line="300" w:lineRule="auto"/>
        <w:ind w:firstLine="720"/>
        <w:rPr/>
      </w:pPr>
      <w:r>
        <w:rPr>
          <w:highlight w:val="none"/>
        </w:rPr>
        <w:t xml:space="preserve">These methodological decisions reduce hidden coupling between model quality and interface behavior. Without this separation, wrapper-level improvements can mask model-level weaknesses and vice versa.</w:t>
      </w:r>
      <w:r/>
    </w:p>
    <w:p w14:paraId="4B25AA9B">
      <w:pPr>
        <w:pStyle w:val="1128"/>
        <w:suppressLineNumbers w:val="false"/>
        <w:pBdr/>
        <w:spacing w:line="300" w:lineRule="auto"/>
        <w:ind w:firstLine="0"/>
        <w:rPr/>
      </w:pPr>
      <w:r/>
      <w:r/>
    </w:p>
    <w:p w14:paraId="26445937">
      <w:pPr>
        <w:pStyle w:val="1128"/>
        <w:suppressLineNumbers w:val="false"/>
        <w:pBdr/>
        <w:spacing w:line="300" w:lineRule="auto"/>
        <w:ind w:firstLine="0"/>
        <w:rPr/>
      </w:pPr>
      <w:r>
        <w:rPr>
          <w:highlight w:val="none"/>
        </w:rPr>
      </w:r>
      <w:r/>
    </w:p>
    <w:p w14:paraId="605D3B88">
      <w:pPr>
        <w:pStyle w:val="1128"/>
        <w:suppressLineNumbers w:val="false"/>
        <w:pBdr/>
        <w:spacing w:line="300" w:lineRule="auto"/>
        <w:ind w:firstLine="0"/>
        <w:rPr>
          <w:b/>
          <w:bCs/>
        </w:rPr>
      </w:pPr>
      <w:r>
        <w:rPr>
          <w:b/>
          <w:bCs/>
          <w:highlight w:val="none"/>
        </w:rPr>
        <w:t xml:space="preserve">6.4.2 Empirical contributions</w:t>
      </w:r>
      <w:r>
        <w:rPr>
          <w:b/>
          <w:bCs/>
        </w:rPr>
      </w:r>
      <w:r>
        <w:rPr>
          <w:b/>
          <w:bCs/>
        </w:rPr>
      </w:r>
    </w:p>
    <w:p w14:paraId="6962135E">
      <w:pPr>
        <w:pStyle w:val="1128"/>
        <w:numPr>
          <w:ilvl w:val="0"/>
          <w:numId w:val="100"/>
        </w:numPr>
        <w:suppressLineNumbers w:val="false"/>
        <w:pBdr/>
        <w:spacing w:line="300" w:lineRule="auto"/>
        <w:ind/>
        <w:rPr/>
      </w:pPr>
      <w:r>
        <w:rPr>
          <w:highlight w:val="none"/>
        </w:rPr>
        <w:t xml:space="preserve">A GI MedVQA reliability map (Chapter 3) that identifies repeatable strengths and failure modes across dataset regimes.</w:t>
      </w:r>
      <w:r/>
    </w:p>
    <w:p w14:paraId="72BF12F7">
      <w:pPr>
        <w:pStyle w:val="1128"/>
        <w:numPr>
          <w:ilvl w:val="0"/>
          <w:numId w:val="100"/>
        </w:numPr>
        <w:suppressLineNumbers w:val="false"/>
        <w:pBdr/>
        <w:spacing w:line="300" w:lineRule="auto"/>
        <w:ind/>
        <w:rPr/>
      </w:pPr>
      <w:r>
        <w:rPr>
          <w:highlight w:val="none"/>
        </w:rPr>
        <w:t xml:space="preserve">A frozen internal UC severity package (Chapter 4) where controlled generative adaptation outperformed a strong supervised anchor on key ordinal and balanced metrics [78], [80]-[84].</w:t>
      </w:r>
      <w:r/>
    </w:p>
    <w:p w14:paraId="4A2BDCA3">
      <w:pPr>
        <w:pStyle w:val="1128"/>
        <w:numPr>
          <w:ilvl w:val="0"/>
          <w:numId w:val="100"/>
        </w:numPr>
        <w:suppressLineNumbers w:val="false"/>
        <w:pBdr/>
        <w:spacing w:line="300" w:lineRule="auto"/>
        <w:ind/>
        <w:rPr/>
      </w:pPr>
      <w:r>
        <w:rPr>
          <w:highlight w:val="none"/>
        </w:rPr>
        <w:t xml:space="preserve">A frozen PICO-grounded wrapper benchmark (Chapter 5) demonstrating citation-linked synthesis, refusal-aware behavior, and artifact-auditable output generation [93]-[100].</w:t>
      </w:r>
      <w:r/>
    </w:p>
    <w:p w14:paraId="5F0684CF">
      <w:pPr>
        <w:pStyle w:val="1128"/>
        <w:suppressLineNumbers w:val="false"/>
        <w:pBdr/>
        <w:spacing w:line="300" w:lineRule="auto"/>
        <w:ind w:firstLine="720"/>
        <w:rPr/>
      </w:pPr>
      <w:r>
        <w:rPr>
          <w:highlight w:val="none"/>
        </w:rPr>
        <w:t xml:space="preserve">The empirical contribution is therefore cumulative rather than isolated. Chapter 3 defines baseline risk, Chapter 4 demonstrates bounded improvement, and Chapter 5 demonstrates feasibility of evidence-aware interaction under policy constraints.</w:t>
      </w:r>
      <w:r/>
    </w:p>
    <w:p w14:paraId="02AAF72F">
      <w:pPr>
        <w:pStyle w:val="1128"/>
        <w:suppressLineNumbers w:val="false"/>
        <w:pBdr/>
        <w:spacing w:line="300" w:lineRule="auto"/>
        <w:ind w:firstLine="0"/>
        <w:rPr/>
      </w:pPr>
      <w:r>
        <w:rPr>
          <w:highlight w:val="none"/>
        </w:rPr>
      </w:r>
      <w:r/>
    </w:p>
    <w:p w14:paraId="75213D51">
      <w:pPr>
        <w:pStyle w:val="1128"/>
        <w:suppressLineNumbers w:val="false"/>
        <w:pBdr/>
        <w:spacing w:line="300" w:lineRule="auto"/>
        <w:ind w:firstLine="0"/>
        <w:rPr>
          <w:b/>
          <w:bCs/>
        </w:rPr>
      </w:pPr>
      <w:r>
        <w:rPr>
          <w:b/>
          <w:bCs/>
          <w:highlight w:val="none"/>
        </w:rPr>
        <w:t xml:space="preserve">6.4.3 Engineering contributions</w:t>
      </w:r>
      <w:r>
        <w:rPr>
          <w:b/>
          <w:bCs/>
        </w:rPr>
      </w:r>
      <w:r>
        <w:rPr>
          <w:b/>
          <w:bCs/>
        </w:rPr>
      </w:r>
    </w:p>
    <w:p w14:paraId="67E7BA20">
      <w:pPr>
        <w:pStyle w:val="1128"/>
        <w:numPr>
          <w:ilvl w:val="0"/>
          <w:numId w:val="101"/>
        </w:numPr>
        <w:suppressLineNumbers w:val="false"/>
        <w:pBdr/>
        <w:spacing w:line="300" w:lineRule="auto"/>
        <w:ind/>
        <w:rPr/>
      </w:pPr>
      <w:r>
        <w:rPr>
          <w:highlight w:val="none"/>
        </w:rPr>
        <w:t xml:space="preserve">End-to-end traceability from data preparation through chapter-level artifact synchronization.</w:t>
      </w:r>
      <w:r/>
    </w:p>
    <w:p w14:paraId="2A069071">
      <w:pPr>
        <w:pStyle w:val="1128"/>
        <w:numPr>
          <w:ilvl w:val="0"/>
          <w:numId w:val="101"/>
        </w:numPr>
        <w:suppressLineNumbers w:val="false"/>
        <w:pBdr/>
        <w:spacing w:line="300" w:lineRule="auto"/>
        <w:ind/>
        <w:rPr/>
      </w:pPr>
      <w:r>
        <w:rPr>
          <w:highlight w:val="none"/>
        </w:rPr>
        <w:t xml:space="preserve">Typed interfaces and persisted JSON/JSONL contracts for wrapper reproducibility and auditability [89]-[95].</w:t>
      </w:r>
      <w:r/>
    </w:p>
    <w:p w14:paraId="0AFD218E">
      <w:pPr>
        <w:pStyle w:val="1128"/>
        <w:numPr>
          <w:ilvl w:val="0"/>
          <w:numId w:val="101"/>
        </w:numPr>
        <w:suppressLineNumbers w:val="false"/>
        <w:pBdr/>
        <w:spacing w:line="300" w:lineRule="auto"/>
        <w:ind/>
        <w:rPr/>
      </w:pPr>
      <w:r>
        <w:rPr>
          <w:highlight w:val="none"/>
        </w:rPr>
        <w:t xml:space="preserve">Completion-audit gating that enforces chapter text and artifact consistency at freeze time [100].</w:t>
      </w:r>
      <w:r/>
    </w:p>
    <w:p w14:paraId="5951DEF3">
      <w:pPr>
        <w:pStyle w:val="1128"/>
        <w:suppressLineNumbers w:val="false"/>
        <w:pBdr/>
        <w:spacing w:line="300" w:lineRule="auto"/>
        <w:ind w:firstLine="720"/>
        <w:rPr/>
      </w:pPr>
      <w:r>
        <w:rPr>
          <w:highlight w:val="none"/>
        </w:rPr>
        <w:t xml:space="preserve">T</w:t>
      </w:r>
      <w:r>
        <w:rPr>
          <w:highlight w:val="none"/>
        </w:rPr>
        <w:t xml:space="preserve">hese engineering contributions matter because reproducibility in medical AI is an operational requirement, not a cosmetic preference. The dissertation artifacts are organized so that evaluation can be replayed, outputs can be inspected, and claim-evidence </w:t>
      </w:r>
      <w:r>
        <w:rPr>
          <w:highlight w:val="none"/>
        </w:rPr>
        <w:t xml:space="preserve">links can be externally audited.</w:t>
      </w:r>
      <w:r/>
    </w:p>
    <w:p w14:paraId="6331D861">
      <w:pPr>
        <w:pStyle w:val="1128"/>
        <w:suppressLineNumbers w:val="false"/>
        <w:pBdr/>
        <w:spacing w:line="300" w:lineRule="auto"/>
        <w:ind w:firstLine="0"/>
        <w:rPr/>
      </w:pPr>
      <w:r>
        <w:rPr>
          <w:highlight w:val="none"/>
        </w:rPr>
      </w:r>
      <w:r/>
    </w:p>
    <w:p w14:paraId="67287FBA">
      <w:pPr>
        <w:pStyle w:val="1128"/>
        <w:suppressLineNumbers w:val="false"/>
        <w:pBdr/>
        <w:spacing w:line="300" w:lineRule="auto"/>
        <w:ind w:firstLine="0"/>
        <w:rPr>
          <w:b/>
          <w:bCs/>
        </w:rPr>
      </w:pPr>
      <w:r>
        <w:rPr>
          <w:b/>
          <w:bCs/>
          <w:highlight w:val="none"/>
        </w:rPr>
        <w:t xml:space="preserve">6.5 Revisit of Dissertation Hypotheses</w:t>
      </w:r>
      <w:r>
        <w:rPr>
          <w:b/>
          <w:bCs/>
        </w:rPr>
      </w:r>
      <w:r>
        <w:rPr>
          <w:b/>
          <w:bCs/>
        </w:rPr>
      </w:r>
    </w:p>
    <w:p w14:paraId="30873369">
      <w:pPr>
        <w:pStyle w:val="1128"/>
        <w:suppressLineNumbers w:val="false"/>
        <w:pBdr/>
        <w:spacing w:line="300" w:lineRule="auto"/>
        <w:ind w:firstLine="0"/>
        <w:rPr/>
      </w:pPr>
      <w:r>
        <w:rPr>
          <w:highlight w:val="none"/>
        </w:rPr>
        <w:t xml:space="preserve">The working hypotheses in Chapter 1 can now be revisited.</w:t>
      </w:r>
      <w:r>
        <w:rPr>
          <w:highlight w:val="none"/>
        </w:rPr>
      </w:r>
      <w:r/>
    </w:p>
    <w:p w14:paraId="0169C529">
      <w:pPr>
        <w:pStyle w:val="1128"/>
        <w:numPr>
          <w:ilvl w:val="0"/>
          <w:numId w:val="102"/>
        </w:numPr>
        <w:suppressLineNumbers w:val="false"/>
        <w:pBdr/>
        <w:spacing w:line="300" w:lineRule="auto"/>
        <w:ind/>
        <w:rPr/>
      </w:pPr>
      <w:r>
        <w:rPr>
          <w:highlight w:val="none"/>
        </w:rPr>
        <w:t xml:space="preserve">H1: constrained/supervised pipelines outperform naive zero-shot free generation on reliability metrics: supported by Chapter 3 and reinforced by Chapter 4 ablation behavior.</w:t>
      </w:r>
      <w:r/>
    </w:p>
    <w:p w14:paraId="122B306C">
      <w:pPr>
        <w:pStyle w:val="1128"/>
        <w:numPr>
          <w:ilvl w:val="0"/>
          <w:numId w:val="102"/>
        </w:numPr>
        <w:suppressLineNumbers w:val="false"/>
        <w:pBdr/>
        <w:spacing w:line="300" w:lineRule="auto"/>
        <w:ind/>
        <w:rPr/>
      </w:pPr>
      <w:r>
        <w:rPr>
          <w:highlight w:val="none"/>
        </w:rPr>
        <w:t xml:space="preserve">H2: minority severe classes remain a dominant bottleneck: supported; gains were achieved in Chapter 4, but severe-class and boundary ambiguity risks persist.</w:t>
      </w:r>
      <w:r/>
    </w:p>
    <w:p w14:paraId="0DBBF93D">
      <w:pPr>
        <w:pStyle w:val="1128"/>
        <w:numPr>
          <w:ilvl w:val="0"/>
          <w:numId w:val="102"/>
        </w:numPr>
        <w:suppressLineNumbers w:val="false"/>
        <w:pBdr/>
        <w:spacing w:line="300" w:lineRule="auto"/>
        <w:ind/>
        <w:rPr/>
      </w:pPr>
      <w:r>
        <w:rPr>
          <w:highlight w:val="none"/>
        </w:rPr>
        <w:t xml:space="preserve">H3: evidence-augmented extensions can improve interpretability without sacrificing core visual grounding if appropriately constrained: supported in baseline form by Chapter 5 wrapper results under explicit scope limits [93]-[100].</w:t>
      </w:r>
      <w:r/>
    </w:p>
    <w:p w14:paraId="3EDACC42">
      <w:pPr>
        <w:pStyle w:val="1128"/>
        <w:suppressLineNumbers w:val="false"/>
        <w:pBdr/>
        <w:spacing w:line="300" w:lineRule="auto"/>
        <w:ind w:firstLine="720"/>
        <w:rPr/>
      </w:pPr>
      <w:r>
        <w:rPr>
          <w:highlight w:val="none"/>
        </w:rPr>
        <w:t xml:space="preserve">The hypothesis outcomes indicate that the dissertation's central technical strategy is directionally validated.</w:t>
      </w:r>
      <w:r/>
    </w:p>
    <w:p w14:paraId="1D74425C">
      <w:pPr>
        <w:pStyle w:val="1128"/>
        <w:suppressLineNumbers w:val="false"/>
        <w:pBdr/>
        <w:spacing w:line="300" w:lineRule="auto"/>
        <w:ind w:firstLine="0"/>
        <w:rPr/>
      </w:pPr>
      <w:r>
        <w:rPr>
          <w:highlight w:val="none"/>
        </w:rPr>
      </w:r>
      <w:r/>
    </w:p>
    <w:p w14:paraId="12F00062">
      <w:pPr>
        <w:pStyle w:val="1128"/>
        <w:suppressLineNumbers w:val="false"/>
        <w:pBdr/>
        <w:spacing w:line="300" w:lineRule="auto"/>
        <w:ind w:firstLine="720"/>
        <w:rPr/>
      </w:pPr>
      <w:r>
        <w:rPr>
          <w:highlight w:val="none"/>
        </w:rPr>
        <w:t xml:space="preserve">A</w:t>
      </w:r>
      <w:r>
        <w:rPr>
          <w:highlight w:val="none"/>
        </w:rPr>
        <w:t xml:space="preserve">t the same time, support strength differs by hypothesis. H1 is strongly supported within the tested scope, H2 is supported with unresolved minority-class risk, and H3 is supported for baseline wrapper behavior but remains sensitive to retrieval quality and</w:t>
      </w:r>
      <w:r>
        <w:rPr>
          <w:highlight w:val="none"/>
        </w:rPr>
        <w:t xml:space="preserve"> policy calibration. This differentiated interpretation is important to avoid treating all hypothesis outcomes as equally mature.</w:t>
      </w:r>
      <w:r>
        <w:rPr>
          <w:highlight w:val="none"/>
        </w:rPr>
      </w:r>
      <w:r/>
    </w:p>
    <w:p w14:paraId="2FA9478A">
      <w:pPr>
        <w:pStyle w:val="1128"/>
        <w:suppressLineNumbers w:val="false"/>
        <w:pBdr/>
        <w:spacing w:line="300" w:lineRule="auto"/>
        <w:ind w:firstLine="0"/>
        <w:rPr>
          <w:b/>
          <w:bCs/>
          <w:sz w:val="28"/>
          <w:szCs w:val="28"/>
        </w:rPr>
      </w:pPr>
      <w:r>
        <w:rPr>
          <w:b/>
          <w:bCs/>
          <w:sz w:val="28"/>
          <w:szCs w:val="28"/>
          <w:highlight w:val="none"/>
        </w:rPr>
        <w:t xml:space="preserve">6.</w:t>
      </w:r>
      <w:r>
        <w:rPr>
          <w:b/>
          <w:bCs/>
          <w:sz w:val="28"/>
          <w:szCs w:val="28"/>
          <w:highlight w:val="none"/>
          <w:lang w:val="en-US"/>
        </w:rPr>
        <w:t xml:space="preserve">6</w:t>
      </w:r>
      <w:r>
        <w:rPr>
          <w:b/>
          <w:bCs/>
          <w:sz w:val="28"/>
          <w:szCs w:val="28"/>
          <w:highlight w:val="none"/>
        </w:rPr>
        <w:t xml:space="preserve"> Practical Implications for Clinician-Facing AI</w:t>
      </w:r>
      <w:r>
        <w:rPr>
          <w:b/>
          <w:bCs/>
          <w:sz w:val="28"/>
          <w:szCs w:val="28"/>
        </w:rPr>
      </w:r>
      <w:r>
        <w:rPr>
          <w:b/>
          <w:bCs/>
          <w:sz w:val="28"/>
          <w:szCs w:val="28"/>
        </w:rPr>
      </w:r>
    </w:p>
    <w:p w14:paraId="353A400A">
      <w:pPr>
        <w:pStyle w:val="1128"/>
        <w:suppressLineNumbers w:val="false"/>
        <w:pBdr/>
        <w:spacing w:line="300" w:lineRule="auto"/>
        <w:ind w:firstLine="720"/>
        <w:rPr/>
      </w:pPr>
      <w:r>
        <w:rPr>
          <w:highlight w:val="none"/>
        </w:rPr>
        <w:t xml:space="preserve">Within current boundaries, three practical implications are defensible.</w:t>
      </w:r>
      <w:r>
        <w:rPr>
          <w:highlight w:val="none"/>
        </w:rPr>
      </w:r>
      <w:r/>
    </w:p>
    <w:p w14:paraId="0048566D">
      <w:pPr>
        <w:pStyle w:val="1128"/>
        <w:numPr>
          <w:ilvl w:val="0"/>
          <w:numId w:val="104"/>
        </w:numPr>
        <w:suppressLineNumbers w:val="false"/>
        <w:pBdr/>
        <w:spacing w:line="300" w:lineRule="auto"/>
        <w:ind/>
        <w:rPr/>
      </w:pPr>
      <w:r>
        <w:rPr>
          <w:highlight w:val="none"/>
        </w:rPr>
        <w:t xml:space="preserve">Evidence and uncertainty must be first-class outputs. Citation-linked claims with explicit uncertainty and limitations are safer than unsupported fluent responses.</w:t>
      </w:r>
      <w:r/>
    </w:p>
    <w:p w14:paraId="1C12B73F">
      <w:pPr>
        <w:pStyle w:val="1128"/>
        <w:numPr>
          <w:ilvl w:val="0"/>
          <w:numId w:val="104"/>
        </w:numPr>
        <w:suppressLineNumbers w:val="false"/>
        <w:pBdr/>
        <w:spacing w:line="300" w:lineRule="auto"/>
        <w:ind/>
        <w:rPr/>
      </w:pPr>
      <w:r>
        <w:rPr>
          <w:highlight w:val="none"/>
        </w:rPr>
        <w:t xml:space="preserve">Reliability must be assessed at model and workflow levels simultaneously. A strong scorer is insufficient if downstream retrieval, synthesis, and safety behavior are uncontrolled.</w:t>
      </w:r>
      <w:r/>
    </w:p>
    <w:p w14:paraId="01840A3B">
      <w:pPr>
        <w:pStyle w:val="1128"/>
        <w:numPr>
          <w:ilvl w:val="0"/>
          <w:numId w:val="104"/>
        </w:numPr>
        <w:suppressLineNumbers w:val="false"/>
        <w:pBdr/>
        <w:spacing w:line="300" w:lineRule="auto"/>
        <w:ind/>
        <w:rPr/>
      </w:pPr>
      <w:r>
        <w:rPr>
          <w:highlight w:val="none"/>
        </w:rPr>
        <w:t xml:space="preserve">Negative results are operationally useful. The Chapter 4 mode2 collapse and external-shift degradation are not failures of the dissertation; they are constraints that prevent overclaiming and guide robust next-step design.</w:t>
      </w:r>
      <w:r/>
    </w:p>
    <w:p w14:paraId="5C400F83">
      <w:pPr>
        <w:pStyle w:val="1128"/>
        <w:suppressLineNumbers w:val="false"/>
        <w:pBdr/>
        <w:spacing w:line="300" w:lineRule="auto"/>
        <w:ind w:firstLine="0"/>
        <w:rPr/>
      </w:pPr>
      <w:r>
        <w:rPr>
          <w:highlight w:val="none"/>
        </w:rPr>
        <w:t xml:space="preserve">Two additional practice-level implications follow from the same evidence:</w:t>
      </w:r>
      <w:r>
        <w:rPr>
          <w:highlight w:val="none"/>
        </w:rPr>
      </w:r>
      <w:r/>
    </w:p>
    <w:p w14:paraId="593C0E6E">
      <w:pPr>
        <w:pStyle w:val="1128"/>
        <w:suppressLineNumbers w:val="false"/>
        <w:pBdr/>
        <w:spacing w:line="300" w:lineRule="auto"/>
        <w:ind w:firstLine="0" w:left="360"/>
        <w:rPr/>
      </w:pPr>
      <w:r>
        <w:rPr>
          <w:highlight w:val="none"/>
          <w:lang w:val="en-US"/>
        </w:rPr>
        <w:t xml:space="preserve">4.   </w:t>
      </w:r>
      <w:r>
        <w:rPr>
          <w:highlight w:val="none"/>
        </w:rPr>
        <w:t xml:space="preserve">Escalation behavior is a feature, not a defect. Refusal or defer-to-clinician </w:t>
      </w:r>
      <w:r>
        <w:rPr>
          <w:highlight w:val="none"/>
          <w:lang w:val="en-US"/>
        </w:rPr>
        <w:t xml:space="preserve"> </w:t>
      </w:r>
      <w:r>
        <w:rPr>
          <w:highlight w:val="none"/>
        </w:rPr>
        <w:t xml:space="preserve">outputs are necessary safety mechanisms when evidence confidence is weak.</w:t>
      </w:r>
      <w:r/>
    </w:p>
    <w:p w14:paraId="0DE841CD">
      <w:pPr>
        <w:pStyle w:val="1128"/>
        <w:suppressLineNumbers w:val="false"/>
        <w:pBdr/>
        <w:spacing w:line="300" w:lineRule="auto"/>
        <w:ind w:firstLine="0" w:left="360"/>
        <w:rPr>
          <w:highlight w:val="none"/>
        </w:rPr>
      </w:pPr>
      <w:r>
        <w:rPr>
          <w:highlight w:val="none"/>
          <w:lang w:val="en-US"/>
        </w:rPr>
        <w:t xml:space="preserve">5.   </w:t>
      </w:r>
      <w:r>
        <w:rPr>
          <w:highlight w:val="none"/>
        </w:rPr>
        <w:t xml:space="preserve">Auditability should be designed before deployment pilots. Retrofitting traceability after interface rollout is costly and weakens reliability claims.</w:t>
      </w:r>
      <w:r>
        <w:rPr>
          <w:highlight w:val="none"/>
        </w:rPr>
      </w:r>
      <w:r>
        <w:rPr>
          <w:highlight w:val="none"/>
        </w:rPr>
      </w:r>
    </w:p>
    <w:p w14:paraId="4C0B7C08">
      <w:pPr>
        <w:pStyle w:val="1128"/>
        <w:suppressLineNumbers w:val="false"/>
        <w:pBdr/>
        <w:spacing w:line="300" w:lineRule="auto"/>
        <w:ind w:firstLine="0" w:left="360"/>
        <w:rPr>
          <w:highlight w:val="none"/>
        </w:rPr>
      </w:pPr>
      <w:r>
        <w:rPr>
          <w:highlight w:val="none"/>
        </w:rPr>
      </w:r>
      <w:r>
        <w:rPr>
          <w:highlight w:val="none"/>
        </w:rPr>
      </w:r>
      <w:r>
        <w:rPr>
          <w:highlight w:val="none"/>
        </w:rPr>
      </w:r>
    </w:p>
    <w:p w14:paraId="0B6D53BF">
      <w:pPr>
        <w:pStyle w:val="1128"/>
        <w:suppressLineNumbers w:val="false"/>
        <w:pBdr/>
        <w:spacing w:line="300" w:lineRule="auto"/>
        <w:ind w:firstLine="0"/>
        <w:rPr>
          <w:b/>
          <w:bCs/>
          <w:sz w:val="28"/>
          <w:szCs w:val="28"/>
        </w:rPr>
      </w:pPr>
      <w:r>
        <w:rPr>
          <w:b/>
          <w:bCs/>
          <w:sz w:val="28"/>
          <w:szCs w:val="28"/>
          <w:highlight w:val="none"/>
        </w:rPr>
        <w:t xml:space="preserve">6.</w:t>
      </w:r>
      <w:r>
        <w:rPr>
          <w:b/>
          <w:bCs/>
          <w:sz w:val="28"/>
          <w:szCs w:val="28"/>
          <w:highlight w:val="none"/>
          <w:lang w:val="en-US"/>
        </w:rPr>
        <w:t xml:space="preserve">7</w:t>
      </w:r>
      <w:r>
        <w:rPr>
          <w:b/>
          <w:bCs/>
          <w:sz w:val="28"/>
          <w:szCs w:val="28"/>
          <w:highlight w:val="none"/>
        </w:rPr>
        <w:t xml:space="preserve"> Limitations and Validity Boundaries</w:t>
      </w:r>
      <w:r>
        <w:rPr>
          <w:b/>
          <w:bCs/>
          <w:sz w:val="28"/>
          <w:szCs w:val="28"/>
        </w:rPr>
      </w:r>
      <w:r>
        <w:rPr>
          <w:b/>
          <w:bCs/>
          <w:sz w:val="28"/>
          <w:szCs w:val="28"/>
        </w:rPr>
      </w:r>
    </w:p>
    <w:p w14:paraId="21FE5B4E">
      <w:pPr>
        <w:pStyle w:val="1128"/>
        <w:suppressLineNumbers w:val="false"/>
        <w:pBdr/>
        <w:spacing w:line="300" w:lineRule="auto"/>
        <w:ind w:firstLine="720"/>
        <w:rPr/>
      </w:pPr>
      <w:r>
        <w:rPr>
          <w:highlight w:val="none"/>
        </w:rPr>
        <w:t xml:space="preserve">Despite meaningful progress, the dissertation is explicitly bounded by the following limitations.</w:t>
      </w:r>
      <w:r/>
    </w:p>
    <w:p w14:paraId="586D46E5">
      <w:pPr>
        <w:pStyle w:val="1128"/>
        <w:suppressLineNumbers w:val="false"/>
        <w:pBdr/>
        <w:spacing w:line="300" w:lineRule="auto"/>
        <w:ind w:firstLine="0"/>
        <w:rPr/>
      </w:pPr>
      <w:r>
        <w:rPr>
          <w:highlight w:val="none"/>
        </w:rPr>
      </w:r>
      <w:r/>
    </w:p>
    <w:p w14:paraId="2D5B8DA9">
      <w:pPr>
        <w:pStyle w:val="1128"/>
        <w:numPr>
          <w:ilvl w:val="0"/>
          <w:numId w:val="106"/>
        </w:numPr>
        <w:suppressLineNumbers w:val="false"/>
        <w:pBdr/>
        <w:spacing w:line="300" w:lineRule="auto"/>
        <w:ind/>
        <w:rPr/>
      </w:pPr>
      <w:r>
        <w:rPr>
          <w:highlight w:val="none"/>
        </w:rPr>
        <w:t xml:space="preserve">Core claims are based on internal/frozen benchmark protocols rather than prospective production deployment.</w:t>
      </w:r>
      <w:r/>
    </w:p>
    <w:p w14:paraId="19AE80D9">
      <w:pPr>
        <w:pStyle w:val="1128"/>
        <w:numPr>
          <w:ilvl w:val="0"/>
          <w:numId w:val="106"/>
        </w:numPr>
        <w:suppressLineNumbers w:val="false"/>
        <w:pBdr/>
        <w:spacing w:line="300" w:lineRule="auto"/>
        <w:ind/>
        <w:rPr/>
      </w:pPr>
      <w:r>
        <w:rPr>
          <w:highlight w:val="none"/>
        </w:rPr>
        <w:t xml:space="preserve">Chapter 5 PICO/retrieval gold subsets are intentionally small and suitable for baseline validation, not broad clinical generalization.</w:t>
      </w:r>
      <w:r/>
    </w:p>
    <w:p w14:paraId="5F56D1D7">
      <w:pPr>
        <w:pStyle w:val="1128"/>
        <w:numPr>
          <w:ilvl w:val="0"/>
          <w:numId w:val="106"/>
        </w:numPr>
        <w:suppressLineNumbers w:val="false"/>
        <w:pBdr/>
        <w:spacing w:line="300" w:lineRule="auto"/>
        <w:ind/>
        <w:rPr/>
      </w:pPr>
      <w:r>
        <w:rPr>
          <w:highlight w:val="none"/>
        </w:rPr>
        <w:t xml:space="preserve">Grounding checks include heuristic components and need larger clinician-semantic adjudication studies.</w:t>
      </w:r>
      <w:r/>
    </w:p>
    <w:p w14:paraId="211606CF">
      <w:pPr>
        <w:pStyle w:val="1128"/>
        <w:numPr>
          <w:ilvl w:val="0"/>
          <w:numId w:val="106"/>
        </w:numPr>
        <w:suppressLineNumbers w:val="false"/>
        <w:pBdr/>
        <w:spacing w:line="300" w:lineRule="auto"/>
        <w:ind/>
        <w:rPr/>
      </w:pPr>
      <w:r>
        <w:rPr>
          <w:highlight w:val="none"/>
        </w:rPr>
        <w:t xml:space="preserve">Cross-domain robustness remains unresolved, especially under label-space mismatch and distribution shift.</w:t>
      </w:r>
      <w:r/>
    </w:p>
    <w:p w14:paraId="23051EBA">
      <w:pPr>
        <w:pStyle w:val="1128"/>
        <w:numPr>
          <w:ilvl w:val="0"/>
          <w:numId w:val="106"/>
        </w:numPr>
        <w:suppressLineNumbers w:val="false"/>
        <w:pBdr/>
        <w:spacing w:line="300" w:lineRule="auto"/>
        <w:ind/>
        <w:rPr/>
      </w:pPr>
      <w:r>
        <w:rPr>
          <w:highlight w:val="none"/>
        </w:rPr>
        <w:t xml:space="preserve">The wrapper is a decision-support prototype and does not generate patient-specific treatment execution instructions.</w:t>
      </w:r>
      <w:r/>
    </w:p>
    <w:p w14:paraId="40D8ED85">
      <w:pPr>
        <w:pStyle w:val="1128"/>
        <w:numPr>
          <w:ilvl w:val="0"/>
          <w:numId w:val="106"/>
        </w:numPr>
        <w:suppressLineNumbers w:val="false"/>
        <w:pBdr/>
        <w:spacing w:line="300" w:lineRule="auto"/>
        <w:ind/>
        <w:rPr/>
      </w:pPr>
      <w:r>
        <w:rPr>
          <w:highlight w:val="none"/>
        </w:rPr>
        <w:t xml:space="preserve">Chapter 5 freeze reporting used has_severity_context=false to isolate wrapper behavior; full end-to-end severity-injected effect remains a follow-on research question.</w:t>
      </w:r>
      <w:r/>
    </w:p>
    <w:p w14:paraId="4FDEE558">
      <w:pPr>
        <w:pStyle w:val="1128"/>
        <w:suppressLineNumbers w:val="false"/>
        <w:pBdr/>
        <w:spacing w:line="300" w:lineRule="auto"/>
        <w:ind w:firstLine="720"/>
        <w:rPr/>
      </w:pPr>
      <w:r>
        <w:rPr>
          <w:highlight w:val="none"/>
        </w:rPr>
        <w:t xml:space="preserve">These limitations do not negate the contribution; they define the conditions under which the conclusions are valid.</w:t>
      </w:r>
      <w:r/>
    </w:p>
    <w:p w14:paraId="7423DBF6">
      <w:pPr>
        <w:pStyle w:val="1128"/>
        <w:suppressLineNumbers w:val="false"/>
        <w:pBdr/>
        <w:spacing w:line="300" w:lineRule="auto"/>
        <w:ind w:firstLine="0"/>
        <w:rPr/>
      </w:pPr>
      <w:r>
        <w:rPr>
          <w:highlight w:val="none"/>
        </w:rPr>
      </w:r>
      <w:r/>
    </w:p>
    <w:p w14:paraId="1994F044">
      <w:pPr>
        <w:pStyle w:val="1128"/>
        <w:suppressLineNumbers w:val="false"/>
        <w:pBdr/>
        <w:spacing w:line="300" w:lineRule="auto"/>
        <w:ind w:firstLine="0"/>
        <w:rPr>
          <w:b/>
          <w:bCs/>
        </w:rPr>
      </w:pPr>
      <w:r>
        <w:rPr>
          <w:b/>
          <w:bCs/>
          <w:highlight w:val="none"/>
        </w:rPr>
        <w:t xml:space="preserve">6.</w:t>
      </w:r>
      <w:r>
        <w:rPr>
          <w:b/>
          <w:bCs/>
          <w:highlight w:val="none"/>
          <w:lang w:val="en-US"/>
        </w:rPr>
        <w:t xml:space="preserve">7</w:t>
      </w:r>
      <w:r>
        <w:rPr>
          <w:b/>
          <w:bCs/>
          <w:highlight w:val="none"/>
        </w:rPr>
        <w:t xml:space="preserve">.1 Threats to Validity Framing</w:t>
      </w:r>
      <w:r>
        <w:rPr>
          <w:b/>
          <w:bCs/>
        </w:rPr>
      </w:r>
      <w:r>
        <w:rPr>
          <w:b/>
          <w:bCs/>
        </w:rPr>
      </w:r>
    </w:p>
    <w:p w14:paraId="6D359F01">
      <w:pPr>
        <w:pStyle w:val="1128"/>
        <w:suppressLineNumbers w:val="false"/>
        <w:pBdr/>
        <w:spacing w:line="300" w:lineRule="auto"/>
        <w:ind w:firstLine="720"/>
        <w:rPr/>
      </w:pPr>
      <w:r>
        <w:rPr>
          <w:highlight w:val="none"/>
        </w:rPr>
        <w:t xml:space="preserve">The limitations above can be interpreted as standard threats-to-validity categories:</w:t>
      </w:r>
      <w:r>
        <w:rPr>
          <w:highlight w:val="none"/>
        </w:rPr>
      </w:r>
      <w:r/>
    </w:p>
    <w:p w14:paraId="4B88C581">
      <w:pPr>
        <w:pStyle w:val="1128"/>
        <w:numPr>
          <w:ilvl w:val="0"/>
          <w:numId w:val="107"/>
        </w:numPr>
        <w:suppressLineNumbers w:val="false"/>
        <w:pBdr/>
        <w:spacing w:line="300" w:lineRule="auto"/>
        <w:ind/>
        <w:rPr/>
      </w:pPr>
      <w:r>
        <w:rPr>
          <w:highlight w:val="none"/>
        </w:rPr>
        <w:t xml:space="preserve">Internal validity threat: measured gains can be influenced by dataset-specific artifacts and frozen protocol assumptions.</w:t>
      </w:r>
      <w:r/>
    </w:p>
    <w:p w14:paraId="1B67666D">
      <w:pPr>
        <w:pStyle w:val="1128"/>
        <w:numPr>
          <w:ilvl w:val="0"/>
          <w:numId w:val="107"/>
        </w:numPr>
        <w:suppressLineNumbers w:val="false"/>
        <w:pBdr/>
        <w:spacing w:line="300" w:lineRule="auto"/>
        <w:ind/>
        <w:rPr/>
      </w:pPr>
      <w:r>
        <w:rPr>
          <w:highlight w:val="none"/>
        </w:rPr>
        <w:t xml:space="preserve">External validity threat: transfer to new institutions, devices, and reporting standards remains uncertain.</w:t>
      </w:r>
      <w:r/>
    </w:p>
    <w:p w14:paraId="5363E207">
      <w:pPr>
        <w:pStyle w:val="1128"/>
        <w:numPr>
          <w:ilvl w:val="0"/>
          <w:numId w:val="107"/>
        </w:numPr>
        <w:suppressLineNumbers w:val="false"/>
        <w:pBdr/>
        <w:spacing w:line="300" w:lineRule="auto"/>
        <w:ind/>
        <w:rPr/>
      </w:pPr>
      <w:r>
        <w:rPr>
          <w:highlight w:val="none"/>
        </w:rPr>
        <w:t xml:space="preserve">Construct validity threat: benchmark metrics may only partially reflect clinician-perceived utility and safety.</w:t>
      </w:r>
      <w:r/>
    </w:p>
    <w:p w14:paraId="194BABA2">
      <w:pPr>
        <w:pStyle w:val="1128"/>
        <w:numPr>
          <w:ilvl w:val="0"/>
          <w:numId w:val="107"/>
        </w:numPr>
        <w:suppressLineNumbers w:val="false"/>
        <w:pBdr/>
        <w:spacing w:line="300" w:lineRule="auto"/>
        <w:ind/>
        <w:rPr/>
      </w:pPr>
      <w:r>
        <w:rPr>
          <w:highlight w:val="none"/>
        </w:rPr>
        <w:t xml:space="preserve">Conclusion validity threat: small subset studies can inflate variance and reduce confidence in fine-grained comparative claims.</w:t>
      </w:r>
      <w:r/>
    </w:p>
    <w:p w14:paraId="65BF165F">
      <w:pPr>
        <w:pStyle w:val="1128"/>
        <w:suppressLineNumbers w:val="false"/>
        <w:pBdr/>
        <w:spacing w:line="300" w:lineRule="auto"/>
        <w:ind w:firstLine="720"/>
        <w:rPr/>
      </w:pPr>
      <w:r>
        <w:rPr>
          <w:highlight w:val="none"/>
        </w:rPr>
        <w:t xml:space="preserve">Stating these categories explicitly improves interpretability of the dissertation outcomes and clarifies what follow-on evidence is required.</w:t>
      </w:r>
      <w:r/>
    </w:p>
    <w:p w14:paraId="1EA3F7C4">
      <w:pPr>
        <w:pStyle w:val="1128"/>
        <w:suppressLineNumbers w:val="false"/>
        <w:pBdr/>
        <w:spacing w:line="300" w:lineRule="auto"/>
        <w:ind w:firstLine="0"/>
        <w:rPr/>
      </w:pPr>
      <w:r>
        <w:rPr>
          <w:highlight w:val="none"/>
        </w:rPr>
      </w:r>
      <w:r/>
    </w:p>
    <w:p w14:paraId="0BC460E1">
      <w:pPr>
        <w:pStyle w:val="1128"/>
        <w:suppressLineNumbers w:val="false"/>
        <w:pBdr/>
        <w:spacing w:line="300" w:lineRule="auto"/>
        <w:ind w:firstLine="0"/>
        <w:rPr>
          <w:b/>
          <w:bCs/>
          <w:sz w:val="28"/>
          <w:szCs w:val="28"/>
        </w:rPr>
      </w:pPr>
      <w:r>
        <w:rPr>
          <w:b/>
          <w:bCs/>
          <w:sz w:val="28"/>
          <w:szCs w:val="28"/>
          <w:highlight w:val="none"/>
        </w:rPr>
        <w:t xml:space="preserve">6.</w:t>
      </w:r>
      <w:r>
        <w:rPr>
          <w:b/>
          <w:bCs/>
          <w:sz w:val="28"/>
          <w:szCs w:val="28"/>
          <w:highlight w:val="none"/>
          <w:lang w:val="en-US"/>
        </w:rPr>
        <w:t xml:space="preserve">8</w:t>
      </w:r>
      <w:r>
        <w:rPr>
          <w:b/>
          <w:bCs/>
          <w:sz w:val="28"/>
          <w:szCs w:val="28"/>
          <w:highlight w:val="none"/>
        </w:rPr>
        <w:t xml:space="preserve"> Future Research Agenda</w:t>
      </w:r>
      <w:r>
        <w:rPr>
          <w:b/>
          <w:bCs/>
          <w:sz w:val="28"/>
          <w:szCs w:val="28"/>
        </w:rPr>
      </w:r>
      <w:r>
        <w:rPr>
          <w:b/>
          <w:bCs/>
          <w:sz w:val="28"/>
          <w:szCs w:val="28"/>
        </w:rPr>
      </w:r>
    </w:p>
    <w:p w14:paraId="01857429">
      <w:pPr>
        <w:pStyle w:val="1128"/>
        <w:suppressLineNumbers w:val="false"/>
        <w:pBdr/>
        <w:spacing w:line="300" w:lineRule="auto"/>
        <w:ind w:firstLine="720"/>
        <w:rPr/>
      </w:pPr>
      <w:r>
        <w:rPr>
          <w:highlight w:val="none"/>
        </w:rPr>
        <w:t xml:space="preserve">Future work should proceed in phased, testable increments.</w:t>
      </w:r>
      <w:r>
        <w:rPr>
          <w:highlight w:val="none"/>
        </w:rPr>
      </w:r>
      <w:r/>
    </w:p>
    <w:p w14:paraId="60722CDB">
      <w:pPr>
        <w:pStyle w:val="1128"/>
        <w:suppressLineNumbers w:val="false"/>
        <w:pBdr/>
        <w:spacing w:line="300" w:lineRule="auto"/>
        <w:ind w:firstLine="0"/>
        <w:rPr>
          <w:b/>
          <w:bCs/>
        </w:rPr>
      </w:pPr>
      <w:r>
        <w:rPr>
          <w:b/>
          <w:bCs/>
          <w:highlight w:val="none"/>
        </w:rPr>
        <w:t xml:space="preserve">6.</w:t>
      </w:r>
      <w:r>
        <w:rPr>
          <w:b/>
          <w:bCs/>
          <w:highlight w:val="none"/>
          <w:lang w:val="en-US"/>
        </w:rPr>
        <w:t xml:space="preserve">8</w:t>
      </w:r>
      <w:r>
        <w:rPr>
          <w:b/>
          <w:bCs/>
          <w:highlight w:val="none"/>
        </w:rPr>
        <w:t xml:space="preserve">.1 Near-term research priorities</w:t>
      </w:r>
      <w:r>
        <w:rPr>
          <w:b/>
          <w:bCs/>
        </w:rPr>
      </w:r>
      <w:r>
        <w:rPr>
          <w:b/>
          <w:bCs/>
        </w:rPr>
      </w:r>
    </w:p>
    <w:p w14:paraId="51DB707B">
      <w:pPr>
        <w:pStyle w:val="1128"/>
        <w:numPr>
          <w:ilvl w:val="0"/>
          <w:numId w:val="108"/>
        </w:numPr>
        <w:suppressLineNumbers w:val="false"/>
        <w:pBdr/>
        <w:spacing w:line="300" w:lineRule="auto"/>
        <w:ind/>
        <w:rPr/>
      </w:pPr>
      <w:r>
        <w:rPr>
          <w:highlight w:val="none"/>
        </w:rPr>
        <w:t xml:space="preserve">Expand Chapter 5 knowledge-base breadth with guideline-level and trial-anchored sources.</w:t>
      </w:r>
      <w:r/>
    </w:p>
    <w:p w14:paraId="561DC6CF">
      <w:pPr>
        <w:pStyle w:val="1128"/>
        <w:numPr>
          <w:ilvl w:val="0"/>
          <w:numId w:val="108"/>
        </w:numPr>
        <w:suppressLineNumbers w:val="false"/>
        <w:pBdr/>
        <w:spacing w:line="300" w:lineRule="auto"/>
        <w:ind/>
        <w:rPr/>
      </w:pPr>
      <w:r>
        <w:rPr>
          <w:highlight w:val="none"/>
        </w:rPr>
        <w:t xml:space="preserve">Increase PICO and retrieval gold sets with multi-annotator adjudication and agreement reporting.</w:t>
      </w:r>
      <w:r/>
    </w:p>
    <w:p w14:paraId="03862D08">
      <w:pPr>
        <w:pStyle w:val="1128"/>
        <w:numPr>
          <w:ilvl w:val="0"/>
          <w:numId w:val="108"/>
        </w:numPr>
        <w:suppressLineNumbers w:val="false"/>
        <w:pBdr/>
        <w:spacing w:line="300" w:lineRule="auto"/>
        <w:ind/>
        <w:rPr/>
      </w:pPr>
      <w:r>
        <w:rPr>
          <w:highlight w:val="none"/>
        </w:rPr>
        <w:t xml:space="preserve">Improve extraction precision for outcomes/severity anchors without sacrificing recall coverage.</w:t>
      </w:r>
      <w:r/>
    </w:p>
    <w:p w14:paraId="3BC99CDC">
      <w:pPr>
        <w:pStyle w:val="1128"/>
        <w:numPr>
          <w:ilvl w:val="0"/>
          <w:numId w:val="108"/>
        </w:numPr>
        <w:suppressLineNumbers w:val="false"/>
        <w:pBdr/>
        <w:spacing w:line="300" w:lineRule="auto"/>
        <w:ind/>
        <w:rPr/>
      </w:pPr>
      <w:r>
        <w:rPr>
          <w:highlight w:val="none"/>
        </w:rPr>
        <w:t xml:space="preserve">Add clinician-semantic grounding review pipelines beyond lexical overlap heuristics.</w:t>
      </w:r>
      <w:r/>
    </w:p>
    <w:p w14:paraId="610AECB2">
      <w:pPr>
        <w:pStyle w:val="1128"/>
        <w:suppressLineNumbers w:val="false"/>
        <w:pBdr/>
        <w:spacing w:line="300" w:lineRule="auto"/>
        <w:ind w:firstLine="0"/>
        <w:rPr>
          <w:b/>
          <w:bCs/>
        </w:rPr>
      </w:pPr>
      <w:r>
        <w:rPr>
          <w:b/>
          <w:bCs/>
          <w:highlight w:val="none"/>
        </w:rPr>
        <w:t xml:space="preserve">6.</w:t>
      </w:r>
      <w:r>
        <w:rPr>
          <w:b/>
          <w:bCs/>
          <w:highlight w:val="none"/>
          <w:lang w:val="en-US"/>
        </w:rPr>
        <w:t xml:space="preserve">8</w:t>
      </w:r>
      <w:r>
        <w:rPr>
          <w:b/>
          <w:bCs/>
          <w:highlight w:val="none"/>
        </w:rPr>
        <w:t xml:space="preserve">.2 Mid-term robustness and integration priorities</w:t>
      </w:r>
      <w:r>
        <w:rPr>
          <w:b/>
          <w:bCs/>
        </w:rPr>
      </w:r>
      <w:r>
        <w:rPr>
          <w:b/>
          <w:bCs/>
        </w:rPr>
      </w:r>
    </w:p>
    <w:p w14:paraId="2EAAD1E8">
      <w:pPr>
        <w:pStyle w:val="1128"/>
        <w:numPr>
          <w:ilvl w:val="0"/>
          <w:numId w:val="109"/>
        </w:numPr>
        <w:suppressLineNumbers w:val="false"/>
        <w:pBdr/>
        <w:spacing w:line="300" w:lineRule="auto"/>
        <w:ind/>
        <w:rPr/>
      </w:pPr>
      <w:r>
        <w:rPr>
          <w:highlight w:val="none"/>
        </w:rPr>
        <w:t xml:space="preserve">Execute controlled wrapper studies with severity context enabled (has_severity_context=true) and report incremental effect.</w:t>
      </w:r>
      <w:r/>
    </w:p>
    <w:p w14:paraId="6650A553">
      <w:pPr>
        <w:pStyle w:val="1128"/>
        <w:numPr>
          <w:ilvl w:val="0"/>
          <w:numId w:val="109"/>
        </w:numPr>
        <w:suppressLineNumbers w:val="false"/>
        <w:pBdr/>
        <w:spacing w:line="300" w:lineRule="auto"/>
        <w:ind/>
        <w:rPr/>
      </w:pPr>
      <w:r>
        <w:rPr>
          <w:highlight w:val="none"/>
        </w:rPr>
        <w:t xml:space="preserve">Introduce stronger retrieval supervision and ranking objectives tied to clinician relevance judgments.</w:t>
      </w:r>
      <w:r/>
    </w:p>
    <w:p w14:paraId="0542089B">
      <w:pPr>
        <w:pStyle w:val="1128"/>
        <w:numPr>
          <w:ilvl w:val="0"/>
          <w:numId w:val="109"/>
        </w:numPr>
        <w:suppressLineNumbers w:val="false"/>
        <w:pBdr/>
        <w:spacing w:line="300" w:lineRule="auto"/>
        <w:ind/>
        <w:rPr/>
      </w:pPr>
      <w:r>
        <w:rPr>
          <w:highlight w:val="none"/>
        </w:rPr>
        <w:t xml:space="preserve">Evaluate calibration-aware abstention that jointly considers retrieval confidence, severity uncertainty, and safety triggers.</w:t>
      </w:r>
      <w:r/>
    </w:p>
    <w:p w14:paraId="146F6AEE">
      <w:pPr>
        <w:pStyle w:val="1128"/>
        <w:numPr>
          <w:ilvl w:val="0"/>
          <w:numId w:val="109"/>
        </w:numPr>
        <w:suppressLineNumbers w:val="false"/>
        <w:pBdr/>
        <w:spacing w:line="300" w:lineRule="auto"/>
        <w:ind/>
        <w:rPr/>
      </w:pPr>
      <w:r>
        <w:rPr>
          <w:highlight w:val="none"/>
        </w:rPr>
        <w:t xml:space="preserve">Extend from frame-level reasoning to temporally coherent sequence/procedure-level inference.</w:t>
      </w:r>
      <w:r/>
    </w:p>
    <w:p w14:paraId="7939D8D0">
      <w:pPr>
        <w:pStyle w:val="1128"/>
        <w:suppressLineNumbers w:val="false"/>
        <w:pBdr/>
        <w:spacing w:line="300" w:lineRule="auto"/>
        <w:ind w:firstLine="0"/>
        <w:rPr>
          <w:b/>
          <w:bCs/>
        </w:rPr>
      </w:pPr>
      <w:r>
        <w:rPr>
          <w:b/>
          <w:bCs/>
          <w:highlight w:val="none"/>
        </w:rPr>
        <w:t xml:space="preserve">6.</w:t>
      </w:r>
      <w:r>
        <w:rPr>
          <w:b/>
          <w:bCs/>
          <w:highlight w:val="none"/>
          <w:lang w:val="en-US"/>
        </w:rPr>
        <w:t xml:space="preserve">8</w:t>
      </w:r>
      <w:r>
        <w:rPr>
          <w:b/>
          <w:bCs/>
          <w:highlight w:val="none"/>
        </w:rPr>
        <w:t xml:space="preserve">.3 Long-term translational priorities</w:t>
      </w:r>
      <w:r>
        <w:rPr>
          <w:b/>
          <w:bCs/>
        </w:rPr>
      </w:r>
      <w:r>
        <w:rPr>
          <w:b/>
          <w:bCs/>
        </w:rPr>
      </w:r>
    </w:p>
    <w:p w14:paraId="125251FE">
      <w:pPr>
        <w:pStyle w:val="1128"/>
        <w:numPr>
          <w:ilvl w:val="0"/>
          <w:numId w:val="110"/>
        </w:numPr>
        <w:suppressLineNumbers w:val="false"/>
        <w:pBdr/>
        <w:spacing w:line="300" w:lineRule="auto"/>
        <w:ind/>
        <w:rPr/>
      </w:pPr>
      <w:r>
        <w:rPr>
          <w:highlight w:val="none"/>
        </w:rPr>
        <w:t xml:space="preserve">Conduct multi-center prospective validation under realistic institutional workflow constraints.</w:t>
      </w:r>
      <w:r/>
    </w:p>
    <w:p w14:paraId="67933E19">
      <w:pPr>
        <w:pStyle w:val="1128"/>
        <w:numPr>
          <w:ilvl w:val="0"/>
          <w:numId w:val="110"/>
        </w:numPr>
        <w:suppressLineNumbers w:val="false"/>
        <w:pBdr/>
        <w:spacing w:line="300" w:lineRule="auto"/>
        <w:ind/>
        <w:rPr/>
      </w:pPr>
      <w:r>
        <w:rPr>
          <w:highlight w:val="none"/>
        </w:rPr>
        <w:t xml:space="preserve">Evaluate clinician trust, workload, and explanation usability via structured human factors studies.</w:t>
      </w:r>
      <w:r/>
    </w:p>
    <w:p w14:paraId="306EE28B">
      <w:pPr>
        <w:pStyle w:val="1128"/>
        <w:numPr>
          <w:ilvl w:val="0"/>
          <w:numId w:val="110"/>
        </w:numPr>
        <w:suppressLineNumbers w:val="false"/>
        <w:pBdr/>
        <w:spacing w:line="300" w:lineRule="auto"/>
        <w:ind/>
        <w:rPr/>
      </w:pPr>
      <w:r>
        <w:rPr>
          <w:highlight w:val="none"/>
        </w:rPr>
        <w:t xml:space="preserve">Develop governance plans for drift detection, audit cadence, and safety-case maintenance.</w:t>
      </w:r>
      <w:r/>
    </w:p>
    <w:p w14:paraId="4B080E39">
      <w:pPr>
        <w:pStyle w:val="1128"/>
        <w:numPr>
          <w:ilvl w:val="0"/>
          <w:numId w:val="110"/>
        </w:numPr>
        <w:suppressLineNumbers w:val="false"/>
        <w:pBdr/>
        <w:spacing w:line="300" w:lineRule="auto"/>
        <w:ind/>
        <w:rPr/>
      </w:pPr>
      <w:r>
        <w:rPr>
          <w:highlight w:val="none"/>
        </w:rPr>
        <w:t xml:space="preserve">Progressively align the system with institutional/regulatory requirements for clinical decision support.</w:t>
      </w:r>
      <w:r/>
    </w:p>
    <w:p w14:paraId="1491D2DF">
      <w:pPr>
        <w:pStyle w:val="1128"/>
        <w:suppressLineNumbers w:val="false"/>
        <w:pBdr/>
        <w:spacing w:line="300" w:lineRule="auto"/>
        <w:ind w:firstLine="0"/>
        <w:rPr>
          <w:b/>
          <w:bCs/>
        </w:rPr>
      </w:pPr>
      <w:r>
        <w:rPr>
          <w:b/>
          <w:bCs/>
          <w:highlight w:val="none"/>
        </w:rPr>
        <w:t xml:space="preserve">6.</w:t>
      </w:r>
      <w:r>
        <w:rPr>
          <w:b/>
          <w:bCs/>
          <w:highlight w:val="none"/>
          <w:lang w:val="en-US"/>
        </w:rPr>
        <w:t xml:space="preserve">8</w:t>
      </w:r>
      <w:r>
        <w:rPr>
          <w:b/>
          <w:bCs/>
          <w:highlight w:val="none"/>
        </w:rPr>
        <w:t xml:space="preserve">.4 Suggested evaluation extensions</w:t>
      </w:r>
      <w:r>
        <w:rPr>
          <w:b/>
          <w:bCs/>
        </w:rPr>
      </w:r>
      <w:r>
        <w:rPr>
          <w:b/>
          <w:bCs/>
        </w:rPr>
      </w:r>
    </w:p>
    <w:p w14:paraId="5033381F">
      <w:pPr>
        <w:pStyle w:val="1128"/>
        <w:suppressLineNumbers w:val="false"/>
        <w:pBdr/>
        <w:spacing w:line="300" w:lineRule="auto"/>
        <w:ind w:firstLine="0"/>
        <w:rPr/>
      </w:pPr>
      <w:r>
        <w:rPr>
          <w:highlight w:val="none"/>
        </w:rPr>
        <w:t xml:space="preserve">To preserve dissertation-style rigor in future work, the following evaluation extensions are recommended:</w:t>
      </w:r>
      <w:r>
        <w:rPr>
          <w:highlight w:val="none"/>
        </w:rPr>
      </w:r>
      <w:r/>
    </w:p>
    <w:p w14:paraId="7CC96BD6">
      <w:pPr>
        <w:pStyle w:val="1128"/>
        <w:numPr>
          <w:ilvl w:val="0"/>
          <w:numId w:val="111"/>
        </w:numPr>
        <w:suppressLineNumbers w:val="false"/>
        <w:pBdr/>
        <w:spacing w:line="300" w:lineRule="auto"/>
        <w:ind/>
        <w:rPr/>
      </w:pPr>
      <w:r>
        <w:rPr>
          <w:highlight w:val="none"/>
        </w:rPr>
        <w:t xml:space="preserve">larger confidence-interval reporting with stratified subgroup analysis;</w:t>
      </w:r>
      <w:r/>
    </w:p>
    <w:p w14:paraId="1257D952">
      <w:pPr>
        <w:pStyle w:val="1128"/>
        <w:numPr>
          <w:ilvl w:val="0"/>
          <w:numId w:val="111"/>
        </w:numPr>
        <w:suppressLineNumbers w:val="false"/>
        <w:pBdr/>
        <w:spacing w:line="300" w:lineRule="auto"/>
        <w:ind/>
        <w:rPr/>
      </w:pPr>
      <w:r>
        <w:rPr>
          <w:highlight w:val="none"/>
        </w:rPr>
        <w:t xml:space="preserve">paired statistical testing in wrapper-level ablations where paired outputs are available;</w:t>
      </w:r>
      <w:r/>
    </w:p>
    <w:p w14:paraId="70D2F23C">
      <w:pPr>
        <w:pStyle w:val="1128"/>
        <w:numPr>
          <w:ilvl w:val="0"/>
          <w:numId w:val="111"/>
        </w:numPr>
        <w:suppressLineNumbers w:val="false"/>
        <w:pBdr/>
        <w:spacing w:line="300" w:lineRule="auto"/>
        <w:ind/>
        <w:rPr/>
      </w:pPr>
      <w:r>
        <w:rPr>
          <w:highlight w:val="none"/>
        </w:rPr>
        <w:t xml:space="preserve">explicit error-taxonomy tracking for safety-triggered refusals vs genuine low-evidence abstentions;</w:t>
      </w:r>
      <w:r/>
    </w:p>
    <w:p w14:paraId="3B919EB2">
      <w:pPr>
        <w:pStyle w:val="1128"/>
        <w:numPr>
          <w:ilvl w:val="0"/>
          <w:numId w:val="111"/>
        </w:numPr>
        <w:suppressLineNumbers w:val="false"/>
        <w:pBdr/>
        <w:spacing w:line="300" w:lineRule="auto"/>
        <w:ind/>
        <w:rPr/>
      </w:pPr>
      <w:r>
        <w:rPr>
          <w:highlight w:val="none"/>
        </w:rPr>
        <w:t xml:space="preserve">reporting templates that jointly present utility, safety, and uncertainty rather than utility-only metrics.</w:t>
      </w:r>
      <w:r/>
    </w:p>
    <w:p w14:paraId="6749E8E3">
      <w:pPr>
        <w:pStyle w:val="1128"/>
        <w:suppressLineNumbers w:val="false"/>
        <w:pBdr/>
        <w:spacing w:line="300" w:lineRule="auto"/>
        <w:ind w:firstLine="0"/>
        <w:rPr>
          <w:b/>
          <w:bCs/>
        </w:rPr>
      </w:pPr>
      <w:r>
        <w:rPr>
          <w:b/>
          <w:bCs/>
          <w:highlight w:val="none"/>
        </w:rPr>
        <w:t xml:space="preserve">6.</w:t>
      </w:r>
      <w:r>
        <w:rPr>
          <w:b/>
          <w:bCs/>
          <w:highlight w:val="none"/>
          <w:lang w:val="en-US"/>
        </w:rPr>
        <w:t xml:space="preserve">8</w:t>
      </w:r>
      <w:r>
        <w:rPr>
          <w:b/>
          <w:bCs/>
          <w:highlight w:val="none"/>
        </w:rPr>
        <w:t xml:space="preserve">.5 Recommended Program of Work</w:t>
      </w:r>
      <w:r>
        <w:rPr>
          <w:b/>
          <w:bCs/>
        </w:rPr>
      </w:r>
      <w:r>
        <w:rPr>
          <w:b/>
          <w:bCs/>
        </w:rPr>
      </w:r>
    </w:p>
    <w:p w14:paraId="06B78FD2">
      <w:pPr>
        <w:pStyle w:val="1128"/>
        <w:suppressLineNumbers w:val="false"/>
        <w:pBdr/>
        <w:spacing w:line="300" w:lineRule="auto"/>
        <w:ind w:firstLine="0"/>
        <w:rPr/>
      </w:pPr>
      <w:r>
        <w:rPr>
          <w:highlight w:val="none"/>
        </w:rPr>
        <w:t xml:space="preserve">A practical next program can be executed in three work packages:</w:t>
      </w:r>
      <w:r>
        <w:rPr>
          <w:highlight w:val="none"/>
        </w:rPr>
      </w:r>
      <w:r/>
    </w:p>
    <w:p w14:paraId="6EA33B13">
      <w:pPr>
        <w:pStyle w:val="1128"/>
        <w:numPr>
          <w:ilvl w:val="0"/>
          <w:numId w:val="112"/>
        </w:numPr>
        <w:suppressLineNumbers w:val="false"/>
        <w:pBdr/>
        <w:spacing w:line="300" w:lineRule="auto"/>
        <w:ind/>
        <w:rPr/>
      </w:pPr>
      <w:r>
        <w:rPr>
          <w:highlight w:val="none"/>
        </w:rPr>
        <w:t xml:space="preserve">Work Package A (Data and annotation): expand benchmark diversity, strengthen adjudication protocols, and publish agreement statistics.</w:t>
      </w:r>
      <w:r/>
    </w:p>
    <w:p w14:paraId="42098D9A">
      <w:pPr>
        <w:pStyle w:val="1128"/>
        <w:numPr>
          <w:ilvl w:val="0"/>
          <w:numId w:val="112"/>
        </w:numPr>
        <w:suppressLineNumbers w:val="false"/>
        <w:pBdr/>
        <w:spacing w:line="300" w:lineRule="auto"/>
        <w:ind/>
        <w:rPr/>
      </w:pPr>
      <w:r>
        <w:rPr>
          <w:highlight w:val="none"/>
        </w:rPr>
        <w:t xml:space="preserve">Work Package B (Model and retrieval): improve severity conditioning, retrieval ranking, and calibrated abstention with explicit safety thresholds.</w:t>
      </w:r>
      <w:r/>
    </w:p>
    <w:p w14:paraId="32149C3D">
      <w:pPr>
        <w:pStyle w:val="1128"/>
        <w:numPr>
          <w:ilvl w:val="0"/>
          <w:numId w:val="112"/>
        </w:numPr>
        <w:suppressLineNumbers w:val="false"/>
        <w:pBdr/>
        <w:spacing w:line="300" w:lineRule="auto"/>
        <w:ind/>
        <w:rPr/>
      </w:pPr>
      <w:r>
        <w:rPr>
          <w:highlight w:val="none"/>
        </w:rPr>
        <w:t xml:space="preserve">Work Package C (Human-in-the-loop evaluation): run structured clinician studies on usefulness, trust calibration, and failure recovery behavior.</w:t>
      </w:r>
      <w:r/>
    </w:p>
    <w:p w14:paraId="3F7B749E">
      <w:pPr>
        <w:pStyle w:val="1128"/>
        <w:suppressLineNumbers w:val="false"/>
        <w:pBdr/>
        <w:spacing w:line="300" w:lineRule="auto"/>
        <w:ind w:firstLine="0"/>
        <w:rPr/>
      </w:pPr>
      <w:r>
        <w:rPr>
          <w:highlight w:val="none"/>
        </w:rPr>
        <w:t xml:space="preserve">This package-based plan converts the future agenda into executable units suitable for grant, lab, or multi-institution collaboration.</w:t>
      </w:r>
      <w:r/>
    </w:p>
    <w:p w14:paraId="5B7B27AC">
      <w:pPr>
        <w:pStyle w:val="1128"/>
        <w:suppressLineNumbers w:val="false"/>
        <w:pBdr/>
        <w:spacing w:line="300" w:lineRule="auto"/>
        <w:ind w:firstLine="0"/>
        <w:rPr/>
      </w:pPr>
      <w:r>
        <w:rPr>
          <w:highlight w:val="none"/>
        </w:rPr>
      </w:r>
      <w:r/>
    </w:p>
    <w:p w14:paraId="5B9ED87F">
      <w:pPr>
        <w:pStyle w:val="1128"/>
        <w:suppressLineNumbers w:val="false"/>
        <w:pBdr/>
        <w:spacing w:line="300" w:lineRule="auto"/>
        <w:ind w:firstLine="0"/>
        <w:rPr>
          <w:b/>
          <w:bCs/>
          <w:sz w:val="28"/>
          <w:szCs w:val="28"/>
        </w:rPr>
      </w:pPr>
      <w:r>
        <w:rPr>
          <w:b/>
          <w:bCs/>
          <w:sz w:val="28"/>
          <w:szCs w:val="28"/>
          <w:highlight w:val="none"/>
        </w:rPr>
        <w:t xml:space="preserve">6.</w:t>
      </w:r>
      <w:r>
        <w:rPr>
          <w:b/>
          <w:bCs/>
          <w:sz w:val="28"/>
          <w:szCs w:val="28"/>
          <w:highlight w:val="none"/>
          <w:lang w:val="en-US"/>
        </w:rPr>
        <w:t xml:space="preserve">9</w:t>
      </w:r>
      <w:r>
        <w:rPr>
          <w:b/>
          <w:bCs/>
          <w:sz w:val="28"/>
          <w:szCs w:val="28"/>
          <w:highlight w:val="none"/>
        </w:rPr>
        <w:t xml:space="preserve"> Final Conclusion</w:t>
      </w:r>
      <w:r>
        <w:rPr>
          <w:b/>
          <w:bCs/>
          <w:sz w:val="28"/>
          <w:szCs w:val="28"/>
        </w:rPr>
      </w:r>
      <w:r>
        <w:rPr>
          <w:b/>
          <w:bCs/>
          <w:sz w:val="28"/>
          <w:szCs w:val="28"/>
        </w:rPr>
      </w:r>
    </w:p>
    <w:p w14:paraId="4B42B997">
      <w:pPr>
        <w:pStyle w:val="1128"/>
        <w:suppressLineNumbers w:val="false"/>
        <w:pBdr/>
        <w:spacing w:line="300" w:lineRule="auto"/>
        <w:ind w:firstLine="720"/>
        <w:rPr/>
      </w:pPr>
      <w:r>
        <w:rPr>
          <w:highlight w:val="none"/>
        </w:rPr>
        <w:t xml:space="preserve">T</w:t>
      </w:r>
      <w:r>
        <w:rPr>
          <w:highlight w:val="none"/>
        </w:rPr>
        <w:t xml:space="preserve">he dissertation demonstrates that progress toward clinically useful GI MedVQA is feasible when design is constrained, evidence-linked, and auditable. The key insight is not that generation should replace classical reliability anchors; it is that generation</w:t>
      </w:r>
      <w:r>
        <w:rPr>
          <w:highlight w:val="none"/>
        </w:rPr>
        <w:t xml:space="preserve"> becomes useful only when embedded inside explicit task boundaries, robust evaluation policy, and workflow-level safety controls.</w:t>
      </w:r>
      <w:r/>
    </w:p>
    <w:p w14:paraId="78B86CD0">
      <w:pPr>
        <w:pStyle w:val="1128"/>
        <w:suppressLineNumbers w:val="false"/>
        <w:pBdr/>
        <w:spacing w:line="300" w:lineRule="auto"/>
        <w:ind w:firstLine="0"/>
        <w:rPr/>
      </w:pPr>
      <w:r>
        <w:rPr>
          <w:highlight w:val="none"/>
        </w:rPr>
      </w:r>
      <w:r/>
    </w:p>
    <w:p w14:paraId="07446369">
      <w:pPr>
        <w:pStyle w:val="1128"/>
        <w:suppressLineNumbers w:val="false"/>
        <w:pBdr/>
        <w:spacing w:line="300" w:lineRule="auto"/>
        <w:ind w:firstLine="720"/>
        <w:rPr/>
      </w:pPr>
      <w:r>
        <w:rPr>
          <w:highlight w:val="none"/>
        </w:rPr>
        <w:t xml:space="preserve">I</w:t>
      </w:r>
      <w:r>
        <w:rPr>
          <w:highlight w:val="none"/>
        </w:rPr>
        <w:t xml:space="preserve">n practical terms, this thesis contributes a defensible translational path from benchmark-centric VQA to clinician-aware multimodal decision support. It delivers bounded empirical gains, transparent limitations, and a concrete future-work roadmap that can </w:t>
      </w:r>
      <w:r>
        <w:rPr>
          <w:highlight w:val="none"/>
        </w:rPr>
        <w:t xml:space="preserve">be executed without relaxing claim discipline.</w:t>
      </w:r>
      <w:r/>
    </w:p>
    <w:p w14:paraId="712C4F1D">
      <w:pPr>
        <w:pStyle w:val="1128"/>
        <w:suppressLineNumbers w:val="false"/>
        <w:pBdr/>
        <w:spacing w:line="300" w:lineRule="auto"/>
        <w:ind w:firstLine="0"/>
        <w:rPr/>
      </w:pPr>
      <w:r>
        <w:rPr>
          <w:highlight w:val="none"/>
        </w:rPr>
      </w:r>
      <w:r/>
    </w:p>
    <w:p w14:paraId="4EA1F2A0">
      <w:pPr>
        <w:pStyle w:val="1128"/>
        <w:suppressLineNumbers w:val="false"/>
        <w:pBdr/>
        <w:spacing w:line="300" w:lineRule="auto"/>
        <w:ind w:firstLine="720"/>
        <w:rPr/>
      </w:pPr>
      <w:r>
        <w:rPr>
          <w:highlight w:val="none"/>
        </w:rPr>
        <w:t xml:space="preserve">T</w:t>
      </w:r>
      <w:r>
        <w:rPr>
          <w:highlight w:val="none"/>
        </w:rPr>
        <w:t xml:space="preserve">he final implication for future researchers is methodological: in high-stakes multimodal AI, reliability should be treated as a systems property. Model architecture, data regime, prompt/policy constraints, retrieval behavior, and escalation logic must be e</w:t>
      </w:r>
      <w:r>
        <w:rPr>
          <w:highlight w:val="none"/>
        </w:rPr>
        <w:t xml:space="preserve">valuated together. This dissertation provides a starting blueprint for that integrated evaluation approach in GI-endoscopy MedVQA and UC severity-oriented clinical reasoning support.</w:t>
      </w:r>
      <w:r>
        <w:rPr>
          <w:highlight w:val="none"/>
        </w:rPr>
      </w:r>
      <w:r/>
    </w:p>
    <w:p w14:paraId="75275F06" w14:textId="4DA30691">
      <w:pPr>
        <w:pStyle w:val="1136"/>
        <w:suppressLineNumbers w:val="false"/>
        <w:pBdr/>
        <w:spacing w:line="300" w:lineRule="auto"/>
        <w:ind/>
        <w:rPr/>
      </w:pPr>
      <w:r>
        <w:rPr>
          <w:lang w:val="en-US"/>
        </w:rPr>
        <w:t xml:space="preserve">References</w:t>
      </w:r>
      <w:r/>
    </w:p>
    <w:p w14:paraId="4B5E8052">
      <w:pPr>
        <w:pStyle w:val="1128"/>
        <w:pBdr/>
        <w:spacing/>
        <w:ind/>
        <w:rPr/>
      </w:pPr>
      <w:r/>
      <w:r/>
    </w:p>
    <w:p w14:paraId="45006946">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1. Ben Abacha A, Hasan SA, Datla V, et al. 2019. "VQA-Med: Overview of the Medical Visual Question Answering Task at ImageCLEF 2019." CEUR Workshop Proceedings Vol-2380. https://ceur-ws.org/Vol-2380/paper_78.pdf.</w:t>
      </w:r>
      <w:r/>
    </w:p>
    <w:p w14:paraId="111EA5D9">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2. Borgli H, Thambawita V, Smedsrud PH, et al. 2020. "HyperKvasir, a comprehensive multi-class image and video dataset for gastrointestinal endoscopy." Scientific Data. https://doi.org/10.1038/s41597-020-00622-y.</w:t>
      </w:r>
      <w:r/>
    </w:p>
    <w:p w14:paraId="48B60639">
      <w:pPr>
        <w:suppressLineNumbers w:val="false"/>
        <w:pBdr/>
        <w:spacing w:after="240" w:afterAutospacing="0" w:before="240" w:beforeAutospacing="0" w:line="300" w:lineRule="auto"/>
        <w:ind w:firstLine="0" w:left="720"/>
        <w:rPr/>
      </w:pPr>
      <w:r>
        <w:rPr>
          <w:rFonts w:ascii="Arial" w:hAnsi="Arial" w:cs="Arial"/>
          <w:sz w:val="22"/>
          <w:szCs w:val="22"/>
          <w:highlight w:val="none"/>
        </w:rPr>
      </w:r>
      <w:r>
        <w:rPr>
          <w:rFonts w:ascii="Arial" w:hAnsi="Arial" w:cs="Arial"/>
          <w:sz w:val="22"/>
          <w:szCs w:val="22"/>
          <w:highlight w:val="none"/>
        </w:rPr>
        <w:t xml:space="preserve">3. Liu B, Zhan LM, Xu L, Ma L, Yang Y, Wu XM. 2021. "SLAKE: A Semantically-Labeled Knowledge-Enhanced Dataset for Medical Visual Question Answering." In 2021 IEEE 18th International Symposium on Biomedical Imaging (ISBI), pp. 1650-1654. IEEE. https://doi.or</w:t>
      </w:r>
      <w:r>
        <w:rPr>
          <w:rFonts w:ascii="Arial" w:hAnsi="Arial" w:cs="Arial"/>
          <w:sz w:val="22"/>
          <w:szCs w:val="22"/>
          <w:highlight w:val="none"/>
        </w:rPr>
        <w:t xml:space="preserve">g/10.1109/ISBI48211.2021.9434010.</w:t>
      </w:r>
      <w:r>
        <w:rPr>
          <w:rFonts w:ascii="Arial" w:hAnsi="Arial" w:cs="Arial"/>
          <w:sz w:val="22"/>
          <w:szCs w:val="22"/>
          <w:highlight w:val="none"/>
        </w:rPr>
      </w:r>
      <w:r/>
    </w:p>
    <w:p w14:paraId="38EA3BEA">
      <w:pPr>
        <w:suppressLineNumbers w:val="false"/>
        <w:pBdr/>
        <w:spacing w:after="240" w:afterAutospacing="0" w:before="240" w:beforeAutospacing="0" w:line="300" w:lineRule="auto"/>
        <w:ind w:firstLine="0" w:left="720"/>
        <w:rPr>
          <w:rFonts w:ascii="Arial" w:hAnsi="Arial" w:cs="Arial"/>
          <w:sz w:val="22"/>
          <w:szCs w:val="22"/>
          <w:highlight w:val="none"/>
        </w:rPr>
      </w:pPr>
      <w:r>
        <w:rPr>
          <w:rFonts w:ascii="Arial" w:hAnsi="Arial" w:cs="Arial"/>
          <w:sz w:val="22"/>
          <w:szCs w:val="22"/>
          <w:highlight w:val="none"/>
        </w:rPr>
        <w:t xml:space="preserve">4. Dong W, Shen S, Han Y, et al. 2025. "Generative Models in Medical Visual Question Answering: A Survey." Applied Sciences. </w:t>
      </w:r>
      <w:hyperlink r:id="rId32" w:tooltip="https://doi.org/10.3390/app15062983." w:history="1">
        <w:r>
          <w:rPr>
            <w:rStyle w:val="1143"/>
            <w:rFonts w:ascii="Arial" w:hAnsi="Arial" w:cs="Arial"/>
            <w:sz w:val="22"/>
            <w:szCs w:val="22"/>
            <w:highlight w:val="none"/>
          </w:rPr>
          <w:t xml:space="preserve">https://doi.org/10.3390/app15062983.</w:t>
        </w:r>
        <w:r>
          <w:rPr>
            <w:rStyle w:val="1143"/>
          </w:rPr>
        </w:r>
        <w:r>
          <w:rPr>
            <w:rStyle w:val="1143"/>
            <w:rFonts w:ascii="Arial" w:hAnsi="Arial" w:cs="Arial"/>
            <w:sz w:val="22"/>
            <w:szCs w:val="22"/>
            <w:highlight w:val="none"/>
          </w:rPr>
        </w:r>
        <w:r>
          <w:rPr>
            <w:rStyle w:val="1143"/>
            <w:rFonts w:ascii="Arial" w:hAnsi="Arial" w:cs="Arial"/>
            <w:sz w:val="22"/>
            <w:szCs w:val="22"/>
            <w:highlight w:val="none"/>
          </w:rPr>
        </w:r>
        <w:r>
          <w:rPr>
            <w:rStyle w:val="1143"/>
            <w:rFonts w:ascii="Arial" w:hAnsi="Arial" w:cs="Arial"/>
            <w:sz w:val="22"/>
            <w:szCs w:val="22"/>
            <w:highlight w:val="none"/>
          </w:rPr>
        </w:r>
      </w:hyperlink>
      <w:r>
        <w:rPr>
          <w:rFonts w:ascii="Arial" w:hAnsi="Arial" w:cs="Arial"/>
          <w:sz w:val="22"/>
          <w:szCs w:val="22"/>
          <w:highlight w:val="none"/>
        </w:rPr>
      </w:r>
      <w:r>
        <w:rPr>
          <w:rFonts w:ascii="Arial" w:hAnsi="Arial" w:cs="Arial"/>
          <w:sz w:val="22"/>
          <w:szCs w:val="22"/>
          <w:highlight w:val="none"/>
        </w:rPr>
      </w:r>
    </w:p>
    <w:p w14:paraId="35841A2A">
      <w:pPr>
        <w:suppressLineNumbers w:val="false"/>
        <w:pBdr/>
        <w:spacing w:after="240" w:afterAutospacing="0" w:before="240" w:beforeAutospacing="0" w:line="300" w:lineRule="auto"/>
        <w:ind w:firstLine="0" w:left="720"/>
        <w:rPr>
          <w:rFonts w:ascii="Arial" w:hAnsi="Arial" w:cs="Arial"/>
          <w:sz w:val="22"/>
          <w:szCs w:val="22"/>
          <w:highlight w:val="none"/>
        </w:rPr>
      </w:pPr>
      <w:r>
        <w:rPr>
          <w:rFonts w:ascii="Arial" w:hAnsi="Arial" w:cs="Arial"/>
          <w:sz w:val="22"/>
          <w:szCs w:val="22"/>
          <w:highlight w:val="none"/>
        </w:rPr>
      </w:r>
      <w:r>
        <w:rPr>
          <w:rFonts w:ascii="Arial" w:hAnsi="Arial" w:cs="Arial"/>
          <w:sz w:val="22"/>
          <w:szCs w:val="22"/>
          <w:highlight w:val="none"/>
        </w:rPr>
        <w:t xml:space="preserve">5. Gautam S, Riegler MA, Halvorsen P. 2025. "Kvasir-VQA-x1: A Multimodal Dataset for Medical Reasoning and Robust MedVQA in Gastrointestinal Endoscopy." arXiv:2506.09958. https://arxiv.org/abs/2506.09958.</w:t>
      </w:r>
      <w:r>
        <w:rPr>
          <w:rFonts w:ascii="Arial" w:hAnsi="Arial" w:cs="Arial"/>
          <w:sz w:val="22"/>
          <w:szCs w:val="22"/>
          <w:highlight w:val="none"/>
        </w:rPr>
      </w:r>
      <w:r>
        <w:rPr>
          <w:rFonts w:ascii="Arial" w:hAnsi="Arial" w:cs="Arial"/>
          <w:sz w:val="22"/>
          <w:szCs w:val="22"/>
          <w:highlight w:val="none"/>
        </w:rPr>
      </w:r>
    </w:p>
    <w:p w14:paraId="36433FEE">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6. Gautam S, Riegler MOD, Sivertsen KD, Halvorsen P. 2025. "CLoE: Improving Endoscopic Severity Rating Through Curriculum Learning in Vision Language Models." arXiv:2508.13280. https://arxiv.org/abs/2508.13280.</w:t>
      </w:r>
      <w:r/>
    </w:p>
    <w:p w14:paraId="1C923364">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7. Gautam S, Storas A, Midoglu C, et al. 2024. "Kvasir-VQA: A Text-Image Pair GI Tract Dataset." arXiv:2409.01437. https://arxiv.org/abs/2409.01437.</w:t>
      </w:r>
      <w:r/>
    </w:p>
    <w:p w14:paraId="7FA7CAAA">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8. Gautam S, Thambawita V, Riegler M, Halvorsen P, Hicks S. 2025. "Medico 2025: Visual Question Answering for Gastrointestinal Imaging." arXiv:2508.10869. https://arxiv.org/abs/2508.10869.</w:t>
      </w:r>
      <w:r/>
    </w:p>
    <w:p w14:paraId="67C9C609">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9</w:t>
      </w:r>
      <w:r>
        <w:rPr>
          <w:rFonts w:ascii="Arial" w:hAnsi="Arial" w:cs="Arial"/>
          <w:sz w:val="22"/>
          <w:szCs w:val="22"/>
          <w:highlight w:val="none"/>
        </w:rPr>
        <w:t xml:space="preserve">. Hashash JG, Farraye FA, Wang Y, et al. 2024. "Inter- and Intraobserver Variability on Endoscopic Scoring Systems in Crohn's Disease and Ulcerative Colitis: A Systematic Review and Meta-Analysis." Inflammatory Bowel Diseases. https://pubmed.ncbi.nlm.nih.g</w:t>
      </w:r>
      <w:r>
        <w:rPr>
          <w:rFonts w:ascii="Arial" w:hAnsi="Arial" w:cs="Arial"/>
          <w:sz w:val="22"/>
          <w:szCs w:val="22"/>
          <w:highlight w:val="none"/>
        </w:rPr>
        <w:t xml:space="preserve">ov/38547325/.</w:t>
      </w:r>
      <w:r/>
    </w:p>
    <w:p w14:paraId="04058E38">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10. He X, Zhang Y, Mou L, et al. 2020. "PathVQA: 30000+ Questions for Medical Visual Question Answering." arXiv:2003.10286. https://arxiv.org/abs/2003.10286.</w:t>
      </w:r>
      <w:r/>
    </w:p>
    <w:p w14:paraId="56BFFD6A">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11. Hicks SA, Strumke I, Thambawita V, et al. 2022. "On evaluation metrics for medical applications of artificial intelligence." Scientific Reports. https://www.nature.com/articles/s41598-022-09954-8.</w:t>
      </w:r>
      <w:r/>
    </w:p>
    <w:p w14:paraId="4BF36932">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12. Hu Y, Li T, Lu Q, et al. 2024. "OmniMedVQA: A New Large-Scale Comprehensive Evaluation Benchmark for Medical LVLM." arXiv:2402.09181. https://arxiv.org/abs/2402.09181.</w:t>
      </w:r>
      <w:r/>
    </w:p>
    <w:p w14:paraId="3EE77347">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13. Huang X, Wang N, Liu H, Tang X, Zhou Y. 2025. "MedVLSynther: Synthesizing High-Quality Visual Question Answering from Medical Documents with Generator-Verifier LMMs." arXiv:2510.25867. https://arxiv.org/abs/2510.25867.</w:t>
      </w:r>
      <w:r/>
    </w:p>
    <w:p w14:paraId="611CE828">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14. ImageCLEF. 2023. "ImageCLEFmed MEDVQA-GI 2023 task page." https://www.imageclef.org/2023/medical/vqa.</w:t>
      </w:r>
      <w:r/>
    </w:p>
    <w:p w14:paraId="7E95A242">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15. ImageCLEF. 2024. "ImageCLEFmed VQA 2024 Task Page." https://www.imageclef.org/2024/medical/vqa.</w:t>
      </w:r>
      <w:r/>
    </w:p>
    <w:p w14:paraId="523F0B9B">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16. ImageCLEF. 2025. "ImageCLEFmed MEDVQA 2025 task page." https://www.imageclef.org/2025/medical/vqa.</w:t>
      </w:r>
      <w:r/>
    </w:p>
    <w:p w14:paraId="34692831">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17. Jiang S, Wang Y, Song S, et al. 2025. "OmniV-Med: Scaling Medical Vision-Language Model for Universal Visual Understanding." arXiv:2504.14692. https://arxiv.org/abs/2504.14692.</w:t>
      </w:r>
      <w:r/>
    </w:p>
    <w:p w14:paraId="79B5CF3F">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18. Karim AHMR, Uzuner O. 2025. "MasonNLP at MEDIQA-WV 2025: Multimodal Retrieval-Augmented Generation with Large Language Models for Medical VQA." ClinicalNLP. https://aclanthology.org/2025.clinicalnlp-1.10/.</w:t>
      </w:r>
      <w:r/>
    </w:p>
    <w:p w14:paraId="15C90FB0">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19. Lau JYC, Gayen S, Ben Abacha A, et al. 2018. "A dataset of clinically generated visual questions and answers about radiology images." Scientific Data. https://www.nature.com/articles/sdata2018251.</w:t>
      </w:r>
      <w:r/>
    </w:p>
    <w:p w14:paraId="3B15E3AE">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20. Lee J, Yoon W, Kim S, et al. 2019. "BioBERT: a pre-trained biomedical language representation model for biomedical text mining." arXiv:1901.08746. https://arxiv.org/abs/1901.08746.</w:t>
      </w:r>
      <w:r/>
    </w:p>
    <w:p w14:paraId="79B2E09C">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21. Li C, Wong C, Zhang S, et al. 2023. "LLaVA-Med: Training a Large Language-and-Vision Assistant for Biomedicine in One Day." arXiv:2306.00890. https://arxiv.org/abs/2306.00890.</w:t>
      </w:r>
      <w:r/>
    </w:p>
    <w:p w14:paraId="43994935">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22. Li J, Li D, Savarese S, Hoi SCH. 2023. "BLIP-2: Bootstrapping Language-Image Pre-training with Frozen Image Encoders and Large Language Models." arXiv:2301.12597. https://arxiv.org/abs/2301.12597.</w:t>
      </w:r>
      <w:r/>
    </w:p>
    <w:p w14:paraId="084ED064">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23. Li R, Liu L, Xie Q, et al. 2025. "Towards Medical Visual Question Answering with Large Multimodal Models." arXiv:2501.07109. https://arxiv.org/abs/2501.07109.</w:t>
      </w:r>
      <w:r/>
    </w:p>
    <w:p w14:paraId="74BB4C7E">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2</w:t>
      </w:r>
      <w:r>
        <w:rPr>
          <w:rFonts w:ascii="Arial" w:hAnsi="Arial" w:cs="Arial"/>
          <w:sz w:val="22"/>
          <w:szCs w:val="22"/>
          <w:highlight w:val="none"/>
        </w:rPr>
        <w:t xml:space="preserve">4. Lim DYZ, Basha A, Ku A, et al. 2025. "Vision-language large learning model, GPT4V, outperforms machine learning and deep learning methods in grading bowel preparation quality in outpatient colonoscopies." BMJ Open Gastroenterology 12:e001496. https://pm</w:t>
      </w:r>
      <w:r>
        <w:rPr>
          <w:rFonts w:ascii="Arial" w:hAnsi="Arial" w:cs="Arial"/>
          <w:sz w:val="22"/>
          <w:szCs w:val="22"/>
          <w:highlight w:val="none"/>
        </w:rPr>
        <w:t xml:space="preserve">c.ncbi.nlm.nih.gov/articles/PMC11911458/.</w:t>
      </w:r>
      <w:r/>
    </w:p>
    <w:p w14:paraId="3F678887">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25. Lin S, Kryściński W, Wu D, et al. 2021. "Medical Visual Question Answering: A Survey." arXiv:2111.10056. https://arxiv.org/abs/2111.10056.</w:t>
      </w:r>
      <w:r/>
    </w:p>
    <w:p w14:paraId="5F754C29">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26. Lin Z, Zhang D, Tao Q, et al. 2023. "Medical visual question answering: A survey." Artificial Intelligence in Medicine. https://doi.org/10.1016/j.artmed.2023.102611.</w:t>
      </w:r>
      <w:r/>
    </w:p>
    <w:p w14:paraId="011AFEC2">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27. Liu B, Zhan L, Xu L, et al. 2021. "SLAKE: A semantically-labeled knowledge-enhanced dataset for medical visual question answering." arXiv:2102.09542. https://arxiv.org/abs/2102.09542.</w:t>
      </w:r>
      <w:r/>
    </w:p>
    <w:p w14:paraId="64A91A75">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28. Liu H, Li C, Wu Q, Lee YJ. 2023. "Visual Instruction Tuning (LLaVA)." arXiv:2304.08485. https://arxiv.org/abs/2304.08485.</w:t>
      </w:r>
      <w:r/>
    </w:p>
    <w:p w14:paraId="7B1AE53D">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29. Lu J, Batra D, Parikh D, Lee S. 2019. "ViLBERT: Pretraining Task-Agnostic Visiolinguistic Representations for Vision-and-Language Tasks." arXiv:1908.02265. https://arxiv.org/abs/1908.02265.</w:t>
      </w:r>
      <w:r/>
    </w:p>
    <w:p w14:paraId="1600BB13">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30. Luo R, Sun L, Xia Y, et al. 2022. "BioGPT: Generative Pre-trained Transformer for Biomedical Text Generation and Mining." arXiv:2210.10341. https://arxiv.org/abs/2210.10341.</w:t>
      </w:r>
      <w:r/>
    </w:p>
    <w:p w14:paraId="202B269A">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31. MediaEval. 2025. "Medico 2025 task page: VQA with multimodal explanations for GI imaging." https://multimediaeval.github.io/editions/2025/tasks/medico/.</w:t>
      </w:r>
      <w:r/>
    </w:p>
    <w:p w14:paraId="5C6ACAD4">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32. Moor M, Huang Q, Wu S, et al. 2023. "Med-Flamingo: a Multimodal Medical Few-shot Learner." arXiv:2307.15189. https://arxiv.org/abs/2307.15189.</w:t>
      </w:r>
      <w:r/>
    </w:p>
    <w:p w14:paraId="75B79713">
      <w:pPr>
        <w:suppressLineNumbers w:val="false"/>
        <w:pBdr/>
        <w:spacing w:after="240" w:afterAutospacing="0" w:before="240" w:beforeAutospacing="0" w:line="300" w:lineRule="auto"/>
        <w:ind w:firstLine="0" w:left="720"/>
        <w:rPr/>
      </w:pPr>
      <w:r>
        <w:rPr>
          <w:rFonts w:ascii="Arial" w:hAnsi="Arial" w:cs="Arial"/>
          <w:sz w:val="22"/>
          <w:szCs w:val="22"/>
          <w:highlight w:val="none"/>
        </w:rPr>
      </w:r>
      <w:r>
        <w:rPr>
          <w:rFonts w:ascii="Arial" w:hAnsi="Arial" w:cs="Arial"/>
          <w:sz w:val="22"/>
          <w:szCs w:val="22"/>
          <w:highlight w:val="none"/>
        </w:rPr>
        <w:t xml:space="preserve">33. Radford A, Kim JW, Hallacy C, et al. 2021. "Learning Transferable Visual Models From Natural Language Supervision." arXiv:2103.00020. https://arxiv.org/abs/2103.00020.</w:t>
      </w:r>
      <w:r>
        <w:rPr>
          <w:rFonts w:ascii="Arial" w:hAnsi="Arial" w:cs="Arial"/>
          <w:sz w:val="22"/>
          <w:szCs w:val="22"/>
          <w:highlight w:val="none"/>
        </w:rPr>
      </w:r>
      <w:r/>
    </w:p>
    <w:p w14:paraId="5305BFF5">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34. Murino A, Rimondi A. 2023. "Automated artificial intelligence scoring systems for the endoscopic assessment of ulcerative colitis: How far are we from clinical application?" Gastrointestinal Endoscopy. https://pubmed.ncbi.nlm.nih.gov/36509572/.</w:t>
      </w:r>
      <w:r/>
    </w:p>
    <w:p w14:paraId="3DF4DD36">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35. Murtaza N, Munsif S, Cuadros M, et al. 2023. "Overview of ImageCLEFmedical 2023 - Medical Visual Question Answering for Gastrointestinal Tract." CEUR-WS Vol-3497. https://ceur-ws.org/Vol-3497/paper-107.pdf.</w:t>
      </w:r>
      <w:r/>
    </w:p>
    <w:p w14:paraId="4088F35C">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36. Nguyen H-D, Dang M-A, Le M-T, Le M-T. 2025. "MedXplain-VQA: Multi-Component Explainable Medical Visual Question Answering." arXiv:2510.22803. https://arxiv.org/abs/2510.22803.</w:t>
      </w:r>
      <w:r/>
    </w:p>
    <w:p w14:paraId="0A88FFEF">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3</w:t>
      </w:r>
      <w:r>
        <w:rPr>
          <w:rFonts w:ascii="Arial" w:hAnsi="Arial" w:cs="Arial"/>
          <w:sz w:val="22"/>
          <w:szCs w:val="22"/>
          <w:highlight w:val="none"/>
        </w:rPr>
        <w:t xml:space="preserve">7. Ozawa T, Ishihara S, Fujishiro M, et al. 2020. "Novel Computer-Aided Diagnosis System for Endoscopic Disease Activity in Patients with Ulcerative Colitis." Gastroenterology 158(8):2150-2157.e3. https://www.gastrojournal.org/article/S0016-5085%2820%29302</w:t>
      </w:r>
      <w:r>
        <w:rPr>
          <w:rFonts w:ascii="Arial" w:hAnsi="Arial" w:cs="Arial"/>
          <w:sz w:val="22"/>
          <w:szCs w:val="22"/>
          <w:highlight w:val="none"/>
        </w:rPr>
        <w:t xml:space="preserve">12-2/fulltext.</w:t>
      </w:r>
      <w:r/>
    </w:p>
    <w:p w14:paraId="2C66DBCC">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38. Polat G, Kani HT, Ergenc I, et al. 2022. "Labeled Images for Ulcerative Colitis (LIMUC) Dataset." Zenodo. https://zenodo.org/records/5827695. Secondary resource: https://github.com/wanghaining/ulcerative_colitis.</w:t>
      </w:r>
      <w:r/>
    </w:p>
    <w:p w14:paraId="6E0BE691">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39. Radford A, Kim JW, Hallacy C, et al. 2021. "Learning Transferable Visual Models From Natural Language Supervision (CLIP)." arXiv:2103.00020. https://arxiv.org/abs/2103.00020.</w:t>
      </w:r>
      <w:r/>
    </w:p>
    <w:p w14:paraId="4FF0571B">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40. RAG-VQA-Medical Repository. n.d. "Prototyping_reformat/DatasetAnalysis/HyperKvasir/HyperKvasir.md." Internal repository artifact.</w:t>
      </w:r>
      <w:r/>
    </w:p>
    <w:p w14:paraId="3F6A683D">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41. RAG-VQA-Medical Repository. n.d. "Prototyping_reformat/DatasetAnalysis/ImageCLEF_MEDVQA_GI_2023/ImageCLEF_MEDVQA_GI_2023.md." Internal repository artifact.</w:t>
      </w:r>
      <w:r/>
    </w:p>
    <w:p w14:paraId="4458D969">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42. RAG-VQA-Medical Repository. n.d. "Prototyping_reformat/DatasetAnalysis/Kvasir_SEG/Kvasir_SEG.md." Internal repository artifact.</w:t>
      </w:r>
      <w:r/>
    </w:p>
    <w:p w14:paraId="2352B7B0">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43. RAG-VQA-Medical Repository. n.d. "Prototyping_reformat/DatasetAnalysis/Kvasir_VQA/0_dataset_prep/out/visualizations/answer_type_counts.csv." Internal repository artifact.</w:t>
      </w:r>
      <w:r/>
    </w:p>
    <w:p w14:paraId="0119FBCC">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44. RAG-VQA-Medical Repository. n.d. "Prototyping_reformat/DatasetAnalysis/Kvasir_VQA/0_dataset_prep/out/visualizations/qa_by_source.csv." Internal repository artifact.</w:t>
      </w:r>
      <w:r/>
    </w:p>
    <w:p w14:paraId="7DB6E1BF">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45. RAG-VQA-Medical Repository. n.d. "Prototyping_reformat/DatasetAnalysis/Kvasir_VQA/0_dataset_prep/out/visualizations/question_type_counts.csv." Internal repository artifact.</w:t>
      </w:r>
      <w:r/>
    </w:p>
    <w:p w14:paraId="35956C92">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46. RAG-VQA-Medical Repository. n.d. "Prototyping_reformat/DatasetAnalysis/Kvasir_VQA/evaluation_comparison/phase3_results/summary_uc_phase3.csv." Internal repository artifact.</w:t>
      </w:r>
      <w:r/>
    </w:p>
    <w:p w14:paraId="1D9D34AB">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47. RAG-VQA-Medical Repository. n.d. "Prototyping_reformat/DatasetAnalysis/Kvasir_VQA/evaluation_comparison/scenarios/scenarios.yaml." Internal repository artifact.</w:t>
      </w:r>
      <w:r/>
    </w:p>
    <w:p w14:paraId="2F0CF90E">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48. RAG-VQA-Medical Repository. n.d. "Prototyping_reformat/DatasetAnalysis/Kvasir_VQA/Kvasir_VQA.md." Internal repository artifact.</w:t>
      </w:r>
      <w:r/>
    </w:p>
    <w:p w14:paraId="5DFF12DE">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49. RAG-VQA-Medical Repository. n.d. "Prototyping_reformat/DatasetAnalysis/Kvasir_VQA_x1/Kvasir_VQA_x1.md." Internal repository artifact.</w:t>
      </w:r>
      <w:r/>
    </w:p>
    <w:p w14:paraId="4A002C71">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50. RAG-VQA-Medical Repository. n.d. "Prototyping_reformat/DatasetAnalysis/LIMUC/LIMUC.md." Internal repository artifact.</w:t>
      </w:r>
      <w:r/>
    </w:p>
    <w:p w14:paraId="4A6AD0BB">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51. Rieff M, Varma M, Rabow O, et al. 2025. "SMMILE: An Expert-Driven Benchmark for Multimodal Medical In-Context Learning." arXiv:2506.21355. https://arxiv.org/abs/2506.21355.</w:t>
      </w:r>
      <w:r/>
    </w:p>
    <w:p w14:paraId="43078E86">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52. Safwan I, Shaikh MA, Haaris M, Khan R, Tahir MA. 2025. "Multi-Task Learning for Visually Grounded Reasoning in Gastrointestinal VQA." arXiv:2511.04384. https://arxiv.org/abs/2511.04384.</w:t>
      </w:r>
      <w:r/>
    </w:p>
    <w:p w14:paraId="12129A36">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53. Sial M, Fatima M, Nawaz K, et al. 2025. "Path-RAG: Knowledge-Based Explainable Medical VQA with Large Language Models." Proceedings of Machine Learning Research 259. https://proceedings.mlr.press/v259/sial25a.html.</w:t>
      </w:r>
      <w:r/>
    </w:p>
    <w:p w14:paraId="4DC49A39">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54. Simula Datasets. n.d. "Kvasir-VQA dataset page." https://datasets.simula.no/kvasir-vqa/.</w:t>
      </w:r>
      <w:r/>
    </w:p>
    <w:p w14:paraId="35EE6FD4">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55. Simula. 2024. "ImageCLEFmed-MEDVQA-GI-2024 repository." https://github.com/simula/ImageCLEFmed-MEDVQA-GI-2024.</w:t>
      </w:r>
      <w:r/>
    </w:p>
    <w:p w14:paraId="44775778">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56. Simula. n.d. "Kvasir-VQA-x1 GitHub repository." https://github.com/simula/Kvasir-VQA-x1.</w:t>
      </w:r>
      <w:r/>
    </w:p>
    <w:p w14:paraId="536F6045">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57. Smedsrud PH, Thambawita V, Hicks SA, et al. 2021. "Kvasir-Capsule, a video capsule endoscopy dataset." Scientific Data. https://www.nature.com/articles/s41597-021-00920-z.</w:t>
      </w:r>
      <w:r/>
    </w:p>
    <w:p w14:paraId="2B378778">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5</w:t>
      </w:r>
      <w:r>
        <w:rPr>
          <w:rFonts w:ascii="Arial" w:hAnsi="Arial" w:cs="Arial"/>
          <w:sz w:val="22"/>
          <w:szCs w:val="22"/>
          <w:highlight w:val="none"/>
        </w:rPr>
        <w:t xml:space="preserve">8. Stidham RW, Liu W, Bishu S, et al. 2019. "Performance of a Deep Learning Model vs Human Reviewers in Grading Endoscopic Disease Severity of Patients With Ulcerative Colitis." JAMA Network Open 2(5):e193963. https://jamanetwork.com/journals/jamanetworkop</w:t>
      </w:r>
      <w:r>
        <w:rPr>
          <w:rFonts w:ascii="Arial" w:hAnsi="Arial" w:cs="Arial"/>
          <w:sz w:val="22"/>
          <w:szCs w:val="22"/>
          <w:highlight w:val="none"/>
        </w:rPr>
        <w:t xml:space="preserve">en/fullarticle/2733432.</w:t>
      </w:r>
      <w:r/>
    </w:p>
    <w:p w14:paraId="049476F9">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5</w:t>
      </w:r>
      <w:r>
        <w:rPr>
          <w:rFonts w:ascii="Arial" w:hAnsi="Arial" w:cs="Arial"/>
          <w:sz w:val="22"/>
          <w:szCs w:val="22"/>
          <w:highlight w:val="none"/>
        </w:rPr>
        <w:t xml:space="preserve">9. Takenaka K, Ohtsuka K, Fujii T, et al. 2023. "Development and Validation of a Deep Neural Network for Accurate Evaluation of Endoscopic Images From Patients With Ulcerative Colitis." Journal of Crohn's and Colitis 17(4):463-472. https://academic.oup.com</w:t>
      </w:r>
      <w:r>
        <w:rPr>
          <w:rFonts w:ascii="Arial" w:hAnsi="Arial" w:cs="Arial"/>
          <w:sz w:val="22"/>
          <w:szCs w:val="22"/>
          <w:highlight w:val="none"/>
        </w:rPr>
        <w:t xml:space="preserve">/ecco-jcc/article/17/4/463/6762568.</w:t>
      </w:r>
      <w:r/>
    </w:p>
    <w:p w14:paraId="5512EAF5">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60. Tan H, Bansal M. 2019. "LXMERT: Learning Cross-Modality Encoder Representations from Transformers." arXiv:1908.07490. https://arxiv.org/abs/1908.07490.</w:t>
      </w:r>
      <w:r/>
    </w:p>
    <w:p w14:paraId="6C6CBE7B">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61. Yan Q, He X, Yue X, Wang XE. 2024. "Worse than Random? An Embarrassingly Simple Probing Evaluation of Large Multimodal Models in Medical VQA." arXiv:2405.20421. https://arxiv.org/abs/2405.20421.</w:t>
      </w:r>
      <w:r/>
    </w:p>
    <w:p w14:paraId="1800D342">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6</w:t>
      </w:r>
      <w:r>
        <w:rPr>
          <w:rFonts w:ascii="Arial" w:hAnsi="Arial" w:cs="Arial"/>
          <w:sz w:val="22"/>
          <w:szCs w:val="22"/>
          <w:highlight w:val="none"/>
        </w:rPr>
        <w:t xml:space="preserve">2. Yao H, Tewari AK, Morais M, et al. 2023. "Novel deep learning-based computer-aided diagnosis system for predicting inflammatory activity in ulcerative colitis: a prospective multicentre study." Gastrointestinal Endoscopy 97(2):330-339.e1. https://pubmed</w:t>
      </w:r>
      <w:r>
        <w:rPr>
          <w:rFonts w:ascii="Arial" w:hAnsi="Arial" w:cs="Arial"/>
          <w:sz w:val="22"/>
          <w:szCs w:val="22"/>
          <w:highlight w:val="none"/>
        </w:rPr>
        <w:t xml:space="preserve">.ncbi.nlm.nih.gov/35985375/.</w:t>
      </w:r>
      <w:r/>
    </w:p>
    <w:p w14:paraId="142016C0">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63. Yim W-w, Ben Abacha A, Yetisgen M, Xia F. 2025. "Overview of the MEDIQA-WV 2025 Shared Task on Woundcare Visual Question Answering." ClinicalNLP. https://aclanthology.org/2025.clinicalnlp-1.3/.</w:t>
      </w:r>
      <w:r/>
    </w:p>
    <w:p w14:paraId="1AD5362D">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64. Yip SL, He S, Nie Y, et al. 2025. "MedBookVQA: A Systematic and Comprehensive Medical Benchmark Derived from Open-Access Book." arXiv:2506.00855. https://arxiv.org/abs/2506.00855.</w:t>
      </w:r>
      <w:r/>
    </w:p>
    <w:p w14:paraId="3392117A">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65. Yu S, Wang H, Wu J, et al. 2025. "MedFrameQA: A Multi-Image Medical VQA Benchmark for Clinical Reasoning." arXiv:2505.16964 (revised 2026). https://arxiv.org/abs/2505.16964.</w:t>
      </w:r>
      <w:r/>
    </w:p>
    <w:p w14:paraId="7BC2B639">
      <w:pPr>
        <w:suppressLineNumbers w:val="false"/>
        <w:pBdr/>
        <w:spacing w:after="240" w:afterAutospacing="0" w:before="240" w:beforeAutospacing="0" w:line="300" w:lineRule="auto"/>
        <w:ind w:firstLine="0" w:left="720"/>
        <w:rPr>
          <w:rFonts w:ascii="Arial" w:hAnsi="Arial" w:cs="Arial"/>
          <w:sz w:val="22"/>
          <w:szCs w:val="22"/>
          <w:highlight w:val="none"/>
        </w:rPr>
      </w:pPr>
      <w:r>
        <w:rPr>
          <w:rFonts w:ascii="Arial" w:hAnsi="Arial" w:cs="Arial"/>
          <w:sz w:val="22"/>
          <w:szCs w:val="22"/>
          <w:highlight w:val="none"/>
        </w:rPr>
        <w:t xml:space="preserve">66. Zhang X, Wu C, Zhao Z, et al. 2023. "PMC-VQA: Visual Instruction Tuning for Medical Visual Question Answering." arXiv:2305.10415. </w:t>
      </w:r>
      <w:hyperlink r:id="rId33" w:tooltip="https://arxiv.org/abs/2305.10415." w:history="1">
        <w:r>
          <w:rPr>
            <w:rStyle w:val="1143"/>
            <w:rFonts w:ascii="Arial" w:hAnsi="Arial" w:cs="Arial"/>
            <w:sz w:val="22"/>
            <w:szCs w:val="22"/>
            <w:highlight w:val="none"/>
          </w:rPr>
          <w:t xml:space="preserve">https://arxiv.org/abs/2305.10415.</w:t>
        </w:r>
        <w:r>
          <w:rPr>
            <w:rStyle w:val="1143"/>
          </w:rPr>
        </w:r>
        <w:r>
          <w:rPr>
            <w:rStyle w:val="1143"/>
            <w:rFonts w:ascii="Arial" w:hAnsi="Arial" w:cs="Arial"/>
            <w:sz w:val="22"/>
            <w:szCs w:val="22"/>
            <w:highlight w:val="none"/>
          </w:rPr>
        </w:r>
        <w:r>
          <w:rPr>
            <w:rStyle w:val="1143"/>
            <w:rFonts w:ascii="Arial" w:hAnsi="Arial" w:cs="Arial"/>
            <w:sz w:val="22"/>
            <w:szCs w:val="22"/>
            <w:highlight w:val="none"/>
          </w:rPr>
        </w:r>
        <w:r>
          <w:rPr>
            <w:rStyle w:val="1143"/>
            <w:rFonts w:ascii="Arial" w:hAnsi="Arial" w:cs="Arial"/>
            <w:sz w:val="22"/>
            <w:szCs w:val="22"/>
          </w:rPr>
        </w:r>
      </w:hyperlink>
      <w:r>
        <w:rPr>
          <w:rFonts w:ascii="Arial" w:hAnsi="Arial" w:cs="Arial"/>
          <w:sz w:val="22"/>
          <w:szCs w:val="22"/>
          <w:highlight w:val="none"/>
        </w:rPr>
      </w:r>
      <w:r>
        <w:rPr>
          <w:rFonts w:ascii="Arial" w:hAnsi="Arial" w:cs="Arial"/>
          <w:sz w:val="22"/>
          <w:szCs w:val="22"/>
          <w:highlight w:val="none"/>
        </w:rPr>
      </w:r>
    </w:p>
    <w:p w14:paraId="5D40CEEF">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67. Hu EJ, Shen Y, Wallis P, et al. 2021. "LoRA: Low-Rank Adaptation of Large Language Models." arXiv:2106.09685. https://arxiv.org/abs/2106.09685.</w:t>
      </w:r>
      <w:r/>
    </w:p>
    <w:p w14:paraId="6C8BA304">
      <w:pPr>
        <w:suppressLineNumbers w:val="false"/>
        <w:pBdr/>
        <w:spacing w:after="240" w:afterAutospacing="0" w:before="240" w:beforeAutospacing="0" w:line="300" w:lineRule="auto"/>
        <w:ind w:firstLine="0" w:left="720"/>
        <w:rPr/>
      </w:pPr>
      <w:r>
        <w:rPr>
          <w:rFonts w:ascii="Arial" w:hAnsi="Arial" w:cs="Arial"/>
          <w:sz w:val="22"/>
          <w:szCs w:val="22"/>
          <w:highlight w:val="none"/>
        </w:rPr>
      </w:r>
      <w:r>
        <w:rPr>
          <w:rFonts w:ascii="Arial" w:hAnsi="Arial" w:cs="Arial"/>
          <w:sz w:val="22"/>
          <w:szCs w:val="22"/>
          <w:highlight w:val="none"/>
        </w:rPr>
        <w:t xml:space="preserve">68. Gautam S, Storås A, Midoglu C, et al. 2024. "Kvasir-VQA: A Text-Image Pair GI Tract Dataset." arXiv:2409.01437. https://arxiv.org/abs/2409.01437.</w:t>
      </w:r>
      <w:r>
        <w:rPr>
          <w:rFonts w:ascii="Arial" w:hAnsi="Arial" w:cs="Arial"/>
          <w:sz w:val="22"/>
          <w:szCs w:val="22"/>
          <w:highlight w:val="none"/>
        </w:rPr>
      </w:r>
      <w:r/>
    </w:p>
    <w:p w14:paraId="70753B83">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69. RAG-VQA-Medical Repository. n.d. "Prototyping_reformat/DatasetAnalysis/LIMUC/0_dataset_prep/01_build_metadata_images_and_manifests.ipynb." Internal repository artifact.</w:t>
      </w:r>
      <w:r/>
    </w:p>
    <w:p w14:paraId="42F8F7BC">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70. RAG-VQA-Medical Repository. n.d. "Prototyping_reformat/DatasetAnalysis/LIMUC/1_frozen_encoders/resnet50_frozen_logreg.ipynb." Internal repository artifact.</w:t>
      </w:r>
      <w:r/>
    </w:p>
    <w:p w14:paraId="2A423E31">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71. RAG-VQA-Medical Repository. n.d. "Prototyping_reformat/DatasetAnalysis/LIMUC/1_frozen_encoders/vit_frozen_logreg.ipynb." Internal repository artifact.</w:t>
      </w:r>
      <w:r/>
    </w:p>
    <w:p w14:paraId="2D788E8B">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72. RAG-VQA-Medical Repository. n.d. "Prototyping_reformat/DatasetAnalysis/LIMUC/1_frozen_encoders/clip_linear_baseline.ipynb." Internal repository artifact.</w:t>
      </w:r>
      <w:r/>
    </w:p>
    <w:p w14:paraId="7EBF39F3">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73. RAG-VQA-Medical Repository. n.d. "Prototyping_reformat/DatasetAnalysis/LIMUC/2_supervised_finetuning/finetune_resnet50.ipynb." Internal repository artifact.</w:t>
      </w:r>
      <w:r/>
    </w:p>
    <w:p w14:paraId="441A692F">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74. RAG-VQA-Medical Repository. n.d. "Prototyping_reformat/DatasetAnalysis/LIMUC/2_supervised_finetuning/finetune_vit_or_swin.ipynb." Internal repository artifact.</w:t>
      </w:r>
      <w:r/>
    </w:p>
    <w:p w14:paraId="2FE0922A">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75. RAG-VQA-Medical Repository. n.d. "Prototyping_reformat/DatasetAnalysis/LIMUC/3_vlm_severity/vlm_zero_shot_mayo.ipynb." Internal repository artifact.</w:t>
      </w:r>
      <w:r/>
    </w:p>
    <w:p w14:paraId="4E13884B">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76. RAG-VQA-Medical Repository. n.d. "Prototyping_reformat/DatasetAnalysis/LIMUC/3_vlm_severity/vlm_lora_finetune_mayo.ipynb." Internal repository artifact.</w:t>
      </w:r>
      <w:r/>
    </w:p>
    <w:p w14:paraId="4B19E855">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77. RAG-VQA-Medical Repository. n.d. "Prototyping_reformat/DatasetAnalysis/Kvasir_VQA_x1/2_modeling/09_rag_blip2_eval/01_rag_blip2_eval.ipynb." Internal repository artifact.</w:t>
      </w:r>
      <w:r/>
    </w:p>
    <w:p w14:paraId="49DBF199">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78. RAG-VQA-Medical Repository. n.d. "Prototyping_reformat/DatasetAnalysis/LIMUC/4_reporting/out/." Internal repository artifact.</w:t>
      </w:r>
      <w:r/>
    </w:p>
    <w:p w14:paraId="523B50A1">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79. RAG-VQA-Medical Repository. n.d. "Thesis/markdown/figures/ch4_representations/CH4_PART3_ASSET_MANIFEST_20260306.csv." Internal repository artifact.</w:t>
      </w:r>
      <w:r/>
    </w:p>
    <w:p w14:paraId="6DDC6AEC">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80. RAG-VQA-Medical Repository. n.d. "Thesis/markdown/figures/ch4_representations/F02_ch4_core_metric_comparison.png." Internal repository artifact.</w:t>
      </w:r>
      <w:r/>
    </w:p>
    <w:p w14:paraId="7D584785">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81. RAG-VQA-Medical Repository. n.d. "Thesis/markdown/figures/ch4_representations/F03_ch4_radar_profile.png." Internal repository artifact.</w:t>
      </w:r>
      <w:r/>
    </w:p>
    <w:p w14:paraId="66EA04EC">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82. RAG-VQA-Medical Repository. n.d. "Thesis/markdown/figures/ch4_representations/F04_ch4_remission_slice_comparison.png." Internal repository artifact.</w:t>
      </w:r>
      <w:r/>
    </w:p>
    <w:p w14:paraId="5E5FAF8B">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83. RAG-VQA-Medical Repository. n.d. "Thesis/markdown/figures/ch4_representations/F05_ch4_mcnemar_significance_heatmap.png." Internal repository artifact.</w:t>
      </w:r>
      <w:r/>
    </w:p>
    <w:p w14:paraId="757FC89B">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84. RAG-VQA-Medical Repository. n.d. "Thesis/markdown/figures/ch4_representations/F06_ch4_confusion_panel.png." Internal repository artifact.</w:t>
      </w:r>
      <w:r/>
    </w:p>
    <w:p w14:paraId="04B27A5F">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85. RAG-VQA-Medical Repository. n.d. "CH4_PART1_SCOPE_FREEZE_20260306.md." Internal repository artifact.</w:t>
      </w:r>
      <w:r/>
    </w:p>
    <w:p w14:paraId="175432CD">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86. RAG-VQA-Medical Repository. n.d. "CH4_PART2_REPRO_FREEZE_20260306.md." Internal repository artifact.</w:t>
      </w:r>
      <w:r/>
    </w:p>
    <w:p w14:paraId="033C6E21">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87. RAG-VQA-Medical Repository. n.d. "CH4_PART7_DISSERTATION_READINESS_GATE_20260306.md." Internal repository artifact.</w:t>
      </w:r>
      <w:r/>
    </w:p>
    <w:p w14:paraId="47A5F2A7">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88. RAG-VQA-Medical Repository. n.d. "Prototyping_reformat/DatasetAnalysis/LIMUC/4_reporting/out/pass6_generative_metric_summary.csv." Internal repository artifact.</w:t>
      </w:r>
      <w:r/>
    </w:p>
    <w:p w14:paraId="7D193573">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89. RAG-VQA-Medical Repository. n.d. "Prototyping_reformat/chapter5_pico_wrapper/pico_wrapper/schemas.py." Internal repository artifact.</w:t>
      </w:r>
      <w:r/>
    </w:p>
    <w:p w14:paraId="6A8D3EA0">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90. RAG-VQA-Medical Repository. n.d. "Prototyping_reformat/chapter5_pico_wrapper/pico_wrapper/retriever.py." Internal repository artifact.</w:t>
      </w:r>
      <w:r/>
    </w:p>
    <w:p w14:paraId="4EB588B2">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91. RAG-VQA-Medical Repository. n.d. "Prototyping_reformat/chapter5_pico_wrapper/pico_wrapper/wrapper.py." Internal repository artifact.</w:t>
      </w:r>
      <w:r/>
    </w:p>
    <w:p w14:paraId="5C3FF6F0">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92. RAG-VQA-Medical Repository. n.d. "Prototyping_reformat/chapter5_pico_wrapper/pico_wrapper/safety.py." Internal repository artifact.</w:t>
      </w:r>
      <w:r/>
    </w:p>
    <w:p w14:paraId="54A5DF8C">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93. RAG-VQA-Medical Repository. n.d. "Prototyping_reformat/chapter5_pico_wrapper/scripts/run_full_pipeline.py." Internal repository artifact.</w:t>
      </w:r>
      <w:r/>
    </w:p>
    <w:p w14:paraId="47536D9F">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94. RAG-VQA-Medical Repository. n.d. "Prototyping_reformat/chapter5_pico_wrapper/results/kb_build_pass4_latest/kb_manifest.json." Internal repository artifact.</w:t>
      </w:r>
      <w:r/>
    </w:p>
    <w:p w14:paraId="1DDC481C">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95. RAG-VQA-Medical Repository. n.d. "Prototyping_reformat/chapter5_pico_wrapper/results/wrapper_eval_pass4_latest/run_config.json." Internal repository artifact.</w:t>
      </w:r>
      <w:r/>
    </w:p>
    <w:p w14:paraId="7734025B">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96. RAG-VQA-Medical Repository. n.d. "Prototyping_reformat/chapter5_pico_wrapper/results/eval_pass4_latest/pico_eval.json." Internal repository artifact.</w:t>
      </w:r>
      <w:r/>
    </w:p>
    <w:p w14:paraId="38A0C5A4">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97. RAG-VQA-Medical Repository. n.d. "Prototyping_reformat/chapter5_pico_wrapper/results/eval_pass4_latest/retrieval_eval.json." Internal repository artifact.</w:t>
      </w:r>
      <w:r/>
    </w:p>
    <w:p w14:paraId="62FAC65A">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98. RAG-VQA-Medical Repository. n.d. "Prototyping_reformat/chapter5_pico_wrapper/results/eval_pass4_latest/answer_eval.json." Internal repository artifact.</w:t>
      </w:r>
      <w:r/>
    </w:p>
    <w:p w14:paraId="571B901A">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99. RAG-VQA-Medical Repository. n.d. "Prototyping_reformat/chapter5_pico_wrapper/results/eval_pass3_ablation/retrieval_ablation_summary.tsv." Internal repository artifact.</w:t>
      </w:r>
      <w:r/>
    </w:p>
    <w:p w14:paraId="19260759">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100. RAG-VQA-Medical Repository. n.d. "Prototyping_reformat/chapter5_pico_wrapper/results/chapter5_completion_audit_ch5_freeze_20260306/chapter5_completion_report.json." Internal repository artifact.</w:t>
      </w:r>
      <w:r/>
    </w:p>
    <w:p w14:paraId="630ADB5A">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101. RAG-VQA-Medical Repository. n.d. "Prototyping_reformat/chapter5_pico_wrapper/tests/test_retriever.py." Internal repository artifact.</w:t>
      </w:r>
      <w:r/>
    </w:p>
    <w:p w14:paraId="0DCE91EF">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102. RAG-VQA-Medical Repository. n.d. "Prototyping_reformat/chapter5_pico_wrapper/tests/test_wrapper_pipeline.py." Internal repository artifact.</w:t>
      </w:r>
      <w:r/>
    </w:p>
    <w:p w14:paraId="6714C913">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103. RAG-VQA-Medical Repository. n.d. "Prototyping_reformat/chapter5_pico_wrapper/tests/test_safety.py." Internal repository artifact.</w:t>
      </w:r>
      <w:r/>
    </w:p>
    <w:p w14:paraId="2F8EDA8A">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104. RAG-VQA-Medical Repository. n.d. "Prototyping_reformat/chapter5_pico_wrapper/tests/test_ui_support.py." Internal repository artifact.</w:t>
      </w:r>
      <w:r/>
    </w:p>
    <w:p w14:paraId="3654B82B">
      <w:pPr>
        <w:suppressLineNumbers w:val="false"/>
        <w:pBdr/>
        <w:spacing w:after="240" w:afterAutospacing="0" w:before="240" w:beforeAutospacing="0" w:line="300" w:lineRule="auto"/>
        <w:ind w:firstLine="0" w:left="720"/>
        <w:rPr/>
      </w:pPr>
      <w:r>
        <w:rPr>
          <w:rFonts w:ascii="Arial" w:hAnsi="Arial" w:cs="Arial"/>
          <w:sz w:val="22"/>
          <w:szCs w:val="22"/>
          <w:highlight w:val="none"/>
        </w:rPr>
      </w:r>
      <w:r>
        <w:rPr>
          <w:rFonts w:ascii="Arial" w:hAnsi="Arial" w:cs="Arial"/>
          <w:sz w:val="22"/>
          <w:szCs w:val="22"/>
          <w:highlight w:val="none"/>
        </w:rPr>
        <w:t xml:space="preserve">1</w:t>
      </w:r>
      <w:r>
        <w:rPr>
          <w:rFonts w:ascii="Arial" w:hAnsi="Arial" w:cs="Arial"/>
          <w:sz w:val="22"/>
          <w:szCs w:val="22"/>
          <w:highlight w:val="none"/>
        </w:rPr>
        <w:t xml:space="preserve">05. Fiaidhi J, Mohammed S, Zezos P. 2022. "An xAI Thick Data Assisted Caption Generation for Labeling Severity of Ulcerative Colitis Video Colonoscopy." In 2022 IEEE 10th International Conference on Healthcare Informatics (ICHI), pp. 647-652. IEEE. https:/</w:t>
      </w:r>
      <w:r>
        <w:rPr>
          <w:rFonts w:ascii="Arial" w:hAnsi="Arial" w:cs="Arial"/>
          <w:sz w:val="22"/>
          <w:szCs w:val="22"/>
          <w:highlight w:val="none"/>
        </w:rPr>
        <w:t xml:space="preserve">/doi.org/10.1109/ICHI54592.2022.00131.</w:t>
      </w:r>
      <w:r>
        <w:rPr>
          <w:rFonts w:ascii="Arial" w:hAnsi="Arial" w:cs="Arial"/>
          <w:sz w:val="22"/>
          <w:szCs w:val="22"/>
          <w:highlight w:val="none"/>
        </w:rPr>
      </w:r>
      <w:r/>
    </w:p>
    <w:p w14:paraId="0BF1B059">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106. F</w:t>
      </w:r>
      <w:r>
        <w:rPr>
          <w:rFonts w:ascii="Arial" w:hAnsi="Arial" w:cs="Arial"/>
          <w:sz w:val="22"/>
          <w:szCs w:val="22"/>
          <w:highlight w:val="none"/>
        </w:rPr>
        <w:t xml:space="preserve">iaidhi J, Mohammed S, Zezos P. 2023. "Siamese Neural Network for Labeling Severity of Ulcerative Colitis Video Colonoscopy: A Thick Data Approach." In Intelligent Systems and Applications (IntelliSys 2022), Lecture Notes in Networks and Systems, vol. 542, </w:t>
      </w:r>
      <w:r>
        <w:rPr>
          <w:rFonts w:ascii="Arial" w:hAnsi="Arial" w:cs="Arial"/>
          <w:sz w:val="22"/>
          <w:szCs w:val="22"/>
          <w:highlight w:val="none"/>
        </w:rPr>
        <w:t xml:space="preserve">pp. 124-135. Springer, Cham. https://doi.org/10.1007/978-3-031-16072-1_9</w:t>
      </w:r>
      <w:r>
        <w:rPr>
          <w:rFonts w:ascii="Arial" w:hAnsi="Arial" w:cs="Arial"/>
          <w:sz w:val="22"/>
          <w:szCs w:val="22"/>
          <w:highlight w:val="none"/>
        </w:rPr>
      </w:r>
      <w:r/>
    </w:p>
    <w:p w14:paraId="0C13F725">
      <w:pPr>
        <w:suppressLineNumbers w:val="false"/>
        <w:pBdr/>
        <w:spacing w:after="240" w:afterAutospacing="0" w:before="240" w:beforeAutospacing="0" w:line="300" w:lineRule="auto"/>
        <w:ind w:firstLine="0" w:left="720"/>
        <w:rPr>
          <w:rFonts w:ascii="Arial" w:hAnsi="Arial" w:cs="Arial"/>
          <w:sz w:val="22"/>
          <w:szCs w:val="22"/>
        </w:rPr>
      </w:pPr>
      <w:r>
        <w:rPr>
          <w:rFonts w:ascii="Arial" w:hAnsi="Arial" w:cs="Arial"/>
          <w:sz w:val="22"/>
          <w:szCs w:val="22"/>
          <w:highlight w:val="none"/>
        </w:rPr>
        <w:t xml:space="preserve">107. M</w:t>
      </w:r>
      <w:r>
        <w:rPr>
          <w:rFonts w:ascii="Arial" w:hAnsi="Arial" w:cs="Arial"/>
          <w:sz w:val="22"/>
          <w:szCs w:val="22"/>
          <w:highlight w:val="none"/>
        </w:rPr>
        <w:t xml:space="preserve">ohammed S, Fiaidhi J. 2024. "Generative AI for Evidence-Based Medicine: A PICO GenAI for Synthesizing Clinical Case Reports." In ICC 2024 - IEEE International Conference on Communications, pp. 1503-1508. IEEE. https://doi.org/10.1109/ICC51166.2024.10622271</w:t>
      </w:r>
      <w:r>
        <w:rPr>
          <w:rFonts w:ascii="Arial" w:hAnsi="Arial" w:cs="Arial"/>
          <w:sz w:val="22"/>
          <w:szCs w:val="22"/>
        </w:rPr>
      </w:r>
      <w:r>
        <w:rPr>
          <w:rFonts w:ascii="Arial" w:hAnsi="Arial" w:cs="Arial"/>
          <w:sz w:val="22"/>
          <w:szCs w:val="22"/>
        </w:rPr>
      </w:r>
    </w:p>
    <w:p w14:paraId="134B5380" w14:textId="7698033F">
      <w:pPr>
        <w:pStyle w:val="1174"/>
        <w:suppressLineNumbers w:val="false"/>
        <w:pBdr/>
        <w:spacing w:line="300" w:lineRule="auto"/>
        <w:ind w:firstLine="0" w:left="0"/>
        <w:rPr>
          <w:sz w:val="22"/>
          <w:szCs w:val="22"/>
        </w:rPr>
      </w:pPr>
      <w:r>
        <w:rPr>
          <w:sz w:val="22"/>
          <w:szCs w:val="22"/>
          <w:lang w:val="en-CA"/>
        </w:rPr>
      </w:r>
      <w:r>
        <w:rPr>
          <w:sz w:val="22"/>
          <w:szCs w:val="22"/>
        </w:rPr>
      </w:r>
      <w:r>
        <w:rPr>
          <w:sz w:val="22"/>
          <w:szCs w:val="22"/>
        </w:rPr>
      </w:r>
    </w:p>
    <w:p w14:paraId="15B775E3" w14:textId="22668D7E">
      <w:pPr>
        <w:pStyle w:val="1174"/>
        <w:suppressLineNumbers w:val="false"/>
        <w:pBdr/>
        <w:spacing w:line="300" w:lineRule="auto"/>
        <w:ind/>
        <w:rPr/>
      </w:pPr>
      <w:r>
        <w:rPr>
          <w:lang w:val="en-US"/>
        </w:rPr>
      </w:r>
      <w:r>
        <w:rPr>
          <w:lang w:val="en-US"/>
        </w:rPr>
      </w:r>
      <w:r/>
    </w:p>
    <w:p w14:paraId="21B43741" w14:textId="6F08840B">
      <w:pPr>
        <w:pStyle w:val="1174"/>
        <w:suppressLineNumbers w:val="false"/>
        <w:pBdr/>
        <w:spacing w:line="300" w:lineRule="auto"/>
        <w:ind w:firstLine="0" w:left="0"/>
        <w:rPr/>
      </w:pPr>
      <w:r/>
      <w:r/>
    </w:p>
    <w:p w14:paraId="308E43FE" w14:textId="1686E186">
      <w:pPr>
        <w:pStyle w:val="1174"/>
        <w:suppressLineNumbers w:val="false"/>
        <w:pBdr/>
        <w:spacing w:line="300" w:lineRule="auto"/>
        <w:ind/>
        <w:rPr/>
      </w:pPr>
      <w:r/>
      <w:r/>
    </w:p>
    <w:p w14:paraId="776B7A88" w14:textId="36D30811">
      <w:pPr>
        <w:pStyle w:val="1174"/>
        <w:suppressLineNumbers w:val="false"/>
        <w:pBdr/>
        <w:spacing w:line="300" w:lineRule="auto"/>
        <w:ind/>
        <w:rPr/>
      </w:pPr>
      <w:r/>
      <w:r/>
    </w:p>
    <w:p w14:paraId="5532DE15" w14:textId="33829C7E">
      <w:pPr>
        <w:pStyle w:val="1174"/>
        <w:suppressLineNumbers w:val="false"/>
        <w:pBdr/>
        <w:spacing w:line="300" w:lineRule="auto"/>
        <w:ind/>
        <w:rPr/>
      </w:pPr>
      <w:r/>
      <w:r/>
    </w:p>
    <w:p w14:paraId="5D9E5F47" w14:textId="0842DE19">
      <w:pPr>
        <w:pStyle w:val="1174"/>
        <w:suppressLineNumbers w:val="false"/>
        <w:pBdr/>
        <w:spacing w:line="300" w:lineRule="auto"/>
        <w:ind/>
        <w:rPr/>
      </w:pPr>
      <w:r/>
      <w:r/>
    </w:p>
    <w:p w14:paraId="47235FB2" w14:textId="3FB9E21A">
      <w:pPr>
        <w:pStyle w:val="1174"/>
        <w:suppressLineNumbers w:val="false"/>
        <w:pBdr/>
        <w:spacing w:line="300" w:lineRule="auto"/>
        <w:ind/>
        <w:rPr/>
      </w:pPr>
      <w:r/>
      <w:r/>
    </w:p>
    <w:p w14:paraId="7AA27626" w14:textId="06AAD62B">
      <w:pPr>
        <w:pStyle w:val="1174"/>
        <w:suppressLineNumbers w:val="false"/>
        <w:pBdr/>
        <w:spacing w:line="300" w:lineRule="auto"/>
        <w:ind/>
        <w:rPr/>
      </w:pPr>
      <w:r/>
      <w:r/>
    </w:p>
    <w:p w14:paraId="4F492B30" w14:textId="7B03236C">
      <w:pPr>
        <w:pStyle w:val="1174"/>
        <w:suppressLineNumbers w:val="false"/>
        <w:pBdr/>
        <w:spacing w:line="300" w:lineRule="auto"/>
        <w:ind/>
        <w:rPr/>
      </w:pPr>
      <w:r/>
      <w:r/>
    </w:p>
    <w:p w14:paraId="0452A563" w14:textId="18D5A2A5">
      <w:pPr>
        <w:pStyle w:val="1174"/>
        <w:suppressLineNumbers w:val="false"/>
        <w:pBdr/>
        <w:spacing w:line="300" w:lineRule="auto"/>
        <w:ind/>
        <w:rPr/>
      </w:pPr>
      <w:r/>
      <w:r/>
    </w:p>
    <w:p w14:paraId="04D4A707" w14:textId="78C11C60">
      <w:pPr>
        <w:pStyle w:val="1174"/>
        <w:suppressLineNumbers w:val="false"/>
        <w:pBdr/>
        <w:spacing w:line="300" w:lineRule="auto"/>
        <w:ind/>
        <w:rPr/>
      </w:pPr>
      <w:r/>
      <w:r/>
    </w:p>
    <w:p w14:paraId="7C7937AE" w14:textId="7F3325A0">
      <w:pPr>
        <w:pStyle w:val="1174"/>
        <w:suppressLineNumbers w:val="false"/>
        <w:pBdr/>
        <w:spacing w:line="300" w:lineRule="auto"/>
        <w:ind/>
        <w:rPr/>
      </w:pPr>
      <w:r/>
      <w:r/>
    </w:p>
    <w:p w14:paraId="136C0608" w14:textId="2098A294">
      <w:pPr>
        <w:pStyle w:val="1174"/>
        <w:suppressLineNumbers w:val="false"/>
        <w:pBdr/>
        <w:spacing w:line="300" w:lineRule="auto"/>
        <w:ind/>
        <w:rPr/>
      </w:pPr>
      <w:r/>
      <w:r/>
    </w:p>
    <w:p w14:paraId="0E5E3A03" w14:textId="11231CB1">
      <w:pPr>
        <w:pStyle w:val="1128"/>
        <w:suppressLineNumbers w:val="false"/>
        <w:pBdr/>
        <w:spacing w:line="300" w:lineRule="auto"/>
        <w:ind w:firstLine="0"/>
        <w:rPr/>
      </w:pPr>
      <w:r/>
      <w:r/>
    </w:p>
    <w:sectPr>
      <w:footerReference w:type="default" r:id="rId11"/>
      <w:footnotePr/>
      <w:endnotePr/>
      <w:type w:val="nextPage"/>
      <w:pgSz w:h="15840" w:orient="portrait" w:w="12240"/>
      <w:pgMar w:top="1260" w:right="1800" w:bottom="1440" w:left="1800" w:header="720" w:footer="720" w:gutter="0"/>
      <w:pgNumType w:start="1"/>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3811404E" w14:textId="77777777">
      <w:pPr>
        <w:pBdr/>
        <w:spacing w:after="0" w:line="240" w:lineRule="auto"/>
        <w:ind/>
        <w:rPr/>
      </w:pPr>
      <w:r>
        <w:separator/>
      </w:r>
      <w:r/>
    </w:p>
  </w:endnote>
  <w:endnote w:type="continuationSeparator" w:id="0">
    <w:p w14:paraId="1A646517"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Liberation Sans">
    <w:panose1 w:val="020B0604020202020204"/>
  </w:font>
  <w:font w:name="Wingdings">
    <w:panose1 w:val="05010000000000000000"/>
  </w:font>
  <w:font w:name="Courier New">
    <w:panose1 w:val="02070409020205020404"/>
  </w:font>
  <w:font w:name="Symbol">
    <w:panose1 w:val="05010000000000000000"/>
  </w:font>
  <w:font w:name="Lucida Grande">
    <w:panose1 w:val="020B0604020202020204"/>
  </w:font>
  <w:font w:name="Cambria">
    <w:panose1 w:val="02040503050406030204"/>
  </w:font>
  <w:font w:name="Droid Sans Mono">
    <w:panose1 w:val="020B0609030804020204"/>
  </w:font>
  <w:font w:name="Segoe UI">
    <w:panose1 w:val="020B0502040504020204"/>
  </w:font>
  <w:font w:name="Verdana">
    <w:panose1 w:val="020B0606030504020204"/>
  </w:font>
  <w:font w:name="Calibri">
    <w:panose1 w:val="020F0502020204030204"/>
  </w:font>
  <w:font w:name="Times New Roman">
    <w:panose1 w:val="02020603050405020304"/>
  </w:font>
  <w:font w:name="Arial Narrow">
    <w:panose1 w:val="020B0604020202020204"/>
  </w:font>
  <w:font w:name="Arial">
    <w:panose1 w:val="020B060402020202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1862319671"/>
      <w:docPartObj>
        <w:docPartGallery w:val="Page Numbers (Bottom of Page)"/>
        <w:docPartUnique w:val="true"/>
      </w:docPartObj>
      <w:rPr/>
    </w:sdtPr>
    <w:sdtContent>
      <w:p w14:paraId="16187776" w14:textId="3644CB62">
        <w:pPr>
          <w:pStyle w:val="1146"/>
          <w:pBdr/>
          <w:spacing/>
          <w:ind/>
          <w:jc w:val="center"/>
          <w:rPr/>
        </w:pPr>
        <w:r>
          <w:fldChar w:fldCharType="begin"/>
        </w:r>
        <w:r>
          <w:instrText xml:space="preserve"> PAGE   \* MERGEFORMAT </w:instrText>
        </w:r>
        <w:r>
          <w:fldChar w:fldCharType="separate"/>
        </w:r>
        <w:r>
          <w:t xml:space="preserve">xii</w:t>
        </w:r>
        <w:r>
          <w:fldChar w:fldCharType="end"/>
        </w:r>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460471171"/>
      <w:docPartObj>
        <w:docPartGallery w:val="Page Numbers (Bottom of Page)"/>
        <w:docPartUnique w:val="true"/>
      </w:docPartObj>
      <w:rPr/>
    </w:sdtPr>
    <w:sdtContent>
      <w:p w14:paraId="18300694" w14:textId="4A11C4A4">
        <w:pPr>
          <w:pStyle w:val="1146"/>
          <w:pBdr/>
          <w:spacing/>
          <w:ind/>
          <w:jc w:val="center"/>
          <w:rPr/>
        </w:pPr>
        <w:r>
          <w:fldChar w:fldCharType="begin"/>
        </w:r>
        <w:r>
          <w:instrText xml:space="preserve"> PAGE   \* MERGEFORMAT </w:instrText>
        </w:r>
        <w:r>
          <w:fldChar w:fldCharType="separate"/>
        </w:r>
        <w:r>
          <w:t xml:space="preserve">3</w:t>
        </w:r>
        <w:r>
          <w:fldChar w:fldCharType="end"/>
        </w:r>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0E7DA25D" w14:textId="77777777">
      <w:pPr>
        <w:pBdr/>
        <w:spacing w:after="0" w:line="240" w:lineRule="auto"/>
        <w:ind/>
        <w:rPr/>
      </w:pPr>
      <w:r>
        <w:separator/>
      </w:r>
      <w:r/>
    </w:p>
  </w:footnote>
  <w:footnote w:type="continuationSeparator" w:id="0">
    <w:p w14:paraId="6A701FC3" w14:textId="77777777">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00497A5">
    <w:pPr>
      <w:pStyle w:val="1144"/>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7B48911"/>
    <w:lvl w:ilvl="0">
      <w:isLgl w:val="false"/>
      <w:lvlJc w:val="left"/>
      <w:lvlText w:val="%1."/>
      <w:numFmt w:val="low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
    <w:nsid w:val="0E62403E"/>
    <w:lvl w:ilvl="0">
      <w:isLgl w:val="false"/>
      <w:lvlJc w:val="left"/>
      <w:lvlText w:val="%1."/>
      <w:numFmt w:val="low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
    <w:nsid w:val="2F56B284"/>
    <w:lvl w:ilvl="0">
      <w:isLgl w:val="false"/>
      <w:lvlJc w:val="left"/>
      <w:lvlText w:val="%1."/>
      <w:numFmt w:val="low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
    <w:nsid w:val="05F7656E"/>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
    <w:nsid w:val="3B929529"/>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
    <w:nsid w:val="360B781A"/>
    <w:lvl w:ilvl="0">
      <w:isLgl w:val="false"/>
      <w:lvlJc w:val="left"/>
      <w:lvlText w:val="Chapter %1."/>
      <w:numFmt w:val="decimal"/>
      <w:pPr>
        <w:pBdr/>
        <w:spacing/>
        <w:ind w:firstLine="0" w:left="0"/>
      </w:pPr>
      <w:pStyle w:val="1115"/>
      <w:rPr>
        <w:rFonts w:hint="default"/>
      </w:rPr>
      <w:start w:val="1"/>
      <w:suff w:val="tab"/>
    </w:lvl>
    <w:lvl w:ilvl="1">
      <w:isLgl w:val="false"/>
      <w:lvlJc w:val="left"/>
      <w:lvlText w:val="%1.%2."/>
      <w:numFmt w:val="decimal"/>
      <w:pPr>
        <w:pBdr/>
        <w:spacing/>
        <w:ind w:firstLine="0" w:left="0"/>
      </w:pPr>
      <w:pStyle w:val="1116"/>
      <w:rPr>
        <w:rFonts w:hint="default"/>
      </w:rPr>
      <w:start w:val="1"/>
      <w:suff w:val="tab"/>
    </w:lvl>
    <w:lvl w:ilvl="2">
      <w:isLgl w:val="false"/>
      <w:lvlJc w:val="left"/>
      <w:lvlText w:val="%1.%2.%3."/>
      <w:numFmt w:val="decimal"/>
      <w:pPr>
        <w:pBdr/>
        <w:spacing/>
        <w:ind w:firstLine="0" w:left="0"/>
      </w:pPr>
      <w:pStyle w:val="1117"/>
      <w:rPr>
        <w:rFonts w:hint="default"/>
      </w:rPr>
      <w:start w:val="1"/>
      <w:suff w:val="tab"/>
    </w:lvl>
    <w:lvl w:ilvl="3">
      <w:isLgl w:val="false"/>
      <w:lvlJc w:val="left"/>
      <w:lvlText w:val=""/>
      <w:numFmt w:val="none"/>
      <w:pPr>
        <w:pBdr/>
        <w:spacing/>
        <w:ind w:firstLine="0" w:left="0"/>
      </w:pPr>
      <w:pStyle w:val="1118"/>
      <w:rPr>
        <w:rFonts w:hint="default"/>
      </w:rPr>
      <w:start w:val="1"/>
      <w:suff w:val="nothing"/>
    </w:lvl>
    <w:lvl w:ilvl="4">
      <w:isLgl w:val="false"/>
      <w:lvlJc w:val="left"/>
      <w:lvlText w:val=""/>
      <w:numFmt w:val="none"/>
      <w:pPr>
        <w:pBdr/>
        <w:spacing/>
        <w:ind w:firstLine="0" w:left="0"/>
      </w:pPr>
      <w:pStyle w:val="1119"/>
      <w:rPr>
        <w:rFonts w:hint="default"/>
      </w:rPr>
      <w:start w:val="1"/>
      <w:suff w:val="nothing"/>
    </w:lvl>
    <w:lvl w:ilvl="5">
      <w:isLgl w:val="false"/>
      <w:lvlJc w:val="left"/>
      <w:lvlText w:val=""/>
      <w:numFmt w:val="none"/>
      <w:pPr>
        <w:pBdr/>
        <w:spacing/>
        <w:ind w:firstLine="0" w:left="0"/>
      </w:pPr>
      <w:pStyle w:val="1120"/>
      <w:rPr>
        <w:rFonts w:hint="default"/>
      </w:rPr>
      <w:start w:val="1"/>
      <w:suff w:val="nothing"/>
    </w:lvl>
    <w:lvl w:ilvl="6">
      <w:isLgl w:val="false"/>
      <w:lvlJc w:val="left"/>
      <w:lvlText w:val=""/>
      <w:numFmt w:val="none"/>
      <w:pPr>
        <w:pBdr/>
        <w:spacing/>
        <w:ind w:firstLine="0" w:left="0"/>
      </w:pPr>
      <w:pStyle w:val="1121"/>
      <w:rPr>
        <w:rFonts w:hint="default"/>
      </w:rPr>
      <w:start w:val="1"/>
      <w:suff w:val="nothing"/>
    </w:lvl>
    <w:lvl w:ilvl="7">
      <w:isLgl w:val="false"/>
      <w:lvlJc w:val="left"/>
      <w:lvlText w:val=""/>
      <w:numFmt w:val="none"/>
      <w:pPr>
        <w:pBdr/>
        <w:spacing/>
        <w:ind w:firstLine="0" w:left="0"/>
      </w:pPr>
      <w:pStyle w:val="1122"/>
      <w:rPr>
        <w:rFonts w:hint="default"/>
      </w:rPr>
      <w:start w:val="1"/>
      <w:suff w:val="nothing"/>
    </w:lvl>
    <w:lvl w:ilvl="8">
      <w:isLgl w:val="false"/>
      <w:lvlJc w:val="left"/>
      <w:lvlText w:val=""/>
      <w:numFmt w:val="none"/>
      <w:pPr>
        <w:pBdr/>
        <w:spacing/>
        <w:ind w:firstLine="0" w:left="0"/>
      </w:pPr>
      <w:pStyle w:val="1123"/>
      <w:rPr>
        <w:rFonts w:hint="default"/>
      </w:rPr>
      <w:start w:val="1"/>
      <w:suff w:val="nothing"/>
    </w:lvl>
  </w:abstractNum>
  <w:abstractNum w:abstractNumId="6">
    <w:nsid w:val="39A33143"/>
    <w:lvl w:ilvl="0">
      <w:isLgl w:val="false"/>
      <w:lvlJc w:val="left"/>
      <w:lvlText w:val=""/>
      <w:numFmt w:val="bullet"/>
      <w:pPr>
        <w:pBdr/>
        <w:spacing/>
        <w:ind w:hanging="360" w:left="1080"/>
      </w:pPr>
      <w:rPr>
        <w:rFonts w:hint="default" w:ascii="Symbol" w:hAnsi="Symbol"/>
      </w:rPr>
      <w:start w:val="1"/>
      <w:suff w:val="tab"/>
    </w:lvl>
    <w:lvl w:ilvl="1">
      <w:isLgl w:val="false"/>
      <w:lvlJc w:val="left"/>
      <w:lvlText w:val="o"/>
      <w:numFmt w:val="bullet"/>
      <w:pPr>
        <w:pBdr/>
        <w:spacing/>
        <w:ind w:hanging="360" w:left="1800"/>
      </w:pPr>
      <w:rPr>
        <w:rFonts w:hint="default" w:ascii="Courier New" w:hAnsi="Courier New"/>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7">
    <w:nsid w:val="58B619B5"/>
    <w:lvl w:ilvl="0">
      <w:isLgl w:val="false"/>
      <w:lvlJc w:val="left"/>
      <w:lvlText w:val="•"/>
      <w:numFmt w:val="bullet"/>
      <w:pPr>
        <w:pBdr/>
        <w:spacing/>
        <w:ind w:hanging="360" w:left="1080"/>
      </w:pPr>
      <w:pStyle w:val="1168"/>
      <w:rPr>
        <w:rFonts w:hint="default" w:ascii="Arial" w:hAnsi="Arial" w:eastAsia="Times New Roman"/>
      </w:rPr>
      <w:start w:val="0"/>
      <w:suff w:val="tab"/>
    </w:lvl>
    <w:lvl w:ilvl="1">
      <w:isLgl w:val="false"/>
      <w:lvlJc w:val="left"/>
      <w:lvlText w:val="o"/>
      <w:numFmt w:val="bullet"/>
      <w:pPr>
        <w:pBdr/>
        <w:spacing/>
        <w:ind w:hanging="360" w:left="1800"/>
      </w:pPr>
      <w:rPr>
        <w:rFonts w:hint="default" w:ascii="Courier New" w:hAnsi="Courier New"/>
        <w:sz w:val="16"/>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8">
    <w:nsid w:val="64A6531D"/>
    <w:lvl w:ilvl="0">
      <w:isLgl w:val="false"/>
      <w:lvlJc w:val="left"/>
      <w:lvlText w:val="%1."/>
      <w:numFmt w:val="decimal"/>
      <w:pPr>
        <w:pBdr/>
        <w:spacing/>
        <w:ind w:hanging="360" w:left="1080"/>
      </w:pPr>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9">
    <w:nsid w:val="6C0A4A46"/>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0">
    <w:nsid w:val="7F5BE7AA"/>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1">
    <w:nsid w:val="135C75E7"/>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2">
    <w:nsid w:val="621520B0"/>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3">
    <w:nsid w:val="08B5F69E"/>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4">
    <w:nsid w:val="4C7AAA9B"/>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5">
    <w:nsid w:val="5AAD727A"/>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6">
    <w:nsid w:val="3FE2A149"/>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7">
    <w:nsid w:val="43B82C1D"/>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8">
    <w:nsid w:val="1A549A56"/>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9">
    <w:nsid w:val="4CD7AA2A"/>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0">
    <w:nsid w:val="1B277707"/>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1">
    <w:nsid w:val="4058731D"/>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2">
    <w:nsid w:val="48245A5A"/>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3">
    <w:nsid w:val="283450D9"/>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4">
    <w:nsid w:val="32C5F9F7"/>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5">
    <w:nsid w:val="6A477AA3"/>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6">
    <w:nsid w:val="4EC778C9"/>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7">
    <w:nsid w:val="6B49ED28"/>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8">
    <w:nsid w:val="06B68420"/>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9">
    <w:nsid w:val="6EDF94F5"/>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0">
    <w:nsid w:val="0519F1EE"/>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1">
    <w:nsid w:val="3A5207FA"/>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2">
    <w:nsid w:val="2C678464"/>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3">
    <w:nsid w:val="18528148"/>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4">
    <w:nsid w:val="2F833D37"/>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5">
    <w:nsid w:val="5D532AD5"/>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6">
    <w:nsid w:val="17244BCB"/>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7">
    <w:nsid w:val="6018382F"/>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8">
    <w:nsid w:val="0C7E21F5"/>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9">
    <w:nsid w:val="04A45C2A"/>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0">
    <w:nsid w:val="67A47972"/>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1">
    <w:nsid w:val="05D7EE78"/>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2">
    <w:nsid w:val="290824DF"/>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3">
    <w:nsid w:val="36D0CBEF"/>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4">
    <w:nsid w:val="40A99108"/>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5">
    <w:nsid w:val="704122DA"/>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6">
    <w:nsid w:val="56087ACD"/>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7">
    <w:nsid w:val="18998309"/>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8">
    <w:nsid w:val="7CD9EC03"/>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9">
    <w:nsid w:val="1A1F80E6"/>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0">
    <w:nsid w:val="319F4254"/>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1">
    <w:nsid w:val="2F315E75"/>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2">
    <w:nsid w:val="1B83663F"/>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3">
    <w:nsid w:val="60C6BAA8"/>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4">
    <w:nsid w:val="05C06C18"/>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5">
    <w:nsid w:val="6DEA83C3"/>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6">
    <w:nsid w:val="18D60526"/>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7">
    <w:nsid w:val="18D60526"/>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8">
    <w:nsid w:val="17DB38AE"/>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9">
    <w:nsid w:val="41781F96"/>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0">
    <w:nsid w:val="33319432"/>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1">
    <w:nsid w:val="1DA019A2"/>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2">
    <w:nsid w:val="305E6BF9"/>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3">
    <w:nsid w:val="4669DEBE"/>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4">
    <w:nsid w:val="61962B2F"/>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5">
    <w:nsid w:val="5C793BF7"/>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6">
    <w:nsid w:val="28646EFE"/>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67">
    <w:nsid w:val="39A8418C"/>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8">
    <w:nsid w:val="4E93C9FA"/>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9">
    <w:nsid w:val="5BA33FEF"/>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0">
    <w:nsid w:val="52EADC00"/>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71">
    <w:nsid w:val="35D73D02"/>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72">
    <w:nsid w:val="778F4A48"/>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73">
    <w:nsid w:val="21E43B12"/>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74">
    <w:nsid w:val="02425726"/>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5">
    <w:nsid w:val="0E8F3A18"/>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6">
    <w:nsid w:val="76BBF8F4"/>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7">
    <w:nsid w:val="66C1D924"/>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78">
    <w:nsid w:val="360B781A"/>
    <w:lvl w:ilvl="0">
      <w:isLgl w:val="false"/>
      <w:lvlJc w:val="left"/>
      <w:lvlText w:val="Chapter %1."/>
      <w:numFmt w:val="decimal"/>
      <w:pPr>
        <w:pBdr/>
        <w:spacing/>
        <w:ind w:firstLine="0" w:left="0"/>
      </w:pPr>
      <w:rPr>
        <w:rFonts w:hint="default"/>
      </w:rPr>
      <w:start w:val="1"/>
      <w:suff w:val="tab"/>
    </w:lvl>
    <w:lvl w:ilvl="1">
      <w:isLgl w:val="false"/>
      <w:lvlJc w:val="left"/>
      <w:lvlText w:val="%1.%2."/>
      <w:numFmt w:val="decimal"/>
      <w:pPr>
        <w:pBdr/>
        <w:spacing/>
        <w:ind w:firstLine="0" w:left="0"/>
      </w:pPr>
      <w:rPr>
        <w:rFonts w:hint="default"/>
      </w:rPr>
      <w:start w:val="1"/>
      <w:suff w:val="tab"/>
    </w:lvl>
    <w:lvl w:ilvl="2">
      <w:isLgl w:val="false"/>
      <w:lvlJc w:val="left"/>
      <w:lvlText w:val="%1.%2.%3."/>
      <w:numFmt w:val="decimal"/>
      <w:pPr>
        <w:pBdr/>
        <w:spacing/>
        <w:ind w:firstLine="0" w:left="0"/>
      </w:pPr>
      <w:rPr>
        <w:rFonts w:hint="default"/>
      </w:rPr>
      <w:start w:val="1"/>
      <w:suff w:val="tab"/>
    </w:lvl>
    <w:lvl w:ilvl="3">
      <w:isLgl w:val="false"/>
      <w:lvlJc w:val="left"/>
      <w:lvlText w:val=""/>
      <w:numFmt w:val="none"/>
      <w:pPr>
        <w:pBdr/>
        <w:spacing/>
        <w:ind w:firstLine="0" w:left="0"/>
      </w:pPr>
      <w:rPr>
        <w:rFonts w:hint="default"/>
      </w:rPr>
      <w:start w:val="1"/>
      <w:suff w:val="nothing"/>
    </w:lvl>
    <w:lvl w:ilvl="4">
      <w:isLgl w:val="false"/>
      <w:lvlJc w:val="left"/>
      <w:lvlText w:val=""/>
      <w:numFmt w:val="none"/>
      <w:pPr>
        <w:pBdr/>
        <w:spacing/>
        <w:ind w:firstLine="0" w:left="0"/>
      </w:pPr>
      <w:rPr>
        <w:rFonts w:hint="default"/>
      </w:rPr>
      <w:start w:val="1"/>
      <w:suff w:val="nothing"/>
    </w:lvl>
    <w:lvl w:ilvl="5">
      <w:isLgl w:val="false"/>
      <w:lvlJc w:val="left"/>
      <w:lvlText w:val=""/>
      <w:numFmt w:val="none"/>
      <w:pPr>
        <w:pBdr/>
        <w:spacing/>
        <w:ind w:firstLine="0" w:left="0"/>
      </w:pPr>
      <w:rPr>
        <w:rFonts w:hint="default"/>
      </w:rPr>
      <w:start w:val="1"/>
      <w:suff w:val="nothing"/>
    </w:lvl>
    <w:lvl w:ilvl="6">
      <w:isLgl w:val="false"/>
      <w:lvlJc w:val="left"/>
      <w:lvlText w:val=""/>
      <w:numFmt w:val="none"/>
      <w:pPr>
        <w:pBdr/>
        <w:spacing/>
        <w:ind w:firstLine="0" w:left="0"/>
      </w:pPr>
      <w:rPr>
        <w:rFonts w:hint="default"/>
      </w:rPr>
      <w:start w:val="1"/>
      <w:suff w:val="nothing"/>
    </w:lvl>
    <w:lvl w:ilvl="7">
      <w:isLgl w:val="false"/>
      <w:lvlJc w:val="left"/>
      <w:lvlText w:val=""/>
      <w:numFmt w:val="none"/>
      <w:pPr>
        <w:pBdr/>
        <w:spacing/>
        <w:ind w:firstLine="0" w:left="0"/>
      </w:pPr>
      <w:rPr>
        <w:rFonts w:hint="default"/>
      </w:rPr>
      <w:start w:val="1"/>
      <w:suff w:val="nothing"/>
    </w:lvl>
    <w:lvl w:ilvl="8">
      <w:isLgl w:val="false"/>
      <w:lvlJc w:val="left"/>
      <w:lvlText w:val=""/>
      <w:numFmt w:val="none"/>
      <w:pPr>
        <w:pBdr/>
        <w:spacing/>
        <w:ind w:firstLine="0" w:left="0"/>
      </w:pPr>
      <w:rPr>
        <w:rFonts w:hint="default"/>
      </w:rPr>
      <w:start w:val="1"/>
      <w:suff w:val="nothing"/>
    </w:lvl>
  </w:abstractNum>
  <w:abstractNum w:abstractNumId="79">
    <w:nsid w:val="7582E223"/>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80">
    <w:nsid w:val="0036DCF7"/>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81">
    <w:nsid w:val="19679644"/>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82">
    <w:nsid w:val="72EFC0AF"/>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3">
    <w:nsid w:val="3FD5ED0A"/>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84">
    <w:nsid w:val="6C734942"/>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5">
    <w:nsid w:val="1B49B691"/>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6">
    <w:nsid w:val="6EF26E1F"/>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7">
    <w:nsid w:val="608A77B2"/>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88">
    <w:nsid w:val="0B6BC479"/>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89">
    <w:nsid w:val="73CF2030"/>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0">
    <w:nsid w:val="436D4777"/>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1">
    <w:nsid w:val="27862F93"/>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92">
    <w:nsid w:val="288D761E"/>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3">
    <w:nsid w:val="2C4F6E23"/>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94">
    <w:nsid w:val="360B781A"/>
    <w:lvl w:ilvl="0">
      <w:isLgl w:val="false"/>
      <w:lvlJc w:val="left"/>
      <w:lvlText w:val="Chapter %1."/>
      <w:numFmt w:val="decimal"/>
      <w:pPr>
        <w:pBdr/>
        <w:spacing/>
        <w:ind w:firstLine="0" w:left="0"/>
      </w:pPr>
      <w:rPr>
        <w:rFonts w:hint="default"/>
      </w:rPr>
      <w:start w:val="1"/>
      <w:suff w:val="tab"/>
    </w:lvl>
    <w:lvl w:ilvl="1">
      <w:isLgl w:val="false"/>
      <w:lvlJc w:val="left"/>
      <w:lvlText w:val="%1.%2."/>
      <w:numFmt w:val="decimal"/>
      <w:pPr>
        <w:pBdr/>
        <w:spacing/>
        <w:ind w:firstLine="0" w:left="0"/>
      </w:pPr>
      <w:rPr>
        <w:rFonts w:hint="default"/>
      </w:rPr>
      <w:start w:val="1"/>
      <w:suff w:val="tab"/>
    </w:lvl>
    <w:lvl w:ilvl="2">
      <w:isLgl w:val="false"/>
      <w:lvlJc w:val="left"/>
      <w:lvlText w:val="%1.%2.%3."/>
      <w:numFmt w:val="decimal"/>
      <w:pPr>
        <w:pBdr/>
        <w:spacing/>
        <w:ind w:firstLine="0" w:left="0"/>
      </w:pPr>
      <w:rPr>
        <w:rFonts w:hint="default"/>
      </w:rPr>
      <w:start w:val="1"/>
      <w:suff w:val="tab"/>
    </w:lvl>
    <w:lvl w:ilvl="3">
      <w:isLgl w:val="false"/>
      <w:lvlJc w:val="left"/>
      <w:lvlText w:val=""/>
      <w:numFmt w:val="none"/>
      <w:pPr>
        <w:pBdr/>
        <w:spacing/>
        <w:ind w:firstLine="0" w:left="0"/>
      </w:pPr>
      <w:rPr>
        <w:rFonts w:hint="default"/>
      </w:rPr>
      <w:start w:val="1"/>
      <w:suff w:val="nothing"/>
    </w:lvl>
    <w:lvl w:ilvl="4">
      <w:isLgl w:val="false"/>
      <w:lvlJc w:val="left"/>
      <w:lvlText w:val=""/>
      <w:numFmt w:val="none"/>
      <w:pPr>
        <w:pBdr/>
        <w:spacing/>
        <w:ind w:firstLine="0" w:left="0"/>
      </w:pPr>
      <w:rPr>
        <w:rFonts w:hint="default"/>
      </w:rPr>
      <w:start w:val="1"/>
      <w:suff w:val="nothing"/>
    </w:lvl>
    <w:lvl w:ilvl="5">
      <w:isLgl w:val="false"/>
      <w:lvlJc w:val="left"/>
      <w:lvlText w:val=""/>
      <w:numFmt w:val="none"/>
      <w:pPr>
        <w:pBdr/>
        <w:spacing/>
        <w:ind w:firstLine="0" w:left="0"/>
      </w:pPr>
      <w:rPr>
        <w:rFonts w:hint="default"/>
      </w:rPr>
      <w:start w:val="1"/>
      <w:suff w:val="nothing"/>
    </w:lvl>
    <w:lvl w:ilvl="6">
      <w:isLgl w:val="false"/>
      <w:lvlJc w:val="left"/>
      <w:lvlText w:val=""/>
      <w:numFmt w:val="none"/>
      <w:pPr>
        <w:pBdr/>
        <w:spacing/>
        <w:ind w:firstLine="0" w:left="0"/>
      </w:pPr>
      <w:rPr>
        <w:rFonts w:hint="default"/>
      </w:rPr>
      <w:start w:val="1"/>
      <w:suff w:val="nothing"/>
    </w:lvl>
    <w:lvl w:ilvl="7">
      <w:isLgl w:val="false"/>
      <w:lvlJc w:val="left"/>
      <w:lvlText w:val=""/>
      <w:numFmt w:val="none"/>
      <w:pPr>
        <w:pBdr/>
        <w:spacing/>
        <w:ind w:firstLine="0" w:left="0"/>
      </w:pPr>
      <w:rPr>
        <w:rFonts w:hint="default"/>
      </w:rPr>
      <w:start w:val="1"/>
      <w:suff w:val="nothing"/>
    </w:lvl>
    <w:lvl w:ilvl="8">
      <w:isLgl w:val="false"/>
      <w:lvlJc w:val="left"/>
      <w:lvlText w:val=""/>
      <w:numFmt w:val="none"/>
      <w:pPr>
        <w:pBdr/>
        <w:spacing/>
        <w:ind w:firstLine="0" w:left="0"/>
      </w:pPr>
      <w:rPr>
        <w:rFonts w:hint="default"/>
      </w:rPr>
      <w:start w:val="1"/>
      <w:suff w:val="nothing"/>
    </w:lvl>
  </w:abstractNum>
  <w:abstractNum w:abstractNumId="95">
    <w:nsid w:val="3DFA14C3"/>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96">
    <w:nsid w:val="3A5AA05C"/>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97">
    <w:nsid w:val="4093E7EC"/>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98">
    <w:nsid w:val="71C41000"/>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99">
    <w:nsid w:val="48179D52"/>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00">
    <w:nsid w:val="17180C5D"/>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01">
    <w:nsid w:val="75B9CB55"/>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02">
    <w:nsid w:val="5AB63E70"/>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03">
    <w:nsid w:val="6731FD90"/>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04">
    <w:nsid w:val="2F023325"/>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05">
    <w:nsid w:val="7A374732"/>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06">
    <w:nsid w:val="0985E97F"/>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07">
    <w:nsid w:val="194337D5"/>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08">
    <w:nsid w:val="6820AAF1"/>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09">
    <w:nsid w:val="5DEDC759"/>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10">
    <w:nsid w:val="2E9FC736"/>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11">
    <w:nsid w:val="026064E2"/>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12">
    <w:nsid w:val="5C66494C"/>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6"/>
  </w:num>
  <w:num w:numId="8">
    <w:abstractNumId w:val="8"/>
  </w:num>
  <w:num w:numId="9">
    <w:abstractNumId w:val="5"/>
  </w:num>
  <w:num w:numId="10">
    <w:abstractNumId w:val="7"/>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 w:numId="93">
    <w:abstractNumId w:val="92"/>
  </w:num>
  <w:num w:numId="94">
    <w:abstractNumId w:val="93"/>
  </w:num>
  <w:num w:numId="95">
    <w:abstractNumId w:val="94"/>
  </w:num>
  <w:num w:numId="96">
    <w:abstractNumId w:val="95"/>
  </w:num>
  <w:num w:numId="97">
    <w:abstractNumId w:val="96"/>
  </w:num>
  <w:num w:numId="98">
    <w:abstractNumId w:val="97"/>
  </w:num>
  <w:num w:numId="99">
    <w:abstractNumId w:val="98"/>
  </w:num>
  <w:num w:numId="100">
    <w:abstractNumId w:val="99"/>
  </w:num>
  <w:num w:numId="101">
    <w:abstractNumId w:val="100"/>
  </w:num>
  <w:num w:numId="102">
    <w:abstractNumId w:val="101"/>
  </w:num>
  <w:num w:numId="103">
    <w:abstractNumId w:val="102"/>
  </w:num>
  <w:num w:numId="104">
    <w:abstractNumId w:val="103"/>
  </w:num>
  <w:num w:numId="105">
    <w:abstractNumId w:val="104"/>
  </w:num>
  <w:num w:numId="106">
    <w:abstractNumId w:val="105"/>
  </w:num>
  <w:num w:numId="107">
    <w:abstractNumId w:val="106"/>
  </w:num>
  <w:num w:numId="108">
    <w:abstractNumId w:val="107"/>
  </w:num>
  <w:num w:numId="109">
    <w:abstractNumId w:val="108"/>
  </w:num>
  <w:num w:numId="110">
    <w:abstractNumId w:val="109"/>
  </w:num>
  <w:num w:numId="111">
    <w:abstractNumId w:val="110"/>
  </w:num>
  <w:num w:numId="112">
    <w:abstractNumId w:val="111"/>
  </w:num>
  <w:num w:numId="113">
    <w:abstractNumId w:val="1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977">
    <w:name w:val="Table Grid Light"/>
    <w:basedOn w:val="112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Plain Table 1"/>
    <w:basedOn w:val="112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Plain Table 4"/>
    <w:basedOn w:val="112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Plain Table 5"/>
    <w:basedOn w:val="112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Grid Table 1 Light"/>
    <w:basedOn w:val="112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Grid Table 1 Light - Accent 1"/>
    <w:basedOn w:val="112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Grid Table 1 Light - Accent 2"/>
    <w:basedOn w:val="112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Grid Table 1 Light - Accent 3"/>
    <w:basedOn w:val="112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Grid Table 1 Light - Accent 4"/>
    <w:basedOn w:val="112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Grid Table 1 Light - Accent 5"/>
    <w:basedOn w:val="112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Grid Table 1 Light - Accent 6"/>
    <w:basedOn w:val="112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Grid Table 2"/>
    <w:basedOn w:val="112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Grid Table 2 - Accent 1"/>
    <w:basedOn w:val="112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Grid Table 2 - Accent 2"/>
    <w:basedOn w:val="112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Grid Table 2 - Accent 3"/>
    <w:basedOn w:val="112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Grid Table 2 - Accent 4"/>
    <w:basedOn w:val="112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Grid Table 2 - Accent 5"/>
    <w:basedOn w:val="112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Grid Table 2 - Accent 6"/>
    <w:basedOn w:val="112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Grid Table 3"/>
    <w:basedOn w:val="112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Grid Table 3 - Accent 1"/>
    <w:basedOn w:val="112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Grid Table 3 - Accent 2"/>
    <w:basedOn w:val="112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Grid Table 3 - Accent 3"/>
    <w:basedOn w:val="112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Grid Table 3 - Accent 4"/>
    <w:basedOn w:val="112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Grid Table 3 - Accent 5"/>
    <w:basedOn w:val="112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Grid Table 3 - Accent 6"/>
    <w:basedOn w:val="112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Grid Table 4"/>
    <w:basedOn w:val="112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Grid Table 4 - Accent 1"/>
    <w:basedOn w:val="112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Grid Table 4 - Accent 2"/>
    <w:basedOn w:val="112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Grid Table 4 - Accent 3"/>
    <w:basedOn w:val="112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Grid Table 4 - Accent 4"/>
    <w:basedOn w:val="112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Grid Table 4 - Accent 5"/>
    <w:basedOn w:val="112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Grid Table 4 - Accent 6"/>
    <w:basedOn w:val="112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Grid Table 5 Dark"/>
    <w:basedOn w:val="112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Grid Table 5 Dark- Accent 1"/>
    <w:basedOn w:val="112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Grid Table 5 Dark - Accent 2"/>
    <w:basedOn w:val="112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Grid Table 5 Dark - Accent 3"/>
    <w:basedOn w:val="112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Grid Table 5 Dark- Accent 4"/>
    <w:basedOn w:val="112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Grid Table 5 Dark - Accent 5"/>
    <w:basedOn w:val="112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Grid Table 5 Dark - Accent 6"/>
    <w:basedOn w:val="112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Grid Table 6 Colorful"/>
    <w:basedOn w:val="112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1017">
    <w:name w:val="Grid Table 6 Colorful - Accent 1"/>
    <w:basedOn w:val="112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1018">
    <w:name w:val="Grid Table 6 Colorful - Accent 2"/>
    <w:basedOn w:val="112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1019">
    <w:name w:val="Grid Table 6 Colorful - Accent 3"/>
    <w:basedOn w:val="112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1020">
    <w:name w:val="Grid Table 6 Colorful - Accent 4"/>
    <w:basedOn w:val="112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1021">
    <w:name w:val="Grid Table 6 Colorful - Accent 5"/>
    <w:basedOn w:val="112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022">
    <w:name w:val="Grid Table 6 Colorful - Accent 6"/>
    <w:basedOn w:val="112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023">
    <w:name w:val="Grid Table 7 Colorful"/>
    <w:basedOn w:val="112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Grid Table 7 Colorful - Accent 1"/>
    <w:basedOn w:val="112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Grid Table 7 Colorful - Accent 2"/>
    <w:basedOn w:val="112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Grid Table 7 Colorful - Accent 3"/>
    <w:basedOn w:val="112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Grid Table 7 Colorful - Accent 4"/>
    <w:basedOn w:val="112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Grid Table 7 Colorful - Accent 5"/>
    <w:basedOn w:val="112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Grid Table 7 Colorful - Accent 6"/>
    <w:basedOn w:val="112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List Table 1 Light"/>
    <w:basedOn w:val="112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List Table 1 Light - Accent 1"/>
    <w:basedOn w:val="112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List Table 1 Light - Accent 2"/>
    <w:basedOn w:val="112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3">
    <w:name w:val="List Table 1 Light - Accent 3"/>
    <w:basedOn w:val="112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4">
    <w:name w:val="List Table 1 Light - Accent 4"/>
    <w:basedOn w:val="112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5">
    <w:name w:val="List Table 1 Light - Accent 5"/>
    <w:basedOn w:val="112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6">
    <w:name w:val="List Table 1 Light - Accent 6"/>
    <w:basedOn w:val="112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7">
    <w:name w:val="List Table 2"/>
    <w:basedOn w:val="112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8">
    <w:name w:val="List Table 2 - Accent 1"/>
    <w:basedOn w:val="112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9">
    <w:name w:val="List Table 2 - Accent 2"/>
    <w:basedOn w:val="112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0">
    <w:name w:val="List Table 2 - Accent 3"/>
    <w:basedOn w:val="112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1">
    <w:name w:val="List Table 2 - Accent 4"/>
    <w:basedOn w:val="112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2">
    <w:name w:val="List Table 2 - Accent 5"/>
    <w:basedOn w:val="112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3">
    <w:name w:val="List Table 2 - Accent 6"/>
    <w:basedOn w:val="112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4">
    <w:name w:val="List Table 3"/>
    <w:basedOn w:val="112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5">
    <w:name w:val="List Table 3 - Accent 1"/>
    <w:basedOn w:val="112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6">
    <w:name w:val="List Table 3 - Accent 2"/>
    <w:basedOn w:val="112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7">
    <w:name w:val="List Table 3 - Accent 3"/>
    <w:basedOn w:val="112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8">
    <w:name w:val="List Table 3 - Accent 4"/>
    <w:basedOn w:val="112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9">
    <w:name w:val="List Table 3 - Accent 5"/>
    <w:basedOn w:val="112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0">
    <w:name w:val="List Table 3 - Accent 6"/>
    <w:basedOn w:val="112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1">
    <w:name w:val="List Table 4"/>
    <w:basedOn w:val="112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2">
    <w:name w:val="List Table 4 - Accent 1"/>
    <w:basedOn w:val="112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3">
    <w:name w:val="List Table 4 - Accent 2"/>
    <w:basedOn w:val="112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4">
    <w:name w:val="List Table 4 - Accent 3"/>
    <w:basedOn w:val="112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5">
    <w:name w:val="List Table 4 - Accent 4"/>
    <w:basedOn w:val="112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6">
    <w:name w:val="List Table 4 - Accent 5"/>
    <w:basedOn w:val="112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7">
    <w:name w:val="List Table 4 - Accent 6"/>
    <w:basedOn w:val="112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8">
    <w:name w:val="List Table 5 Dark"/>
    <w:basedOn w:val="112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59">
    <w:name w:val="List Table 5 Dark - Accent 1"/>
    <w:basedOn w:val="112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60">
    <w:name w:val="List Table 5 Dark - Accent 2"/>
    <w:basedOn w:val="112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61">
    <w:name w:val="List Table 5 Dark - Accent 3"/>
    <w:basedOn w:val="112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62">
    <w:name w:val="List Table 5 Dark - Accent 4"/>
    <w:basedOn w:val="112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63">
    <w:name w:val="List Table 5 Dark - Accent 5"/>
    <w:basedOn w:val="112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64">
    <w:name w:val="List Table 5 Dark - Accent 6"/>
    <w:basedOn w:val="112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65">
    <w:name w:val="List Table 6 Colorful"/>
    <w:basedOn w:val="112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6">
    <w:name w:val="List Table 6 Colorful - Accent 1"/>
    <w:basedOn w:val="112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7">
    <w:name w:val="List Table 6 Colorful - Accent 2"/>
    <w:basedOn w:val="112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8">
    <w:name w:val="List Table 6 Colorful - Accent 3"/>
    <w:basedOn w:val="112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9">
    <w:name w:val="List Table 6 Colorful - Accent 4"/>
    <w:basedOn w:val="112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0">
    <w:name w:val="List Table 6 Colorful - Accent 5"/>
    <w:basedOn w:val="112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1">
    <w:name w:val="List Table 6 Colorful - Accent 6"/>
    <w:basedOn w:val="112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2">
    <w:name w:val="List Table 7 Colorful"/>
    <w:basedOn w:val="112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073">
    <w:name w:val="List Table 7 Colorful - Accent 1"/>
    <w:basedOn w:val="112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074">
    <w:name w:val="List Table 7 Colorful - Accent 2"/>
    <w:basedOn w:val="112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075">
    <w:name w:val="List Table 7 Colorful - Accent 3"/>
    <w:basedOn w:val="112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076">
    <w:name w:val="List Table 7 Colorful - Accent 4"/>
    <w:basedOn w:val="112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077">
    <w:name w:val="List Table 7 Colorful - Accent 5"/>
    <w:basedOn w:val="112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078">
    <w:name w:val="List Table 7 Colorful - Accent 6"/>
    <w:basedOn w:val="112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079">
    <w:name w:val="Lined - Accent"/>
    <w:basedOn w:val="112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0">
    <w:name w:val="Lined - Accent 1"/>
    <w:basedOn w:val="112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1">
    <w:name w:val="Lined - Accent 2"/>
    <w:basedOn w:val="112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2">
    <w:name w:val="Lined - Accent 3"/>
    <w:basedOn w:val="112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3">
    <w:name w:val="Lined - Accent 4"/>
    <w:basedOn w:val="112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4">
    <w:name w:val="Lined - Accent 5"/>
    <w:basedOn w:val="112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5">
    <w:name w:val="Lined - Accent 6"/>
    <w:basedOn w:val="112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6">
    <w:name w:val="Bordered &amp; Lined - Accent"/>
    <w:basedOn w:val="112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7">
    <w:name w:val="Bordered &amp; Lined - Accent 1"/>
    <w:basedOn w:val="112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8">
    <w:name w:val="Bordered &amp; Lined - Accent 2"/>
    <w:basedOn w:val="112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9">
    <w:name w:val="Bordered &amp; Lined - Accent 3"/>
    <w:basedOn w:val="112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0">
    <w:name w:val="Bordered &amp; Lined - Accent 4"/>
    <w:basedOn w:val="112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1">
    <w:name w:val="Bordered &amp; Lined - Accent 5"/>
    <w:basedOn w:val="112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2">
    <w:name w:val="Bordered &amp; Lined - Accent 6"/>
    <w:basedOn w:val="112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3">
    <w:name w:val="Bordered"/>
    <w:basedOn w:val="112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4">
    <w:name w:val="Bordered - Accent 1"/>
    <w:basedOn w:val="112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5">
    <w:name w:val="Bordered - Accent 2"/>
    <w:basedOn w:val="112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6">
    <w:name w:val="Bordered - Accent 3"/>
    <w:basedOn w:val="112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7">
    <w:name w:val="Bordered - Accent 4"/>
    <w:basedOn w:val="112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8">
    <w:name w:val="Bordered - Accent 5"/>
    <w:basedOn w:val="112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9">
    <w:name w:val="Bordered - Accent 6"/>
    <w:basedOn w:val="112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100">
    <w:name w:val="Title"/>
    <w:basedOn w:val="1114"/>
    <w:next w:val="1114"/>
    <w:link w:val="1101"/>
    <w:uiPriority w:val="10"/>
    <w:qFormat/>
    <w:pPr>
      <w:pBdr/>
      <w:spacing w:after="80" w:line="240" w:lineRule="auto"/>
      <w:ind/>
      <w:contextualSpacing w:val="true"/>
    </w:pPr>
    <w:rPr>
      <w:rFonts w:ascii="Arial" w:hAnsi="Arial" w:eastAsia="Arial" w:cs="Arial"/>
      <w:spacing w:val="-10"/>
      <w:sz w:val="56"/>
      <w:szCs w:val="56"/>
    </w:rPr>
  </w:style>
  <w:style w:type="character" w:styleId="1101">
    <w:name w:val="Title Char"/>
    <w:basedOn w:val="1124"/>
    <w:link w:val="1100"/>
    <w:uiPriority w:val="10"/>
    <w:pPr>
      <w:pBdr/>
      <w:spacing/>
      <w:ind/>
    </w:pPr>
    <w:rPr>
      <w:rFonts w:ascii="Arial" w:hAnsi="Arial" w:eastAsia="Arial" w:cs="Arial"/>
      <w:spacing w:val="-10"/>
      <w:sz w:val="56"/>
      <w:szCs w:val="56"/>
    </w:rPr>
  </w:style>
  <w:style w:type="paragraph" w:styleId="1102">
    <w:name w:val="Subtitle"/>
    <w:basedOn w:val="1114"/>
    <w:next w:val="1114"/>
    <w:link w:val="1103"/>
    <w:uiPriority w:val="11"/>
    <w:qFormat/>
    <w:pPr>
      <w:numPr>
        <w:ilvl w:val="1"/>
      </w:numPr>
      <w:pBdr/>
      <w:spacing/>
      <w:ind/>
    </w:pPr>
    <w:rPr>
      <w:color w:val="595959" w:themeColor="text1" w:themeTint="A6"/>
      <w:spacing w:val="15"/>
      <w:sz w:val="28"/>
      <w:szCs w:val="28"/>
    </w:rPr>
  </w:style>
  <w:style w:type="character" w:styleId="1103">
    <w:name w:val="Subtitle Char"/>
    <w:basedOn w:val="1124"/>
    <w:link w:val="1102"/>
    <w:uiPriority w:val="11"/>
    <w:pPr>
      <w:pBdr/>
      <w:spacing/>
      <w:ind/>
    </w:pPr>
    <w:rPr>
      <w:color w:val="595959" w:themeColor="text1" w:themeTint="A6"/>
      <w:spacing w:val="15"/>
      <w:sz w:val="28"/>
      <w:szCs w:val="28"/>
    </w:rPr>
  </w:style>
  <w:style w:type="paragraph" w:styleId="1104">
    <w:name w:val="Quote"/>
    <w:basedOn w:val="1114"/>
    <w:next w:val="1114"/>
    <w:link w:val="1105"/>
    <w:uiPriority w:val="29"/>
    <w:qFormat/>
    <w:pPr>
      <w:pBdr/>
      <w:spacing w:before="160"/>
      <w:ind/>
      <w:jc w:val="center"/>
    </w:pPr>
    <w:rPr>
      <w:i/>
      <w:iCs/>
      <w:color w:val="404040" w:themeColor="text1" w:themeTint="BF"/>
    </w:rPr>
  </w:style>
  <w:style w:type="character" w:styleId="1105">
    <w:name w:val="Quote Char"/>
    <w:basedOn w:val="1124"/>
    <w:link w:val="1104"/>
    <w:uiPriority w:val="29"/>
    <w:pPr>
      <w:pBdr/>
      <w:spacing/>
      <w:ind/>
    </w:pPr>
    <w:rPr>
      <w:i/>
      <w:iCs/>
      <w:color w:val="404040" w:themeColor="text1" w:themeTint="BF"/>
    </w:rPr>
  </w:style>
  <w:style w:type="character" w:styleId="1106">
    <w:name w:val="Intense Emphasis"/>
    <w:basedOn w:val="1124"/>
    <w:uiPriority w:val="21"/>
    <w:qFormat/>
    <w:pPr>
      <w:pBdr/>
      <w:spacing/>
      <w:ind/>
    </w:pPr>
    <w:rPr>
      <w:i/>
      <w:iCs/>
      <w:color w:val="0f4761" w:themeColor="accent1" w:themeShade="BF"/>
    </w:rPr>
  </w:style>
  <w:style w:type="paragraph" w:styleId="1107">
    <w:name w:val="Intense Quote"/>
    <w:basedOn w:val="1114"/>
    <w:next w:val="1114"/>
    <w:link w:val="110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108">
    <w:name w:val="Intense Quote Char"/>
    <w:basedOn w:val="1124"/>
    <w:link w:val="1107"/>
    <w:uiPriority w:val="30"/>
    <w:pPr>
      <w:pBdr/>
      <w:spacing/>
      <w:ind/>
    </w:pPr>
    <w:rPr>
      <w:i/>
      <w:iCs/>
      <w:color w:val="0f4761" w:themeColor="accent1" w:themeShade="BF"/>
    </w:rPr>
  </w:style>
  <w:style w:type="character" w:styleId="1109">
    <w:name w:val="Intense Reference"/>
    <w:basedOn w:val="1124"/>
    <w:uiPriority w:val="32"/>
    <w:qFormat/>
    <w:pPr>
      <w:pBdr/>
      <w:spacing/>
      <w:ind/>
    </w:pPr>
    <w:rPr>
      <w:b/>
      <w:bCs/>
      <w:smallCaps/>
      <w:color w:val="0f4761" w:themeColor="accent1" w:themeShade="BF"/>
      <w:spacing w:val="5"/>
    </w:rPr>
  </w:style>
  <w:style w:type="paragraph" w:styleId="1110">
    <w:name w:val="No Spacing"/>
    <w:basedOn w:val="1114"/>
    <w:uiPriority w:val="1"/>
    <w:qFormat/>
    <w:pPr>
      <w:pBdr/>
      <w:spacing w:after="0" w:line="240" w:lineRule="auto"/>
      <w:ind/>
    </w:pPr>
  </w:style>
  <w:style w:type="character" w:styleId="1111">
    <w:name w:val="Subtle Emphasis"/>
    <w:basedOn w:val="1124"/>
    <w:uiPriority w:val="19"/>
    <w:qFormat/>
    <w:pPr>
      <w:pBdr/>
      <w:spacing/>
      <w:ind/>
    </w:pPr>
    <w:rPr>
      <w:i/>
      <w:iCs/>
      <w:color w:val="404040" w:themeColor="text1" w:themeTint="BF"/>
    </w:rPr>
  </w:style>
  <w:style w:type="character" w:styleId="1112">
    <w:name w:val="Subtle Reference"/>
    <w:basedOn w:val="1124"/>
    <w:uiPriority w:val="31"/>
    <w:qFormat/>
    <w:pPr>
      <w:pBdr/>
      <w:spacing/>
      <w:ind/>
    </w:pPr>
    <w:rPr>
      <w:smallCaps/>
      <w:color w:val="5a5a5a" w:themeColor="text1" w:themeTint="A5"/>
    </w:rPr>
  </w:style>
  <w:style w:type="character" w:styleId="1113">
    <w:name w:val="Book Title"/>
    <w:basedOn w:val="1124"/>
    <w:uiPriority w:val="33"/>
    <w:qFormat/>
    <w:pPr>
      <w:pBdr/>
      <w:spacing/>
      <w:ind/>
    </w:pPr>
    <w:rPr>
      <w:b/>
      <w:bCs/>
      <w:i/>
      <w:iCs/>
      <w:spacing w:val="5"/>
    </w:rPr>
  </w:style>
  <w:style w:type="paragraph" w:styleId="1114" w:default="1">
    <w:name w:val="Normal"/>
    <w:qFormat/>
    <w:pPr>
      <w:pBdr/>
      <w:spacing w:after="240" w:line="360" w:lineRule="auto"/>
      <w:ind/>
    </w:pPr>
    <w:rPr>
      <w:rFonts w:ascii="Arial" w:hAnsi="Arial"/>
    </w:rPr>
  </w:style>
  <w:style w:type="paragraph" w:styleId="1115">
    <w:name w:val="Heading 1"/>
    <w:basedOn w:val="1129"/>
    <w:next w:val="1128"/>
    <w:link w:val="1133"/>
    <w:uiPriority w:val="9"/>
    <w:qFormat/>
    <w:pPr>
      <w:keepNext w:val="true"/>
      <w:keepLines w:val="true"/>
      <w:pageBreakBefore w:val="true"/>
      <w:numPr>
        <w:numId w:val="9"/>
      </w:numPr>
      <w:pBdr/>
      <w:spacing w:after="480" w:line="240" w:lineRule="auto"/>
      <w:ind/>
      <w:outlineLvl w:val="0"/>
    </w:pPr>
    <w:rPr>
      <w:rFonts w:eastAsiaTheme="majorEastAsia" w:cstheme="majorBidi"/>
      <w:b/>
      <w:color w:val="000000" w:themeColor="text1"/>
      <w:sz w:val="34"/>
      <w:szCs w:val="32"/>
    </w:rPr>
  </w:style>
  <w:style w:type="paragraph" w:styleId="1116">
    <w:name w:val="Heading 2"/>
    <w:basedOn w:val="1127"/>
    <w:next w:val="1128"/>
    <w:link w:val="1134"/>
    <w:uiPriority w:val="9"/>
    <w:unhideWhenUsed/>
    <w:qFormat/>
    <w:pPr>
      <w:keepNext w:val="true"/>
      <w:keepLines w:val="true"/>
      <w:numPr>
        <w:ilvl w:val="1"/>
        <w:numId w:val="9"/>
      </w:numPr>
      <w:pBdr/>
      <w:spacing w:after="360" w:before="360" w:line="240" w:lineRule="auto"/>
      <w:ind w:hanging="720" w:left="720"/>
      <w:outlineLvl w:val="1"/>
    </w:pPr>
    <w:rPr>
      <w:rFonts w:eastAsiaTheme="majorEastAsia" w:cstheme="majorBidi"/>
      <w:b/>
      <w:color w:val="000000" w:themeColor="text1"/>
      <w:sz w:val="30"/>
      <w:szCs w:val="26"/>
    </w:rPr>
  </w:style>
  <w:style w:type="paragraph" w:styleId="1117">
    <w:name w:val="Heading 3"/>
    <w:basedOn w:val="1114"/>
    <w:next w:val="1128"/>
    <w:link w:val="1138"/>
    <w:uiPriority w:val="9"/>
    <w:unhideWhenUsed/>
    <w:qFormat/>
    <w:pPr>
      <w:keepNext w:val="true"/>
      <w:keepLines w:val="true"/>
      <w:numPr>
        <w:ilvl w:val="2"/>
        <w:numId w:val="9"/>
      </w:numPr>
      <w:pBdr/>
      <w:spacing w:after="360" w:before="360" w:line="240" w:lineRule="auto"/>
      <w:ind w:hanging="720" w:left="720"/>
      <w:outlineLvl w:val="2"/>
    </w:pPr>
    <w:rPr>
      <w:rFonts w:eastAsiaTheme="majorEastAsia" w:cstheme="majorBidi"/>
      <w:b/>
      <w:color w:val="000000" w:themeColor="text1"/>
      <w:sz w:val="26"/>
      <w:szCs w:val="24"/>
      <w:lang w:val="en-CA"/>
    </w:rPr>
  </w:style>
  <w:style w:type="paragraph" w:styleId="1118">
    <w:name w:val="Heading 4"/>
    <w:basedOn w:val="1114"/>
    <w:next w:val="1128"/>
    <w:link w:val="1148"/>
    <w:uiPriority w:val="9"/>
    <w:unhideWhenUsed/>
    <w:qFormat/>
    <w:pPr>
      <w:keepNext w:val="true"/>
      <w:keepLines w:val="true"/>
      <w:numPr>
        <w:ilvl w:val="3"/>
        <w:numId w:val="9"/>
      </w:numPr>
      <w:pBdr/>
      <w:spacing w:line="240" w:lineRule="auto"/>
      <w:ind/>
      <w:outlineLvl w:val="3"/>
    </w:pPr>
    <w:rPr>
      <w:rFonts w:eastAsiaTheme="majorEastAsia" w:cstheme="majorBidi"/>
      <w:b/>
      <w:i/>
      <w:iCs/>
      <w:color w:val="000000" w:themeColor="text1"/>
      <w:sz w:val="24"/>
    </w:rPr>
  </w:style>
  <w:style w:type="paragraph" w:styleId="1119">
    <w:name w:val="Heading 5"/>
    <w:basedOn w:val="1114"/>
    <w:next w:val="1128"/>
    <w:link w:val="1149"/>
    <w:uiPriority w:val="9"/>
    <w:unhideWhenUsed/>
    <w:qFormat/>
    <w:pPr>
      <w:keepNext w:val="true"/>
      <w:keepLines w:val="true"/>
      <w:numPr>
        <w:ilvl w:val="4"/>
        <w:numId w:val="9"/>
      </w:numPr>
      <w:pBdr/>
      <w:spacing w:line="240" w:lineRule="auto"/>
      <w:ind/>
      <w:outlineLvl w:val="4"/>
    </w:pPr>
    <w:rPr>
      <w:rFonts w:eastAsiaTheme="majorEastAsia" w:cstheme="majorBidi"/>
      <w:b/>
      <w:color w:val="000000" w:themeColor="text1"/>
    </w:rPr>
  </w:style>
  <w:style w:type="paragraph" w:styleId="1120">
    <w:name w:val="Heading 6"/>
    <w:basedOn w:val="1114"/>
    <w:next w:val="1114"/>
    <w:link w:val="1154"/>
    <w:uiPriority w:val="9"/>
    <w:semiHidden/>
    <w:unhideWhenUsed/>
    <w:qFormat/>
    <w:pPr>
      <w:keepNext w:val="true"/>
      <w:keepLines w:val="true"/>
      <w:numPr>
        <w:ilvl w:val="5"/>
        <w:numId w:val="9"/>
      </w:numPr>
      <w:pBdr/>
      <w:spacing w:after="0" w:before="40"/>
      <w:ind/>
      <w:outlineLvl w:val="5"/>
    </w:pPr>
    <w:rPr>
      <w:rFonts w:asciiTheme="majorHAnsi" w:hAnsiTheme="majorHAnsi" w:eastAsiaTheme="majorEastAsia" w:cstheme="majorBidi"/>
      <w:color w:val="1f4d78" w:themeColor="accent1" w:themeShade="7F"/>
    </w:rPr>
  </w:style>
  <w:style w:type="paragraph" w:styleId="1121">
    <w:name w:val="Heading 7"/>
    <w:basedOn w:val="1114"/>
    <w:next w:val="1114"/>
    <w:link w:val="1155"/>
    <w:uiPriority w:val="9"/>
    <w:semiHidden/>
    <w:unhideWhenUsed/>
    <w:qFormat/>
    <w:pPr>
      <w:keepNext w:val="true"/>
      <w:keepLines w:val="true"/>
      <w:numPr>
        <w:ilvl w:val="6"/>
        <w:numId w:val="9"/>
      </w:numPr>
      <w:pBdr/>
      <w:spacing w:after="0" w:before="40"/>
      <w:ind/>
      <w:outlineLvl w:val="6"/>
    </w:pPr>
    <w:rPr>
      <w:rFonts w:asciiTheme="majorHAnsi" w:hAnsiTheme="majorHAnsi" w:eastAsiaTheme="majorEastAsia" w:cstheme="majorBidi"/>
      <w:i/>
      <w:iCs/>
      <w:color w:val="1f4d78" w:themeColor="accent1" w:themeShade="7F"/>
    </w:rPr>
  </w:style>
  <w:style w:type="paragraph" w:styleId="1122">
    <w:name w:val="Heading 8"/>
    <w:basedOn w:val="1114"/>
    <w:next w:val="1114"/>
    <w:link w:val="1156"/>
    <w:uiPriority w:val="9"/>
    <w:semiHidden/>
    <w:unhideWhenUsed/>
    <w:qFormat/>
    <w:pPr>
      <w:keepNext w:val="true"/>
      <w:keepLines w:val="true"/>
      <w:numPr>
        <w:ilvl w:val="7"/>
        <w:numId w:val="9"/>
      </w:numPr>
      <w:pBdr/>
      <w:spacing w:after="0" w:before="40"/>
      <w:ind/>
      <w:outlineLvl w:val="7"/>
    </w:pPr>
    <w:rPr>
      <w:rFonts w:asciiTheme="majorHAnsi" w:hAnsiTheme="majorHAnsi" w:eastAsiaTheme="majorEastAsia" w:cstheme="majorBidi"/>
      <w:color w:val="272727" w:themeColor="text1" w:themeTint="D8"/>
      <w:sz w:val="21"/>
      <w:szCs w:val="21"/>
    </w:rPr>
  </w:style>
  <w:style w:type="paragraph" w:styleId="1123">
    <w:name w:val="Heading 9"/>
    <w:basedOn w:val="1114"/>
    <w:next w:val="1114"/>
    <w:link w:val="1157"/>
    <w:uiPriority w:val="9"/>
    <w:semiHidden/>
    <w:unhideWhenUsed/>
    <w:qFormat/>
    <w:pPr>
      <w:keepNext w:val="true"/>
      <w:keepLines w:val="true"/>
      <w:numPr>
        <w:ilvl w:val="8"/>
        <w:numId w:val="9"/>
      </w:numPr>
      <w:pBdr/>
      <w:spacing w:after="0" w:before="40"/>
      <w:ind/>
      <w:outlineLvl w:val="8"/>
    </w:pPr>
    <w:rPr>
      <w:rFonts w:asciiTheme="majorHAnsi" w:hAnsiTheme="majorHAnsi" w:eastAsiaTheme="majorEastAsia" w:cstheme="majorBidi"/>
      <w:i/>
      <w:iCs/>
      <w:color w:val="272727" w:themeColor="text1" w:themeTint="D8"/>
      <w:sz w:val="21"/>
      <w:szCs w:val="21"/>
    </w:rPr>
  </w:style>
  <w:style w:type="character" w:styleId="1124" w:default="1">
    <w:name w:val="Default Paragraph Font"/>
    <w:uiPriority w:val="1"/>
    <w:semiHidden/>
    <w:unhideWhenUsed/>
    <w:pPr>
      <w:pBdr/>
      <w:spacing/>
      <w:ind/>
    </w:pPr>
  </w:style>
  <w:style w:type="table" w:styleId="112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126" w:default="1">
    <w:name w:val="No List"/>
    <w:uiPriority w:val="99"/>
    <w:semiHidden/>
    <w:unhideWhenUsed/>
    <w:pPr>
      <w:pBdr/>
      <w:spacing/>
      <w:ind/>
    </w:pPr>
  </w:style>
  <w:style w:type="paragraph" w:styleId="1127" w:customStyle="1">
    <w:name w:val="1_Para_FlushLeft"/>
    <w:basedOn w:val="1114"/>
    <w:next w:val="1128"/>
    <w:qFormat/>
    <w:pPr>
      <w:pBdr/>
      <w:spacing w:before="120"/>
      <w:ind/>
    </w:pPr>
    <w:rPr>
      <w:lang w:val="en-CA"/>
    </w:rPr>
  </w:style>
  <w:style w:type="paragraph" w:styleId="1128" w:customStyle="1">
    <w:name w:val="1_Para"/>
    <w:basedOn w:val="1127"/>
    <w:qFormat/>
    <w:pPr>
      <w:pBdr/>
      <w:spacing/>
      <w:ind w:firstLine="720"/>
    </w:pPr>
  </w:style>
  <w:style w:type="paragraph" w:styleId="1129" w:customStyle="1">
    <w:name w:val="1_Para_HangingIndent"/>
    <w:basedOn w:val="1127"/>
    <w:next w:val="1128"/>
    <w:qFormat/>
    <w:pPr>
      <w:pBdr/>
      <w:spacing/>
      <w:ind w:hanging="720" w:left="720"/>
    </w:pPr>
  </w:style>
  <w:style w:type="paragraph" w:styleId="1130" w:customStyle="1">
    <w:name w:val="9_TitlePage_Title"/>
    <w:basedOn w:val="1114"/>
    <w:qFormat/>
    <w:pPr>
      <w:pBdr/>
      <w:spacing w:after="0" w:before="840"/>
      <w:ind/>
      <w:jc w:val="center"/>
    </w:pPr>
    <w:rPr>
      <w:b/>
      <w:sz w:val="34"/>
      <w:szCs w:val="34"/>
    </w:rPr>
  </w:style>
  <w:style w:type="character" w:styleId="1131">
    <w:name w:val="Emphasis"/>
    <w:basedOn w:val="1124"/>
    <w:uiPriority w:val="20"/>
    <w:qFormat/>
    <w:pPr>
      <w:pBdr/>
      <w:spacing/>
      <w:ind/>
    </w:pPr>
    <w:rPr>
      <w:i/>
      <w:iCs/>
    </w:rPr>
  </w:style>
  <w:style w:type="paragraph" w:styleId="1132" w:customStyle="1">
    <w:name w:val="9_TitlePage_Text"/>
    <w:basedOn w:val="1114"/>
    <w:next w:val="1128"/>
    <w:qFormat/>
    <w:pPr>
      <w:pBdr/>
      <w:spacing w:after="360" w:before="360"/>
      <w:ind/>
      <w:jc w:val="center"/>
    </w:pPr>
    <w:rPr>
      <w:sz w:val="24"/>
    </w:rPr>
  </w:style>
  <w:style w:type="character" w:styleId="1133" w:customStyle="1">
    <w:name w:val="Heading 1 Char"/>
    <w:basedOn w:val="1124"/>
    <w:link w:val="1115"/>
    <w:uiPriority w:val="9"/>
    <w:pPr>
      <w:pBdr/>
      <w:spacing/>
      <w:ind/>
    </w:pPr>
    <w:rPr>
      <w:rFonts w:ascii="Arial" w:hAnsi="Arial" w:eastAsiaTheme="majorEastAsia" w:cstheme="majorBidi"/>
      <w:b/>
      <w:color w:val="000000" w:themeColor="text1"/>
      <w:sz w:val="34"/>
      <w:szCs w:val="32"/>
      <w:lang w:val="en-CA"/>
    </w:rPr>
  </w:style>
  <w:style w:type="character" w:styleId="1134" w:customStyle="1">
    <w:name w:val="Heading 2 Char"/>
    <w:basedOn w:val="1124"/>
    <w:link w:val="1116"/>
    <w:uiPriority w:val="9"/>
    <w:pPr>
      <w:pBdr/>
      <w:spacing/>
      <w:ind/>
    </w:pPr>
    <w:rPr>
      <w:rFonts w:ascii="Arial" w:hAnsi="Arial" w:eastAsiaTheme="majorEastAsia" w:cstheme="majorBidi"/>
      <w:b/>
      <w:color w:val="000000" w:themeColor="text1"/>
      <w:sz w:val="30"/>
      <w:szCs w:val="26"/>
      <w:lang w:val="en-CA"/>
    </w:rPr>
  </w:style>
  <w:style w:type="paragraph" w:styleId="1135" w:customStyle="1">
    <w:name w:val="Heading 1_Preliminary"/>
    <w:basedOn w:val="1116"/>
    <w:next w:val="1128"/>
    <w:qFormat/>
    <w:pPr>
      <w:pageBreakBefore w:val="true"/>
      <w:numPr>
        <w:ilvl w:val="0"/>
        <w:numId w:val="0"/>
      </w:numPr>
      <w:pBdr/>
      <w:spacing w:before="120"/>
      <w:ind/>
    </w:pPr>
  </w:style>
  <w:style w:type="paragraph" w:styleId="1136" w:customStyle="1">
    <w:name w:val="Heading 1_NoNumber"/>
    <w:basedOn w:val="1127"/>
    <w:next w:val="1128"/>
    <w:qFormat/>
    <w:pPr>
      <w:pageBreakBefore w:val="true"/>
      <w:pBdr/>
      <w:spacing w:after="480" w:line="240" w:lineRule="auto"/>
      <w:ind/>
      <w:outlineLvl w:val="0"/>
    </w:pPr>
    <w:rPr>
      <w:b/>
      <w:sz w:val="34"/>
    </w:rPr>
  </w:style>
  <w:style w:type="paragraph" w:styleId="1137" w:customStyle="1">
    <w:name w:val="Heading 2_NoNumber"/>
    <w:basedOn w:val="1116"/>
    <w:next w:val="1128"/>
    <w:qFormat/>
    <w:pPr>
      <w:numPr>
        <w:ilvl w:val="0"/>
        <w:numId w:val="0"/>
      </w:numPr>
      <w:pBdr/>
      <w:spacing/>
      <w:ind/>
    </w:pPr>
  </w:style>
  <w:style w:type="character" w:styleId="1138" w:customStyle="1">
    <w:name w:val="Heading 3 Char"/>
    <w:basedOn w:val="1124"/>
    <w:link w:val="1117"/>
    <w:uiPriority w:val="9"/>
    <w:pPr>
      <w:pBdr/>
      <w:spacing/>
      <w:ind/>
    </w:pPr>
    <w:rPr>
      <w:rFonts w:ascii="Arial" w:hAnsi="Arial" w:eastAsiaTheme="majorEastAsia" w:cstheme="majorBidi"/>
      <w:b/>
      <w:color w:val="000000" w:themeColor="text1"/>
      <w:sz w:val="26"/>
      <w:szCs w:val="24"/>
      <w:lang w:val="en-CA"/>
    </w:rPr>
  </w:style>
  <w:style w:type="paragraph" w:styleId="1139" w:customStyle="1">
    <w:name w:val="Heading 3_NoNumber"/>
    <w:basedOn w:val="1117"/>
    <w:next w:val="1128"/>
    <w:qFormat/>
    <w:pPr>
      <w:numPr>
        <w:ilvl w:val="0"/>
        <w:numId w:val="0"/>
      </w:numPr>
      <w:pBdr/>
      <w:spacing/>
      <w:ind/>
    </w:pPr>
  </w:style>
  <w:style w:type="paragraph" w:styleId="1140">
    <w:name w:val="toc 2"/>
    <w:basedOn w:val="1114"/>
    <w:next w:val="1114"/>
    <w:uiPriority w:val="39"/>
    <w:unhideWhenUsed/>
    <w:qFormat/>
    <w:pPr>
      <w:pBdr/>
      <w:tabs>
        <w:tab w:val="left" w:leader="none" w:pos="605"/>
        <w:tab w:val="right" w:leader="dot" w:pos="8630"/>
      </w:tabs>
      <w:spacing w:after="0" w:before="40" w:line="240" w:lineRule="auto"/>
      <w:ind w:hanging="605" w:left="605"/>
    </w:pPr>
    <w:rPr>
      <w:bCs/>
      <w:szCs w:val="20"/>
    </w:rPr>
  </w:style>
  <w:style w:type="paragraph" w:styleId="1141">
    <w:name w:val="toc 1"/>
    <w:basedOn w:val="1114"/>
    <w:next w:val="1114"/>
    <w:uiPriority w:val="39"/>
    <w:unhideWhenUsed/>
    <w:qFormat/>
    <w:pPr>
      <w:pBdr/>
      <w:tabs>
        <w:tab w:val="right" w:leader="dot" w:pos="8630"/>
      </w:tabs>
      <w:spacing w:after="0" w:before="240" w:line="240" w:lineRule="auto"/>
      <w:ind w:hanging="605" w:left="605"/>
    </w:pPr>
    <w:rPr>
      <w:b/>
      <w:bCs/>
      <w:szCs w:val="24"/>
    </w:rPr>
  </w:style>
  <w:style w:type="paragraph" w:styleId="1142">
    <w:name w:val="toc 3"/>
    <w:basedOn w:val="1114"/>
    <w:next w:val="1114"/>
    <w:uiPriority w:val="39"/>
    <w:unhideWhenUsed/>
    <w:qFormat/>
    <w:pPr>
      <w:pBdr/>
      <w:spacing w:after="0" w:before="40" w:line="240" w:lineRule="auto"/>
      <w:ind w:hanging="835" w:left="1440"/>
    </w:pPr>
    <w:rPr>
      <w:szCs w:val="20"/>
    </w:rPr>
  </w:style>
  <w:style w:type="character" w:styleId="1143">
    <w:name w:val="Hyperlink"/>
    <w:basedOn w:val="1124"/>
    <w:uiPriority w:val="99"/>
    <w:unhideWhenUsed/>
    <w:pPr>
      <w:pBdr/>
      <w:spacing/>
      <w:ind/>
    </w:pPr>
    <w:rPr>
      <w:color w:val="0563c1" w:themeColor="hyperlink"/>
      <w:u w:val="single"/>
    </w:rPr>
  </w:style>
  <w:style w:type="paragraph" w:styleId="1144">
    <w:name w:val="Header"/>
    <w:basedOn w:val="1114"/>
    <w:link w:val="1145"/>
    <w:uiPriority w:val="99"/>
    <w:unhideWhenUsed/>
    <w:pPr>
      <w:pBdr/>
      <w:tabs>
        <w:tab w:val="center" w:leader="none" w:pos="4680"/>
        <w:tab w:val="right" w:leader="none" w:pos="9360"/>
      </w:tabs>
      <w:spacing w:after="0" w:line="240" w:lineRule="auto"/>
      <w:ind/>
    </w:pPr>
  </w:style>
  <w:style w:type="character" w:styleId="1145" w:customStyle="1">
    <w:name w:val="Header Char"/>
    <w:basedOn w:val="1124"/>
    <w:link w:val="1144"/>
    <w:uiPriority w:val="99"/>
    <w:pPr>
      <w:pBdr/>
      <w:spacing/>
      <w:ind/>
    </w:pPr>
    <w:rPr>
      <w:rFonts w:ascii="Arial" w:hAnsi="Arial"/>
    </w:rPr>
  </w:style>
  <w:style w:type="paragraph" w:styleId="1146">
    <w:name w:val="Footer"/>
    <w:basedOn w:val="1114"/>
    <w:link w:val="1147"/>
    <w:uiPriority w:val="99"/>
    <w:unhideWhenUsed/>
    <w:pPr>
      <w:pBdr/>
      <w:tabs>
        <w:tab w:val="center" w:leader="none" w:pos="4680"/>
        <w:tab w:val="right" w:leader="none" w:pos="9360"/>
      </w:tabs>
      <w:spacing w:after="0" w:line="240" w:lineRule="auto"/>
      <w:ind/>
    </w:pPr>
  </w:style>
  <w:style w:type="character" w:styleId="1147" w:customStyle="1">
    <w:name w:val="Footer Char"/>
    <w:basedOn w:val="1124"/>
    <w:link w:val="1146"/>
    <w:uiPriority w:val="99"/>
    <w:pPr>
      <w:pBdr/>
      <w:spacing/>
      <w:ind/>
    </w:pPr>
    <w:rPr>
      <w:rFonts w:ascii="Arial" w:hAnsi="Arial"/>
    </w:rPr>
  </w:style>
  <w:style w:type="character" w:styleId="1148" w:customStyle="1">
    <w:name w:val="Heading 4 Char"/>
    <w:basedOn w:val="1124"/>
    <w:link w:val="1118"/>
    <w:uiPriority w:val="9"/>
    <w:pPr>
      <w:pBdr/>
      <w:spacing/>
      <w:ind/>
    </w:pPr>
    <w:rPr>
      <w:rFonts w:ascii="Arial" w:hAnsi="Arial" w:eastAsiaTheme="majorEastAsia" w:cstheme="majorBidi"/>
      <w:b/>
      <w:i/>
      <w:iCs/>
      <w:color w:val="000000" w:themeColor="text1"/>
      <w:sz w:val="24"/>
    </w:rPr>
  </w:style>
  <w:style w:type="character" w:styleId="1149" w:customStyle="1">
    <w:name w:val="Heading 5 Char"/>
    <w:basedOn w:val="1124"/>
    <w:link w:val="1119"/>
    <w:uiPriority w:val="9"/>
    <w:pPr>
      <w:pBdr/>
      <w:spacing/>
      <w:ind/>
    </w:pPr>
    <w:rPr>
      <w:rFonts w:ascii="Arial" w:hAnsi="Arial" w:eastAsiaTheme="majorEastAsia" w:cstheme="majorBidi"/>
      <w:b/>
      <w:color w:val="000000" w:themeColor="text1"/>
    </w:rPr>
  </w:style>
  <w:style w:type="paragraph" w:styleId="1150">
    <w:name w:val="toc 4"/>
    <w:basedOn w:val="1114"/>
    <w:next w:val="1114"/>
    <w:uiPriority w:val="39"/>
    <w:unhideWhenUsed/>
    <w:pPr>
      <w:pBdr/>
      <w:tabs>
        <w:tab w:val="right" w:leader="dot" w:pos="8630"/>
      </w:tabs>
      <w:spacing w:after="0" w:before="40" w:line="240" w:lineRule="auto"/>
      <w:ind w:hanging="288" w:left="1728"/>
    </w:pPr>
    <w:rPr>
      <w:sz w:val="20"/>
      <w:szCs w:val="20"/>
    </w:rPr>
  </w:style>
  <w:style w:type="paragraph" w:styleId="1151" w:customStyle="1">
    <w:name w:val="3_Figure_NoCaptionOrNote"/>
    <w:basedOn w:val="1114"/>
    <w:next w:val="1128"/>
    <w:qFormat/>
    <w:pPr>
      <w:pBdr/>
      <w:spacing w:after="480" w:before="120" w:line="240" w:lineRule="auto"/>
      <w:ind/>
      <w:jc w:val="center"/>
    </w:pPr>
  </w:style>
  <w:style w:type="paragraph" w:styleId="1152" w:customStyle="1">
    <w:name w:val="3_CaptionAbove"/>
    <w:basedOn w:val="1114"/>
    <w:qFormat/>
    <w:pPr>
      <w:keepNext w:val="true"/>
      <w:keepLines w:val="true"/>
      <w:pBdr/>
      <w:spacing w:after="120" w:before="240" w:line="240" w:lineRule="auto"/>
      <w:ind w:hanging="1440" w:left="1440"/>
    </w:pPr>
    <w:rPr>
      <w:b/>
    </w:rPr>
  </w:style>
  <w:style w:type="paragraph" w:styleId="1153">
    <w:name w:val="table of figures"/>
    <w:basedOn w:val="1114"/>
    <w:next w:val="1114"/>
    <w:uiPriority w:val="99"/>
    <w:unhideWhenUsed/>
    <w:pPr>
      <w:pBdr/>
      <w:spacing w:after="0" w:before="80" w:line="240" w:lineRule="auto"/>
      <w:ind w:hanging="1440" w:left="1440"/>
    </w:pPr>
  </w:style>
  <w:style w:type="character" w:styleId="1154" w:customStyle="1">
    <w:name w:val="Heading 6 Char"/>
    <w:basedOn w:val="1124"/>
    <w:link w:val="1120"/>
    <w:uiPriority w:val="9"/>
    <w:semiHidden/>
    <w:pPr>
      <w:pBdr/>
      <w:spacing/>
      <w:ind/>
    </w:pPr>
    <w:rPr>
      <w:rFonts w:asciiTheme="majorHAnsi" w:hAnsiTheme="majorHAnsi" w:eastAsiaTheme="majorEastAsia" w:cstheme="majorBidi"/>
      <w:color w:val="1f4d78" w:themeColor="accent1" w:themeShade="7F"/>
    </w:rPr>
  </w:style>
  <w:style w:type="character" w:styleId="1155" w:customStyle="1">
    <w:name w:val="Heading 7 Char"/>
    <w:basedOn w:val="1124"/>
    <w:link w:val="1121"/>
    <w:uiPriority w:val="9"/>
    <w:semiHidden/>
    <w:pPr>
      <w:pBdr/>
      <w:spacing/>
      <w:ind/>
    </w:pPr>
    <w:rPr>
      <w:rFonts w:asciiTheme="majorHAnsi" w:hAnsiTheme="majorHAnsi" w:eastAsiaTheme="majorEastAsia" w:cstheme="majorBidi"/>
      <w:i/>
      <w:iCs/>
      <w:color w:val="1f4d78" w:themeColor="accent1" w:themeShade="7F"/>
    </w:rPr>
  </w:style>
  <w:style w:type="character" w:styleId="1156" w:customStyle="1">
    <w:name w:val="Heading 8 Char"/>
    <w:basedOn w:val="1124"/>
    <w:link w:val="1122"/>
    <w:uiPriority w:val="9"/>
    <w:semiHidden/>
    <w:pPr>
      <w:pBdr/>
      <w:spacing/>
      <w:ind/>
    </w:pPr>
    <w:rPr>
      <w:rFonts w:asciiTheme="majorHAnsi" w:hAnsiTheme="majorHAnsi" w:eastAsiaTheme="majorEastAsia" w:cstheme="majorBidi"/>
      <w:color w:val="272727" w:themeColor="text1" w:themeTint="D8"/>
      <w:sz w:val="21"/>
      <w:szCs w:val="21"/>
    </w:rPr>
  </w:style>
  <w:style w:type="character" w:styleId="1157" w:customStyle="1">
    <w:name w:val="Heading 9 Char"/>
    <w:basedOn w:val="1124"/>
    <w:link w:val="1123"/>
    <w:uiPriority w:val="9"/>
    <w:semiHidden/>
    <w:pPr>
      <w:pBdr/>
      <w:spacing/>
      <w:ind/>
    </w:pPr>
    <w:rPr>
      <w:rFonts w:asciiTheme="majorHAnsi" w:hAnsiTheme="majorHAnsi" w:eastAsiaTheme="majorEastAsia" w:cstheme="majorBidi"/>
      <w:i/>
      <w:iCs/>
      <w:color w:val="272727" w:themeColor="text1" w:themeTint="D8"/>
      <w:sz w:val="21"/>
      <w:szCs w:val="21"/>
    </w:rPr>
  </w:style>
  <w:style w:type="paragraph" w:styleId="1158" w:customStyle="1">
    <w:name w:val="2_BlockQuote"/>
    <w:basedOn w:val="1114"/>
    <w:next w:val="1128"/>
    <w:qFormat/>
    <w:pPr>
      <w:pBdr/>
      <w:spacing w:before="40" w:line="240" w:lineRule="auto"/>
      <w:ind w:right="720" w:left="720"/>
      <w:jc w:val="both"/>
    </w:pPr>
  </w:style>
  <w:style w:type="paragraph" w:styleId="1159" w:customStyle="1">
    <w:name w:val="3_CaptionBelow"/>
    <w:basedOn w:val="1152"/>
    <w:next w:val="1128"/>
    <w:qFormat/>
    <w:pPr>
      <w:keepNext w:val="false"/>
      <w:pBdr/>
      <w:spacing w:after="360" w:before="120"/>
      <w:ind/>
    </w:pPr>
  </w:style>
  <w:style w:type="paragraph" w:styleId="1160" w:customStyle="1">
    <w:name w:val="3_TableData"/>
    <w:basedOn w:val="1114"/>
    <w:qFormat/>
    <w:pPr>
      <w:keepLines w:val="true"/>
      <w:pBdr/>
      <w:spacing w:after="20" w:before="20" w:line="240" w:lineRule="auto"/>
      <w:ind/>
    </w:pPr>
    <w:rPr>
      <w:rFonts w:ascii="Arial Narrow" w:hAnsi="Arial Narrow"/>
    </w:rPr>
  </w:style>
  <w:style w:type="paragraph" w:styleId="1161" w:customStyle="1">
    <w:name w:val="1_Para_NoSpace"/>
    <w:basedOn w:val="1127"/>
    <w:next w:val="1128"/>
    <w:qFormat/>
    <w:pPr>
      <w:pBdr/>
      <w:spacing w:after="40" w:line="240" w:lineRule="auto"/>
      <w:ind/>
    </w:pPr>
    <w:rPr>
      <w:rFonts w:eastAsia="Calibri" w:cs="Arial"/>
    </w:rPr>
  </w:style>
  <w:style w:type="paragraph" w:styleId="1162" w:customStyle="1">
    <w:name w:val="3_TableHeading_Column"/>
    <w:basedOn w:val="1160"/>
    <w:qFormat/>
    <w:pPr>
      <w:pBdr/>
      <w:spacing w:after="80" w:before="80"/>
      <w:ind/>
    </w:pPr>
    <w:rPr>
      <w:b/>
    </w:rPr>
  </w:style>
  <w:style w:type="paragraph" w:styleId="1163" w:customStyle="1">
    <w:name w:val="2_ParticipantQuote"/>
    <w:basedOn w:val="1158"/>
    <w:qFormat/>
    <w:pPr>
      <w:pBdr/>
      <w:spacing/>
      <w:ind/>
    </w:pPr>
    <w:rPr>
      <w:rFonts w:ascii="Verdana" w:hAnsi="Verdana"/>
      <w:iCs/>
      <w:color w:val="000000" w:themeColor="text1"/>
      <w:sz w:val="20"/>
    </w:rPr>
  </w:style>
  <w:style w:type="paragraph" w:styleId="1164" w:customStyle="1">
    <w:name w:val="2_QuestionAnswer"/>
    <w:basedOn w:val="1158"/>
    <w:next w:val="1128"/>
    <w:qFormat/>
    <w:pPr>
      <w:pBdr/>
      <w:spacing/>
      <w:ind w:hanging="864" w:left="1584"/>
    </w:pPr>
    <w:rPr>
      <w:rFonts w:ascii="Verdana" w:hAnsi="Verdana"/>
      <w:sz w:val="20"/>
    </w:rPr>
  </w:style>
  <w:style w:type="paragraph" w:styleId="1165" w:customStyle="1">
    <w:name w:val="3_Figure"/>
    <w:basedOn w:val="1151"/>
    <w:next w:val="1159"/>
    <w:qFormat/>
    <w:pPr>
      <w:keepNext w:val="true"/>
      <w:keepLines w:val="true"/>
      <w:pBdr/>
      <w:spacing w:after="0"/>
      <w:ind/>
    </w:pPr>
  </w:style>
  <w:style w:type="paragraph" w:styleId="1166" w:customStyle="1">
    <w:name w:val="2_Epigraph"/>
    <w:basedOn w:val="1158"/>
    <w:qFormat/>
    <w:pPr>
      <w:pBdr/>
      <w:spacing/>
      <w:ind/>
      <w:jc w:val="left"/>
    </w:pPr>
    <w:rPr>
      <w:i/>
    </w:rPr>
  </w:style>
  <w:style w:type="paragraph" w:styleId="1167" w:customStyle="1">
    <w:name w:val="2_List_ManualNumbering"/>
    <w:basedOn w:val="1114"/>
    <w:uiPriority w:val="99"/>
    <w:pPr>
      <w:pBdr/>
      <w:tabs>
        <w:tab w:val="left" w:leader="none" w:pos="1080"/>
        <w:tab w:val="right" w:leader="none" w:pos="7920"/>
      </w:tabs>
      <w:spacing w:before="120" w:line="240" w:lineRule="auto"/>
      <w:ind w:right="720" w:hanging="360" w:left="1080"/>
    </w:pPr>
    <w:rPr>
      <w:rFonts w:eastAsia="Calibri" w:cs="Arial"/>
      <w:lang w:val="en-CA"/>
    </w:rPr>
  </w:style>
  <w:style w:type="paragraph" w:styleId="1168" w:customStyle="1">
    <w:name w:val="2_Bullet"/>
    <w:basedOn w:val="1114"/>
    <w:uiPriority w:val="99"/>
    <w:pPr>
      <w:numPr>
        <w:numId w:val="10"/>
      </w:numPr>
      <w:pBdr/>
      <w:tabs>
        <w:tab w:val="left" w:leader="none" w:pos="990"/>
        <w:tab w:val="right" w:leader="none" w:pos="8640"/>
      </w:tabs>
      <w:spacing w:before="120" w:line="240" w:lineRule="auto"/>
      <w:ind w:hanging="274" w:left="994"/>
    </w:pPr>
    <w:rPr>
      <w:rFonts w:eastAsia="Calibri" w:cs="Arial"/>
      <w:lang w:val="en-CA"/>
    </w:rPr>
  </w:style>
  <w:style w:type="paragraph" w:styleId="1169" w:customStyle="1">
    <w:name w:val="2_Poem"/>
    <w:basedOn w:val="1114"/>
    <w:qFormat/>
    <w:pPr>
      <w:pBdr/>
      <w:tabs>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 w:val="left" w:leader="none" w:pos="6480"/>
        <w:tab w:val="left" w:leader="none" w:pos="6840"/>
        <w:tab w:val="left" w:leader="none" w:pos="7200"/>
        <w:tab w:val="right" w:leader="none" w:pos="7920"/>
      </w:tabs>
      <w:spacing w:line="240" w:lineRule="auto"/>
      <w:ind w:left="720"/>
    </w:pPr>
    <w:rPr>
      <w:rFonts w:eastAsia="Calibri" w:cs="Arial"/>
    </w:rPr>
  </w:style>
  <w:style w:type="paragraph" w:styleId="1170" w:customStyle="1">
    <w:name w:val="3_CaptionBelow_withNote"/>
    <w:basedOn w:val="1159"/>
    <w:next w:val="1173"/>
    <w:qFormat/>
    <w:pPr>
      <w:keepNext w:val="true"/>
      <w:pBdr/>
      <w:spacing w:after="0"/>
      <w:ind/>
    </w:pPr>
  </w:style>
  <w:style w:type="paragraph" w:styleId="1171" w:customStyle="1">
    <w:name w:val="3_TableData_Centre"/>
    <w:basedOn w:val="1160"/>
    <w:qFormat/>
    <w:pPr>
      <w:pBdr/>
      <w:spacing/>
      <w:ind/>
      <w:jc w:val="center"/>
    </w:pPr>
  </w:style>
  <w:style w:type="paragraph" w:styleId="1172" w:customStyle="1">
    <w:name w:val="3_TableData_Right"/>
    <w:basedOn w:val="1160"/>
    <w:qFormat/>
    <w:pPr>
      <w:pBdr/>
      <w:spacing/>
      <w:ind/>
      <w:jc w:val="right"/>
    </w:pPr>
  </w:style>
  <w:style w:type="paragraph" w:styleId="1173" w:customStyle="1">
    <w:name w:val="3_FigureNote"/>
    <w:basedOn w:val="1114"/>
    <w:next w:val="1128"/>
    <w:qFormat/>
    <w:pPr>
      <w:pBdr/>
      <w:spacing w:after="360" w:line="240" w:lineRule="auto"/>
      <w:ind/>
    </w:pPr>
    <w:rPr>
      <w:sz w:val="20"/>
    </w:rPr>
  </w:style>
  <w:style w:type="paragraph" w:styleId="1174" w:customStyle="1">
    <w:name w:val="5_Ref"/>
    <w:basedOn w:val="1114"/>
    <w:uiPriority w:val="99"/>
    <w:pPr>
      <w:keepLines w:val="true"/>
      <w:pBdr/>
      <w:spacing w:after="120" w:before="300" w:line="240" w:lineRule="auto"/>
      <w:ind w:hanging="720" w:left="720"/>
    </w:pPr>
    <w:rPr>
      <w:rFonts w:eastAsia="Calibri" w:cs="Arial"/>
      <w:lang w:val="en-CA"/>
    </w:rPr>
  </w:style>
  <w:style w:type="paragraph" w:styleId="1175" w:customStyle="1">
    <w:name w:val="3_TableNote"/>
    <w:basedOn w:val="1114"/>
    <w:qFormat/>
    <w:pPr>
      <w:pBdr/>
      <w:spacing w:after="360" w:before="40" w:line="240" w:lineRule="auto"/>
      <w:ind/>
    </w:pPr>
    <w:rPr>
      <w:rFonts w:ascii="Arial Narrow" w:hAnsi="Arial Narrow"/>
      <w:sz w:val="20"/>
    </w:rPr>
  </w:style>
  <w:style w:type="paragraph" w:styleId="1176" w:customStyle="1">
    <w:name w:val="5_Ref_AmerAntiq_Author"/>
    <w:basedOn w:val="1114"/>
    <w:next w:val="1177"/>
    <w:qFormat/>
    <w:pPr>
      <w:keepNext w:val="true"/>
      <w:keepLines w:val="true"/>
      <w:pBdr/>
      <w:spacing w:after="0" w:before="300" w:line="240" w:lineRule="auto"/>
      <w:ind/>
    </w:pPr>
    <w:rPr>
      <w:rFonts w:eastAsia="Calibri" w:cs="Arial"/>
      <w:lang w:val="en-CA"/>
    </w:rPr>
  </w:style>
  <w:style w:type="paragraph" w:styleId="1177" w:customStyle="1">
    <w:name w:val="5_Ref_AmerAntiq_Work"/>
    <w:basedOn w:val="1176"/>
    <w:qFormat/>
    <w:pPr>
      <w:keepNext w:val="false"/>
      <w:pBdr/>
      <w:tabs>
        <w:tab w:val="left" w:leader="none" w:pos="1080"/>
      </w:tabs>
      <w:spacing w:before="0"/>
      <w:ind w:hanging="360" w:left="720"/>
    </w:pPr>
  </w:style>
  <w:style w:type="character" w:styleId="1178">
    <w:name w:val="annotation reference"/>
    <w:basedOn w:val="1124"/>
    <w:uiPriority w:val="99"/>
    <w:semiHidden/>
    <w:unhideWhenUsed/>
    <w:pPr>
      <w:pBdr/>
      <w:spacing/>
      <w:ind/>
    </w:pPr>
    <w:rPr>
      <w:sz w:val="16"/>
      <w:szCs w:val="16"/>
    </w:rPr>
  </w:style>
  <w:style w:type="paragraph" w:styleId="1179">
    <w:name w:val="annotation text"/>
    <w:basedOn w:val="1114"/>
    <w:link w:val="1180"/>
    <w:uiPriority w:val="99"/>
    <w:semiHidden/>
    <w:unhideWhenUsed/>
    <w:pPr>
      <w:pBdr/>
      <w:spacing w:line="240" w:lineRule="auto"/>
      <w:ind/>
    </w:pPr>
    <w:rPr>
      <w:sz w:val="20"/>
      <w:szCs w:val="20"/>
    </w:rPr>
  </w:style>
  <w:style w:type="character" w:styleId="1180" w:customStyle="1">
    <w:name w:val="Comment Text Char"/>
    <w:basedOn w:val="1124"/>
    <w:link w:val="1179"/>
    <w:uiPriority w:val="99"/>
    <w:semiHidden/>
    <w:pPr>
      <w:pBdr/>
      <w:spacing/>
      <w:ind/>
    </w:pPr>
    <w:rPr>
      <w:rFonts w:ascii="Arial" w:hAnsi="Arial"/>
      <w:sz w:val="20"/>
      <w:szCs w:val="20"/>
    </w:rPr>
  </w:style>
  <w:style w:type="paragraph" w:styleId="1181">
    <w:name w:val="annotation subject"/>
    <w:basedOn w:val="1179"/>
    <w:next w:val="1179"/>
    <w:link w:val="1182"/>
    <w:uiPriority w:val="99"/>
    <w:semiHidden/>
    <w:unhideWhenUsed/>
    <w:pPr>
      <w:pBdr/>
      <w:spacing/>
      <w:ind/>
    </w:pPr>
    <w:rPr>
      <w:b/>
      <w:bCs/>
    </w:rPr>
  </w:style>
  <w:style w:type="character" w:styleId="1182" w:customStyle="1">
    <w:name w:val="Comment Subject Char"/>
    <w:basedOn w:val="1180"/>
    <w:link w:val="1181"/>
    <w:uiPriority w:val="99"/>
    <w:semiHidden/>
    <w:pPr>
      <w:pBdr/>
      <w:spacing/>
      <w:ind/>
    </w:pPr>
    <w:rPr>
      <w:rFonts w:ascii="Arial" w:hAnsi="Arial"/>
      <w:b/>
      <w:bCs/>
      <w:sz w:val="20"/>
      <w:szCs w:val="20"/>
    </w:rPr>
  </w:style>
  <w:style w:type="paragraph" w:styleId="1183">
    <w:name w:val="Balloon Text"/>
    <w:basedOn w:val="1114"/>
    <w:link w:val="1184"/>
    <w:uiPriority w:val="99"/>
    <w:semiHidden/>
    <w:unhideWhenUsed/>
    <w:pPr>
      <w:pBdr/>
      <w:spacing w:after="0" w:line="240" w:lineRule="auto"/>
      <w:ind/>
    </w:pPr>
    <w:rPr>
      <w:rFonts w:ascii="Segoe UI" w:hAnsi="Segoe UI" w:cs="Segoe UI"/>
      <w:sz w:val="18"/>
      <w:szCs w:val="18"/>
    </w:rPr>
  </w:style>
  <w:style w:type="character" w:styleId="1184" w:customStyle="1">
    <w:name w:val="Balloon Text Char"/>
    <w:basedOn w:val="1124"/>
    <w:link w:val="1183"/>
    <w:uiPriority w:val="99"/>
    <w:semiHidden/>
    <w:pPr>
      <w:pBdr/>
      <w:spacing/>
      <w:ind/>
    </w:pPr>
    <w:rPr>
      <w:rFonts w:ascii="Segoe UI" w:hAnsi="Segoe UI" w:cs="Segoe UI"/>
      <w:sz w:val="18"/>
      <w:szCs w:val="18"/>
    </w:rPr>
  </w:style>
  <w:style w:type="table" w:styleId="1185">
    <w:name w:val="Table Grid"/>
    <w:basedOn w:val="1125"/>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186">
    <w:name w:val="Caption"/>
    <w:basedOn w:val="1114"/>
    <w:next w:val="1114"/>
    <w:uiPriority w:val="35"/>
    <w:unhideWhenUsed/>
    <w:qFormat/>
    <w:pPr>
      <w:pBdr/>
      <w:spacing w:after="200" w:line="240" w:lineRule="auto"/>
      <w:ind/>
    </w:pPr>
    <w:rPr>
      <w:i/>
      <w:iCs/>
      <w:color w:val="44546a" w:themeColor="text2"/>
      <w:sz w:val="18"/>
      <w:szCs w:val="18"/>
    </w:rPr>
  </w:style>
  <w:style w:type="numbering" w:styleId="1187" w:customStyle="1">
    <w:name w:val="No List1"/>
    <w:next w:val="1126"/>
    <w:uiPriority w:val="99"/>
    <w:semiHidden/>
    <w:unhideWhenUsed/>
    <w:pPr>
      <w:pBdr/>
      <w:spacing/>
      <w:ind/>
    </w:pPr>
  </w:style>
  <w:style w:type="paragraph" w:styleId="1188">
    <w:name w:val="List Paragraph"/>
    <w:basedOn w:val="1114"/>
    <w:uiPriority w:val="34"/>
    <w:qFormat/>
    <w:pPr>
      <w:pBdr/>
      <w:spacing w:after="100" w:before="100" w:line="240" w:lineRule="auto"/>
      <w:ind w:left="720"/>
      <w:contextualSpacing w:val="true"/>
      <w:jc w:val="both"/>
    </w:pPr>
    <w:rPr>
      <w:rFonts w:ascii="Calibri" w:hAnsi="Calibri"/>
    </w:rPr>
  </w:style>
  <w:style w:type="paragraph" w:styleId="1189" w:customStyle="1">
    <w:name w:val="Default"/>
    <w:pPr>
      <w:pBdr/>
      <w:spacing w:after="0" w:before="100" w:line="240" w:lineRule="auto"/>
      <w:ind/>
      <w:jc w:val="both"/>
    </w:pPr>
    <w:rPr>
      <w:rFonts w:ascii="Arial" w:hAnsi="Arial" w:cs="Arial"/>
      <w:color w:val="000000"/>
      <w:sz w:val="24"/>
      <w:szCs w:val="24"/>
    </w:rPr>
  </w:style>
  <w:style w:type="paragraph" w:styleId="1190">
    <w:name w:val="Normal (Web)"/>
    <w:basedOn w:val="1114"/>
    <w:uiPriority w:val="99"/>
    <w:unhideWhenUsed/>
    <w:pPr>
      <w:pBdr/>
      <w:spacing w:after="100" w:afterAutospacing="1" w:before="100" w:beforeAutospacing="1" w:line="240" w:lineRule="auto"/>
      <w:ind/>
      <w:jc w:val="both"/>
    </w:pPr>
    <w:rPr>
      <w:rFonts w:ascii="Times New Roman" w:hAnsi="Times New Roman" w:eastAsia="Times New Roman" w:cs="Times New Roman"/>
      <w:sz w:val="24"/>
      <w:szCs w:val="24"/>
    </w:rPr>
  </w:style>
  <w:style w:type="character" w:styleId="1191">
    <w:name w:val="Placeholder Text"/>
    <w:basedOn w:val="1124"/>
    <w:uiPriority w:val="99"/>
    <w:semiHidden/>
    <w:pPr>
      <w:pBdr/>
      <w:spacing/>
      <w:ind/>
    </w:pPr>
    <w:rPr>
      <w:color w:val="808080"/>
    </w:rPr>
  </w:style>
  <w:style w:type="paragraph" w:styleId="1192">
    <w:name w:val="TOC Heading"/>
    <w:basedOn w:val="1115"/>
    <w:next w:val="1114"/>
    <w:uiPriority w:val="39"/>
    <w:unhideWhenUsed/>
    <w:qFormat/>
    <w:pPr>
      <w:pageBreakBefore w:val="false"/>
      <w:numPr>
        <w:numId w:val="0"/>
      </w:numPr>
      <w:pBdr/>
      <w:spacing w:after="0" w:line="276" w:lineRule="auto"/>
      <w:ind/>
      <w:outlineLvl w:val="9"/>
    </w:pPr>
    <w:rPr>
      <w:rFonts w:ascii="Cambria" w:hAnsi="Cambria"/>
      <w:bCs/>
      <w:color w:val="365f91"/>
      <w:sz w:val="28"/>
      <w:szCs w:val="28"/>
      <w:lang w:val="en-US" w:eastAsia="ja-JP"/>
    </w:rPr>
  </w:style>
  <w:style w:type="character" w:styleId="1193" w:customStyle="1">
    <w:name w:val="FollowedHyperlink1"/>
    <w:basedOn w:val="1124"/>
    <w:uiPriority w:val="99"/>
    <w:semiHidden/>
    <w:unhideWhenUsed/>
    <w:pPr>
      <w:pBdr/>
      <w:spacing/>
      <w:ind/>
    </w:pPr>
    <w:rPr>
      <w:color w:val="800080"/>
      <w:u w:val="single"/>
    </w:rPr>
  </w:style>
  <w:style w:type="paragraph" w:styleId="1194">
    <w:name w:val="endnote text"/>
    <w:basedOn w:val="1114"/>
    <w:link w:val="1195"/>
    <w:uiPriority w:val="99"/>
    <w:unhideWhenUsed/>
    <w:pPr>
      <w:pBdr/>
      <w:spacing w:after="0" w:before="100" w:line="240" w:lineRule="auto"/>
      <w:ind/>
      <w:jc w:val="both"/>
    </w:pPr>
    <w:rPr>
      <w:rFonts w:ascii="Calibri" w:hAnsi="Calibri"/>
      <w:sz w:val="20"/>
      <w:szCs w:val="20"/>
    </w:rPr>
  </w:style>
  <w:style w:type="character" w:styleId="1195" w:customStyle="1">
    <w:name w:val="Endnote Text Char"/>
    <w:basedOn w:val="1124"/>
    <w:link w:val="1194"/>
    <w:uiPriority w:val="99"/>
    <w:pPr>
      <w:pBdr/>
      <w:spacing/>
      <w:ind/>
    </w:pPr>
    <w:rPr>
      <w:rFonts w:ascii="Calibri" w:hAnsi="Calibri"/>
      <w:sz w:val="20"/>
      <w:szCs w:val="20"/>
    </w:rPr>
  </w:style>
  <w:style w:type="character" w:styleId="1196">
    <w:name w:val="endnote reference"/>
    <w:basedOn w:val="1124"/>
    <w:uiPriority w:val="99"/>
    <w:semiHidden/>
    <w:unhideWhenUsed/>
    <w:pPr>
      <w:pBdr/>
      <w:spacing/>
      <w:ind/>
    </w:pPr>
    <w:rPr>
      <w:vertAlign w:val="superscript"/>
    </w:rPr>
  </w:style>
  <w:style w:type="paragraph" w:styleId="1197">
    <w:name w:val="footnote text"/>
    <w:basedOn w:val="1114"/>
    <w:link w:val="1198"/>
    <w:uiPriority w:val="99"/>
    <w:unhideWhenUsed/>
    <w:pPr>
      <w:pBdr/>
      <w:spacing w:after="0" w:before="100" w:line="240" w:lineRule="auto"/>
      <w:ind/>
    </w:pPr>
    <w:rPr>
      <w:sz w:val="20"/>
      <w:szCs w:val="20"/>
    </w:rPr>
  </w:style>
  <w:style w:type="character" w:styleId="1198" w:customStyle="1">
    <w:name w:val="Footnote Text Char"/>
    <w:basedOn w:val="1124"/>
    <w:link w:val="1197"/>
    <w:uiPriority w:val="99"/>
    <w:pPr>
      <w:pBdr/>
      <w:spacing/>
      <w:ind/>
    </w:pPr>
    <w:rPr>
      <w:rFonts w:ascii="Arial" w:hAnsi="Arial"/>
      <w:sz w:val="20"/>
      <w:szCs w:val="20"/>
    </w:rPr>
  </w:style>
  <w:style w:type="character" w:styleId="1199">
    <w:name w:val="footnote reference"/>
    <w:basedOn w:val="1124"/>
    <w:uiPriority w:val="99"/>
    <w:semiHidden/>
    <w:unhideWhenUsed/>
    <w:pPr>
      <w:pBdr/>
      <w:spacing/>
      <w:ind/>
    </w:pPr>
    <w:rPr>
      <w:vertAlign w:val="superscript"/>
    </w:rPr>
  </w:style>
  <w:style w:type="character" w:styleId="1200">
    <w:name w:val="Strong"/>
    <w:basedOn w:val="1124"/>
    <w:uiPriority w:val="22"/>
    <w:qFormat/>
    <w:pPr>
      <w:pBdr/>
      <w:spacing/>
      <w:ind/>
    </w:pPr>
    <w:rPr>
      <w:b/>
      <w:bCs/>
      <w:sz w:val="24"/>
      <w:szCs w:val="24"/>
      <w:vertAlign w:val="baseline"/>
    </w:rPr>
  </w:style>
  <w:style w:type="character" w:styleId="1201">
    <w:name w:val="FollowedHyperlink"/>
    <w:basedOn w:val="1124"/>
    <w:uiPriority w:val="99"/>
    <w:semiHidden/>
    <w:unhideWhenUsed/>
    <w:pPr>
      <w:pBdr/>
      <w:spacing/>
      <w:ind/>
    </w:pPr>
    <w:rPr>
      <w:color w:val="954f72" w:themeColor="followedHyperlink"/>
      <w:u w:val="single"/>
    </w:rPr>
  </w:style>
  <w:style w:type="paragraph" w:styleId="1202">
    <w:name w:val="Body Text 2"/>
    <w:basedOn w:val="1114"/>
    <w:link w:val="1203"/>
    <w:uiPriority w:val="99"/>
    <w:unhideWhenUsed/>
    <w:pPr>
      <w:pBdr/>
      <w:spacing w:after="120" w:line="480" w:lineRule="auto"/>
      <w:ind/>
    </w:pPr>
  </w:style>
  <w:style w:type="character" w:styleId="1203" w:customStyle="1">
    <w:name w:val="Body Text 2 Char"/>
    <w:basedOn w:val="1124"/>
    <w:link w:val="1202"/>
    <w:uiPriority w:val="99"/>
    <w:pPr>
      <w:pBdr/>
      <w:spacing/>
      <w:ind/>
    </w:pPr>
    <w:rPr>
      <w:rFonts w:ascii="Arial" w:hAnsi="Arial"/>
    </w:rPr>
  </w:style>
  <w:style w:type="paragraph" w:styleId="1204">
    <w:name w:val="toc 5"/>
    <w:basedOn w:val="1114"/>
    <w:next w:val="1114"/>
    <w:uiPriority w:val="39"/>
    <w:unhideWhenUsed/>
    <w:pPr>
      <w:pBdr/>
      <w:spacing w:after="0" w:before="40" w:line="240" w:lineRule="auto"/>
      <w:ind w:left="662"/>
    </w:pPr>
    <w:rPr>
      <w:szCs w:val="20"/>
    </w:rPr>
  </w:style>
  <w:style w:type="paragraph" w:styleId="1205">
    <w:name w:val="toc 6"/>
    <w:basedOn w:val="1114"/>
    <w:next w:val="1114"/>
    <w:uiPriority w:val="39"/>
    <w:unhideWhenUsed/>
    <w:pPr>
      <w:pBdr/>
      <w:spacing w:after="0"/>
      <w:ind w:left="880"/>
    </w:pPr>
    <w:rPr>
      <w:rFonts w:asciiTheme="minorHAnsi" w:hAnsiTheme="minorHAnsi"/>
      <w:sz w:val="20"/>
      <w:szCs w:val="20"/>
    </w:rPr>
  </w:style>
  <w:style w:type="paragraph" w:styleId="1206">
    <w:name w:val="toc 7"/>
    <w:basedOn w:val="1114"/>
    <w:next w:val="1114"/>
    <w:uiPriority w:val="39"/>
    <w:unhideWhenUsed/>
    <w:pPr>
      <w:pBdr/>
      <w:spacing w:after="0"/>
      <w:ind w:left="1100"/>
    </w:pPr>
    <w:rPr>
      <w:rFonts w:asciiTheme="minorHAnsi" w:hAnsiTheme="minorHAnsi"/>
      <w:sz w:val="20"/>
      <w:szCs w:val="20"/>
    </w:rPr>
  </w:style>
  <w:style w:type="paragraph" w:styleId="1207">
    <w:name w:val="toc 8"/>
    <w:basedOn w:val="1114"/>
    <w:next w:val="1114"/>
    <w:uiPriority w:val="39"/>
    <w:unhideWhenUsed/>
    <w:pPr>
      <w:pBdr/>
      <w:spacing w:after="0"/>
      <w:ind w:left="1320"/>
    </w:pPr>
    <w:rPr>
      <w:rFonts w:asciiTheme="minorHAnsi" w:hAnsiTheme="minorHAnsi"/>
      <w:sz w:val="20"/>
      <w:szCs w:val="20"/>
    </w:rPr>
  </w:style>
  <w:style w:type="paragraph" w:styleId="1208">
    <w:name w:val="toc 9"/>
    <w:basedOn w:val="1114"/>
    <w:next w:val="1114"/>
    <w:uiPriority w:val="39"/>
    <w:unhideWhenUsed/>
    <w:pPr>
      <w:pBdr/>
      <w:spacing w:after="0"/>
      <w:ind w:left="1540"/>
    </w:pPr>
    <w:rPr>
      <w:rFonts w:asciiTheme="minorHAnsi" w:hAnsiTheme="minorHAnsi"/>
      <w:sz w:val="20"/>
      <w:szCs w:val="20"/>
    </w:rPr>
  </w:style>
  <w:style w:type="paragraph" w:styleId="1209" w:customStyle="1">
    <w:name w:val="Reference"/>
    <w:basedOn w:val="1210"/>
    <w:pPr>
      <w:keepNext w:val="true"/>
      <w:pBdr/>
      <w:tabs>
        <w:tab w:val="right" w:leader="none" w:pos="8640"/>
      </w:tabs>
      <w:spacing w:after="0" w:line="480" w:lineRule="auto"/>
      <w:ind w:hanging="720" w:left="720"/>
    </w:pPr>
    <w:rPr>
      <w:rFonts w:ascii="Times New Roman" w:hAnsi="Times New Roman" w:eastAsia="Times New Roman" w:cs="Times New Roman"/>
      <w:sz w:val="24"/>
      <w:szCs w:val="24"/>
    </w:rPr>
  </w:style>
  <w:style w:type="paragraph" w:styleId="1210">
    <w:name w:val="Body Text"/>
    <w:basedOn w:val="1114"/>
    <w:link w:val="1211"/>
    <w:uiPriority w:val="99"/>
    <w:semiHidden/>
    <w:unhideWhenUsed/>
    <w:pPr>
      <w:pBdr/>
      <w:spacing w:after="120"/>
      <w:ind/>
    </w:pPr>
  </w:style>
  <w:style w:type="character" w:styleId="1211" w:customStyle="1">
    <w:name w:val="Body Text Char"/>
    <w:basedOn w:val="1124"/>
    <w:link w:val="1210"/>
    <w:uiPriority w:val="99"/>
    <w:semiHidden/>
    <w:pPr>
      <w:pBdr/>
      <w:spacing/>
      <w:ind/>
    </w:pPr>
    <w:rPr>
      <w:rFonts w:ascii="Arial" w:hAnsi="Arial"/>
    </w:rPr>
  </w:style>
  <w:style w:type="paragraph" w:styleId="1212">
    <w:name w:val="Document Map"/>
    <w:basedOn w:val="1114"/>
    <w:link w:val="1213"/>
    <w:uiPriority w:val="99"/>
    <w:semiHidden/>
    <w:unhideWhenUsed/>
    <w:pPr>
      <w:pBdr/>
      <w:spacing w:after="0" w:line="240" w:lineRule="auto"/>
      <w:ind/>
    </w:pPr>
    <w:rPr>
      <w:rFonts w:ascii="Lucida Grande" w:hAnsi="Lucida Grande" w:cs="Lucida Grande"/>
      <w:sz w:val="24"/>
      <w:szCs w:val="24"/>
    </w:rPr>
  </w:style>
  <w:style w:type="character" w:styleId="1213" w:customStyle="1">
    <w:name w:val="Document Map Char"/>
    <w:basedOn w:val="1124"/>
    <w:link w:val="1212"/>
    <w:uiPriority w:val="99"/>
    <w:semiHidden/>
    <w:pPr>
      <w:pBdr/>
      <w:spacing/>
      <w:ind/>
    </w:pPr>
    <w:rPr>
      <w:rFonts w:ascii="Lucida Grande" w:hAnsi="Lucida Grande" w:cs="Lucida Grande"/>
      <w:sz w:val="24"/>
      <w:szCs w:val="24"/>
    </w:rPr>
  </w:style>
  <w:style w:type="table" w:styleId="1214">
    <w:name w:val="Grid Table 4 Accent 1"/>
    <w:basedOn w:val="1125"/>
    <w:uiPriority w:val="49"/>
    <w:pPr>
      <w:pBdr/>
      <w:spacing w:after="0" w:line="240" w:lineRule="auto"/>
      <w:ind/>
    </w:pPr>
    <w:tblPr>
      <w:tblStyleRowBandSize w:val="1"/>
      <w:tblStyleColBandSize w:val="1"/>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Pr>
    <w:tcPr>
      <w:tcBorders/>
    </w:tcPr>
    <w:tblStylePr w:type="band1Horz">
      <w:pPr>
        <w:pBdr/>
        <w:spacing/>
        <w:ind/>
      </w:pPr>
      <w:tblPr>
        <w:tblBorders/>
      </w:tblPr>
      <w:tcPr>
        <w:shd w:val="clear" w:color="auto" w:fill="deeaf6" w:themeFill="accent1" w:themeFillTint="33"/>
        <w:tcBorders/>
      </w:tcPr>
    </w:tblStylePr>
    <w:tblStylePr w:type="band1Vert">
      <w:pPr>
        <w:pBdr/>
        <w:spacing/>
        <w:ind/>
      </w:pPr>
      <w:tblPr>
        <w:tblBorders/>
      </w:tblPr>
      <w:tcPr>
        <w:shd w:val="clear" w:color="auto" w:fill="deeaf6" w:themeFill="accent1"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5b9bd5" w:themeFill="accent1"/>
        <w:tcBorders>
          <w:top w:val="single" w:color="5b9bd5" w:themeColor="accent1" w:sz="4" w:space="0"/>
          <w:left w:val="single" w:color="5b9bd5" w:themeColor="accent1" w:sz="4" w:space="0"/>
          <w:bottom w:val="single" w:color="5b9bd5" w:themeColor="accent1" w:sz="4" w:space="0"/>
          <w:right w:val="single" w:color="5b9bd5" w:themeColor="accent1"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5b9bd5"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5">
    <w:name w:val="Plain Table 3"/>
    <w:basedOn w:val="1125"/>
    <w:uiPriority w:val="43"/>
    <w:pPr>
      <w:pBdr/>
      <w:spacing w:after="0" w:line="240" w:lineRule="auto"/>
      <w:ind/>
    </w:pPr>
    <w:tblPr>
      <w:tblStyleRowBandSize w:val="1"/>
      <w:tblStyleColBandSize w:val="1"/>
      <w:tblInd w:w="0" w:type="dxa"/>
      <w:tblCellMar>
        <w:left w:w="108" w:type="dxa"/>
        <w:top w:w="0" w:type="dxa"/>
        <w:right w:w="108" w:type="dxa"/>
        <w:bottom w:w="0" w:type="dxa"/>
      </w:tblCellMar>
      <w:tblBorders/>
    </w:tblPr>
    <w:tcPr>
      <w:tcBorders/>
    </w:tcPr>
    <w:tblStylePr w:type="band1Horz">
      <w:pPr>
        <w:pBdr/>
        <w:spacing/>
        <w:ind/>
      </w:pPr>
      <w:tblPr>
        <w:tblBorders/>
      </w:tblPr>
      <w:tcPr>
        <w:shd w:val="clear" w:color="auto" w:fill="f2f2f2" w:themeFill="background1" w:themeFillShade="F2"/>
        <w:tcBorders/>
      </w:tcPr>
    </w:tblStylePr>
    <w:tblStylePr w:type="band1Vert">
      <w:pPr>
        <w:pBdr/>
        <w:spacing/>
        <w:ind/>
      </w:pPr>
      <w:tblPr>
        <w:tblBorders/>
      </w:tblPr>
      <w:tcPr>
        <w:shd w:val="clear" w:color="auto" w:fill="f2f2f2" w:themeFill="background1" w:themeFillShade="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aps/>
      </w:rPr>
      <w:pPr>
        <w:pBdr/>
        <w:spacing/>
        <w:ind/>
      </w:pPr>
      <w:tblPr>
        <w:tblBorders/>
      </w:tblPr>
      <w:tcPr>
        <w:tcBorders>
          <w:right w:val="single" w:color="7f7f7f" w:themeColor="text1" w:themeTint="80" w:sz="4" w:space="0"/>
        </w:tcBorders>
      </w:tcPr>
    </w:tblStylePr>
    <w:tblStylePr w:type="firstRow">
      <w:rPr>
        <w:b/>
        <w:bCs/>
        <w:caps/>
      </w:rPr>
      <w:pPr>
        <w:pBdr/>
        <w:spacing/>
        <w:ind/>
      </w:pPr>
      <w:tblPr>
        <w:tblBorders/>
      </w:tblPr>
      <w:tcPr>
        <w:tcBorders>
          <w:bottom w:val="single" w:color="7f7f7f" w:themeColor="text1" w:themeTint="80" w:sz="4" w:space="0"/>
        </w:tcBorders>
      </w:tcPr>
    </w:tblStylePr>
    <w:tblStylePr w:type="lastCol">
      <w:rPr>
        <w:b/>
        <w:bCs/>
        <w:caps/>
      </w:rPr>
      <w:pPr>
        <w:pBdr/>
        <w:spacing/>
        <w:ind/>
      </w:pPr>
      <w:tblPr>
        <w:tblBorders/>
      </w:tblPr>
      <w:tcPr>
        <w:tcBorders>
          <w:left w:val="none" w:color="000000" w:sz="4" w:space="0"/>
        </w:tcBorders>
      </w:tcPr>
    </w:tblStylePr>
    <w:tblStylePr w:type="lastRow">
      <w:rPr>
        <w:b/>
        <w:bCs/>
        <w:caps/>
      </w:rPr>
      <w:pPr>
        <w:pBdr/>
        <w:spacing/>
        <w:ind/>
      </w:pPr>
      <w:tblPr>
        <w:tblBorders/>
      </w:tblPr>
      <w:tcPr>
        <w:tcBorders>
          <w:top w:val="none" w:color="000000" w:sz="4" w:space="0"/>
        </w:tcBorders>
      </w:tcPr>
    </w:tblStylePr>
    <w:tblStylePr w:type="nwCell">
      <w:pPr>
        <w:pBdr/>
        <w:spacing/>
        <w:ind/>
      </w:pPr>
      <w:tblPr>
        <w:tblBorders/>
      </w:tblPr>
      <w:tcPr>
        <w:tcBorders>
          <w:right w:val="none" w:color="000000" w:sz="4" w:space="0"/>
        </w:tcBorders>
      </w:tcPr>
    </w:tblStylePr>
    <w:tblStylePr w:type="neCell">
      <w:pPr>
        <w:pBdr/>
        <w:spacing/>
        <w:ind/>
      </w:pPr>
      <w:tblPr>
        <w:tblBorders/>
      </w:tblPr>
      <w:tcPr>
        <w:tcBorders>
          <w:lef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6">
    <w:name w:val="Plain Table 2"/>
    <w:basedOn w:val="1125"/>
    <w:uiPriority w:val="4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f7f7f" w:themeColor="text1" w:themeTint="80" w:sz="4" w:space="0"/>
        <w:bottom w:val="single" w:color="7f7f7f" w:themeColor="text1" w:themeTint="80" w:sz="4" w:space="0"/>
      </w:tblBorders>
    </w:tblPr>
    <w:tcPr>
      <w:tcBorders/>
    </w:tcPr>
    <w:tblStylePr w:type="band1Horz">
      <w:pPr>
        <w:pBdr/>
        <w:spacing/>
        <w:ind/>
      </w:pPr>
      <w:tblPr>
        <w:tblBorders/>
      </w:tblPr>
      <w:tcPr>
        <w:tcBorders>
          <w:top w:val="single" w:color="7f7f7f" w:themeColor="text1" w:themeTint="80" w:sz="4" w:space="0"/>
          <w:bottom w:val="single" w:color="7f7f7f" w:themeColor="text1" w:themeTint="80" w:sz="4" w:space="0"/>
        </w:tcBorders>
      </w:tcPr>
    </w:tblStylePr>
    <w:tblStylePr w:type="band1Vert">
      <w:pPr>
        <w:pBdr/>
        <w:spacing/>
        <w:ind/>
      </w:pPr>
      <w:tblPr>
        <w:tblBorders/>
      </w:tblPr>
      <w:tcPr>
        <w:tcBorders>
          <w:left w:val="single" w:color="7f7f7f" w:themeColor="text1" w:themeTint="80" w:sz="4" w:space="0"/>
          <w:right w:val="single" w:color="7f7f7f" w:themeColor="text1" w:themeTint="80"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7f7f7f" w:themeColor="text1" w:themeTint="80" w:sz="4" w:space="0"/>
          <w:right w:val="single" w:color="7f7f7f" w:themeColor="text1" w:themeTint="80" w:sz="4" w:space="0"/>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bottom w:val="single" w:color="7f7f7f" w:themeColor="text1" w:themeTint="80"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footer" Target="footer2.xml" /><Relationship Id="rId12" Type="http://schemas.openxmlformats.org/officeDocument/2006/relationships/customXml" Target="../customXml/item1.xml" /><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hyperlink" Target="https://doi.org/10.3390/app15062983." TargetMode="External"/><Relationship Id="rId33" Type="http://schemas.openxmlformats.org/officeDocument/2006/relationships/hyperlink" Target="https://arxiv.org/abs/2305.10415."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2EDB6F-8E16-400D-988F-4B47CCBA4F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Application>ONLYOFFICE/9.2.1.43</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16</cp:revision>
  <dcterms:modified xsi:type="dcterms:W3CDTF">2026-03-07T03:12:54Z</dcterms:modified>
</cp:coreProperties>
</file>