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050"/>
        <w:suppressLineNumbers w:val="false"/>
        <w:pBdr/>
        <w:spacing w:line="300" w:lineRule="auto"/>
        <w:ind/>
        <w:rPr/>
      </w:pPr>
      <w:r>
        <w:t xml:space="preserve">                                                                                                                                                                        </w:t>
      </w:r>
      <w:r>
        <w:t xml:space="preserve">Generative AI Based on Medical Visual Question Answering (VQA) Techniques</w:t>
      </w:r>
      <w:r/>
    </w:p>
    <w:p w14:paraId="13CB27D0" w14:textId="50B9AC34">
      <w:pPr>
        <w:pStyle w:val="1052"/>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052"/>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052"/>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052"/>
        <w:suppressLineNumbers w:val="false"/>
        <w:pBdr/>
        <w:spacing w:line="300" w:lineRule="auto"/>
        <w:ind/>
        <w:rPr/>
      </w:pPr>
      <w:r/>
      <w:r/>
    </w:p>
    <w:p w14:paraId="06B81385" w14:textId="16F92474">
      <w:pPr>
        <w:pStyle w:val="1052"/>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052"/>
        <w:suppressLineNumbers w:val="false"/>
        <w:pBdr/>
        <w:spacing w:line="300" w:lineRule="auto"/>
        <w:ind/>
        <w:rPr/>
      </w:pPr>
      <w:r/>
      <w:r/>
    </w:p>
    <w:p w14:paraId="38105075" w14:textId="77777777">
      <w:pPr>
        <w:pStyle w:val="1047"/>
        <w:suppressLineNumbers w:val="false"/>
        <w:pBdr/>
        <w:spacing w:line="300" w:lineRule="auto"/>
        <w:ind/>
        <w:jc w:val="center"/>
        <w:rPr/>
      </w:pPr>
      <w:r/>
      <w:r/>
    </w:p>
    <w:p w14:paraId="1307437E" w14:textId="36D59F4F">
      <w:pPr>
        <w:pStyle w:val="1052"/>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055"/>
        <w:suppressLineNumbers w:val="false"/>
        <w:pBdr/>
        <w:spacing w:line="300" w:lineRule="auto"/>
        <w:ind/>
        <w:rPr/>
      </w:pPr>
      <w:r/>
      <w:bookmarkStart w:id="0" w:name="_Toc66285129"/>
      <w:r>
        <w:t xml:space="preserve">Declaration of Committee</w:t>
      </w:r>
      <w:bookmarkEnd w:id="0"/>
      <w:r/>
      <w:r/>
    </w:p>
    <w:tbl>
      <w:tblPr>
        <w:tblStyle w:val="1105"/>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081"/>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081"/>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081"/>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081"/>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081"/>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081"/>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081"/>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081"/>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081"/>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081"/>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081"/>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081"/>
              <w:suppressLineNumbers w:val="false"/>
              <w:pBdr/>
              <w:spacing w:line="300" w:lineRule="auto"/>
              <w:ind/>
              <w:rPr>
                <w:b/>
                <w:bCs/>
              </w:rPr>
            </w:pPr>
            <w:r>
              <w:rPr>
                <w:b/>
                <w:bCs/>
              </w:rPr>
            </w:r>
            <w:r>
              <w:rPr>
                <w:b/>
                <w:bCs/>
              </w:rPr>
            </w:r>
            <w:r>
              <w:rPr>
                <w:b/>
                <w:bCs/>
              </w:rPr>
            </w:r>
          </w:p>
        </w:tc>
      </w:tr>
    </w:tbl>
    <w:p w14:paraId="5CDFA64C" w14:textId="77777777">
      <w:pPr>
        <w:pStyle w:val="1047"/>
        <w:suppressLineNumbers w:val="false"/>
        <w:pBdr/>
        <w:spacing w:line="300" w:lineRule="auto"/>
        <w:ind/>
        <w:rPr/>
      </w:pPr>
      <w:r/>
      <w:r/>
    </w:p>
    <w:p w14:paraId="737AF15A" w14:textId="4E89F67E">
      <w:pPr>
        <w:pStyle w:val="1055"/>
        <w:suppressLineNumbers w:val="false"/>
        <w:pBdr/>
        <w:spacing w:line="300" w:lineRule="auto"/>
        <w:ind/>
        <w:rPr/>
      </w:pPr>
      <w:r/>
      <w:bookmarkStart w:id="1" w:name="_Toc66285130"/>
      <w:r>
        <w:t xml:space="preserve">Ethics Statement</w:t>
      </w:r>
      <w:bookmarkEnd w:id="1"/>
      <w:r/>
      <w:r/>
    </w:p>
    <w:p w14:paraId="1DC20FB9" w14:textId="5A59ED0F">
      <w:pPr>
        <w:pStyle w:val="1071"/>
        <w:suppressLineNumbers w:val="false"/>
        <w:pBdr/>
        <w:spacing w:line="300" w:lineRule="auto"/>
        <w:ind/>
        <w:jc w:val="left"/>
        <w:rPr/>
      </w:pPr>
      <w:r/>
      <w:r/>
    </w:p>
    <w:p w14:paraId="27BA7813" w14:textId="77777777">
      <w:pPr>
        <w:pStyle w:val="1055"/>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w:t>
      </w:r>
      <w:r>
        <w:rPr>
          <w:rFonts w:eastAsia="Times New Roman" w:cs="Arial"/>
          <w:lang w:val="en-IN" w:eastAsia="en-IN"/>
        </w:rPr>
        <w:t xml:space="preserve">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w:t>
      </w:r>
      <w:r>
        <w:rPr>
          <w:rFonts w:eastAsia="Times New Roman" w:cs="Arial"/>
          <w:lang w:val="en-IN" w:eastAsia="en-IN"/>
        </w:rPr>
        <w:t xml:space="preserve">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Pr>
          <w:rFonts w:eastAsia="Times New Roman" w:cs="Arial"/>
          <w:lang w:val="en-IN" w:eastAsia="en-IN"/>
        </w:rPr>
      </w: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w:t>
      </w:r>
      <w:r>
        <w:rPr>
          <w:rFonts w:eastAsia="Times New Roman" w:cs="Arial"/>
          <w:lang w:val="en-IN" w:eastAsia="en-IN"/>
        </w:rPr>
        <w:t xml:space="preserve">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w:t>
      </w:r>
      <w:r>
        <w:rPr>
          <w:rFonts w:eastAsia="Times New Roman" w:cs="Arial"/>
          <w:lang w:val="en-IN" w:eastAsia="en-IN"/>
        </w:rPr>
        <w:t xml:space="preserve">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Pr>
          <w:rFonts w:eastAsia="Times New Roman" w:cs="Arial"/>
          <w:lang w:val="en-IN" w:eastAsia="en-IN"/>
        </w:rPr>
      </w: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w:t>
      </w:r>
      <w:r>
        <w:rPr>
          <w:rFonts w:eastAsia="Times New Roman" w:cs="Arial"/>
          <w:lang w:val="en-IN" w:eastAsia="en-IN"/>
        </w:rPr>
        <w:t xml:space="preserve">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Pr>
          <w:rFonts w:eastAsia="Times New Roman" w:cs="Arial"/>
        </w:rPr>
      </w:r>
      <w:r>
        <w:rPr>
          <w:rFonts w:eastAsia="Times New Roman" w:cs="Arial"/>
        </w:rPr>
      </w:r>
    </w:p>
    <w:p w14:paraId="279134F9" w14:textId="77777777">
      <w:pPr>
        <w:pStyle w:val="1055"/>
        <w:suppressLineNumbers w:val="false"/>
        <w:pBdr/>
        <w:spacing w:line="300" w:lineRule="auto"/>
        <w:ind/>
        <w:rPr>
          <w:color w:val="auto"/>
        </w:rPr>
      </w:pPr>
      <w:r>
        <w:rPr>
          <w:color w:val="auto"/>
        </w:rPr>
        <w:t xml:space="preserve">Dedication</w:t>
      </w:r>
      <w:r>
        <w:rPr>
          <w:color w:val="auto"/>
        </w:rPr>
      </w:r>
      <w:r>
        <w:rPr>
          <w:color w:val="auto"/>
        </w:rPr>
      </w:r>
    </w:p>
    <w:p w14:paraId="2F5AEE33" w14:textId="77777777">
      <w:pPr>
        <w:pStyle w:val="1055"/>
        <w:suppressLineNumbers w:val="false"/>
        <w:pBdr/>
        <w:spacing w:line="300" w:lineRule="auto"/>
        <w:ind/>
        <w:rPr/>
      </w:pPr>
      <w:r/>
      <w:bookmarkStart w:id="4" w:name="_Toc66285133"/>
      <w:r>
        <w:t xml:space="preserve">Acknowledgements</w:t>
      </w:r>
      <w:bookmarkEnd w:id="4"/>
      <w:r/>
      <w:r/>
    </w:p>
    <w:p w14:paraId="5E728AC9" w14:textId="65820004">
      <w:pPr>
        <w:pStyle w:val="1048"/>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1055"/>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060"/>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3F93BB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Tables ................................................................................................................. viii</w:t>
      </w:r>
      <w:r>
        <w:rPr>
          <w:rFonts w:ascii="Arial" w:hAnsi="Arial" w:cs="Arial"/>
        </w:rPr>
      </w:r>
      <w:r>
        <w:rPr>
          <w:rFonts w:ascii="Arial" w:hAnsi="Arial" w:cs="Arial"/>
        </w:rPr>
      </w:r>
    </w:p>
    <w:p w14:paraId="41EB7F7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Figures ................................................................................................................. ix</w:t>
      </w:r>
      <w:r>
        <w:rPr>
          <w:rFonts w:ascii="Arial" w:hAnsi="Arial" w:cs="Arial"/>
        </w:rPr>
      </w:r>
      <w:r>
        <w:rPr>
          <w:rFonts w:ascii="Arial" w:hAnsi="Arial" w:cs="Arial"/>
        </w:rPr>
      </w:r>
    </w:p>
    <w:p w14:paraId="500CAE5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Acronyms .............................................................................................................. x</w:t>
      </w:r>
      <w:r>
        <w:rPr>
          <w:rFonts w:ascii="Arial" w:hAnsi="Arial" w:cs="Arial"/>
        </w:rPr>
      </w:r>
      <w:r>
        <w:rPr>
          <w:rFonts w:ascii="Arial" w:hAnsi="Arial" w:cs="Arial"/>
        </w:rPr>
      </w:r>
    </w:p>
    <w:p w14:paraId="43BB55A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Glossary .......................................................................................................................... xi</w:t>
      </w:r>
      <w:r>
        <w:rPr>
          <w:rFonts w:ascii="Arial" w:hAnsi="Arial" w:cs="Arial"/>
        </w:rPr>
      </w:r>
      <w:r>
        <w:rPr>
          <w:rFonts w:ascii="Arial" w:hAnsi="Arial" w:cs="Arial"/>
        </w:rPr>
      </w:r>
    </w:p>
    <w:p w14:paraId="47388DA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Preface/Executive Summary/Image ............................................................................... xii</w:t>
      </w:r>
      <w:r>
        <w:rPr>
          <w:rFonts w:ascii="Arial" w:hAnsi="Arial" w:cs="Arial"/>
        </w:rPr>
      </w:r>
      <w:r>
        <w:rPr>
          <w:rFonts w:ascii="Arial" w:hAnsi="Arial" w:cs="Arial"/>
        </w:rPr>
      </w:r>
    </w:p>
    <w:p w14:paraId="2BD86F5E">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- 1.10 Contributions Claimed in This Dissertation ......................................................... 16</w:t>
      </w:r>
      <w:r>
        <w:rPr>
          <w:rFonts w:ascii="Arial" w:hAnsi="Arial" w:cs="Arial"/>
        </w:rPr>
      </w:r>
      <w:r>
        <w:rPr>
          <w:rFonts w:ascii="Arial" w:hAnsi="Arial" w:cs="Arial"/>
        </w:rPr>
      </w:r>
    </w:p>
    <w:p w14:paraId="1DF772F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13EF3C93">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09CC846E">
      <w:pPr>
        <w:pStyle w:val="1060"/>
        <w:suppressLineNumbers w:val="false"/>
        <w:pBdr/>
        <w:spacing w:line="300" w:lineRule="auto"/>
        <w:ind/>
        <w:rPr>
          <w:rFonts w:asciiTheme="minorHAnsi" w:hAnsiTheme="minorHAnsi" w:eastAsiaTheme="minorEastAsia"/>
        </w:rPr>
      </w:pPr>
      <w:r>
        <w:rPr>
          <w:rFonts w:asciiTheme="minorHAnsi" w:hAnsiTheme="minorHAnsi" w:eastAsiaTheme="minorEastAsia"/>
          <w:bCs w:val="0"/>
          <w:szCs w:val="22"/>
        </w:rPr>
      </w:r>
      <w:r>
        <w:rPr>
          <w:rFonts w:asciiTheme="minorHAnsi" w:hAnsiTheme="minorHAnsi" w:eastAsiaTheme="minorEastAsia"/>
        </w:rPr>
      </w:r>
      <w:r>
        <w:rPr>
          <w:rFonts w:asciiTheme="minorHAnsi" w:hAnsiTheme="minorHAnsi" w:eastAsiaTheme="minorEastAsia"/>
        </w:rPr>
      </w:r>
    </w:p>
    <w:p w14:paraId="20F8E0D7" w14:textId="77777777">
      <w:pPr>
        <w:pStyle w:val="1055"/>
        <w:suppressLineNumbers w:val="false"/>
        <w:pBdr/>
        <w:spacing w:line="300" w:lineRule="auto"/>
        <w:ind/>
        <w:rPr/>
      </w:pPr>
      <w:r/>
      <w:bookmarkStart w:id="6" w:name="_Toc66285135"/>
      <w:r>
        <w:t xml:space="preserve">List of Tables</w:t>
      </w:r>
      <w:bookmarkEnd w:id="6"/>
      <w:r/>
      <w:r/>
    </w:p>
    <w:p w14:paraId="67B0D2B1" w14:textId="18DB8D31">
      <w:pPr>
        <w:pStyle w:val="1048"/>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1047"/>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r>
        <w:rPr>
          <w:highlight w:val="yellow"/>
        </w:rPr>
      </w:r>
    </w:p>
    <w:p w14:paraId="15B5B926" w14:textId="77777777">
      <w:pPr>
        <w:pStyle w:val="1047"/>
        <w:suppressLineNumbers w:val="false"/>
        <w:pBdr/>
        <w:spacing w:line="300" w:lineRule="auto"/>
        <w:ind/>
        <w:rPr>
          <w:highlight w:val="yellow"/>
        </w:rPr>
      </w:pPr>
      <w:r>
        <w:rPr>
          <w:highlight w:val="yellow"/>
        </w:rPr>
        <w:t xml:space="preserve">Remember to delete this note before submission. </w:t>
      </w:r>
      <w:r>
        <w:rPr>
          <w:highlight w:val="yellow"/>
        </w:rPr>
      </w:r>
      <w:r>
        <w:rPr>
          <w:highlight w:val="yellow"/>
        </w:rPr>
      </w:r>
    </w:p>
    <w:p w14:paraId="5B6E05D4" w14:textId="778C94E2">
      <w:pPr>
        <w:pStyle w:val="1047"/>
        <w:suppressLineNumbers w:val="false"/>
        <w:pBdr/>
        <w:spacing w:line="300" w:lineRule="auto"/>
        <w:ind/>
        <w:rPr/>
      </w:pPr>
      <w:r>
        <w:rPr>
          <w:highlight w:val="yellow"/>
        </w:rPr>
        <w:t xml:space="preserve">If there are no tables in the document, remove this page.</w:t>
      </w:r>
      <w:r/>
    </w:p>
    <w:p w14:paraId="058FCE8F" w14:textId="77777777">
      <w:pPr>
        <w:pStyle w:val="1055"/>
        <w:suppressLineNumbers w:val="false"/>
        <w:pBdr/>
        <w:spacing w:line="300" w:lineRule="auto"/>
        <w:ind/>
        <w:rPr/>
      </w:pPr>
      <w:r/>
      <w:bookmarkStart w:id="7" w:name="_Toc66285136"/>
      <w:r>
        <w:t xml:space="preserve">List of Figures</w:t>
      </w:r>
      <w:bookmarkEnd w:id="7"/>
      <w:r/>
      <w:r/>
    </w:p>
    <w:p w14:paraId="449CDAE5" w14:textId="77777777">
      <w:pPr>
        <w:pStyle w:val="1048"/>
        <w:suppressLineNumbers w:val="false"/>
        <w:pBdr/>
        <w:spacing w:line="300" w:lineRule="auto"/>
        <w:ind/>
        <w:rPr/>
      </w:pPr>
      <w:r/>
      <w:r/>
    </w:p>
    <w:p w14:paraId="43EE6F4B" w14:textId="77777777">
      <w:pPr>
        <w:pStyle w:val="1055"/>
        <w:suppressLineNumbers w:val="false"/>
        <w:pBdr/>
        <w:spacing w:line="300" w:lineRule="auto"/>
        <w:ind/>
        <w:rPr/>
      </w:pPr>
      <w:r/>
      <w:bookmarkStart w:id="8" w:name="_Toc66285137"/>
      <w:r>
        <w:t xml:space="preserve">List of Acronyms</w:t>
      </w:r>
      <w:bookmarkEnd w:id="8"/>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1081"/>
              <w:suppressLineNumbers w:val="false"/>
              <w:pBdr/>
              <w:spacing w:line="300" w:lineRule="auto"/>
              <w:ind/>
              <w:rPr/>
            </w:pPr>
            <w:r/>
            <w:r/>
          </w:p>
        </w:tc>
        <w:tc>
          <w:tcPr>
            <w:tcBorders/>
            <w:tcW w:w="6830" w:type="dxa"/>
            <w:textDirection w:val="lrTb"/>
            <w:noWrap w:val="false"/>
          </w:tcPr>
          <w:p w14:paraId="68FBECE8" w14:textId="77777777">
            <w:pPr>
              <w:pStyle w:val="1081"/>
              <w:suppressLineNumbers w:val="false"/>
              <w:pBdr/>
              <w:spacing w:line="300" w:lineRule="auto"/>
              <w:ind/>
              <w:rPr/>
            </w:pPr>
            <w:r/>
            <w:r/>
          </w:p>
        </w:tc>
      </w:tr>
      <w:tr>
        <w:trPr/>
        <w:tc>
          <w:tcPr>
            <w:tcBorders/>
            <w:tcW w:w="1800" w:type="dxa"/>
            <w:textDirection w:val="lrTb"/>
            <w:noWrap w:val="false"/>
          </w:tcPr>
          <w:p w14:paraId="0E94A983" w14:textId="77777777">
            <w:pPr>
              <w:pStyle w:val="1081"/>
              <w:suppressLineNumbers w:val="false"/>
              <w:pBdr/>
              <w:spacing w:line="300" w:lineRule="auto"/>
              <w:ind/>
              <w:rPr/>
            </w:pPr>
            <w:r/>
            <w:r/>
          </w:p>
        </w:tc>
        <w:tc>
          <w:tcPr>
            <w:tcBorders/>
            <w:tcW w:w="6830" w:type="dxa"/>
            <w:textDirection w:val="lrTb"/>
            <w:noWrap w:val="false"/>
          </w:tcPr>
          <w:p w14:paraId="7837B5A4" w14:textId="77777777">
            <w:pPr>
              <w:pStyle w:val="1081"/>
              <w:suppressLineNumbers w:val="false"/>
              <w:pBdr/>
              <w:spacing w:line="300" w:lineRule="auto"/>
              <w:ind/>
              <w:rPr/>
            </w:pPr>
            <w:r/>
            <w:r/>
          </w:p>
        </w:tc>
      </w:tr>
    </w:tbl>
    <w:p w14:paraId="1B68C9C0" w14:textId="77777777">
      <w:pPr>
        <w:pStyle w:val="1048"/>
        <w:suppressLineNumbers w:val="false"/>
        <w:pBdr/>
        <w:spacing w:line="300" w:lineRule="auto"/>
        <w:ind/>
        <w:rPr/>
      </w:pPr>
      <w:r/>
      <w:r/>
    </w:p>
    <w:p w14:paraId="1E1089D8" w14:textId="77777777">
      <w:pPr>
        <w:pStyle w:val="1055"/>
        <w:suppressLineNumbers w:val="false"/>
        <w:pBdr/>
        <w:spacing w:line="300" w:lineRule="auto"/>
        <w:ind/>
        <w:rPr/>
      </w:pPr>
      <w:r/>
      <w:bookmarkStart w:id="9" w:name="_Toc66285138"/>
      <w:r>
        <w:t xml:space="preserve">Glossary</w:t>
      </w:r>
      <w:bookmarkEnd w:id="9"/>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1081"/>
              <w:suppressLineNumbers w:val="false"/>
              <w:pBdr/>
              <w:spacing w:line="300" w:lineRule="auto"/>
              <w:ind/>
              <w:rPr/>
            </w:pPr>
            <w:r>
              <w:t xml:space="preserve">Thesis</w:t>
            </w:r>
            <w:r/>
          </w:p>
        </w:tc>
        <w:tc>
          <w:tcPr>
            <w:tcBorders/>
            <w:tcW w:w="5845" w:type="dxa"/>
            <w:textDirection w:val="lrTb"/>
            <w:noWrap w:val="false"/>
          </w:tcPr>
          <w:p w14:paraId="31E09778" w14:textId="5949C699">
            <w:pPr>
              <w:pStyle w:val="1081"/>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1081"/>
              <w:suppressLineNumbers w:val="false"/>
              <w:pBdr/>
              <w:spacing w:line="300" w:lineRule="auto"/>
              <w:ind/>
              <w:rPr/>
            </w:pPr>
            <w:r>
              <w:t xml:space="preserve">Glossary </w:t>
            </w:r>
            <w:r/>
          </w:p>
        </w:tc>
        <w:tc>
          <w:tcPr>
            <w:tcBorders/>
            <w:tcW w:w="5845" w:type="dxa"/>
            <w:textDirection w:val="lrTb"/>
            <w:noWrap w:val="false"/>
          </w:tcPr>
          <w:p w14:paraId="2AA9EB33" w14:textId="07F6246E">
            <w:pPr>
              <w:pStyle w:val="1081"/>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1081"/>
              <w:suppressLineNumbers w:val="false"/>
              <w:pBdr/>
              <w:spacing w:line="300" w:lineRule="auto"/>
              <w:ind/>
              <w:rPr/>
            </w:pPr>
            <w:r/>
            <w:r/>
          </w:p>
        </w:tc>
        <w:tc>
          <w:tcPr>
            <w:tcBorders/>
            <w:tcW w:w="5845" w:type="dxa"/>
            <w:textDirection w:val="lrTb"/>
            <w:noWrap w:val="false"/>
          </w:tcPr>
          <w:p w14:paraId="69543990" w14:textId="767E8DEF">
            <w:pPr>
              <w:pStyle w:val="1081"/>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1081"/>
              <w:suppressLineNumbers w:val="false"/>
              <w:pBdr/>
              <w:spacing w:line="300" w:lineRule="auto"/>
              <w:ind/>
              <w:rPr/>
            </w:pPr>
            <w:r/>
            <w:r/>
          </w:p>
        </w:tc>
        <w:tc>
          <w:tcPr>
            <w:tcBorders/>
            <w:tcW w:w="5845" w:type="dxa"/>
            <w:textDirection w:val="lrTb"/>
            <w:noWrap w:val="false"/>
          </w:tcPr>
          <w:p w14:paraId="407A178D" w14:textId="701805AE">
            <w:pPr>
              <w:pStyle w:val="1081"/>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1081"/>
              <w:suppressLineNumbers w:val="false"/>
              <w:pBdr/>
              <w:spacing w:line="300" w:lineRule="auto"/>
              <w:ind/>
              <w:rPr/>
            </w:pPr>
            <w:r/>
            <w:r/>
          </w:p>
        </w:tc>
        <w:tc>
          <w:tcPr>
            <w:tcBorders/>
            <w:tcW w:w="5845" w:type="dxa"/>
            <w:textDirection w:val="lrTb"/>
            <w:noWrap w:val="false"/>
          </w:tcPr>
          <w:p w14:paraId="4B001707" w14:textId="54A0309B">
            <w:pPr>
              <w:pStyle w:val="1081"/>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1081"/>
              <w:suppressLineNumbers w:val="false"/>
              <w:pBdr/>
              <w:spacing w:line="300" w:lineRule="auto"/>
              <w:ind/>
              <w:rPr/>
            </w:pPr>
            <w:r/>
            <w:r/>
          </w:p>
        </w:tc>
        <w:tc>
          <w:tcPr>
            <w:tcBorders/>
            <w:tcW w:w="5845" w:type="dxa"/>
            <w:textDirection w:val="lrTb"/>
            <w:noWrap w:val="false"/>
          </w:tcPr>
          <w:p w14:paraId="0A9C17A1" w14:textId="77777777">
            <w:pPr>
              <w:pStyle w:val="1081"/>
              <w:suppressLineNumbers w:val="false"/>
              <w:pBdr/>
              <w:spacing w:line="300" w:lineRule="auto"/>
              <w:ind/>
              <w:rPr/>
            </w:pPr>
            <w:r/>
            <w:r/>
          </w:p>
        </w:tc>
      </w:tr>
    </w:tbl>
    <w:p w14:paraId="2D862DD5" w14:textId="43C6734B">
      <w:pPr>
        <w:pStyle w:val="1055"/>
        <w:suppressLineNumbers w:val="false"/>
        <w:pBdr/>
        <w:spacing w:line="300" w:lineRule="auto"/>
        <w:ind/>
        <w:rPr/>
      </w:pPr>
      <w:r/>
      <w:bookmarkStart w:id="10" w:name="_Toc66285139"/>
      <w:r>
        <w:t xml:space="preserve">Preface/Executive Summary/Image</w:t>
      </w:r>
      <w:bookmarkEnd w:id="10"/>
      <w:r/>
      <w:r/>
    </w:p>
    <w:p w14:paraId="1333C2D7" w14:textId="080E1499">
      <w:pPr>
        <w:pStyle w:val="1048"/>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1048"/>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1048"/>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1048"/>
        <w:suppressLineNumbers w:val="false"/>
        <w:pBdr/>
        <w:spacing w:line="300" w:lineRule="auto"/>
        <w:ind/>
        <w:rPr/>
      </w:pPr>
      <w:r/>
      <w:r/>
    </w:p>
    <w:p w14:paraId="7DFE54F9" w14:textId="77777777">
      <w:pPr>
        <w:pStyle w:val="1048"/>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035"/>
        <w:suppressLineNumbers w:val="false"/>
        <w:pBdr/>
        <w:spacing w:line="300" w:lineRule="auto"/>
        <w:ind/>
        <w:rPr/>
      </w:pPr>
      <w:r>
        <w:br/>
      </w:r>
      <w:r>
        <w:br/>
      </w:r>
      <w:bookmarkStart w:id="12" w:name="_Toc66285140"/>
      <w:r>
        <w:t xml:space="preserve">Introduction</w:t>
      </w:r>
      <w:bookmarkEnd w:id="12"/>
      <w:r/>
      <w:r/>
    </w:p>
    <w:p w14:paraId="5998F02E">
      <w:pPr>
        <w:pStyle w:val="1048"/>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048"/>
        <w:suppressLineNumbers w:val="false"/>
        <w:pBdr/>
        <w:spacing w:after="240" w:before="120" w:line="300" w:lineRule="auto"/>
        <w:ind w:firstLine="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048"/>
        <w:suppressLineNumbers w:val="false"/>
        <w:pBdr/>
        <w:spacing w:after="240" w:before="120" w:line="300" w:lineRule="auto"/>
        <w:ind w:firstLine="0"/>
        <w:rPr/>
      </w:pPr>
      <w:r>
        <w:t xml:space="preserve">At a glance, this chapter:</w:t>
      </w:r>
      <w:r/>
    </w:p>
    <w:p w14:paraId="4CA84745">
      <w:pPr>
        <w:pStyle w:val="1048"/>
        <w:suppressLineNumbers w:val="false"/>
        <w:pBdr/>
        <w:spacing w:after="240" w:before="120" w:line="120" w:lineRule="auto"/>
        <w:ind w:firstLine="0"/>
        <w:rPr/>
      </w:pPr>
      <w:r>
        <w:t xml:space="preserve">1. Establishes background and motivation for MedVQA in GI endoscopy.</w:t>
      </w:r>
      <w:r/>
    </w:p>
    <w:p w14:paraId="14ACB86D">
      <w:pPr>
        <w:pStyle w:val="1048"/>
        <w:suppressLineNumbers w:val="false"/>
        <w:pBdr/>
        <w:spacing w:after="240" w:before="120" w:line="120" w:lineRule="auto"/>
        <w:ind w:firstLine="0"/>
        <w:rPr/>
      </w:pPr>
      <w:r>
        <w:t xml:space="preserve">2. Defines the reliability and translational gap the dissertation addresses.</w:t>
      </w:r>
      <w:r/>
    </w:p>
    <w:p w14:paraId="6C1DB768">
      <w:pPr>
        <w:pStyle w:val="1048"/>
        <w:suppressLineNumbers w:val="false"/>
        <w:pBdr/>
        <w:spacing w:after="240" w:before="120" w:line="120" w:lineRule="auto"/>
        <w:ind w:firstLine="0"/>
        <w:rPr/>
      </w:pPr>
      <w:r>
        <w:t xml:space="preserve">3. Formalizes aim, objectives, and research questions with evaluation mapping.</w:t>
      </w:r>
      <w:r/>
    </w:p>
    <w:p w14:paraId="35CAC59A">
      <w:pPr>
        <w:pStyle w:val="1048"/>
        <w:suppressLineNumbers w:val="false"/>
        <w:pBdr/>
        <w:spacing w:after="240" w:before="120" w:line="120" w:lineRule="auto"/>
        <w:ind w:firstLine="0"/>
        <w:rPr/>
      </w:pPr>
      <w:r>
        <w:t xml:space="preserve">4. Specifies scope, assumptions, and governance constraints for defensible claims.</w:t>
      </w:r>
      <w:r/>
    </w:p>
    <w:p w14:paraId="509D5112">
      <w:pPr>
        <w:pStyle w:val="1048"/>
        <w:suppressLineNumbers w:val="false"/>
        <w:pBdr/>
        <w:spacing w:after="240" w:before="120" w:line="120" w:lineRule="auto"/>
        <w:ind w:firstLine="0"/>
        <w:rPr/>
      </w:pPr>
      <w:r>
        <w:t xml:space="preserve">5. Provides the conceptual and chapter-level roadmap used in Chapters 2 and 3.</w:t>
      </w:r>
      <w:r/>
    </w:p>
    <w:p w14:paraId="5F5E1B7B">
      <w:pPr>
        <w:pStyle w:val="1048"/>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048"/>
        <w:pBdr/>
        <w:spacing/>
        <w:ind w:firstLine="0"/>
        <w:rPr/>
      </w:pPr>
      <w:r/>
      <w:r/>
    </w:p>
    <w:p w14:paraId="1960384C" w14:textId="1BF67330">
      <w:pPr>
        <w:pStyle w:val="1048"/>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048"/>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swer clinically relevant questions expressed in natural language. In contrast to conventional image classification systems that return only categorical predictions, 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048"/>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048"/>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048"/>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048"/>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048"/>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048"/>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048"/>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048"/>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048"/>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048"/>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048"/>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048"/>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048"/>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048"/>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048"/>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048"/>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048"/>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048"/>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048"/>
        <w:suppressLineNumbers w:val="false"/>
        <w:pBdr/>
        <w:spacing w:line="300" w:lineRule="auto"/>
        <w:ind w:firstLine="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048"/>
        <w:numPr>
          <w:ilvl w:val="0"/>
          <w:numId w:val="11"/>
        </w:numPr>
        <w:suppressLineNumbers w:val="false"/>
        <w:pBdr/>
        <w:spacing w:line="120" w:lineRule="auto"/>
        <w:ind/>
        <w:rPr/>
      </w:pPr>
      <w:r>
        <w:t xml:space="preserve">Is an abnormality present?</w:t>
      </w:r>
      <w:r/>
    </w:p>
    <w:p w14:paraId="60356D3B">
      <w:pPr>
        <w:pStyle w:val="1048"/>
        <w:numPr>
          <w:ilvl w:val="0"/>
          <w:numId w:val="11"/>
        </w:numPr>
        <w:suppressLineNumbers w:val="false"/>
        <w:pBdr/>
        <w:spacing w:line="120" w:lineRule="auto"/>
        <w:ind/>
        <w:rPr/>
      </w:pPr>
      <w:r>
        <w:t xml:space="preserve">How many findings are visible?</w:t>
      </w:r>
      <w:r/>
    </w:p>
    <w:p w14:paraId="34D6544D">
      <w:pPr>
        <w:pStyle w:val="1048"/>
        <w:numPr>
          <w:ilvl w:val="0"/>
          <w:numId w:val="11"/>
        </w:numPr>
        <w:suppressLineNumbers w:val="false"/>
        <w:pBdr/>
        <w:spacing w:line="120" w:lineRule="auto"/>
        <w:ind/>
        <w:rPr/>
      </w:pPr>
      <w:r>
        <w:t xml:space="preserve">Where is the lesion located?</w:t>
      </w:r>
      <w:r/>
    </w:p>
    <w:p w14:paraId="3BB894DE">
      <w:pPr>
        <w:pStyle w:val="1048"/>
        <w:numPr>
          <w:ilvl w:val="0"/>
          <w:numId w:val="11"/>
        </w:numPr>
        <w:suppressLineNumbers w:val="false"/>
        <w:pBdr/>
        <w:spacing w:line="120" w:lineRule="auto"/>
        <w:ind/>
        <w:rPr/>
      </w:pPr>
      <w:r>
        <w:t xml:space="preserve">What type or morphology is observed?</w:t>
      </w:r>
      <w:r/>
    </w:p>
    <w:p w14:paraId="151B2E34">
      <w:pPr>
        <w:pStyle w:val="1048"/>
        <w:numPr>
          <w:ilvl w:val="0"/>
          <w:numId w:val="11"/>
        </w:numPr>
        <w:suppressLineNumbers w:val="false"/>
        <w:pBdr/>
        <w:spacing w:line="120" w:lineRule="auto"/>
        <w:ind/>
        <w:rPr/>
      </w:pPr>
      <w:r>
        <w:t xml:space="preserve">What is the likely severity of inflammation?</w:t>
      </w:r>
      <w:r/>
    </w:p>
    <w:p w14:paraId="2E00C101">
      <w:pPr>
        <w:pStyle w:val="1048"/>
        <w:suppressLineNumbers w:val="false"/>
        <w:pBdr/>
        <w:spacing w:line="300" w:lineRule="auto"/>
        <w:ind w:firstLine="0"/>
        <w:rPr/>
      </w:pPr>
      <w:r>
        <w:t xml:space="preserve">These question types map naturally to MedVQA task families and are suitable for systematic evaluation.</w:t>
      </w:r>
      <w:r/>
    </w:p>
    <w:p w14:paraId="47040743">
      <w:pPr>
        <w:pStyle w:val="1048"/>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048"/>
        <w:suppressLineNumbers w:val="false"/>
        <w:pBdr/>
        <w:spacing w:line="300" w:lineRule="auto"/>
        <w:ind w:firstLine="0"/>
        <w:rPr/>
      </w:pPr>
      <w:r>
        <w:t xml:space="preserve">Recent dataset development makes this thesis direction feasible:</w:t>
      </w:r>
      <w:r/>
    </w:p>
    <w:p w14:paraId="734AA1D9">
      <w:pPr>
        <w:pStyle w:val="1048"/>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048"/>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048"/>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048"/>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048"/>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048"/>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048"/>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048"/>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048"/>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048"/>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048"/>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048"/>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048"/>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048"/>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048"/>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048"/>
        <w:numPr>
          <w:ilvl w:val="0"/>
          <w:numId w:val="13"/>
        </w:numPr>
        <w:suppressLineNumbers w:val="false"/>
        <w:pBdr/>
        <w:spacing w:after="240" w:before="120" w:line="120" w:lineRule="auto"/>
        <w:ind/>
        <w:rPr/>
      </w:pPr>
      <w:r>
        <w:t xml:space="preserve">Fine-grained visual discrimination.</w:t>
      </w:r>
      <w:r/>
    </w:p>
    <w:p w14:paraId="202FB3F2">
      <w:pPr>
        <w:pStyle w:val="1048"/>
        <w:numPr>
          <w:ilvl w:val="0"/>
          <w:numId w:val="13"/>
        </w:numPr>
        <w:suppressLineNumbers w:val="false"/>
        <w:pBdr/>
        <w:spacing w:after="240" w:before="120" w:line="120" w:lineRule="auto"/>
        <w:ind/>
        <w:rPr/>
      </w:pPr>
      <w:r>
        <w:t xml:space="preserve">Ordinal class structure.</w:t>
      </w:r>
      <w:r/>
    </w:p>
    <w:p w14:paraId="3563D1FB">
      <w:pPr>
        <w:pStyle w:val="1048"/>
        <w:numPr>
          <w:ilvl w:val="0"/>
          <w:numId w:val="13"/>
        </w:numPr>
        <w:suppressLineNumbers w:val="false"/>
        <w:pBdr/>
        <w:spacing w:after="240" w:before="120" w:line="120" w:lineRule="auto"/>
        <w:ind/>
        <w:rPr/>
      </w:pPr>
      <w:r>
        <w:t xml:space="preserve">Asymmetric clinical cost of errors.</w:t>
      </w:r>
      <w:r/>
    </w:p>
    <w:p w14:paraId="3017EE4A">
      <w:pPr>
        <w:pStyle w:val="1048"/>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048"/>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048"/>
        <w:suppressLineNumbers w:val="false"/>
        <w:pBdr/>
        <w:spacing w:line="300" w:lineRule="auto"/>
        <w:ind w:firstLine="0"/>
        <w:rPr/>
      </w:pPr>
      <w:r>
        <w:rPr>
          <w:highlight w:val="none"/>
        </w:rPr>
      </w:r>
      <w:r>
        <w:rPr>
          <w:highlight w:val="none"/>
        </w:rPr>
      </w:r>
      <w:r/>
    </w:p>
    <w:p w14:paraId="2B89AE6B">
      <w:pPr>
        <w:pStyle w:val="1048"/>
        <w:suppressLineNumbers w:val="false"/>
        <w:pBdr/>
        <w:spacing w:line="300" w:lineRule="auto"/>
        <w:ind w:firstLine="0"/>
        <w:rPr>
          <w:b/>
          <w:bCs/>
        </w:rPr>
      </w:pPr>
      <w:r>
        <w:rPr>
          <w:b/>
          <w:bCs/>
        </w:rPr>
        <w:t xml:space="preserve">1.3.1 Workflow-Oriented Motivation</w:t>
      </w:r>
      <w:r>
        <w:rPr>
          <w:b/>
          <w:bCs/>
        </w:rPr>
      </w:r>
      <w:r>
        <w:rPr>
          <w:b/>
          <w:bCs/>
        </w:rPr>
      </w:r>
    </w:p>
    <w:p w14:paraId="48E249BE">
      <w:pPr>
        <w:pStyle w:val="1048"/>
        <w:suppressLineNumbers w:val="false"/>
        <w:pBdr/>
        <w:spacing w:line="300" w:lineRule="auto"/>
        <w:ind w:firstLine="0"/>
        <w:rPr/>
      </w:pPr>
      <w:r>
        <w:t xml:space="preserve">In practical clinical terms, the decision path is closer to:</w:t>
      </w:r>
      <w:r/>
    </w:p>
    <w:p w14:paraId="4EEF4013">
      <w:pPr>
        <w:pStyle w:val="1048"/>
        <w:suppressLineNumbers w:val="false"/>
        <w:pBdr/>
        <w:spacing w:line="300" w:lineRule="auto"/>
        <w:ind w:firstLine="0"/>
        <w:rPr/>
      </w:pPr>
      <w:r>
        <w:t xml:space="preserve">Endoscopy frame(s)</w:t>
      </w:r>
      <w:r/>
    </w:p>
    <w:p w14:paraId="38C0B0F3">
      <w:pPr>
        <w:pStyle w:val="1048"/>
        <w:suppressLineNumbers w:val="false"/>
        <w:pBdr/>
        <w:spacing w:after="240" w:before="120" w:line="120" w:lineRule="auto"/>
        <w:ind w:firstLine="0"/>
        <w:rPr/>
      </w:pPr>
      <w:r>
        <w:rPr>
          <w:lang w:val="en-US"/>
        </w:rPr>
        <w:t xml:space="preserve">1.</w:t>
      </w:r>
      <w:r>
        <w:t xml:space="preserve"> clinician question</w:t>
      </w:r>
      <w:r/>
    </w:p>
    <w:p w14:paraId="1A02D1D8">
      <w:pPr>
        <w:pStyle w:val="1048"/>
        <w:suppressLineNumbers w:val="false"/>
        <w:pBdr/>
        <w:spacing w:after="240" w:before="120" w:line="120" w:lineRule="auto"/>
        <w:ind w:firstLine="0"/>
        <w:rPr/>
      </w:pPr>
      <w:r>
        <w:rPr>
          <w:lang w:val="en-US"/>
        </w:rPr>
        <w:t xml:space="preserve">2.</w:t>
      </w:r>
      <w:r>
        <w:t xml:space="preserve"> visual-grounded answer</w:t>
      </w:r>
      <w:r/>
    </w:p>
    <w:p w14:paraId="409262C4">
      <w:pPr>
        <w:pStyle w:val="1048"/>
        <w:suppressLineNumbers w:val="false"/>
        <w:pBdr/>
        <w:spacing w:after="240" w:before="120" w:line="120" w:lineRule="auto"/>
        <w:ind w:firstLine="0"/>
        <w:rPr/>
      </w:pPr>
      <w:r>
        <w:rPr>
          <w:lang w:val="en-US"/>
        </w:rPr>
        <w:t xml:space="preserve">3.</w:t>
      </w:r>
      <w:r>
        <w:t xml:space="preserve"> confidence and uncertainty signal</w:t>
      </w:r>
      <w:r/>
    </w:p>
    <w:p w14:paraId="162ECB99">
      <w:pPr>
        <w:pStyle w:val="1048"/>
        <w:suppressLineNumbers w:val="false"/>
        <w:pBdr/>
        <w:spacing w:after="240" w:before="120" w:line="120" w:lineRule="auto"/>
        <w:ind w:firstLine="0"/>
        <w:rPr/>
      </w:pPr>
      <w:r>
        <w:rPr>
          <w:lang w:val="en-US"/>
        </w:rPr>
        <w:t xml:space="preserve">4.</w:t>
      </w:r>
      <w:r>
        <w:t xml:space="preserve"> optional evidence-linked follow-up</w:t>
      </w:r>
      <w:r/>
    </w:p>
    <w:p w14:paraId="043EADB2">
      <w:pPr>
        <w:pStyle w:val="1048"/>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048"/>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048"/>
        <w:suppressLineNumbers w:val="false"/>
        <w:pBdr/>
        <w:spacing w:line="300" w:lineRule="auto"/>
        <w:ind w:firstLine="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048"/>
        <w:suppressLineNumbers w:val="false"/>
        <w:pBdr/>
        <w:spacing w:line="300" w:lineRule="auto"/>
        <w:ind w:firstLine="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048"/>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048"/>
        <w:suppressLineNumbers w:val="false"/>
        <w:pBdr/>
        <w:spacing w:line="300" w:lineRule="auto"/>
        <w:ind w:firstLine="0"/>
        <w:rPr/>
      </w:pPr>
      <w:r>
        <w:t xml:space="preserve">The central problem addressed in this dissertation is:</w:t>
      </w:r>
      <w:r/>
    </w:p>
    <w:p w14:paraId="7FCD196A">
      <w:pPr>
        <w:pStyle w:val="1048"/>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048"/>
        <w:suppressLineNumbers w:val="false"/>
        <w:pBdr/>
        <w:spacing w:line="300" w:lineRule="auto"/>
        <w:ind w:firstLine="0"/>
        <w:rPr/>
      </w:pPr>
      <w:r>
        <w:t xml:space="preserve">This problem is decomposed into four operational gaps:</w:t>
      </w:r>
      <w:r/>
    </w:p>
    <w:p w14:paraId="127E5F12">
      <w:pPr>
        <w:pStyle w:val="1048"/>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048"/>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048"/>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048"/>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048"/>
        <w:suppressLineNumbers w:val="false"/>
        <w:pBdr/>
        <w:spacing w:line="300" w:lineRule="auto"/>
        <w:ind w:firstLine="0"/>
        <w:rPr>
          <w:b/>
          <w:bCs/>
        </w:rPr>
      </w:pPr>
      <w:r>
        <w:rPr>
          <w:b/>
          <w:bCs/>
        </w:rPr>
        <w:t xml:space="preserve">1.4.1 Evidence from This Repository</w:t>
      </w:r>
      <w:r>
        <w:rPr>
          <w:b/>
          <w:bCs/>
        </w:rPr>
      </w:r>
      <w:r>
        <w:rPr>
          <w:b/>
          <w:bCs/>
        </w:rPr>
      </w:r>
    </w:p>
    <w:p w14:paraId="4EBC79D9">
      <w:pPr>
        <w:pStyle w:val="1048"/>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048"/>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048"/>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048"/>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048"/>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048"/>
        <w:suppressLineNumbers w:val="false"/>
        <w:pBdr/>
        <w:spacing w:line="300" w:lineRule="auto"/>
        <w:ind w:firstLine="0"/>
        <w:rPr/>
      </w:pPr>
      <w:r>
        <w:rPr>
          <w:highlight w:val="none"/>
        </w:rPr>
        <w:t xml:space="preserve">These findings support a staged strategy:</w:t>
      </w:r>
      <w:r>
        <w:rPr>
          <w:highlight w:val="none"/>
        </w:rPr>
      </w:r>
      <w:r/>
    </w:p>
    <w:p w14:paraId="2025BD1E">
      <w:pPr>
        <w:pStyle w:val="1048"/>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048"/>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048"/>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048"/>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048"/>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048"/>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048"/>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048"/>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048"/>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048"/>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048"/>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048"/>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048"/>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048"/>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048"/>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048"/>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048"/>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048"/>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048"/>
        <w:suppressLineNumbers w:val="false"/>
        <w:pBdr/>
        <w:spacing w:line="300" w:lineRule="auto"/>
        <w:ind/>
        <w:rPr/>
      </w:pPr>
      <w:r/>
      <w:r/>
    </w:p>
    <w:tbl>
      <w:tblPr>
        <w:tblStyle w:val="1105"/>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048"/>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048"/>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048"/>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048"/>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048"/>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048"/>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048"/>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048"/>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048"/>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048"/>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048"/>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048"/>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048"/>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048"/>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048"/>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048"/>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05"/>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048"/>
        <w:suppressLineNumbers w:val="false"/>
        <w:pBdr/>
        <w:spacing w:line="300" w:lineRule="auto"/>
        <w:ind w:firstLine="0"/>
        <w:rPr/>
      </w:pPr>
      <w:r/>
      <w:r/>
    </w:p>
    <w:p w14:paraId="34F5A392">
      <w:pPr>
        <w:pStyle w:val="1048"/>
        <w:suppressLineNumbers w:val="false"/>
        <w:pBdr/>
        <w:spacing w:line="300" w:lineRule="auto"/>
        <w:ind w:firstLine="0"/>
        <w:rPr>
          <w:b/>
          <w:bCs/>
        </w:rPr>
      </w:pPr>
      <w:r>
        <w:rPr>
          <w:b/>
          <w:bCs/>
        </w:rPr>
        <w:t xml:space="preserve">1.6.2 Research Hypotheses (Working)</w:t>
      </w:r>
      <w:r>
        <w:rPr>
          <w:b/>
          <w:bCs/>
        </w:rPr>
      </w:r>
      <w:r>
        <w:rPr>
          <w:b/>
          <w:bCs/>
        </w:rPr>
      </w:r>
    </w:p>
    <w:p w14:paraId="69C4345A">
      <w:pPr>
        <w:pStyle w:val="1048"/>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048"/>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048"/>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048"/>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048"/>
        <w:suppressLineNumbers w:val="false"/>
        <w:pBdr/>
        <w:spacing w:line="300" w:lineRule="auto"/>
        <w:ind/>
        <w:rPr/>
      </w:pPr>
      <w:r/>
      <w:r/>
    </w:p>
    <w:p w14:paraId="4F3700B9">
      <w:pPr>
        <w:pStyle w:val="1048"/>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048"/>
        <w:suppressLineNumbers w:val="false"/>
        <w:pBdr/>
        <w:spacing w:line="300" w:lineRule="auto"/>
        <w:ind w:firstLine="0"/>
        <w:rPr>
          <w:b/>
          <w:bCs/>
        </w:rPr>
      </w:pPr>
      <w:r>
        <w:rPr>
          <w:b/>
          <w:bCs/>
        </w:rPr>
        <w:t xml:space="preserve">1.7.1 In Scope</w:t>
      </w:r>
      <w:r>
        <w:rPr>
          <w:b/>
          <w:bCs/>
        </w:rPr>
      </w:r>
      <w:r>
        <w:rPr>
          <w:b/>
          <w:bCs/>
        </w:rPr>
      </w:r>
    </w:p>
    <w:p w14:paraId="3A98C560">
      <w:pPr>
        <w:pStyle w:val="1048"/>
        <w:numPr>
          <w:ilvl w:val="0"/>
          <w:numId w:val="18"/>
        </w:numPr>
        <w:suppressLineNumbers w:val="false"/>
        <w:pBdr/>
        <w:spacing w:line="120" w:lineRule="auto"/>
        <w:ind/>
        <w:rPr/>
      </w:pPr>
      <w:r>
        <w:t xml:space="preserve">Colonoscopy and GI endoscopy image-question answering.</w:t>
      </w:r>
      <w:r/>
    </w:p>
    <w:p w14:paraId="7B66B808">
      <w:pPr>
        <w:pStyle w:val="1048"/>
        <w:numPr>
          <w:ilvl w:val="0"/>
          <w:numId w:val="18"/>
        </w:numPr>
        <w:suppressLineNumbers w:val="false"/>
        <w:pBdr/>
        <w:spacing w:line="120" w:lineRule="auto"/>
        <w:ind/>
        <w:rPr/>
      </w:pPr>
      <w:r>
        <w:t xml:space="preserve">UC severity-oriented analysis as a flagship clinical axis.</w:t>
      </w:r>
      <w:r/>
    </w:p>
    <w:p w14:paraId="17AA6AAC">
      <w:pPr>
        <w:pStyle w:val="1048"/>
        <w:numPr>
          <w:ilvl w:val="0"/>
          <w:numId w:val="18"/>
        </w:numPr>
        <w:suppressLineNumbers w:val="false"/>
        <w:pBdr/>
        <w:spacing w:line="120" w:lineRule="auto"/>
        <w:ind/>
        <w:rPr/>
      </w:pPr>
      <w:r>
        <w:t xml:space="preserve">Multi-dataset benchmarking from persisted local artifacts.</w:t>
      </w:r>
      <w:r/>
    </w:p>
    <w:p w14:paraId="3006CBB9">
      <w:pPr>
        <w:pStyle w:val="1048"/>
        <w:numPr>
          <w:ilvl w:val="0"/>
          <w:numId w:val="18"/>
        </w:numPr>
        <w:suppressLineNumbers w:val="false"/>
        <w:pBdr/>
        <w:spacing w:line="120" w:lineRule="auto"/>
        <w:ind/>
        <w:rPr/>
      </w:pPr>
      <w:r>
        <w:t xml:space="preserve">Closed-set and generative answer tracks.</w:t>
      </w:r>
      <w:r/>
    </w:p>
    <w:p w14:paraId="2EF3C012">
      <w:pPr>
        <w:pStyle w:val="1048"/>
        <w:numPr>
          <w:ilvl w:val="0"/>
          <w:numId w:val="18"/>
        </w:numPr>
        <w:suppressLineNumbers w:val="false"/>
        <w:pBdr/>
        <w:spacing w:line="120" w:lineRule="auto"/>
        <w:ind/>
        <w:rPr/>
      </w:pPr>
      <w:r>
        <w:t xml:space="preserve">Design of an evidence-aware extension pathway (RAG/PICO-oriented direction).</w:t>
      </w:r>
      <w:r/>
    </w:p>
    <w:p w14:paraId="65A9DFF6">
      <w:pPr>
        <w:pStyle w:val="1048"/>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048"/>
        <w:numPr>
          <w:ilvl w:val="0"/>
          <w:numId w:val="19"/>
        </w:numPr>
        <w:suppressLineNumbers w:val="false"/>
        <w:pBdr/>
        <w:spacing w:line="120" w:lineRule="auto"/>
        <w:ind/>
        <w:rPr/>
      </w:pPr>
      <w:r>
        <w:t xml:space="preserve">Prospective real-time deployment in clinical endoscopy units.</w:t>
      </w:r>
      <w:r/>
    </w:p>
    <w:p w14:paraId="2B700D60">
      <w:pPr>
        <w:pStyle w:val="1048"/>
        <w:numPr>
          <w:ilvl w:val="0"/>
          <w:numId w:val="19"/>
        </w:numPr>
        <w:suppressLineNumbers w:val="false"/>
        <w:pBdr/>
        <w:spacing w:line="120" w:lineRule="auto"/>
        <w:ind/>
        <w:rPr/>
      </w:pPr>
      <w:r>
        <w:t xml:space="preserve">Full regulatory and compliance validation.</w:t>
      </w:r>
      <w:r/>
    </w:p>
    <w:p w14:paraId="4F514535">
      <w:pPr>
        <w:pStyle w:val="1048"/>
        <w:numPr>
          <w:ilvl w:val="0"/>
          <w:numId w:val="19"/>
        </w:numPr>
        <w:suppressLineNumbers w:val="false"/>
        <w:pBdr/>
        <w:spacing w:line="120" w:lineRule="auto"/>
        <w:ind/>
        <w:rPr/>
      </w:pPr>
      <w:r>
        <w:t xml:space="preserve">Multi-center randomized outcome trials.</w:t>
      </w:r>
      <w:r/>
    </w:p>
    <w:p w14:paraId="02243ACC">
      <w:pPr>
        <w:pStyle w:val="1048"/>
        <w:numPr>
          <w:ilvl w:val="0"/>
          <w:numId w:val="19"/>
        </w:numPr>
        <w:suppressLineNumbers w:val="false"/>
        <w:pBdr/>
        <w:spacing w:line="120" w:lineRule="auto"/>
        <w:ind/>
        <w:rPr/>
      </w:pPr>
      <w:r>
        <w:t xml:space="preserve">Production-grade latency optimization for full video streams.</w:t>
      </w:r>
      <w:r/>
    </w:p>
    <w:p w14:paraId="06B25097">
      <w:pPr>
        <w:pStyle w:val="1048"/>
        <w:suppressLineNumbers w:val="false"/>
        <w:pBdr/>
        <w:spacing w:line="300" w:lineRule="auto"/>
        <w:ind w:firstLine="0"/>
        <w:rPr>
          <w:b/>
          <w:bCs/>
        </w:rPr>
      </w:pPr>
      <w:r>
        <w:rPr>
          <w:b/>
          <w:bCs/>
        </w:rPr>
        <w:t xml:space="preserve">1.7.3 Working Assumptions</w:t>
      </w:r>
      <w:r>
        <w:rPr>
          <w:b/>
          <w:bCs/>
        </w:rPr>
      </w:r>
      <w:r>
        <w:rPr>
          <w:b/>
          <w:bCs/>
        </w:rPr>
      </w:r>
    </w:p>
    <w:p w14:paraId="01FA2F0A">
      <w:pPr>
        <w:pStyle w:val="1048"/>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048"/>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048"/>
        <w:numPr>
          <w:ilvl w:val="0"/>
          <w:numId w:val="20"/>
        </w:numPr>
        <w:suppressLineNumbers w:val="false"/>
        <w:pBdr/>
        <w:spacing w:line="120" w:lineRule="auto"/>
        <w:ind/>
        <w:rPr/>
      </w:pPr>
      <w:r>
        <w:t xml:space="preserve">Evidence-aware generation is treated as an additive and safeguarded layer.</w:t>
      </w:r>
      <w:r/>
    </w:p>
    <w:p w14:paraId="66233F51">
      <w:pPr>
        <w:pStyle w:val="1048"/>
        <w:numPr>
          <w:ilvl w:val="0"/>
          <w:numId w:val="20"/>
        </w:numPr>
        <w:suppressLineNumbers w:val="false"/>
        <w:pBdr/>
        <w:spacing w:line="120" w:lineRule="auto"/>
        <w:ind/>
        <w:rPr/>
      </w:pPr>
      <w:r>
        <w:t xml:space="preserve">High-risk low-confidence outputs require abstention/escalation behavior.</w:t>
      </w:r>
      <w:r/>
    </w:p>
    <w:p w14:paraId="019702AE">
      <w:pPr>
        <w:pStyle w:val="1048"/>
        <w:suppressLineNumbers w:val="false"/>
        <w:pBdr/>
        <w:spacing w:line="300" w:lineRule="auto"/>
        <w:ind w:firstLine="0"/>
        <w:rPr/>
      </w:pPr>
      <w:r>
        <w:rPr>
          <w:highlight w:val="none"/>
        </w:rPr>
      </w:r>
      <w:r>
        <w:rPr>
          <w:highlight w:val="none"/>
        </w:rPr>
      </w:r>
      <w:r/>
    </w:p>
    <w:p w14:paraId="7B39CFD3">
      <w:pPr>
        <w:pStyle w:val="1048"/>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048"/>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048"/>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048"/>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048"/>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048"/>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048"/>
        <w:suppressLineNumbers w:val="false"/>
        <w:pBdr/>
        <w:spacing w:line="300" w:lineRule="auto"/>
        <w:ind w:firstLine="0"/>
        <w:rPr/>
      </w:pPr>
      <w:r>
        <w:t xml:space="preserve">Example query pattern for Chapter 5 use cases:</w:t>
      </w:r>
      <w:r/>
    </w:p>
    <w:p w14:paraId="6882997F">
      <w:pPr>
        <w:pStyle w:val="1048"/>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048"/>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048"/>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048"/>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048"/>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048"/>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048"/>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048"/>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048"/>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048"/>
        <w:suppressLineNumbers w:val="false"/>
        <w:pBdr/>
        <w:spacing w:line="300" w:lineRule="auto"/>
        <w:ind w:firstLine="0"/>
        <w:rPr/>
      </w:pPr>
      <w:r>
        <w:rPr>
          <w:highlight w:val="none"/>
        </w:rPr>
        <w:t xml:space="preserve">Question received</w:t>
      </w:r>
      <w:r/>
    </w:p>
    <w:p w14:paraId="344966AE">
      <w:pPr>
        <w:pStyle w:val="1048"/>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048"/>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048"/>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048"/>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048"/>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048"/>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048"/>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048"/>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048"/>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048"/>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048"/>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048"/>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048"/>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048"/>
        <w:suppressLineNumbers w:val="false"/>
        <w:pBdr/>
        <w:spacing w:line="300" w:lineRule="auto"/>
        <w:ind w:firstLine="0" w:left="0"/>
        <w:rPr/>
      </w:pPr>
      <w:r>
        <w:t xml:space="preserve">Clinical Image(s) + Clinician Question</w:t>
      </w:r>
      <w:r/>
    </w:p>
    <w:p w14:paraId="0DDAF825">
      <w:pPr>
        <w:pStyle w:val="1048"/>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048"/>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048"/>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048"/>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048"/>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048"/>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048"/>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048"/>
        <w:suppressLineNumbers w:val="false"/>
        <w:pBdr/>
        <w:spacing w:line="300" w:lineRule="auto"/>
        <w:ind w:firstLine="0"/>
        <w:rPr/>
      </w:pPr>
      <w:r>
        <w:t xml:space="preserve">Figure 1.1: Clinician-Centric MedVQA Pipeline for Colonoscopy.</w:t>
      </w:r>
      <w:r/>
    </w:p>
    <w:p w14:paraId="5CBD96E7">
      <w:pPr>
        <w:pStyle w:val="1048"/>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048"/>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048"/>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048"/>
        <w:suppressLineNumbers w:val="false"/>
        <w:pBdr/>
        <w:spacing w:line="300" w:lineRule="auto"/>
        <w:ind w:firstLine="0"/>
        <w:rPr/>
      </w:pPr>
      <w:r>
        <w:t xml:space="preserve">Figure 1.2: Data-to-Decision Funnel.</w:t>
      </w:r>
      <w:r/>
    </w:p>
    <w:p w14:paraId="4B0DA8D9">
      <w:pPr>
        <w:pStyle w:val="1048"/>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048"/>
        <w:suppressLineNumbers w:val="false"/>
        <w:pBdr/>
        <w:spacing w:line="300" w:lineRule="auto"/>
        <w:ind w:firstLine="0"/>
        <w:rPr>
          <w:b/>
          <w:bCs/>
        </w:rPr>
      </w:pPr>
      <w:r>
        <w:rPr>
          <w:b/>
          <w:bCs/>
        </w:rPr>
        <w:t xml:space="preserve">1.9.4 Figure 1.3: Research Design Map</w:t>
      </w:r>
      <w:r>
        <w:rPr>
          <w:b/>
          <w:bCs/>
        </w:rPr>
      </w:r>
      <w:r>
        <w:rPr>
          <w:b/>
          <w:bCs/>
        </w:rPr>
      </w:r>
    </w:p>
    <w:p w14:paraId="32FA5038">
      <w:pPr>
        <w:pStyle w:val="1048"/>
        <w:suppressLineNumbers w:val="false"/>
        <w:pBdr/>
        <w:spacing w:line="300" w:lineRule="auto"/>
        <w:ind w:right="0" w:firstLine="0" w:left="0"/>
        <w:rPr/>
      </w:pPr>
      <w:r>
        <w:t xml:space="preserve">Figure 1.3: Research Questions to Methods to Metrics to Outputs.</w:t>
      </w:r>
      <w:r/>
    </w:p>
    <w:p w14:paraId="44C13B48">
      <w:pPr>
        <w:pStyle w:val="1048"/>
        <w:suppressLineNumbers w:val="false"/>
        <w:pBdr/>
        <w:spacing w:line="300" w:lineRule="auto"/>
        <w:ind w:right="0" w:firstLine="0" w:left="0"/>
        <w:rPr/>
      </w:pPr>
      <w:r>
        <w:t xml:space="preserve">RQ layer</w:t>
      </w:r>
      <w:r/>
    </w:p>
    <w:p w14:paraId="1EEAAFAA">
      <w:pPr>
        <w:pStyle w:val="1048"/>
        <w:suppressLineNumbers w:val="false"/>
        <w:pBdr/>
        <w:spacing w:line="120" w:lineRule="auto"/>
        <w:ind w:right="0" w:firstLine="0" w:left="0"/>
        <w:rPr/>
      </w:pPr>
      <w:r>
        <w:rPr>
          <w:lang w:val="en-US"/>
        </w:rPr>
        <w:t xml:space="preserve">1.</w:t>
      </w:r>
      <w:r>
        <w:t xml:space="preserve"> dataset/method layer</w:t>
      </w:r>
      <w:r/>
    </w:p>
    <w:p w14:paraId="1E221488">
      <w:pPr>
        <w:pStyle w:val="1048"/>
        <w:suppressLineNumbers w:val="false"/>
        <w:pBdr/>
        <w:spacing w:line="120" w:lineRule="auto"/>
        <w:ind w:right="0" w:firstLine="0" w:left="0"/>
        <w:rPr/>
      </w:pPr>
      <w:r>
        <w:rPr>
          <w:lang w:val="en-US"/>
        </w:rPr>
        <w:t xml:space="preserve">2.</w:t>
      </w:r>
      <w:r>
        <w:t xml:space="preserve"> metric layer</w:t>
      </w:r>
      <w:r/>
    </w:p>
    <w:p w14:paraId="413A4C83">
      <w:pPr>
        <w:pStyle w:val="1048"/>
        <w:suppressLineNumbers w:val="false"/>
        <w:pBdr/>
        <w:spacing w:line="120" w:lineRule="auto"/>
        <w:ind w:right="0" w:firstLine="0" w:left="0"/>
        <w:rPr/>
      </w:pPr>
      <w:r>
        <w:rPr>
          <w:lang w:val="en-US"/>
        </w:rPr>
        <w:t xml:space="preserve">3.</w:t>
      </w:r>
      <w:r>
        <w:t xml:space="preserve"> scenario acceptance layer</w:t>
      </w:r>
      <w:r/>
    </w:p>
    <w:p w14:paraId="7C280CA6">
      <w:pPr>
        <w:pStyle w:val="1048"/>
        <w:suppressLineNumbers w:val="false"/>
        <w:pBdr/>
        <w:spacing w:line="300" w:lineRule="auto"/>
        <w:ind w:right="0" w:firstLine="0" w:left="0"/>
        <w:rPr>
          <w:b/>
          <w:bCs/>
        </w:rPr>
      </w:pPr>
      <w:r>
        <w:rPr>
          <w:b/>
          <w:bCs/>
        </w:rPr>
        <w:t xml:space="preserve">1.9.6 Risk-Control Matrix</w:t>
      </w:r>
      <w:r>
        <w:rPr>
          <w:b/>
          <w:bCs/>
        </w:rPr>
      </w:r>
      <w:r>
        <w:rPr>
          <w:b/>
          <w:bCs/>
        </w:rPr>
      </w:r>
    </w:p>
    <w:tbl>
      <w:tblPr>
        <w:tblStyle w:val="1105"/>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048"/>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048"/>
        <w:suppressLineNumbers w:val="false"/>
        <w:pBdr/>
        <w:spacing w:line="300" w:lineRule="auto"/>
        <w:ind w:left="2835"/>
        <w:rPr/>
      </w:pPr>
      <w:r>
        <w:rPr>
          <w:highlight w:val="none"/>
          <w:lang w:val="en-US"/>
        </w:rPr>
      </w:r>
      <w:r>
        <w:rPr>
          <w:highlight w:val="none"/>
          <w:lang w:val="en-US"/>
        </w:rPr>
      </w:r>
      <w:r/>
    </w:p>
    <w:p w14:paraId="4E0174DA">
      <w:pPr>
        <w:pStyle w:val="1048"/>
        <w:suppressLineNumbers w:val="false"/>
        <w:pBdr/>
        <w:spacing w:line="300" w:lineRule="auto"/>
        <w:ind w:firstLine="0"/>
        <w:rPr>
          <w:b/>
          <w:bCs/>
          <w:sz w:val="28"/>
          <w:szCs w:val="28"/>
        </w:rPr>
      </w:pPr>
      <w:r>
        <w:rPr>
          <w:b/>
          <w:bCs/>
          <w:sz w:val="28"/>
          <w:szCs w:val="28"/>
        </w:rPr>
        <w:t xml:space="preserve">1.10 Contributions Claimed in This Dissertation</w:t>
      </w:r>
      <w:r>
        <w:rPr>
          <w:b/>
          <w:bCs/>
          <w:sz w:val="28"/>
          <w:szCs w:val="28"/>
        </w:rPr>
      </w:r>
      <w:r>
        <w:rPr>
          <w:b/>
          <w:bCs/>
          <w:sz w:val="28"/>
          <w:szCs w:val="28"/>
        </w:rPr>
      </w:r>
    </w:p>
    <w:p w14:paraId="02E79219">
      <w:pPr>
        <w:pStyle w:val="1048"/>
        <w:suppressLineNumbers w:val="false"/>
        <w:pBdr/>
        <w:spacing w:line="300" w:lineRule="auto"/>
        <w:ind w:firstLine="0"/>
        <w:rPr/>
      </w:pPr>
      <w:r>
        <w:t xml:space="preserve">At this stage, the dissertation claims the following contributions:</w:t>
      </w:r>
      <w:r/>
    </w:p>
    <w:p w14:paraId="79AF7D3C">
      <w:pPr>
        <w:pStyle w:val="1048"/>
        <w:numPr>
          <w:ilvl w:val="0"/>
          <w:numId w:val="51"/>
        </w:numPr>
        <w:suppressLineNumbers w:val="false"/>
        <w:pBdr/>
        <w:spacing w:after="240" w:before="120" w:line="240" w:lineRule="auto"/>
        <w:ind/>
        <w:rPr/>
      </w:pPr>
      <w:r>
        <w:t xml:space="preserve">A consolidated GI MedVQA evidence base across multiple datasets and task formulations using reproducible local artifacts [20]-[24].</w:t>
      </w:r>
      <w:r/>
    </w:p>
    <w:p w14:paraId="2A08C86D">
      <w:pPr>
        <w:pStyle w:val="1048"/>
        <w:numPr>
          <w:ilvl w:val="0"/>
          <w:numId w:val="51"/>
        </w:numPr>
        <w:suppressLineNumbers w:val="false"/>
        <w:pBdr/>
        <w:spacing w:after="240" w:before="120" w:line="240" w:lineRule="auto"/>
        <w:ind/>
        <w:rPr/>
      </w:pPr>
      <w:r>
        <w:t xml:space="preserve">Empirical clarification that naive zero-shot VLM transfer is currently insufficient for dependable GI MedVQA performance in this repository setting.</w:t>
      </w:r>
      <w:r/>
    </w:p>
    <w:p w14:paraId="68A7C076">
      <w:pPr>
        <w:pStyle w:val="1048"/>
        <w:numPr>
          <w:ilvl w:val="0"/>
          <w:numId w:val="51"/>
        </w:numPr>
        <w:suppressLineNumbers w:val="false"/>
        <w:pBdr/>
        <w:spacing w:after="240" w:before="120" w:line="240" w:lineRule="auto"/>
        <w:ind/>
        <w:rPr/>
      </w:pPr>
      <w:r>
        <w:t xml:space="preserve">A severity-focused framing that aligns model evaluation with clinically meaningful endpoints, including macro-F1, balanced metrics, remission slices, and QWK in UC-oriented tasks.</w:t>
      </w:r>
      <w:r/>
    </w:p>
    <w:p w14:paraId="6A4D6551">
      <w:pPr>
        <w:pStyle w:val="1048"/>
        <w:numPr>
          <w:ilvl w:val="0"/>
          <w:numId w:val="51"/>
        </w:numPr>
        <w:suppressLineNumbers w:val="false"/>
        <w:pBdr/>
        <w:spacing w:after="240" w:before="120" w:line="240" w:lineRule="auto"/>
        <w:ind/>
        <w:rPr/>
      </w:pPr>
      <w:r>
        <w:t xml:space="preserve">A scenario-driven evaluation framework that complements leaderboard metrics with clinically interpretable acceptance criteria.</w:t>
      </w:r>
      <w:r/>
    </w:p>
    <w:p w14:paraId="1BA74232">
      <w:pPr>
        <w:pStyle w:val="1048"/>
        <w:numPr>
          <w:ilvl w:val="0"/>
          <w:numId w:val="51"/>
        </w:numPr>
        <w:suppressLineNumbers w:val="false"/>
        <w:pBdr/>
        <w:spacing w:after="240" w:before="120" w:line="240" w:lineRule="auto"/>
        <w:ind/>
        <w:rPr>
          <w:highlight w:val="none"/>
        </w:rPr>
      </w:pPr>
      <w:r>
        <w:t xml:space="preserve">A concrete design pathway for integrating retrieval-augmented, evidence-aware answering as a controlled extension of visual-grounded VQA.</w:t>
      </w:r>
      <w:r>
        <w:rPr>
          <w:highlight w:val="none"/>
        </w:rPr>
      </w:r>
      <w:r>
        <w:rPr>
          <w:highlight w:val="none"/>
        </w:rPr>
      </w:r>
    </w:p>
    <w:p w14:paraId="33587185">
      <w:pPr>
        <w:pStyle w:val="1048"/>
        <w:suppressLineNumbers w:val="false"/>
        <w:pBdr/>
        <w:spacing w:line="300" w:lineRule="auto"/>
        <w:ind w:firstLine="0"/>
        <w:rPr>
          <w:b/>
          <w:bCs/>
        </w:rPr>
      </w:pPr>
      <w:r>
        <w:rPr>
          <w:b/>
          <w:bCs/>
        </w:rPr>
        <w:t xml:space="preserve">1.10.1 Contribution Boundaries</w:t>
      </w:r>
      <w:r>
        <w:rPr>
          <w:b/>
          <w:bCs/>
        </w:rPr>
      </w:r>
      <w:r>
        <w:rPr>
          <w:b/>
          <w:bCs/>
        </w:rPr>
      </w:r>
    </w:p>
    <w:p w14:paraId="620A1895">
      <w:pPr>
        <w:pStyle w:val="1048"/>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1048"/>
        <w:suppressLineNumbers w:val="false"/>
        <w:pBdr/>
        <w:spacing w:line="300" w:lineRule="auto"/>
        <w:ind w:firstLine="0"/>
        <w:rPr/>
      </w:pPr>
      <w:r/>
      <w:r/>
    </w:p>
    <w:p w14:paraId="4D026E48">
      <w:pPr>
        <w:pStyle w:val="1048"/>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5D95C937">
      <w:pPr>
        <w:pStyle w:val="1048"/>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1048"/>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1048"/>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1048"/>
        <w:suppressLineNumbers w:val="false"/>
        <w:pBdr/>
        <w:spacing w:line="300" w:lineRule="auto"/>
        <w:ind w:firstLine="0"/>
        <w:rPr/>
      </w:pPr>
      <w:r>
        <w:t xml:space="preserve">Chapter 4: develops the proposed dataset-model-RAG-fine-tuning pipeline with implementation detail.</w:t>
      </w:r>
      <w:r/>
    </w:p>
    <w:p w14:paraId="69EB1FDF">
      <w:pPr>
        <w:pStyle w:val="1048"/>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1048"/>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1048"/>
        <w:suppressLineNumbers w:val="false"/>
        <w:pBdr/>
        <w:spacing w:line="300" w:lineRule="auto"/>
        <w:ind w:firstLine="0"/>
        <w:rPr/>
      </w:pPr>
      <w:r>
        <w:t xml:space="preserve">Chapter 7: synthesizes conclusions, revisits research questions, states limitations, and defines future work.</w:t>
      </w:r>
      <w:r/>
    </w:p>
    <w:p w14:paraId="26F79DA0">
      <w:pPr>
        <w:pStyle w:val="1048"/>
        <w:suppressLineNumbers w:val="false"/>
        <w:pBdr/>
        <w:spacing w:line="300" w:lineRule="auto"/>
        <w:ind/>
        <w:rPr/>
      </w:pPr>
      <w:r/>
      <w:r/>
    </w:p>
    <w:p w14:paraId="70E53ED4">
      <w:pPr>
        <w:pStyle w:val="1048"/>
        <w:suppressLineNumbers w:val="false"/>
        <w:pBdr/>
        <w:spacing w:line="300" w:lineRule="auto"/>
        <w:ind/>
        <w:rPr/>
      </w:pPr>
      <w:r/>
      <w:r/>
    </w:p>
    <w:p w14:paraId="381B1532">
      <w:pPr>
        <w:pStyle w:val="1048"/>
        <w:suppressLineNumbers w:val="false"/>
        <w:pBdr/>
        <w:spacing w:line="300" w:lineRule="auto"/>
        <w:ind/>
        <w:rPr/>
      </w:pPr>
      <w:r/>
      <w:r/>
    </w:p>
    <w:p w14:paraId="5154A291">
      <w:pPr>
        <w:pStyle w:val="1048"/>
        <w:suppressLineNumbers w:val="false"/>
        <w:pBdr/>
        <w:spacing w:line="300" w:lineRule="auto"/>
        <w:ind/>
        <w:rPr/>
      </w:pPr>
      <w:r/>
      <w:r/>
    </w:p>
    <w:p w14:paraId="12B54F1F" w14:textId="65827942">
      <w:pPr>
        <w:pStyle w:val="1048"/>
        <w:suppressLineNumbers w:val="false"/>
        <w:pBdr/>
        <w:spacing w:line="300" w:lineRule="auto"/>
        <w:ind w:firstLine="0"/>
        <w:rPr/>
      </w:pPr>
      <w:r/>
      <w:r/>
    </w:p>
    <w:p w14:paraId="25FF9EE4" w14:textId="4F9F96C5">
      <w:pPr>
        <w:pStyle w:val="1035"/>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048"/>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048"/>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048"/>
        <w:suppressLineNumbers w:val="false"/>
        <w:pBdr/>
        <w:spacing w:after="240" w:before="120" w:line="240" w:lineRule="auto"/>
        <w:ind w:firstLine="0"/>
        <w:rPr/>
      </w:pPr>
      <w:r>
        <w:t xml:space="preserve">At a glance, this chapter:</w:t>
      </w:r>
      <w:r/>
    </w:p>
    <w:p w14:paraId="6F7D20EC">
      <w:pPr>
        <w:pStyle w:val="1048"/>
        <w:suppressLineNumbers w:val="false"/>
        <w:pBdr/>
        <w:spacing w:after="240" w:before="120" w:line="240" w:lineRule="auto"/>
        <w:ind w:firstLine="0"/>
        <w:rPr/>
      </w:pPr>
      <w:r>
        <w:t xml:space="preserve">1. Defines a transparent scoping protocol and source-selection framework.</w:t>
      </w:r>
      <w:r/>
    </w:p>
    <w:p w14:paraId="1D29130D">
      <w:pPr>
        <w:pStyle w:val="1048"/>
        <w:suppressLineNumbers w:val="false"/>
        <w:pBdr/>
        <w:spacing w:after="240" w:before="120" w:line="240" w:lineRule="auto"/>
        <w:ind w:firstLine="0"/>
        <w:rPr/>
      </w:pPr>
      <w:r>
        <w:t xml:space="preserve">2. Summarizes the method and benchmark evolution of MedVQA.</w:t>
      </w:r>
      <w:r/>
    </w:p>
    <w:p w14:paraId="5AC7DB51">
      <w:pPr>
        <w:pStyle w:val="1048"/>
        <w:suppressLineNumbers w:val="false"/>
        <w:pBdr/>
        <w:spacing w:after="240" w:before="120" w:line="240" w:lineRule="auto"/>
        <w:ind w:firstLine="0"/>
        <w:rPr/>
      </w:pPr>
      <w:r>
        <w:t xml:space="preserve">3. Maps GI-colonoscopy datasets and challenge ecosystems to task needs.</w:t>
      </w:r>
      <w:r/>
    </w:p>
    <w:p w14:paraId="5FA99030">
      <w:pPr>
        <w:pStyle w:val="1048"/>
        <w:suppressLineNumbers w:val="false"/>
        <w:pBdr/>
        <w:spacing w:after="240" w:before="120" w:line="240" w:lineRule="auto"/>
        <w:ind w:firstLine="0"/>
        <w:rPr/>
      </w:pPr>
      <w:r>
        <w:t xml:space="preserve">4. Evaluates technique families against scenario-oriented clinical requirements.</w:t>
      </w:r>
      <w:r/>
    </w:p>
    <w:p w14:paraId="4265698E">
      <w:pPr>
        <w:pStyle w:val="1048"/>
        <w:suppressLineNumbers w:val="false"/>
        <w:pBdr/>
        <w:spacing w:after="240" w:before="120" w:line="240" w:lineRule="auto"/>
        <w:ind w:firstLine="0"/>
        <w:rPr/>
      </w:pPr>
      <w:r>
        <w:t xml:space="preserve">5. Produces a gap-and-risk synthesis that directly drives Chapter 3 experiments.</w:t>
      </w:r>
      <w:r/>
    </w:p>
    <w:p w14:paraId="5F35DB85">
      <w:pPr>
        <w:pStyle w:val="1048"/>
        <w:pBdr/>
        <w:spacing/>
        <w:ind w:firstLine="0"/>
        <w:rPr/>
      </w:pPr>
      <w:r/>
      <w:r/>
    </w:p>
    <w:p w14:paraId="0BC6FFF5">
      <w:pPr>
        <w:pStyle w:val="1048"/>
        <w:pBdr/>
        <w:spacing/>
        <w:ind w:firstLine="0"/>
        <w:rPr/>
      </w:pPr>
      <w:r>
        <w:t xml:space="preserve">The next chapter moves from literature synthesis to artifact-grounded empirical evaluation across GI-endoscopy datasets.</w:t>
      </w:r>
      <w:r/>
    </w:p>
    <w:p w14:paraId="4489C505">
      <w:pPr>
        <w:pStyle w:val="1048"/>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034"/>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034"/>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034"/>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05"/>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034"/>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034"/>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034"/>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048"/>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048"/>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048"/>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05"/>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05"/>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048"/>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048"/>
        <w:suppressLineNumbers w:val="false"/>
        <w:pBdr/>
        <w:spacing w:after="240" w:afterAutospacing="0" w:before="240" w:beforeAutospacing="0" w:line="300" w:lineRule="auto"/>
        <w:ind w:firstLine="0"/>
        <w:rPr/>
      </w:pPr>
      <w:r/>
      <w:r/>
    </w:p>
    <w:p w14:paraId="5B81A01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048"/>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048"/>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048"/>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048"/>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048"/>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048"/>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048"/>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035"/>
        <w:suppressLineNumbers w:val="false"/>
        <w:pBdr/>
        <w:spacing w:line="300" w:lineRule="auto"/>
        <w:ind/>
        <w:rPr/>
      </w:pPr>
      <w:r>
        <w:br/>
      </w:r>
      <w:r>
        <w:br/>
      </w:r>
      <w:r>
        <w:t xml:space="preserve">Investigating Existing VQA Techniques Across GI-Endoscopy Datasets</w:t>
      </w:r>
      <w:r/>
    </w:p>
    <w:p w14:paraId="62020F09">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048"/>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048"/>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048"/>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048"/>
        <w:suppressLineNumbers w:val="false"/>
        <w:pBdr/>
        <w:spacing w:line="300" w:lineRule="auto"/>
        <w:ind/>
        <w:rPr/>
      </w:pPr>
      <w:r>
        <w:rPr>
          <w:lang w:val="en-CA"/>
        </w:rPr>
        <w:t xml:space="preserve">Across the datasets in this repository, the chapter provides a reproducible comparison of:</w:t>
      </w:r>
      <w:r/>
    </w:p>
    <w:p w14:paraId="5565F7B0">
      <w:pPr>
        <w:pStyle w:val="1048"/>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048"/>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048"/>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048"/>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048"/>
        <w:suppressLineNumbers w:val="false"/>
        <w:pBdr/>
        <w:spacing w:line="300" w:lineRule="auto"/>
        <w:ind/>
        <w:rPr/>
      </w:pPr>
      <w:r>
        <w:rPr>
          <w:lang w:val="en-CA"/>
        </w:rPr>
      </w:r>
      <w:r/>
    </w:p>
    <w:p w14:paraId="63B94992">
      <w:pPr>
        <w:pStyle w:val="1048"/>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048"/>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048"/>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048"/>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048"/>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048"/>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048"/>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048"/>
        <w:suppressLineNumbers w:val="false"/>
        <w:pBdr/>
        <w:spacing w:line="300" w:lineRule="auto"/>
        <w:ind/>
        <w:rPr/>
      </w:pPr>
      <w:r>
        <w:rPr>
          <w:lang w:val="en-CA"/>
        </w:rPr>
        <w:t xml:space="preserve">This chapter serves three thesis-level functions:</w:t>
      </w:r>
      <w:r/>
    </w:p>
    <w:p w14:paraId="551E486B">
      <w:pPr>
        <w:pStyle w:val="1048"/>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048"/>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048"/>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048"/>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048"/>
        <w:suppressLineNumbers w:val="false"/>
        <w:pBdr/>
        <w:spacing w:line="300" w:lineRule="auto"/>
        <w:ind w:firstLine="0"/>
        <w:rPr/>
      </w:pPr>
      <w:r>
        <w:rPr>
          <w:b/>
          <w:bCs/>
          <w:sz w:val="28"/>
          <w:szCs w:val="28"/>
          <w:highlight w:val="none"/>
        </w:rPr>
      </w:r>
      <w:r>
        <w:rPr>
          <w:b/>
          <w:bCs/>
          <w:sz w:val="28"/>
          <w:szCs w:val="28"/>
          <w:highlight w:val="none"/>
        </w:rPr>
      </w:r>
      <w:r/>
    </w:p>
    <w:p w14:paraId="03C3260E">
      <w:pPr>
        <w:pStyle w:val="1048"/>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048"/>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048"/>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05"/>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048"/>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048"/>
        <w:suppressLineNumbers w:val="false"/>
        <w:pBdr/>
        <w:spacing w:line="300" w:lineRule="auto"/>
        <w:ind w:firstLine="0"/>
        <w:rPr/>
      </w:pPr>
      <w:r>
        <w:rPr>
          <w:highlight w:val="none"/>
        </w:rPr>
      </w:r>
      <w:r>
        <w:rPr>
          <w:highlight w:val="none"/>
        </w:rPr>
      </w:r>
      <w:r/>
    </w:p>
    <w:p w14:paraId="18A23A64">
      <w:pPr>
        <w:pStyle w:val="1048"/>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048"/>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048"/>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048"/>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048"/>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048"/>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048"/>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048"/>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048"/>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048"/>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048"/>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048"/>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048"/>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048"/>
        <w:suppressLineNumbers w:val="false"/>
        <w:pBdr/>
        <w:spacing w:line="300" w:lineRule="auto"/>
        <w:ind w:firstLine="0"/>
        <w:rPr/>
      </w:pPr>
      <w:r>
        <w:rPr>
          <w:highlight w:val="none"/>
        </w:rPr>
      </w:r>
      <w:r>
        <w:rPr>
          <w:highlight w:val="none"/>
        </w:rPr>
      </w:r>
      <w:r/>
    </w:p>
    <w:p w14:paraId="68CC8585">
      <w:pPr>
        <w:pStyle w:val="1048"/>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048"/>
        <w:suppressLineNumbers w:val="false"/>
        <w:pBdr/>
        <w:spacing w:line="300" w:lineRule="auto"/>
        <w:ind w:firstLine="720"/>
        <w:rPr>
          <w:highlight w:val="none"/>
        </w:rPr>
      </w:pPr>
      <w:r>
        <w:rPr>
          <w:highlight w:val="none"/>
        </w:rPr>
      </w:r>
      <w:r>
        <w:rPr>
          <w:highlight w:val="none"/>
        </w:rPr>
      </w:r>
      <w:r>
        <w:rPr>
          <w:highlight w:val="none"/>
        </w:rPr>
      </w:r>
    </w:p>
    <w:p w14:paraId="15B1179A">
      <w:pPr>
        <w:pStyle w:val="1048"/>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048"/>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048"/>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048"/>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048"/>
        <w:suppressLineNumbers w:val="false"/>
        <w:pBdr/>
        <w:spacing w:line="300" w:lineRule="auto"/>
        <w:ind w:firstLine="0"/>
        <w:rPr>
          <w:b/>
          <w:bCs/>
        </w:rPr>
      </w:pPr>
      <w:r>
        <w:rPr>
          <w:b/>
          <w:bCs/>
        </w:rPr>
        <w:t xml:space="preserve">Why these datasets are included</w:t>
      </w:r>
      <w:r>
        <w:rPr>
          <w:b/>
          <w:bCs/>
        </w:rPr>
      </w:r>
      <w:r>
        <w:rPr>
          <w:b/>
          <w:bCs/>
        </w:rPr>
      </w:r>
    </w:p>
    <w:p w14:paraId="021FE8FD">
      <w:pPr>
        <w:pStyle w:val="1048"/>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048"/>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048"/>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048"/>
        <w:suppressLineNumbers w:val="false"/>
        <w:pBdr/>
        <w:spacing w:line="300" w:lineRule="auto"/>
        <w:ind/>
        <w:rPr/>
      </w:pPr>
      <w:r/>
      <w:r/>
    </w:p>
    <w:p w14:paraId="6E3C99E3">
      <w:pPr>
        <w:pStyle w:val="1048"/>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048"/>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048"/>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048"/>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048"/>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048"/>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048"/>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048"/>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048"/>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048"/>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048"/>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048"/>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048"/>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048"/>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048"/>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048"/>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048"/>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048"/>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048"/>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048"/>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048"/>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048"/>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048"/>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048"/>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048"/>
        <w:suppressLineNumbers w:val="false"/>
        <w:pBdr/>
        <w:spacing w:line="300" w:lineRule="auto"/>
        <w:ind w:firstLine="0"/>
        <w:rPr/>
      </w:pPr>
      <w:r>
        <w:t xml:space="preserve">The protocol defines three focused scenario templates:</w:t>
      </w:r>
      <w:r/>
    </w:p>
    <w:p w14:paraId="086DBEE0">
      <w:pPr>
        <w:pStyle w:val="1048"/>
        <w:numPr>
          <w:ilvl w:val="0"/>
          <w:numId w:val="61"/>
        </w:numPr>
        <w:suppressLineNumbers w:val="false"/>
        <w:pBdr/>
        <w:spacing w:line="120" w:lineRule="auto"/>
        <w:ind/>
        <w:rPr/>
      </w:pPr>
      <w:r>
        <w:rPr>
          <w:b/>
          <w:bCs/>
        </w:rPr>
        <w:t xml:space="preserve">S1</w:t>
      </w:r>
      <w:r>
        <w:t xml:space="preserve">: active bleeding binary detection,</w:t>
      </w:r>
      <w:r/>
    </w:p>
    <w:p w14:paraId="368B6670">
      <w:pPr>
        <w:pStyle w:val="1048"/>
        <w:numPr>
          <w:ilvl w:val="0"/>
          <w:numId w:val="61"/>
        </w:numPr>
        <w:suppressLineNumbers w:val="false"/>
        <w:pBdr/>
        <w:spacing w:line="120" w:lineRule="auto"/>
        <w:ind/>
        <w:rPr/>
      </w:pPr>
      <w:r>
        <w:rPr>
          <w:b/>
          <w:bCs/>
        </w:rPr>
        <w:t xml:space="preserve">S2</w:t>
      </w:r>
      <w:r>
        <w:t xml:space="preserve">: instrument type plus polyp count,</w:t>
      </w:r>
      <w:r/>
    </w:p>
    <w:p w14:paraId="43E8ABEF">
      <w:pPr>
        <w:pStyle w:val="1048"/>
        <w:numPr>
          <w:ilvl w:val="0"/>
          <w:numId w:val="61"/>
        </w:numPr>
        <w:suppressLineNumbers w:val="false"/>
        <w:pBdr/>
        <w:spacing w:line="120" w:lineRule="auto"/>
        <w:ind/>
        <w:rPr/>
      </w:pPr>
      <w:r>
        <w:rPr>
          <w:b/>
          <w:bCs/>
        </w:rPr>
        <w:t xml:space="preserve">S3</w:t>
      </w:r>
      <w:r>
        <w:t xml:space="preserve">: Paris morphology closed set.</w:t>
      </w:r>
      <w:r/>
    </w:p>
    <w:p w14:paraId="04E223CF">
      <w:pPr>
        <w:pStyle w:val="1048"/>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048"/>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048"/>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048"/>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048"/>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048"/>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048"/>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048"/>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048"/>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048"/>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048"/>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048"/>
        <w:suppressLineNumbers w:val="false"/>
        <w:pBdr/>
        <w:spacing w:line="300" w:lineRule="auto"/>
        <w:ind w:firstLine="0"/>
        <w:rPr/>
      </w:pPr>
      <w:r>
        <w:t xml:space="preserve">(A) Closed-set classification and constrained QA </w:t>
      </w:r>
      <w:r/>
    </w:p>
    <w:p w14:paraId="6C164702">
      <w:pPr>
        <w:pStyle w:val="1048"/>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048"/>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048"/>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048"/>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048"/>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048"/>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048"/>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048"/>
        <w:suppressLineNumbers w:val="false"/>
        <w:pBdr/>
        <w:spacing w:line="300" w:lineRule="auto"/>
        <w:ind w:firstLine="0"/>
        <w:rPr/>
      </w:pPr>
      <w:r>
        <w:t xml:space="preserve">(B) Generative overlap and format fidelity (free-text outputs)</w:t>
      </w:r>
      <w:r/>
    </w:p>
    <w:p w14:paraId="7586D480">
      <w:pPr>
        <w:pStyle w:val="1048"/>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048"/>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048"/>
        <w:suppressLineNumbers w:val="false"/>
        <w:pBdr/>
        <w:spacing w:line="300" w:lineRule="auto"/>
        <w:ind w:firstLine="0"/>
        <w:rPr/>
      </w:pPr>
      <w:r/>
      <w:r/>
    </w:p>
    <w:p w14:paraId="4E402BC8">
      <w:pPr>
        <w:pStyle w:val="1048"/>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048"/>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048"/>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048"/>
        <w:suppressLineNumbers w:val="false"/>
        <w:pBdr/>
        <w:spacing w:line="300" w:lineRule="auto"/>
        <w:ind w:firstLine="0"/>
        <w:rPr/>
      </w:pPr>
      <w:r>
        <w:t xml:space="preserve">(C) Ordinal severity and clinically meaningful slices (UC severity as flagship use case)</w:t>
      </w:r>
      <w:r/>
    </w:p>
    <w:p w14:paraId="55F8F60D">
      <w:pPr>
        <w:pStyle w:val="1048"/>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048"/>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048"/>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048"/>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048"/>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048"/>
        <w:suppressLineNumbers w:val="false"/>
        <w:pBdr/>
        <w:spacing w:line="300" w:lineRule="auto"/>
        <w:ind w:firstLine="0"/>
        <w:rPr/>
      </w:pPr>
      <w:r>
        <w:t xml:space="preserve">(D) Uncertainty and comparative significance diagnostics (paired predictions only)</w:t>
      </w:r>
      <w:r/>
    </w:p>
    <w:p w14:paraId="4AC8EC63">
      <w:pPr>
        <w:pStyle w:val="1048"/>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048"/>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048"/>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048"/>
        <w:suppressLineNumbers w:val="false"/>
        <w:pBdr/>
        <w:spacing w:line="300" w:lineRule="auto"/>
        <w:ind/>
        <w:rPr/>
      </w:pPr>
      <w:r/>
      <w:r/>
    </w:p>
    <w:p w14:paraId="4D6A02E9">
      <w:pPr>
        <w:pStyle w:val="1048"/>
        <w:suppressLineNumbers w:val="false"/>
        <w:pBdr/>
        <w:spacing w:line="300" w:lineRule="auto"/>
        <w:ind/>
        <w:rPr/>
      </w:pPr>
      <w:r/>
      <w:r/>
    </w:p>
    <w:p w14:paraId="7CA832D8">
      <w:pPr>
        <w:pStyle w:val="1048"/>
        <w:suppressLineNumbers w:val="false"/>
        <w:pBdr/>
        <w:spacing w:line="300" w:lineRule="auto"/>
        <w:ind/>
        <w:rPr/>
      </w:pPr>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048"/>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048"/>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048"/>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048"/>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048"/>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048"/>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048"/>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048"/>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048"/>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048"/>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048"/>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048"/>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048"/>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048"/>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048"/>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048"/>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048"/>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048"/>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048"/>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048"/>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048"/>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048"/>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048"/>
        <w:suppressLineNumbers w:val="false"/>
        <w:pBdr/>
        <w:spacing w:line="300" w:lineRule="auto"/>
        <w:ind w:firstLine="0"/>
        <w:rPr/>
      </w:pPr>
      <w:r>
        <w:rPr>
          <w:color w:val="000000" w:themeColor="text1"/>
        </w:rPr>
      </w:r>
      <w:r/>
    </w:p>
    <w:p w14:paraId="23ADB059">
      <w:pPr>
        <w:pStyle w:val="1048"/>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048"/>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048"/>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048"/>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048"/>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048"/>
        <w:suppressLineNumbers w:val="false"/>
        <w:pBdr/>
        <w:spacing w:line="300" w:lineRule="auto"/>
        <w:ind w:firstLine="0"/>
        <w:rPr/>
      </w:pPr>
      <w:r>
        <w:rPr>
          <w:highlight w:val="none"/>
        </w:rPr>
      </w:r>
      <w:r>
        <w:rPr>
          <w:highlight w:val="none"/>
        </w:rPr>
      </w:r>
      <w:r/>
    </w:p>
    <w:tbl>
      <w:tblPr>
        <w:tblStyle w:val="110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048"/>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048"/>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048"/>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048"/>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048"/>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048"/>
        <w:suppressLineNumbers w:val="false"/>
        <w:pBdr/>
        <w:spacing w:line="300" w:lineRule="auto"/>
        <w:ind w:firstLine="0"/>
        <w:rPr/>
      </w:pPr>
      <w:r/>
      <w:r/>
    </w:p>
    <w:tbl>
      <w:tblPr>
        <w:tblStyle w:val="1105"/>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048"/>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048"/>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048"/>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048"/>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048"/>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048"/>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048"/>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048"/>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048"/>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048"/>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048"/>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0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048"/>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048"/>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048"/>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05"/>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048"/>
        <w:suppressLineNumbers w:val="false"/>
        <w:pBdr/>
        <w:spacing w:line="300" w:lineRule="auto"/>
        <w:ind w:firstLine="0"/>
        <w:rPr/>
      </w:pPr>
      <w:r>
        <w:rPr>
          <w:highlight w:val="none"/>
        </w:rPr>
      </w:r>
      <w:r>
        <w:rPr>
          <w:highlight w:val="none"/>
        </w:rPr>
      </w:r>
      <w:r/>
    </w:p>
    <w:p w14:paraId="5A84B595">
      <w:pPr>
        <w:pStyle w:val="1048"/>
        <w:suppressLineNumbers w:val="false"/>
        <w:pBdr/>
        <w:spacing w:line="300" w:lineRule="auto"/>
        <w:ind w:firstLine="0"/>
        <w:rPr>
          <w:highlight w:val="none"/>
        </w:rPr>
      </w:pPr>
      <w:r>
        <w:rPr>
          <w:highlight w:val="none"/>
        </w:rPr>
      </w:r>
      <w:r>
        <w:rPr>
          <w:highlight w:val="none"/>
        </w:rPr>
      </w:r>
      <w:r>
        <w:rPr>
          <w:highlight w:val="none"/>
        </w:rPr>
      </w:r>
    </w:p>
    <w:p w14:paraId="67AD313F">
      <w:pPr>
        <w:pStyle w:val="1048"/>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048"/>
        <w:suppressLineNumbers w:val="false"/>
        <w:pBdr/>
        <w:spacing w:line="300" w:lineRule="auto"/>
        <w:ind w:firstLine="0"/>
        <w:rPr/>
      </w:pPr>
      <w:r/>
      <w:r/>
    </w:p>
    <w:p w14:paraId="0BAD3CBD">
      <w:pPr>
        <w:pStyle w:val="1048"/>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048"/>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048"/>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048"/>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048"/>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048"/>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048"/>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048"/>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05"/>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048"/>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048"/>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048"/>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048"/>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048"/>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048"/>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048"/>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048"/>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048"/>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048"/>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048"/>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048"/>
        <w:suppressLineNumbers w:val="false"/>
        <w:pBdr/>
        <w:spacing w:line="300" w:lineRule="auto"/>
        <w:ind w:firstLine="0"/>
        <w:rPr>
          <w:b/>
          <w:bCs/>
        </w:rPr>
      </w:pPr>
      <w:r>
        <w:rPr>
          <w:b/>
          <w:bCs/>
        </w:rPr>
        <w:t xml:space="preserve">3.5.2 Dominant Failure Modes (RQ3)</w:t>
      </w:r>
      <w:r>
        <w:rPr>
          <w:b/>
          <w:bCs/>
        </w:rPr>
      </w:r>
      <w:r>
        <w:rPr>
          <w:b/>
          <w:bCs/>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048"/>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048"/>
        <w:suppressLineNumbers w:val="false"/>
        <w:pBdr/>
        <w:spacing w:line="300" w:lineRule="auto"/>
        <w:ind w:firstLine="0"/>
        <w:rPr>
          <w:b/>
          <w:bCs/>
        </w:rPr>
      </w:pPr>
      <w:r>
        <w:rPr>
          <w:b/>
          <w:bCs/>
        </w:rPr>
        <w:t xml:space="preserve">3.5.3 Severity Robustness (RQ4)</w:t>
      </w:r>
      <w:r>
        <w:rPr>
          <w:b/>
          <w:bCs/>
        </w:rPr>
      </w:r>
      <w:r>
        <w:rPr>
          <w:b/>
          <w:bCs/>
        </w:rPr>
      </w:r>
    </w:p>
    <w:p w14:paraId="057E441A">
      <w:pPr>
        <w:pStyle w:val="1048"/>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048"/>
        <w:suppressLineNumbers w:val="false"/>
        <w:pBdr/>
        <w:spacing w:line="300" w:lineRule="auto"/>
        <w:ind w:firstLine="0"/>
        <w:rPr>
          <w:b/>
          <w:bCs/>
        </w:rPr>
      </w:pPr>
      <w:r>
        <w:rPr>
          <w:b/>
          <w:bCs/>
        </w:rPr>
        <w:t xml:space="preserve">3.5.4 Statistical Stability</w:t>
      </w:r>
      <w:r>
        <w:rPr>
          <w:b/>
          <w:bCs/>
        </w:rPr>
      </w:r>
      <w:r>
        <w:rPr>
          <w:b/>
          <w:bCs/>
        </w:rPr>
      </w:r>
    </w:p>
    <w:p w14:paraId="2C28295E">
      <w:pPr>
        <w:pStyle w:val="1048"/>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048"/>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048"/>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048"/>
        <w:suppressLineNumbers w:val="false"/>
        <w:pBdr/>
        <w:spacing w:line="300" w:lineRule="auto"/>
        <w:ind w:firstLine="0"/>
        <w:rPr>
          <w:b/>
          <w:bCs/>
        </w:rPr>
      </w:pPr>
      <w:r>
        <w:rPr>
          <w:b/>
          <w:bCs/>
          <w:highlight w:val="none"/>
        </w:rPr>
      </w:r>
      <w:r>
        <w:rPr>
          <w:b/>
          <w:bCs/>
        </w:rPr>
      </w:r>
      <w:r>
        <w:rPr>
          <w:b/>
          <w:bCs/>
        </w:rPr>
      </w:r>
    </w:p>
    <w:p w14:paraId="6B7F04DC">
      <w:pPr>
        <w:pStyle w:val="1048"/>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048"/>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048"/>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048"/>
        <w:suppressLineNumbers w:val="false"/>
        <w:pBdr/>
        <w:spacing w:line="300" w:lineRule="auto"/>
        <w:ind w:firstLine="0"/>
        <w:rPr/>
      </w:pPr>
      <w:r>
        <w:t xml:space="preserve">Chapter 3 establishes a reproducible empirical baseline for the dissertation:</w:t>
      </w:r>
      <w:r/>
    </w:p>
    <w:p w14:paraId="4681F31D">
      <w:pPr>
        <w:pStyle w:val="1048"/>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048"/>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048"/>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048"/>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048"/>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048"/>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048"/>
        <w:suppressLineNumbers w:val="false"/>
        <w:pBdr/>
        <w:spacing w:line="300" w:lineRule="auto"/>
        <w:ind w:firstLine="0"/>
        <w:rPr/>
      </w:pPr>
      <w:r>
        <w:rPr>
          <w:highlight w:val="none"/>
        </w:rPr>
      </w:r>
      <w:r>
        <w:rPr>
          <w:highlight w:val="none"/>
        </w:rPr>
      </w:r>
      <w:r/>
    </w:p>
    <w:p w14:paraId="530C2379">
      <w:pPr>
        <w:pStyle w:val="1048"/>
        <w:suppressLineNumbers w:val="false"/>
        <w:pBdr/>
        <w:spacing w:line="300" w:lineRule="auto"/>
        <w:ind w:firstLine="0"/>
        <w:rPr/>
      </w:pPr>
      <w:r/>
      <w:r/>
    </w:p>
    <w:p w14:paraId="5D77A607">
      <w:pPr>
        <w:pStyle w:val="1048"/>
        <w:suppressLineNumbers w:val="false"/>
        <w:pBdr/>
        <w:spacing w:line="300" w:lineRule="auto"/>
        <w:ind w:firstLine="0"/>
        <w:rPr/>
      </w:pPr>
      <w:r/>
      <w:r/>
    </w:p>
    <w:p w14:paraId="53FE87BB">
      <w:pPr>
        <w:pStyle w:val="1048"/>
        <w:suppressLineNumbers w:val="false"/>
        <w:pBdr/>
        <w:spacing w:line="300" w:lineRule="auto"/>
        <w:ind w:firstLine="0"/>
        <w:rPr/>
      </w:pPr>
      <w:r/>
      <w:r/>
    </w:p>
    <w:p w14:paraId="442B2995">
      <w:pPr>
        <w:pStyle w:val="1048"/>
        <w:suppressLineNumbers w:val="false"/>
        <w:pBdr/>
        <w:spacing w:line="300" w:lineRule="auto"/>
        <w:ind w:firstLine="0"/>
        <w:rPr/>
      </w:pPr>
      <w:r/>
      <w:r/>
    </w:p>
    <w:p w14:paraId="0DE07F34">
      <w:pPr>
        <w:pStyle w:val="1048"/>
        <w:suppressLineNumbers w:val="false"/>
        <w:pBdr/>
        <w:spacing w:line="300" w:lineRule="auto"/>
        <w:ind w:firstLine="0"/>
        <w:rPr/>
      </w:pPr>
      <w:r/>
      <w:r/>
    </w:p>
    <w:p w14:paraId="3CF471EA">
      <w:pPr>
        <w:pStyle w:val="1048"/>
        <w:suppressLineNumbers w:val="false"/>
        <w:pBdr/>
        <w:spacing w:line="300" w:lineRule="auto"/>
        <w:ind w:firstLine="0"/>
        <w:rPr/>
      </w:pPr>
      <w:r/>
      <w:r/>
    </w:p>
    <w:p w14:paraId="5474D7CA">
      <w:pPr>
        <w:pStyle w:val="1048"/>
        <w:suppressLineNumbers w:val="false"/>
        <w:pBdr/>
        <w:spacing w:line="300" w:lineRule="auto"/>
        <w:ind w:firstLine="0"/>
        <w:rPr/>
      </w:pPr>
      <w:r/>
      <w:r/>
    </w:p>
    <w:p w14:paraId="1D9157EA">
      <w:pPr>
        <w:pStyle w:val="1048"/>
        <w:suppressLineNumbers w:val="false"/>
        <w:pBdr/>
        <w:spacing w:line="300" w:lineRule="auto"/>
        <w:ind w:firstLine="0"/>
        <w:rPr/>
      </w:pPr>
      <w:r/>
      <w:r/>
    </w:p>
    <w:p w14:paraId="646C775B">
      <w:pPr>
        <w:pStyle w:val="1048"/>
        <w:suppressLineNumbers w:val="false"/>
        <w:pBdr/>
        <w:spacing w:line="300" w:lineRule="auto"/>
        <w:ind w:firstLine="0"/>
        <w:rPr/>
      </w:pPr>
      <w:r/>
      <w:r/>
    </w:p>
    <w:p w14:paraId="6F6A112D">
      <w:pPr>
        <w:pStyle w:val="1048"/>
        <w:suppressLineNumbers w:val="false"/>
        <w:pBdr/>
        <w:spacing w:line="300" w:lineRule="auto"/>
        <w:ind w:firstLine="0"/>
        <w:rPr/>
      </w:pPr>
      <w:r/>
      <w:r/>
    </w:p>
    <w:p w14:paraId="5E8044AB">
      <w:pPr>
        <w:pStyle w:val="1048"/>
        <w:suppressLineNumbers w:val="false"/>
        <w:pBdr/>
        <w:spacing w:line="300" w:lineRule="auto"/>
        <w:ind w:firstLine="0"/>
        <w:rPr/>
      </w:pPr>
      <w:r/>
      <w:r/>
    </w:p>
    <w:p w14:paraId="42BEB6E6">
      <w:pPr>
        <w:pStyle w:val="1048"/>
        <w:suppressLineNumbers w:val="false"/>
        <w:pBdr/>
        <w:spacing w:line="300" w:lineRule="auto"/>
        <w:ind w:firstLine="0"/>
        <w:rPr/>
      </w:pPr>
      <w:r/>
      <w:r/>
    </w:p>
    <w:p w14:paraId="7E0366C4">
      <w:pPr>
        <w:pStyle w:val="1048"/>
        <w:suppressLineNumbers w:val="false"/>
        <w:pBdr/>
        <w:spacing w:line="300" w:lineRule="auto"/>
        <w:ind w:firstLine="0"/>
        <w:rPr/>
      </w:pPr>
      <w:r/>
      <w:r/>
    </w:p>
    <w:p w14:paraId="1584DB52">
      <w:pPr>
        <w:pStyle w:val="1048"/>
        <w:suppressLineNumbers w:val="false"/>
        <w:pBdr/>
        <w:spacing w:line="300" w:lineRule="auto"/>
        <w:ind w:firstLine="0"/>
        <w:rPr/>
      </w:pPr>
      <w:r/>
      <w:r/>
    </w:p>
    <w:p w14:paraId="2C80C08E">
      <w:pPr>
        <w:pStyle w:val="1048"/>
        <w:suppressLineNumbers w:val="false"/>
        <w:pBdr/>
        <w:spacing w:line="300" w:lineRule="auto"/>
        <w:ind w:firstLine="0"/>
        <w:rPr/>
      </w:pPr>
      <w:r/>
      <w:r/>
    </w:p>
    <w:p w14:paraId="471F9FFC">
      <w:pPr>
        <w:pStyle w:val="1048"/>
        <w:suppressLineNumbers w:val="false"/>
        <w:pBdr/>
        <w:spacing w:line="300" w:lineRule="auto"/>
        <w:ind w:firstLine="0"/>
        <w:rPr/>
      </w:pPr>
      <w:r/>
      <w:r/>
    </w:p>
    <w:p w14:paraId="60FCAA16">
      <w:pPr>
        <w:pStyle w:val="1048"/>
        <w:suppressLineNumbers w:val="false"/>
        <w:pBdr/>
        <w:spacing w:line="300" w:lineRule="auto"/>
        <w:ind w:firstLine="0"/>
        <w:rPr/>
      </w:pPr>
      <w:r/>
      <w:r/>
    </w:p>
    <w:p w14:paraId="61506B8D">
      <w:pPr>
        <w:pStyle w:val="1048"/>
        <w:suppressLineNumbers w:val="false"/>
        <w:pBdr/>
        <w:spacing w:line="300" w:lineRule="auto"/>
        <w:ind w:firstLine="0"/>
        <w:rPr/>
      </w:pPr>
      <w:r/>
      <w:r/>
    </w:p>
    <w:p w14:paraId="2B5E1455">
      <w:pPr>
        <w:pStyle w:val="1048"/>
        <w:suppressLineNumbers w:val="false"/>
        <w:pBdr/>
        <w:spacing w:line="300" w:lineRule="auto"/>
        <w:ind w:firstLine="0"/>
        <w:rPr/>
      </w:pPr>
      <w:r/>
      <w:r/>
    </w:p>
    <w:p w14:paraId="7F60234E" w14:textId="0E7E9E48">
      <w:pPr>
        <w:pStyle w:val="1048"/>
        <w:suppressLineNumbers w:val="false"/>
        <w:pBdr/>
        <w:spacing w:line="300" w:lineRule="auto"/>
        <w:ind w:firstLine="0"/>
        <w:rPr/>
      </w:pPr>
      <w:r/>
      <w:r/>
    </w:p>
    <w:p w14:paraId="424FCAB4" w14:textId="250CE9C7">
      <w:pPr>
        <w:pStyle w:val="1035"/>
        <w:suppressLineNumbers w:val="false"/>
        <w:pBdr/>
        <w:spacing w:line="300" w:lineRule="auto"/>
        <w:ind/>
        <w:rPr/>
      </w:pPr>
      <w:r>
        <w:br/>
      </w:r>
      <w:r>
        <w:br/>
      </w:r>
      <w:r>
        <w:t xml:space="preserve">Generative Vision-Language Modeling for Ulcerative Colitis Severity Assessment</w:t>
      </w:r>
      <w:r/>
    </w:p>
    <w:p w14:paraId="1F014E85" w14:textId="14D8B1C2">
      <w:pPr>
        <w:pStyle w:val="1048"/>
        <w:suppressLineNumbers w:val="false"/>
        <w:pBdr/>
        <w:spacing w:line="300" w:lineRule="auto"/>
        <w:ind w:firstLine="0"/>
        <w:rPr>
          <w:b/>
          <w:bCs/>
        </w:rPr>
      </w:pPr>
      <w:r>
        <w:rPr>
          <w:b/>
          <w:bCs/>
        </w:rPr>
      </w:r>
      <w:r>
        <w:rPr>
          <w:b/>
          <w:bCs/>
        </w:rPr>
      </w:r>
      <w:r>
        <w:rPr>
          <w:b/>
          <w:bCs/>
        </w:rPr>
      </w:r>
    </w:p>
    <w:p w14:paraId="7238EE56">
      <w:pPr>
        <w:pStyle w:val="1048"/>
        <w:suppressLineNumbers w:val="false"/>
        <w:pBdr/>
        <w:spacing w:line="300" w:lineRule="auto"/>
        <w:ind w:firstLine="0"/>
        <w:rPr>
          <w:b/>
          <w:bCs/>
          <w:sz w:val="28"/>
          <w:szCs w:val="28"/>
        </w:rPr>
      </w:pPr>
      <w:r>
        <w:rPr>
          <w:b/>
          <w:bCs/>
          <w:sz w:val="28"/>
          <w:szCs w:val="28"/>
        </w:rPr>
        <w:t xml:space="preserve">4.1 Chapter Overview and Methodological Rationale</w:t>
      </w:r>
      <w:r>
        <w:rPr>
          <w:b/>
          <w:bCs/>
          <w:sz w:val="28"/>
          <w:szCs w:val="28"/>
        </w:rPr>
      </w:r>
    </w:p>
    <w:p w14:paraId="52E6D613">
      <w:pPr>
        <w:pStyle w:val="1048"/>
        <w:suppressLineNumbers w:val="false"/>
        <w:pBdr/>
        <w:spacing w:line="300" w:lineRule="auto"/>
        <w:ind w:firstLine="0"/>
        <w:rPr/>
      </w:pPr>
      <w:r>
        <w:t xml:space="preserve">Chapter 3 established the central empirical tension that motivates this chapter. Across multiple GI-endoscopy settings, constrained and supervised models were consistently more reliable than naive zero-shot vision-language prompting. That pattern was especi</w:t>
      </w:r>
      <w:r>
        <w:t xml:space="preserve">ally important for ulcerative colitis (UC) severity grading on LIMUC, where the task is clinically meaningful, ordinal in structure, and sensitive to class imbalance. The next methodological question is therefore not whether generation is possible, but whet</w:t>
      </w:r>
      <w:r>
        <w:t xml:space="preserve">her a generative model can be adapted in a way that preserves the discipline of a classifier while retaining the flexibility of a language-based interface.</w:t>
      </w:r>
      <w:r/>
      <w:r/>
      <w:r/>
      <w:r/>
    </w:p>
    <w:p w14:paraId="2700501E">
      <w:pPr>
        <w:pStyle w:val="1048"/>
        <w:suppressLineNumbers w:val="false"/>
        <w:pBdr/>
        <w:spacing w:line="300" w:lineRule="auto"/>
        <w:ind w:firstLine="0"/>
        <w:rPr/>
      </w:pPr>
      <w:r>
        <w:t xml:space="preserve">Chapter 4 addresses that question by developing a controlled severity-oriented pipeline for Mayo 0-3 scoring from colonoscopy frames. The chapter does not pursue unrestricted narrative generation. Instead, it treats generative modeling as a bounded decision</w:t>
      </w:r>
      <w:r>
        <w:t xml:space="preserve"> mechanism: the model is required to produce a tightly constrained score output, its predictions are parsed under explicit rules, and its behavior is evaluated against strong supervised baselines under the same data split and reporting protocol. This framin</w:t>
      </w:r>
      <w:r>
        <w:t xml:space="preserve">g is important because the dissertation is concerned with clinically usable multimodal systems rather than open-ended text production for its own sake.</w:t>
      </w:r>
      <w:r/>
      <w:r/>
      <w:r/>
      <w:r/>
    </w:p>
    <w:p w14:paraId="7D12FB13">
      <w:pPr>
        <w:pStyle w:val="1048"/>
        <w:suppressLineNumbers w:val="false"/>
        <w:pBdr/>
        <w:spacing w:line="300" w:lineRule="auto"/>
        <w:ind w:firstLine="0"/>
        <w:rPr/>
      </w:pPr>
      <w:r>
        <w:t xml:space="preserve">The chapter has four objectives:</w:t>
      </w:r>
      <w:r/>
      <w:r/>
      <w:r/>
      <w:r/>
    </w:p>
    <w:p w14:paraId="57808425">
      <w:pPr>
        <w:pStyle w:val="1048"/>
        <w:numPr>
          <w:ilvl w:val="0"/>
          <w:numId w:val="74"/>
        </w:numPr>
        <w:suppressLineNumbers w:val="false"/>
        <w:pBdr/>
        <w:spacing w:line="300" w:lineRule="auto"/>
        <w:ind/>
        <w:rPr/>
      </w:pPr>
      <w:r>
        <w:t xml:space="preserve">Define a reproducible UC severity task on LIMUC using fixed Mayo 0-3 labels and a fixed split structure.</w:t>
      </w:r>
      <w:r/>
    </w:p>
    <w:p w14:paraId="66FD38AC">
      <w:pPr>
        <w:pStyle w:val="1048"/>
        <w:numPr>
          <w:ilvl w:val="0"/>
          <w:numId w:val="74"/>
        </w:numPr>
        <w:suppressLineNumbers w:val="false"/>
        <w:pBdr/>
        <w:spacing w:line="300" w:lineRule="auto"/>
        <w:ind/>
        <w:rPr/>
      </w:pPr>
      <w:r>
        <w:t xml:space="preserve">Establish a strong supervised reliability anchor against which generative methods can be judged fairly.</w:t>
      </w:r>
      <w:r/>
    </w:p>
    <w:p w14:paraId="21118420">
      <w:pPr>
        <w:pStyle w:val="1048"/>
        <w:numPr>
          <w:ilvl w:val="0"/>
          <w:numId w:val="74"/>
        </w:numPr>
        <w:suppressLineNumbers w:val="false"/>
        <w:pBdr/>
        <w:spacing w:line="300" w:lineRule="auto"/>
        <w:ind/>
        <w:rPr/>
      </w:pPr>
      <w:r>
        <w:t xml:space="preserve">Implement parameter-efficient adaptation of a vision-language model using LoRA so that score generation is learned rather than merely prompted.</w:t>
      </w:r>
      <w:r/>
    </w:p>
    <w:p w14:paraId="2A0ADBDB">
      <w:pPr>
        <w:pStyle w:val="1048"/>
        <w:numPr>
          <w:ilvl w:val="0"/>
          <w:numId w:val="74"/>
        </w:numPr>
        <w:suppressLineNumbers w:val="false"/>
        <w:pBdr/>
        <w:spacing w:line="300" w:lineRule="auto"/>
        <w:ind/>
        <w:rPr/>
      </w:pPr>
      <w:r>
        <w:t xml:space="preserve">Evaluate the resulting system with ordinal, class-balanced, and clinically interpretable metrics, while making the failure modes explicit.</w:t>
      </w:r>
      <w:r/>
    </w:p>
    <w:p w14:paraId="4C093A8E">
      <w:pPr>
        <w:pStyle w:val="1048"/>
        <w:suppressLineNumbers w:val="false"/>
        <w:pBdr/>
        <w:spacing w:line="300" w:lineRule="auto"/>
        <w:ind w:firstLine="0"/>
        <w:rPr/>
      </w:pPr>
      <w:r>
        <w:t xml:space="preserve">The overall structure of the chapter follows that logic. Section 4.2 defines the dataset and claim boundary. Section 4.3 presents the proposed pipeline and explains the role of each modeling layer. Section 4.4 formalizes the evaluation protocol. Section 4.5</w:t>
      </w:r>
      <w:r>
        <w:t xml:space="preserve"> reports the internal and external results. Section 4.6 interprets those findings in relation to the broader dissertation argument, and Section 4.7 states the limitations that constrain the chapter's claims. The chapter concludes in Section 4.8 by positioni</w:t>
      </w:r>
      <w:r>
        <w:t xml:space="preserve">ng the resulting severity module as the upstream component for the evidence-grounded wrapper introduced in Chapter 5.</w:t>
      </w:r>
      <w:r/>
    </w:p>
    <w:p w14:paraId="208A408D">
      <w:pPr>
        <w:pStyle w:val="1048"/>
        <w:suppressLineNumbers w:val="false"/>
        <w:pBdr/>
        <w:spacing w:line="300" w:lineRule="auto"/>
        <w:ind w:firstLine="0"/>
        <w:rPr/>
      </w:pPr>
      <w:r/>
      <w:r/>
    </w:p>
    <w:p w14:paraId="0B6624CF">
      <w:pPr>
        <w:pStyle w:val="1048"/>
        <w:suppressLineNumbers w:val="false"/>
        <w:pBdr/>
        <w:spacing w:line="300" w:lineRule="auto"/>
        <w:ind w:firstLine="0"/>
        <w:rPr>
          <w:b/>
          <w:bCs/>
          <w:sz w:val="28"/>
          <w:szCs w:val="28"/>
        </w:rPr>
      </w:pPr>
      <w:r>
        <w:rPr>
          <w:b/>
          <w:bCs/>
          <w:sz w:val="28"/>
          <w:szCs w:val="28"/>
        </w:rPr>
        <w:t xml:space="preserve">4.2 Dataset, Clinical Task, and Scope</w:t>
      </w:r>
      <w:r>
        <w:rPr>
          <w:b/>
          <w:bCs/>
          <w:sz w:val="28"/>
          <w:szCs w:val="28"/>
        </w:rPr>
      </w:r>
    </w:p>
    <w:p w14:paraId="5CACE2EE">
      <w:pPr>
        <w:pStyle w:val="1048"/>
        <w:suppressLineNumbers w:val="false"/>
        <w:pBdr/>
        <w:spacing w:line="300" w:lineRule="auto"/>
        <w:ind w:firstLine="0"/>
        <w:rPr/>
      </w:pPr>
      <w:r>
        <w:t xml:space="preserve">The proposed approach is intentionally narrow in scope. Rather than attempting to solve general GI MedVQA in one step, this chapter focuses on a clinically bounded and measurable task: assigning a Mayo endoscopic severity score from a single colonoscopy fra</w:t>
      </w:r>
      <w:r>
        <w:t xml:space="preserve">me. That choice keeps the experimental question well-defined and permits a direct comparison between discriminative and generative strategies on the same evidence base.</w:t>
      </w:r>
      <w:r/>
      <w:r/>
      <w:r/>
      <w:r/>
    </w:p>
    <w:p w14:paraId="6A4FC054">
      <w:pPr>
        <w:pStyle w:val="1048"/>
        <w:suppressLineNumbers w:val="false"/>
        <w:pBdr/>
        <w:spacing w:line="300" w:lineRule="auto"/>
        <w:ind w:firstLine="0"/>
        <w:rPr>
          <w:b/>
          <w:bCs/>
        </w:rPr>
      </w:pPr>
      <w:r>
        <w:rPr>
          <w:b/>
          <w:bCs/>
        </w:rPr>
        <w:t xml:space="preserve">4.2.1 LIMUC as the Primary Evidence Base</w:t>
      </w:r>
      <w:r>
        <w:rPr>
          <w:b/>
          <w:bCs/>
        </w:rPr>
      </w:r>
    </w:p>
    <w:p w14:paraId="244B3CA5">
      <w:pPr>
        <w:pStyle w:val="1048"/>
        <w:suppressLineNumbers w:val="false"/>
        <w:pBdr/>
        <w:spacing w:line="300" w:lineRule="auto"/>
        <w:ind w:firstLine="0"/>
        <w:rPr/>
      </w:pPr>
      <w:r>
        <w:t xml:space="preserve">The primary dataset for this chapter is LIMUC, which provides UC endoscopic imagery labeled with Mayo scores from 0 to 3. In clinical terms, this is an ordinal severity scale, not a nominal category set. Errors are therefore not all equally harmful: confusi</w:t>
      </w:r>
      <w:r>
        <w:t xml:space="preserve">ng Mayo 0 with Mayo 1 is different from confusing Mayo 0 with Mayo 3. This is one of the reasons Chapter 4 emphasizes ordinal metrics such as quadratic weighted kappa (QWK) alongside standard accuracy and F1 measures.</w:t>
      </w:r>
      <w:r/>
      <w:r/>
      <w:r/>
      <w:r/>
    </w:p>
    <w:p w14:paraId="65F56D15" w14:textId="77FF9532">
      <w:pPr>
        <w:pStyle w:val="1048"/>
        <w:suppressLineNumbers w:val="false"/>
        <w:pBdr/>
        <w:spacing w:line="300" w:lineRule="auto"/>
        <w:ind w:firstLine="0"/>
        <w:rPr>
          <w:highlight w:val="none"/>
        </w:rPr>
      </w:pPr>
      <w:r>
        <w:t xml:space="preserve">Within this repository, LIMUC preparation is handled through Prototyping_reformat/DatasetAnalysis/LIMUC/0_dataset_prep/01_build_metadata_images_and_manifests.ipynb, which produces the metadata tables and split manifests used throughout the chapter [69]. The</w:t>
      </w:r>
      <w:r>
        <w:t xml:space="preserve"> fixed metadata snapshot used here (metadata_enriched.csv) contains 11,276 frames.</w:t>
      </w:r>
      <w:r/>
      <w:r/>
      <w:r/>
    </w:p>
    <w:p w14:paraId="2EF733B8">
      <w:pPr>
        <w:pStyle w:val="1048"/>
        <w:suppressLineNumbers w:val="false"/>
        <w:pBdr/>
        <w:spacing w:line="300" w:lineRule="auto"/>
        <w:ind w:firstLine="0"/>
        <w:rPr/>
      </w:pPr>
      <w:r/>
      <w:r/>
      <w:r/>
    </w:p>
    <w:p w14:paraId="65CF3330">
      <w:pPr>
        <w:pStyle w:val="1048"/>
        <w:suppressLineNumbers w:val="false"/>
        <w:pBdr/>
        <w:spacing w:line="300" w:lineRule="auto"/>
        <w:ind w:firstLine="0"/>
        <w:rPr/>
      </w:pPr>
      <w:r/>
      <w:r/>
      <w:r/>
    </w:p>
    <w:p w14:paraId="160A4FBA">
      <w:pPr>
        <w:pStyle w:val="1048"/>
        <w:suppressLineNumbers w:val="false"/>
        <w:pBdr/>
        <w:spacing w:line="300" w:lineRule="auto"/>
        <w:ind w:firstLine="0"/>
        <w:rPr/>
      </w:pPr>
      <w:r/>
      <w:r/>
      <w:r/>
    </w:p>
    <w:p w14:paraId="59F01554">
      <w:pPr>
        <w:pStyle w:val="1048"/>
        <w:suppressLineNumbers w:val="false"/>
        <w:pBdr/>
        <w:spacing w:line="300" w:lineRule="auto"/>
        <w:ind w:firstLine="0"/>
        <w:rPr/>
      </w:pPr>
      <w:r/>
      <w:r/>
      <w:r/>
    </w:p>
    <w:p w14:paraId="62898C5A">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3C28CDCA">
            <w:pPr>
              <w:pStyle w:val="1048"/>
              <w:suppressLineNumbers w:val="false"/>
              <w:pBdr/>
              <w:spacing w:line="300" w:lineRule="auto"/>
              <w:ind w:firstLine="0"/>
              <w:rPr/>
            </w:pPr>
            <w:r/>
            <w:r/>
          </w:p>
        </w:tc>
        <w:tc>
          <w:tcPr>
            <w:tcBorders/>
            <w:tcW w:w="4320" w:type="dxa"/>
            <w:textDirection w:val="lrTb"/>
            <w:noWrap w:val="false"/>
          </w:tcPr>
          <w:p w14:paraId="75A95B8A">
            <w:pPr>
              <w:pStyle w:val="1048"/>
              <w:suppressLineNumbers w:val="false"/>
              <w:pBdr/>
              <w:spacing w:line="300" w:lineRule="auto"/>
              <w:ind/>
              <w:rPr/>
            </w:pPr>
            <w:r/>
            <w:r/>
          </w:p>
        </w:tc>
      </w:tr>
      <w:tr>
        <w:trPr/>
        <w:tc>
          <w:tcPr>
            <w:tcBorders/>
            <w:tcW w:w="4320" w:type="dxa"/>
            <w:textDirection w:val="lrTb"/>
            <w:noWrap w:val="false"/>
          </w:tcPr>
          <w:p w14:paraId="6E51E04F">
            <w:pPr>
              <w:pStyle w:val="1048"/>
              <w:suppressLineNumbers w:val="false"/>
              <w:pBdr/>
              <w:spacing w:line="300" w:lineRule="auto"/>
              <w:ind/>
              <w:rPr/>
            </w:pPr>
            <w:r/>
            <w:r/>
          </w:p>
        </w:tc>
        <w:tc>
          <w:tcPr>
            <w:tcBorders/>
            <w:tcW w:w="4320" w:type="dxa"/>
            <w:textDirection w:val="lrTb"/>
            <w:noWrap w:val="false"/>
          </w:tcPr>
          <w:p w14:paraId="595A5685">
            <w:pPr>
              <w:pStyle w:val="1048"/>
              <w:suppressLineNumbers w:val="false"/>
              <w:pBdr/>
              <w:spacing w:line="300" w:lineRule="auto"/>
              <w:ind/>
              <w:rPr/>
            </w:pPr>
            <w:r/>
            <w:r/>
          </w:p>
        </w:tc>
      </w:tr>
      <w:tr>
        <w:trPr/>
        <w:tc>
          <w:tcPr>
            <w:tcBorders/>
            <w:tcW w:w="4320" w:type="dxa"/>
            <w:textDirection w:val="lrTb"/>
            <w:noWrap w:val="false"/>
          </w:tcPr>
          <w:p w14:paraId="65A203A5">
            <w:pPr>
              <w:pStyle w:val="1048"/>
              <w:suppressLineNumbers w:val="false"/>
              <w:pBdr/>
              <w:spacing w:line="300" w:lineRule="auto"/>
              <w:ind/>
              <w:rPr/>
            </w:pPr>
            <w:r/>
            <w:r/>
          </w:p>
        </w:tc>
        <w:tc>
          <w:tcPr>
            <w:tcBorders/>
            <w:tcW w:w="4320" w:type="dxa"/>
            <w:textDirection w:val="lrTb"/>
            <w:noWrap w:val="false"/>
          </w:tcPr>
          <w:p w14:paraId="36AB5C14">
            <w:pPr>
              <w:pStyle w:val="1048"/>
              <w:suppressLineNumbers w:val="false"/>
              <w:pBdr/>
              <w:spacing w:line="300" w:lineRule="auto"/>
              <w:ind/>
              <w:rPr/>
            </w:pPr>
            <w:r/>
            <w:r/>
          </w:p>
        </w:tc>
      </w:tr>
      <w:tr>
        <w:trPr/>
        <w:tc>
          <w:tcPr>
            <w:tcBorders/>
            <w:tcW w:w="4320" w:type="dxa"/>
            <w:textDirection w:val="lrTb"/>
            <w:noWrap w:val="false"/>
          </w:tcPr>
          <w:p w14:paraId="4441A22E">
            <w:pPr>
              <w:pStyle w:val="1048"/>
              <w:suppressLineNumbers w:val="false"/>
              <w:pBdr/>
              <w:spacing w:line="300" w:lineRule="auto"/>
              <w:ind/>
              <w:rPr/>
            </w:pPr>
            <w:r/>
            <w:r/>
          </w:p>
        </w:tc>
        <w:tc>
          <w:tcPr>
            <w:tcBorders/>
            <w:tcW w:w="4320" w:type="dxa"/>
            <w:textDirection w:val="lrTb"/>
            <w:noWrap w:val="false"/>
          </w:tcPr>
          <w:p w14:paraId="107DA7C5">
            <w:pPr>
              <w:pStyle w:val="1048"/>
              <w:suppressLineNumbers w:val="false"/>
              <w:pBdr/>
              <w:spacing w:line="300" w:lineRule="auto"/>
              <w:ind/>
              <w:rPr/>
            </w:pPr>
            <w:r/>
            <w:r/>
          </w:p>
        </w:tc>
      </w:tr>
    </w:tbl>
    <w:p w14:paraId="456EB6FC">
      <w:pPr>
        <w:pStyle w:val="1048"/>
        <w:suppressLineNumbers w:val="false"/>
        <w:pBdr/>
        <w:spacing w:line="300" w:lineRule="auto"/>
        <w:ind w:firstLine="720" w:left="1440"/>
        <w:rPr/>
      </w:pPr>
      <w:r/>
      <w:r/>
      <w:r>
        <w:t xml:space="preserve">Table 4.1. LIMUC Split Distribution</w:t>
      </w:r>
      <w:r/>
      <w:r/>
    </w:p>
    <w:p w14:paraId="6A53ED9B">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E3B9EE3">
            <w:pPr>
              <w:pStyle w:val="1048"/>
              <w:suppressLineNumbers w:val="false"/>
              <w:pBdr/>
              <w:spacing w:line="300" w:lineRule="auto"/>
              <w:ind/>
              <w:rPr/>
            </w:pPr>
            <w:r/>
            <w:r/>
          </w:p>
        </w:tc>
        <w:tc>
          <w:tcPr>
            <w:tcBorders/>
            <w:tcW w:w="4320" w:type="dxa"/>
            <w:textDirection w:val="lrTb"/>
            <w:noWrap w:val="false"/>
          </w:tcPr>
          <w:p w14:paraId="0A05E65F">
            <w:pPr>
              <w:pStyle w:val="1048"/>
              <w:suppressLineNumbers w:val="false"/>
              <w:pBdr/>
              <w:spacing w:line="300" w:lineRule="auto"/>
              <w:ind/>
              <w:rPr/>
            </w:pPr>
            <w:r/>
            <w:r/>
          </w:p>
        </w:tc>
      </w:tr>
      <w:tr>
        <w:trPr/>
        <w:tc>
          <w:tcPr>
            <w:tcBorders/>
            <w:tcW w:w="4320" w:type="dxa"/>
            <w:textDirection w:val="lrTb"/>
            <w:noWrap w:val="false"/>
          </w:tcPr>
          <w:p w14:paraId="199CD91B">
            <w:pPr>
              <w:pStyle w:val="1048"/>
              <w:suppressLineNumbers w:val="false"/>
              <w:pBdr/>
              <w:spacing w:line="300" w:lineRule="auto"/>
              <w:ind/>
              <w:rPr/>
            </w:pPr>
            <w:r/>
            <w:r/>
          </w:p>
        </w:tc>
        <w:tc>
          <w:tcPr>
            <w:tcBorders/>
            <w:tcW w:w="4320" w:type="dxa"/>
            <w:textDirection w:val="lrTb"/>
            <w:noWrap w:val="false"/>
          </w:tcPr>
          <w:p w14:paraId="6D8C59FC">
            <w:pPr>
              <w:pStyle w:val="1048"/>
              <w:suppressLineNumbers w:val="false"/>
              <w:pBdr/>
              <w:spacing w:line="300" w:lineRule="auto"/>
              <w:ind/>
              <w:rPr/>
            </w:pPr>
            <w:r/>
            <w:r/>
          </w:p>
        </w:tc>
      </w:tr>
      <w:tr>
        <w:trPr/>
        <w:tc>
          <w:tcPr>
            <w:tcBorders/>
            <w:tcW w:w="4320" w:type="dxa"/>
            <w:textDirection w:val="lrTb"/>
            <w:noWrap w:val="false"/>
          </w:tcPr>
          <w:p w14:paraId="6FCEC837">
            <w:pPr>
              <w:pStyle w:val="1048"/>
              <w:suppressLineNumbers w:val="false"/>
              <w:pBdr/>
              <w:spacing w:line="300" w:lineRule="auto"/>
              <w:ind/>
              <w:rPr/>
            </w:pPr>
            <w:r/>
            <w:r/>
          </w:p>
        </w:tc>
        <w:tc>
          <w:tcPr>
            <w:tcBorders/>
            <w:tcW w:w="4320" w:type="dxa"/>
            <w:textDirection w:val="lrTb"/>
            <w:noWrap w:val="false"/>
          </w:tcPr>
          <w:p w14:paraId="04BF680D">
            <w:pPr>
              <w:pStyle w:val="1048"/>
              <w:suppressLineNumbers w:val="false"/>
              <w:pBdr/>
              <w:spacing w:line="300" w:lineRule="auto"/>
              <w:ind/>
              <w:rPr/>
            </w:pPr>
            <w:r/>
            <w:r/>
          </w:p>
        </w:tc>
      </w:tr>
      <w:tr>
        <w:trPr/>
        <w:tc>
          <w:tcPr>
            <w:tcBorders/>
            <w:tcW w:w="4320" w:type="dxa"/>
            <w:textDirection w:val="lrTb"/>
            <w:noWrap w:val="false"/>
          </w:tcPr>
          <w:p w14:paraId="41A31255">
            <w:pPr>
              <w:pStyle w:val="1048"/>
              <w:suppressLineNumbers w:val="false"/>
              <w:pBdr/>
              <w:spacing w:line="300" w:lineRule="auto"/>
              <w:ind/>
              <w:rPr/>
            </w:pPr>
            <w:r/>
            <w:r/>
          </w:p>
        </w:tc>
        <w:tc>
          <w:tcPr>
            <w:tcBorders/>
            <w:tcW w:w="4320" w:type="dxa"/>
            <w:textDirection w:val="lrTb"/>
            <w:noWrap w:val="false"/>
          </w:tcPr>
          <w:p w14:paraId="5568F420">
            <w:pPr>
              <w:pStyle w:val="1048"/>
              <w:suppressLineNumbers w:val="false"/>
              <w:pBdr/>
              <w:spacing w:line="300" w:lineRule="auto"/>
              <w:ind/>
              <w:rPr/>
            </w:pPr>
            <w:r/>
            <w:r/>
          </w:p>
        </w:tc>
      </w:tr>
      <w:tr>
        <w:trPr/>
        <w:tc>
          <w:tcPr>
            <w:tcBorders/>
            <w:tcW w:w="4320" w:type="dxa"/>
            <w:textDirection w:val="lrTb"/>
            <w:noWrap w:val="false"/>
          </w:tcPr>
          <w:p w14:paraId="704258C9">
            <w:pPr>
              <w:pStyle w:val="1048"/>
              <w:suppressLineNumbers w:val="false"/>
              <w:pBdr/>
              <w:spacing w:line="300" w:lineRule="auto"/>
              <w:ind/>
              <w:rPr/>
            </w:pPr>
            <w:r/>
            <w:r/>
          </w:p>
        </w:tc>
        <w:tc>
          <w:tcPr>
            <w:tcBorders/>
            <w:tcW w:w="4320" w:type="dxa"/>
            <w:textDirection w:val="lrTb"/>
            <w:noWrap w:val="false"/>
          </w:tcPr>
          <w:p w14:paraId="1A53B57E">
            <w:pPr>
              <w:pStyle w:val="1048"/>
              <w:suppressLineNumbers w:val="false"/>
              <w:pBdr/>
              <w:spacing w:line="300" w:lineRule="auto"/>
              <w:ind/>
              <w:rPr/>
            </w:pPr>
            <w:r/>
            <w:r/>
          </w:p>
        </w:tc>
      </w:tr>
    </w:tbl>
    <w:p w14:paraId="3D4BBF24">
      <w:pPr>
        <w:pStyle w:val="1048"/>
        <w:suppressLineNumbers w:val="false"/>
        <w:pBdr/>
        <w:spacing w:line="300" w:lineRule="auto"/>
        <w:ind w:firstLine="720"/>
        <w:rPr/>
      </w:pPr>
      <w:r>
        <w:rPr>
          <w:lang w:val="en-US"/>
        </w:rPr>
        <w:t xml:space="preserve">   </w:t>
      </w:r>
      <w:r/>
      <w:r>
        <w:t xml:space="preserve">Table 4.2. LIMUC Mayo Class Distribution Across All Splits</w:t>
      </w:r>
      <w:r/>
      <w:r/>
    </w:p>
    <w:p w14:paraId="3E09FED2">
      <w:pPr>
        <w:pStyle w:val="1048"/>
        <w:suppressLineNumbers w:val="false"/>
        <w:pBdr/>
        <w:spacing w:line="300" w:lineRule="auto"/>
        <w:ind w:firstLine="0"/>
        <w:rPr/>
      </w:pPr>
      <w:r/>
      <w:r/>
      <w:r/>
    </w:p>
    <w:p w14:paraId="5B6B95B0">
      <w:pPr>
        <w:pStyle w:val="1048"/>
        <w:suppressLineNumbers w:val="false"/>
        <w:pBdr/>
        <w:spacing w:line="300" w:lineRule="auto"/>
        <w:ind w:firstLine="0"/>
        <w:rPr/>
      </w:pPr>
      <w:r/>
      <w:r/>
      <w:r/>
    </w:p>
    <w:p w14:paraId="7F094034">
      <w:pPr>
        <w:pStyle w:val="1048"/>
        <w:suppressLineNumbers w:val="false"/>
        <w:pBdr/>
        <w:spacing w:line="300" w:lineRule="auto"/>
        <w:ind w:firstLine="0"/>
        <w:rPr>
          <w:highlight w:val="none"/>
        </w:rPr>
      </w:pPr>
      <w:r/>
      <w:r/>
      <w:r>
        <w:t xml:space="preserve">Several properties of this distribution shape the methodological design. First, classes 0 and 1 dominate the dataset, while classes 2 and 3 are comparatively rare. Second, the task is ordinal, so adjacent-class confusion is more plausible than arbitrary mis</w:t>
      </w:r>
      <w:r>
        <w:t xml:space="preserve">classification. Third, the dataset is large enough to support supervised training, yet imbalanced enough that a simple accuracy-only reading would be misleading. For this reason, the proposed approach is evaluated with class-balanced and ordinal metrics, an</w:t>
      </w:r>
      <w:r>
        <w:t xml:space="preserve">d the generative lane is trained with balanced sampling rather than naive frequency-following.</w:t>
      </w:r>
      <w:r/>
      <w:r/>
    </w:p>
    <w:p w14:paraId="4574381B">
      <w:pPr>
        <w:pStyle w:val="1048"/>
        <w:suppressLineNumbers w:val="false"/>
        <w:pBdr/>
        <w:spacing w:line="300" w:lineRule="auto"/>
        <w:ind w:firstLine="0"/>
        <w:rPr/>
      </w:pPr>
      <w:r/>
      <w:r/>
      <w:r/>
    </w:p>
    <w:p w14:paraId="5ED78973">
      <w:pPr>
        <w:pStyle w:val="1048"/>
        <w:suppressLineNumbers w:val="false"/>
        <w:pBdr/>
        <w:spacing w:line="300" w:lineRule="auto"/>
        <w:ind w:firstLine="0"/>
        <w:rPr/>
      </w:pPr>
      <w:r/>
      <w:r/>
      <w:r/>
    </w:p>
    <w:p w14:paraId="6BA04EE0">
      <w:pPr>
        <w:pStyle w:val="1048"/>
        <w:suppressLineNumbers w:val="false"/>
        <w:pBdr/>
        <w:spacing w:line="300" w:lineRule="auto"/>
        <w:ind w:firstLine="0"/>
        <w:rPr>
          <w:b/>
          <w:bCs/>
        </w:rPr>
      </w:pPr>
      <w:r>
        <w:rPr>
          <w:b/>
          <w:bCs/>
          <w:highlight w:val="none"/>
        </w:rPr>
        <w:t xml:space="preserve">4.2.2 Scope Boundary for Chapter 4 Claims</w:t>
      </w:r>
      <w:r>
        <w:rPr>
          <w:b/>
          <w:bCs/>
        </w:rPr>
      </w:r>
    </w:p>
    <w:p w14:paraId="7D924491">
      <w:pPr>
        <w:pStyle w:val="1048"/>
        <w:suppressLineNumbers w:val="false"/>
        <w:pBdr/>
        <w:spacing w:line="300" w:lineRule="auto"/>
        <w:ind w:firstLine="0"/>
        <w:rPr/>
      </w:pPr>
      <w:r>
        <w:rPr>
          <w:highlight w:val="none"/>
        </w:rPr>
        <w:t xml:space="preserve">The primary claims of Chapter 4 are deliberately restricted to internal LIMUC evaluation under the fixed split and reporting protocol described in this chapter. This means that the headline comparison is not between arbitrary best runs collected from differ</w:t>
      </w:r>
      <w:r>
        <w:rPr>
          <w:highlight w:val="none"/>
        </w:rPr>
        <w:t xml:space="preserve">ent settings; it is a like-for-like comparison between a supervised baseline family and a generative adaptation family evaluated on the same internal task.</w:t>
      </w:r>
      <w:r/>
      <w:r>
        <w:rPr>
          <w:highlight w:val="none"/>
        </w:rPr>
      </w:r>
      <w:r/>
      <w:r>
        <w:rPr>
          <w:highlight w:val="none"/>
        </w:rPr>
      </w:r>
    </w:p>
    <w:p w14:paraId="41617BB7">
      <w:pPr>
        <w:pStyle w:val="1048"/>
        <w:suppressLineNumbers w:val="false"/>
        <w:pBdr/>
        <w:spacing w:line="300" w:lineRule="auto"/>
        <w:ind w:firstLine="0"/>
        <w:rPr/>
      </w:pPr>
      <w:r>
        <w:rPr>
          <w:highlight w:val="none"/>
        </w:rPr>
        <w:t xml:space="preserve">This boundary matters because several other datasets in the repository, including Kvasir-VQA, Kvasir-VQA-x1, and ImageCLEF MEDVQA-GI, are important for the dissertation as a whole but are not necessary to establish the core Chapter 4 claim. Their role is co</w:t>
      </w:r>
      <w:r>
        <w:rPr>
          <w:highlight w:val="none"/>
        </w:rPr>
        <w:t xml:space="preserve">ntextual and comparative, primarily in Chapters 2 and 3. Chapter 4, by contrast, is intentionally focused on a single clinically grounded severity problem so that the methodological contribution can be assessed cleanly.</w:t>
      </w:r>
      <w:r/>
      <w:r>
        <w:rPr>
          <w:highlight w:val="none"/>
        </w:rPr>
      </w:r>
      <w:r/>
      <w:r>
        <w:rPr>
          <w:highlight w:val="none"/>
        </w:rPr>
      </w:r>
    </w:p>
    <w:p w14:paraId="784550E9">
      <w:pPr>
        <w:pStyle w:val="1048"/>
        <w:suppressLineNumbers w:val="false"/>
        <w:pBdr/>
        <w:spacing w:line="300" w:lineRule="auto"/>
        <w:ind w:firstLine="0"/>
        <w:rPr/>
      </w:pPr>
      <w:r>
        <w:rPr>
          <w:highlight w:val="none"/>
        </w:rPr>
        <w:t xml:space="preserve">The reporting policy follows the same logic. The primary optimization and reporting target is internal LIMUC mode1/test QWK. Accuracy, macro-F1, balanced accuracy, mean absolute error (MAE), root mean squared error (RMSE), and parse rate are reported as sup</w:t>
      </w:r>
      <w:r>
        <w:rPr>
          <w:highlight w:val="none"/>
        </w:rPr>
        <w:t xml:space="preserve">porting metrics, but they do not override the ordinal agreement objective. This is appropriate because the Mayo task is inherently ordered and because clinically meaningful performance cannot be captured by raw accuracy alone.</w:t>
      </w:r>
      <w:r/>
    </w:p>
    <w:p w14:paraId="04A53D62">
      <w:pPr>
        <w:pStyle w:val="1048"/>
        <w:suppressLineNumbers w:val="false"/>
        <w:pBdr/>
        <w:spacing w:line="300" w:lineRule="auto"/>
        <w:ind w:firstLine="0"/>
        <w:rPr/>
      </w:pPr>
      <w:r>
        <w:rPr>
          <w:highlight w:val="none"/>
        </w:rPr>
      </w:r>
      <w:r/>
    </w:p>
    <w:p w14:paraId="37B05096">
      <w:pPr>
        <w:pStyle w:val="1048"/>
        <w:suppressLineNumbers w:val="false"/>
        <w:pBdr/>
        <w:spacing w:line="300" w:lineRule="auto"/>
        <w:ind w:firstLine="0"/>
        <w:rPr>
          <w:b/>
          <w:bCs/>
        </w:rPr>
      </w:pPr>
      <w:r>
        <w:rPr>
          <w:b/>
          <w:bCs/>
          <w:highlight w:val="none"/>
        </w:rPr>
        <w:t xml:space="preserve">4.2.3 External HyperKvasir UC Proxy Stress Test</w:t>
      </w:r>
      <w:r>
        <w:rPr>
          <w:b/>
          <w:bCs/>
        </w:rPr>
      </w:r>
    </w:p>
    <w:p w14:paraId="0760CC68">
      <w:pPr>
        <w:pStyle w:val="1048"/>
        <w:suppressLineNumbers w:val="false"/>
        <w:pBdr/>
        <w:spacing w:line="300" w:lineRule="auto"/>
        <w:ind w:firstLine="0"/>
        <w:rPr/>
      </w:pPr>
      <w:r>
        <w:rPr>
          <w:highlight w:val="none"/>
        </w:rPr>
        <w:t xml:space="preserve">In addition to the internal LIMUC evaluation, this chapter includes an external-only stress test based on a HyperKvasir-derived UC proxy set. The purpose of this evaluation is not to provide definitive generalization proof. Instead, it is used to test wheth</w:t>
      </w:r>
      <w:r>
        <w:rPr>
          <w:highlight w:val="none"/>
        </w:rPr>
        <w:t xml:space="preserve">er the internal gains observed on LIMUC survive a shift in data source, label compatibility, and output conditions.</w:t>
      </w:r>
      <w:r/>
      <w:r>
        <w:rPr>
          <w:highlight w:val="none"/>
        </w:rPr>
      </w:r>
      <w:r/>
      <w:r>
        <w:rPr>
          <w:highlight w:val="none"/>
        </w:rPr>
      </w:r>
    </w:p>
    <w:p w14:paraId="2259A46B">
      <w:pPr>
        <w:pStyle w:val="1048"/>
        <w:suppressLineNumbers w:val="false"/>
        <w:pBdr/>
        <w:spacing w:line="300" w:lineRule="auto"/>
        <w:ind w:firstLine="0"/>
        <w:rPr/>
      </w:pPr>
      <w:r>
        <w:rPr>
          <w:highlight w:val="none"/>
        </w:rPr>
        <w:t xml:space="preserve">The external protocol uses metadata_hyperkvasir_uc_proxy_mayo_floor.csv, which applies a floor-based mapping to interval labels. Specifically, interval findings are mapped as 0-1 -&gt; 0, 1-2 -&gt; 1, and 2-3 -&gt; 2. This mapping is useful for stress testing, but i</w:t>
      </w:r>
      <w:r>
        <w:rPr>
          <w:highlight w:val="none"/>
        </w:rPr>
        <w:t xml:space="preserve">t is not equivalent to native Mayo annotation. The external set therefore functions as a robustness probe rather than a clinically final benchmark.</w:t>
      </w:r>
      <w:r/>
      <w:r>
        <w:rPr>
          <w:highlight w:val="none"/>
        </w:rPr>
      </w:r>
      <w:r>
        <w:rPr>
          <w:highlight w:val="none"/>
        </w:rPr>
      </w:r>
      <w:r>
        <w:rPr>
          <w:highlight w:val="none"/>
        </w:rPr>
      </w:r>
    </w:p>
    <w:p w14:paraId="3E198934">
      <w:pPr>
        <w:pStyle w:val="1048"/>
        <w:suppressLineNumbers w:val="false"/>
        <w:pBdr/>
        <w:spacing w:line="300" w:lineRule="auto"/>
        <w:ind w:firstLine="0"/>
        <w:rPr/>
      </w:pPr>
      <w:r/>
      <w:r/>
      <w:r/>
    </w:p>
    <w:p w14:paraId="127A9A20">
      <w:pPr>
        <w:pStyle w:val="1048"/>
        <w:suppressLineNumbers w:val="false"/>
        <w:pBdr/>
        <w:spacing w:line="300" w:lineRule="auto"/>
        <w:ind w:firstLine="0"/>
        <w:rPr/>
      </w:pPr>
      <w:r/>
      <w:r/>
      <w:r/>
    </w:p>
    <w:p w14:paraId="2A13CF93">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04D0F779">
            <w:pPr>
              <w:pStyle w:val="1048"/>
              <w:suppressLineNumbers w:val="false"/>
              <w:pBdr/>
              <w:spacing w:line="300" w:lineRule="auto"/>
              <w:ind/>
              <w:rPr/>
            </w:pPr>
            <w:r/>
            <w:r/>
          </w:p>
        </w:tc>
        <w:tc>
          <w:tcPr>
            <w:tcBorders/>
            <w:tcW w:w="4320" w:type="dxa"/>
            <w:textDirection w:val="lrTb"/>
            <w:noWrap w:val="false"/>
          </w:tcPr>
          <w:p w14:paraId="6916E48F">
            <w:pPr>
              <w:pStyle w:val="1048"/>
              <w:suppressLineNumbers w:val="false"/>
              <w:pBdr/>
              <w:spacing w:line="300" w:lineRule="auto"/>
              <w:ind/>
              <w:rPr/>
            </w:pPr>
            <w:r/>
            <w:r/>
          </w:p>
        </w:tc>
      </w:tr>
      <w:tr>
        <w:trPr/>
        <w:tc>
          <w:tcPr>
            <w:tcBorders/>
            <w:tcW w:w="4320" w:type="dxa"/>
            <w:textDirection w:val="lrTb"/>
            <w:noWrap w:val="false"/>
          </w:tcPr>
          <w:p w14:paraId="2B9B478C">
            <w:pPr>
              <w:pStyle w:val="1048"/>
              <w:suppressLineNumbers w:val="false"/>
              <w:pBdr/>
              <w:spacing w:line="300" w:lineRule="auto"/>
              <w:ind/>
              <w:rPr/>
            </w:pPr>
            <w:r/>
            <w:r/>
          </w:p>
        </w:tc>
        <w:tc>
          <w:tcPr>
            <w:tcBorders/>
            <w:tcW w:w="4320" w:type="dxa"/>
            <w:textDirection w:val="lrTb"/>
            <w:noWrap w:val="false"/>
          </w:tcPr>
          <w:p w14:paraId="2823D8D5">
            <w:pPr>
              <w:pStyle w:val="1048"/>
              <w:suppressLineNumbers w:val="false"/>
              <w:pBdr/>
              <w:spacing w:line="300" w:lineRule="auto"/>
              <w:ind/>
              <w:rPr/>
            </w:pPr>
            <w:r/>
            <w:r/>
          </w:p>
        </w:tc>
      </w:tr>
      <w:tr>
        <w:trPr/>
        <w:tc>
          <w:tcPr>
            <w:tcBorders/>
            <w:tcW w:w="4320" w:type="dxa"/>
            <w:textDirection w:val="lrTb"/>
            <w:noWrap w:val="false"/>
          </w:tcPr>
          <w:p w14:paraId="35BA7E6C">
            <w:pPr>
              <w:pStyle w:val="1048"/>
              <w:suppressLineNumbers w:val="false"/>
              <w:pBdr/>
              <w:spacing w:line="300" w:lineRule="auto"/>
              <w:ind/>
              <w:rPr/>
            </w:pPr>
            <w:r/>
            <w:r/>
          </w:p>
        </w:tc>
        <w:tc>
          <w:tcPr>
            <w:tcBorders/>
            <w:tcW w:w="4320" w:type="dxa"/>
            <w:textDirection w:val="lrTb"/>
            <w:noWrap w:val="false"/>
          </w:tcPr>
          <w:p w14:paraId="63A7CBFC">
            <w:pPr>
              <w:pStyle w:val="1048"/>
              <w:suppressLineNumbers w:val="false"/>
              <w:pBdr/>
              <w:spacing w:line="300" w:lineRule="auto"/>
              <w:ind/>
              <w:rPr/>
            </w:pPr>
            <w:r/>
            <w:r/>
          </w:p>
        </w:tc>
      </w:tr>
      <w:tr>
        <w:trPr/>
        <w:tc>
          <w:tcPr>
            <w:tcBorders/>
            <w:tcW w:w="4320" w:type="dxa"/>
            <w:textDirection w:val="lrTb"/>
            <w:noWrap w:val="false"/>
          </w:tcPr>
          <w:p w14:paraId="468EC521">
            <w:pPr>
              <w:pStyle w:val="1048"/>
              <w:suppressLineNumbers w:val="false"/>
              <w:pBdr/>
              <w:spacing w:line="300" w:lineRule="auto"/>
              <w:ind/>
              <w:rPr/>
            </w:pPr>
            <w:r/>
            <w:r/>
          </w:p>
        </w:tc>
        <w:tc>
          <w:tcPr>
            <w:tcBorders/>
            <w:tcW w:w="4320" w:type="dxa"/>
            <w:textDirection w:val="lrTb"/>
            <w:noWrap w:val="false"/>
          </w:tcPr>
          <w:p w14:paraId="540E6AE2">
            <w:pPr>
              <w:pStyle w:val="1048"/>
              <w:suppressLineNumbers w:val="false"/>
              <w:pBdr/>
              <w:spacing w:line="300" w:lineRule="auto"/>
              <w:ind/>
              <w:rPr/>
            </w:pPr>
            <w:r/>
            <w:r/>
          </w:p>
        </w:tc>
      </w:tr>
    </w:tbl>
    <w:p w14:paraId="4C362E1A">
      <w:pPr>
        <w:pStyle w:val="1048"/>
        <w:suppressLineNumbers w:val="false"/>
        <w:pBdr/>
        <w:spacing w:line="300" w:lineRule="auto"/>
        <w:ind w:firstLine="720" w:left="720"/>
        <w:rPr/>
      </w:pPr>
      <w:r/>
      <w:r>
        <w:t xml:space="preserve">Table 4.3. External HyperKvasir UC Proxy Distribution</w:t>
      </w:r>
      <w:r/>
      <w:r/>
    </w:p>
    <w:p w14:paraId="3122DB9B">
      <w:pPr>
        <w:pStyle w:val="1048"/>
        <w:suppressLineNumbers w:val="false"/>
        <w:pBdr/>
        <w:spacing w:line="300" w:lineRule="auto"/>
        <w:ind w:firstLine="0"/>
        <w:rPr/>
      </w:pPr>
      <w:r/>
      <w:r/>
      <w:r/>
    </w:p>
    <w:p w14:paraId="4820D874">
      <w:pPr>
        <w:pStyle w:val="1048"/>
        <w:suppressLineNumbers w:val="false"/>
        <w:pBdr/>
        <w:spacing w:line="300" w:lineRule="auto"/>
        <w:ind w:firstLine="0"/>
        <w:rPr>
          <w:highlight w:val="none"/>
        </w:rPr>
      </w:pPr>
      <w:r/>
      <w:r>
        <w:t xml:space="preserve">The total external set size is 851 frames. Two implications should be stated explicitly. First, the class profile differs materially from LIMUC, especially at the low-severity end. Second, the proxy mapping introduces label-space uncertainty that is absent </w:t>
      </w:r>
      <w:r>
        <w:t xml:space="preserve">from the internal dataset. For both reasons, external results are interpreted as limitation evidence and domain-shift analysis, not as the main basis for model selection.</w:t>
      </w:r>
      <w:r/>
      <w:r/>
    </w:p>
    <w:p w14:paraId="36B540DD">
      <w:pPr>
        <w:pStyle w:val="1048"/>
        <w:suppressLineNumbers w:val="false"/>
        <w:pBdr/>
        <w:spacing w:line="300" w:lineRule="auto"/>
        <w:ind w:firstLine="0"/>
        <w:rPr/>
      </w:pPr>
      <w:r/>
      <w:r/>
      <w:r/>
    </w:p>
    <w:p w14:paraId="7B85D757">
      <w:pPr>
        <w:pStyle w:val="1048"/>
        <w:suppressLineNumbers w:val="false"/>
        <w:pBdr/>
        <w:spacing w:line="300" w:lineRule="auto"/>
        <w:ind w:firstLine="0"/>
        <w:rPr>
          <w:b/>
          <w:bCs/>
          <w:sz w:val="28"/>
          <w:szCs w:val="28"/>
        </w:rPr>
      </w:pPr>
      <w:r>
        <w:rPr>
          <w:b/>
          <w:bCs/>
          <w:sz w:val="28"/>
          <w:szCs w:val="28"/>
          <w:highlight w:val="none"/>
        </w:rPr>
        <w:t xml:space="preserve">4.3 Proposed Severity-Oriented Pipeline</w:t>
      </w:r>
      <w:r>
        <w:rPr>
          <w:b/>
          <w:bCs/>
          <w:sz w:val="28"/>
          <w:szCs w:val="28"/>
        </w:rPr>
      </w:r>
    </w:p>
    <w:p w14:paraId="227DC6DE">
      <w:pPr>
        <w:pStyle w:val="1048"/>
        <w:suppressLineNumbers w:val="false"/>
        <w:pBdr/>
        <w:spacing w:line="300" w:lineRule="auto"/>
        <w:ind w:firstLine="0"/>
        <w:rPr/>
      </w:pPr>
      <w:r>
        <w:rPr>
          <w:highlight w:val="none"/>
        </w:rPr>
        <w:t xml:space="preserve">The proposed Chapter 4 pipeline can be summarized as follows:</w:t>
      </w:r>
      <w:r/>
      <w:r>
        <w:rPr>
          <w:highlight w:val="none"/>
        </w:rPr>
      </w:r>
      <w:r/>
      <w:r>
        <w:rPr>
          <w:highlight w:val="none"/>
        </w:rPr>
      </w:r>
    </w:p>
    <w:p w14:paraId="4F2331F7">
      <w:pPr>
        <w:pStyle w:val="1048"/>
        <w:suppressLineNumbers w:val="false"/>
        <w:pBdr/>
        <w:spacing w:line="300" w:lineRule="auto"/>
        <w:ind w:firstLine="0"/>
        <w:rPr>
          <w:b/>
          <w:bCs/>
        </w:rPr>
      </w:pPr>
      <w:r>
        <w:rPr>
          <w:b/>
          <w:bCs/>
          <w:highlight w:val="none"/>
        </w:rPr>
        <w:t xml:space="preserve">dataset curation and split freezing -&gt; supervised and generative baseline construction -&gt; controlled severity prediction -&gt; statistical evaluation -&gt; error analysis</w:t>
      </w:r>
      <w:r>
        <w:rPr>
          <w:b/>
          <w:bCs/>
        </w:rPr>
      </w:r>
      <w:r>
        <w:rPr>
          <w:b/>
          <w:bCs/>
          <w:highlight w:val="none"/>
        </w:rPr>
      </w:r>
    </w:p>
    <w:p w14:paraId="75835759">
      <w:pPr>
        <w:pStyle w:val="1048"/>
        <w:suppressLineNumbers w:val="false"/>
        <w:pBdr/>
        <w:spacing w:line="300" w:lineRule="auto"/>
        <w:ind w:firstLine="0"/>
        <w:rPr/>
      </w:pPr>
      <w:r>
        <w:rPr>
          <w:highlight w:val="none"/>
        </w:rPr>
        <w:t xml:space="preserve">The key design principle is that each stage should narrow the gap between flexible multimodal generation and clinically disciplined scoring. The pipeline is therefore built in layers, where each layer has a distinct role in separating genuine improvement fr</w:t>
      </w:r>
      <w:r>
        <w:rPr>
          <w:highlight w:val="none"/>
        </w:rPr>
        <w:t xml:space="preserve">om prompt-induced noise.</w:t>
      </w:r>
      <w:r/>
      <w:r>
        <w:rPr>
          <w:highlight w:val="none"/>
        </w:rPr>
      </w:r>
      <w:r/>
      <w:r>
        <w:rPr>
          <w:highlight w:val="none"/>
        </w:rPr>
      </w:r>
    </w:p>
    <w:p w14:paraId="538872A3">
      <w:pPr>
        <w:pStyle w:val="1048"/>
        <w:suppressLineNumbers w:val="false"/>
        <w:pBdr/>
        <w:spacing w:line="300" w:lineRule="auto"/>
        <w:ind w:firstLine="0"/>
        <w:rPr>
          <w:b/>
          <w:bCs/>
        </w:rPr>
      </w:pPr>
      <w:r>
        <w:rPr>
          <w:b/>
          <w:bCs/>
          <w:highlight w:val="none"/>
        </w:rPr>
        <w:t xml:space="preserve">4.3.1 Data Preparation and Split Freezing</w:t>
      </w:r>
      <w:r>
        <w:rPr>
          <w:b/>
          <w:bCs/>
        </w:rPr>
      </w:r>
    </w:p>
    <w:p w14:paraId="51BDCFEB">
      <w:pPr>
        <w:pStyle w:val="1048"/>
        <w:suppressLineNumbers w:val="false"/>
        <w:pBdr/>
        <w:spacing w:line="300" w:lineRule="auto"/>
        <w:ind w:firstLine="0"/>
        <w:rPr/>
      </w:pPr>
      <w:r>
        <w:rPr>
          <w:highlight w:val="none"/>
        </w:rPr>
        <w:t xml:space="preserve">The first layer is the preparation layer implemented in Prototyping_reformat/DatasetAnalysis/LIMUC/0_dataset_prep/01_build_metadata_images_and_manifests.ipynb [69]. Its purpose is not only to gather images and labels, but to create a reproducible task defin</w:t>
      </w:r>
      <w:r>
        <w:rPr>
          <w:highlight w:val="none"/>
        </w:rPr>
        <w:t xml:space="preserve">ition. The notebook generates metadata tables, split assignments, label mappings, and a split hash so that downstream experiments can be traced back to a fixed data state.</w:t>
      </w:r>
      <w:r/>
    </w:p>
    <w:p w14:paraId="496CD796">
      <w:pPr>
        <w:pStyle w:val="1048"/>
        <w:suppressLineNumbers w:val="false"/>
        <w:pBdr/>
        <w:spacing w:line="300" w:lineRule="auto"/>
        <w:ind w:firstLine="0"/>
        <w:rPr/>
      </w:pPr>
      <w:r>
        <w:rPr>
          <w:highlight w:val="none"/>
        </w:rPr>
      </w:r>
      <w:r/>
    </w:p>
    <w:p w14:paraId="435899B7">
      <w:pPr>
        <w:pStyle w:val="1048"/>
        <w:suppressLineNumbers w:val="false"/>
        <w:pBdr/>
        <w:spacing w:line="300" w:lineRule="auto"/>
        <w:ind w:firstLine="0"/>
        <w:rPr/>
      </w:pPr>
      <w:r>
        <w:rPr>
          <w:highlight w:val="none"/>
        </w:rPr>
        <w:t xml:space="preserve">This step is methodologically important because later comparisons would be difficult to defend if the underlying train, validation, and test composition were allowed to drift. In a dissertation setting, reproducibility is not a convenience feature; it is pa</w:t>
      </w:r>
      <w:r>
        <w:rPr>
          <w:highlight w:val="none"/>
        </w:rPr>
        <w:t xml:space="preserve">rt of the evidential argument. By freezing the metadata snapshot and the split structure before model comparison, the chapter avoids a common problem in multimodal experimentation where performance differences become entangled with unnoticed preprocessing c</w:t>
      </w:r>
      <w:r>
        <w:rPr>
          <w:highlight w:val="none"/>
        </w:rPr>
        <w:t xml:space="preserve">hanges.</w:t>
      </w:r>
      <w:r/>
      <w:r>
        <w:rPr>
          <w:highlight w:val="none"/>
        </w:rPr>
      </w:r>
      <w:r/>
      <w:r>
        <w:rPr>
          <w:highlight w:val="none"/>
        </w:rPr>
      </w:r>
    </w:p>
    <w:p w14:paraId="07575C15">
      <w:pPr>
        <w:pStyle w:val="1048"/>
        <w:suppressLineNumbers w:val="false"/>
        <w:pBdr/>
        <w:spacing w:line="300" w:lineRule="auto"/>
        <w:ind w:firstLine="0"/>
        <w:rPr>
          <w:b w:val="0"/>
          <w:bCs w:val="0"/>
        </w:rPr>
      </w:pPr>
      <w:r>
        <w:rPr>
          <w:b w:val="0"/>
          <w:bCs w:val="0"/>
          <w:highlight w:val="none"/>
        </w:rPr>
        <w:t xml:space="preserve">4.3.2 Supervised Reliability Anchor</w:t>
      </w:r>
      <w:r>
        <w:rPr>
          <w:b w:val="0"/>
          <w:bCs w:val="0"/>
        </w:rPr>
      </w:r>
    </w:p>
    <w:p w14:paraId="50DE3832">
      <w:pPr>
        <w:pStyle w:val="1048"/>
        <w:suppressLineNumbers w:val="false"/>
        <w:pBdr/>
        <w:spacing w:line="300" w:lineRule="auto"/>
        <w:ind w:firstLine="0"/>
        <w:rPr/>
      </w:pPr>
      <w:r>
        <w:rPr>
          <w:highlight w:val="none"/>
        </w:rPr>
        <w:t xml:space="preserve">The second layer establishes a strong supervised anchor. This layer includes both frozen-encoder baselines and fine-tuned discriminative baselines. The frozen-encoder baselines are implemented in:</w:t>
      </w:r>
      <w:r/>
      <w:r>
        <w:rPr>
          <w:highlight w:val="none"/>
        </w:rPr>
      </w:r>
      <w:r/>
      <w:r>
        <w:rPr>
          <w:highlight w:val="none"/>
        </w:rPr>
      </w:r>
    </w:p>
    <w:p w14:paraId="352F9AE2">
      <w:pPr>
        <w:pStyle w:val="1048"/>
        <w:numPr>
          <w:ilvl w:val="0"/>
          <w:numId w:val="75"/>
        </w:numPr>
        <w:suppressLineNumbers w:val="false"/>
        <w:pBdr/>
        <w:spacing w:line="300" w:lineRule="auto"/>
        <w:ind/>
        <w:rPr/>
      </w:pPr>
      <w:r>
        <w:rPr>
          <w:highlight w:val="none"/>
        </w:rPr>
        <w:t xml:space="preserve">Prototyping_reformat/DatasetAnalysis/LIMUC/1_frozen_encoders/resnet50_frozen_logreg.ipynb [70]</w:t>
      </w:r>
      <w:r/>
    </w:p>
    <w:p w14:paraId="125B2467">
      <w:pPr>
        <w:pStyle w:val="1048"/>
        <w:numPr>
          <w:ilvl w:val="0"/>
          <w:numId w:val="75"/>
        </w:numPr>
        <w:suppressLineNumbers w:val="false"/>
        <w:pBdr/>
        <w:spacing w:line="300" w:lineRule="auto"/>
        <w:ind/>
        <w:rPr/>
      </w:pPr>
      <w:r>
        <w:rPr>
          <w:highlight w:val="none"/>
        </w:rPr>
        <w:t xml:space="preserve">Prototyping_reformat/DatasetAnalysis/LIMUC/1_frozen_encoders/vit_frozen_logreg.ipynb [71]</w:t>
      </w:r>
      <w:r/>
    </w:p>
    <w:p w14:paraId="570921E0">
      <w:pPr>
        <w:pStyle w:val="1048"/>
        <w:numPr>
          <w:ilvl w:val="0"/>
          <w:numId w:val="75"/>
        </w:numPr>
        <w:suppressLineNumbers w:val="false"/>
        <w:pBdr/>
        <w:spacing w:line="300" w:lineRule="auto"/>
        <w:ind/>
        <w:rPr/>
      </w:pPr>
      <w:r>
        <w:rPr>
          <w:highlight w:val="none"/>
        </w:rPr>
        <w:t xml:space="preserve">Prototyping_reformat/DatasetAnalysis/LIMUC/1_frozen_encoders/clip_linear_baseline.ipynb [72]</w:t>
      </w:r>
      <w:r/>
    </w:p>
    <w:p w14:paraId="2F9F99D5">
      <w:pPr>
        <w:pStyle w:val="1048"/>
        <w:suppressLineNumbers w:val="false"/>
        <w:pBdr/>
        <w:spacing w:line="300" w:lineRule="auto"/>
        <w:ind w:firstLine="0"/>
        <w:rPr/>
      </w:pPr>
      <w:r>
        <w:rPr>
          <w:highlight w:val="none"/>
        </w:rPr>
        <w:t xml:space="preserve">The fine-tuned baselines are implemented in:</w:t>
      </w:r>
      <w:r/>
      <w:r>
        <w:rPr>
          <w:highlight w:val="none"/>
        </w:rPr>
      </w:r>
      <w:r/>
      <w:r>
        <w:rPr>
          <w:highlight w:val="none"/>
        </w:rPr>
      </w:r>
    </w:p>
    <w:p w14:paraId="46BF3408">
      <w:pPr>
        <w:pStyle w:val="1048"/>
        <w:numPr>
          <w:ilvl w:val="0"/>
          <w:numId w:val="76"/>
        </w:numPr>
        <w:suppressLineNumbers w:val="false"/>
        <w:pBdr/>
        <w:spacing w:line="300" w:lineRule="auto"/>
        <w:ind/>
        <w:rPr/>
      </w:pPr>
      <w:r>
        <w:rPr>
          <w:highlight w:val="none"/>
        </w:rPr>
        <w:t xml:space="preserve">Prototyping_reformat/DatasetAnalysis/LIMUC/2_supervised_finetuning/finetune_resnet50.ipynb [73]</w:t>
      </w:r>
      <w:r/>
    </w:p>
    <w:p w14:paraId="04A7E25E">
      <w:pPr>
        <w:pStyle w:val="1048"/>
        <w:numPr>
          <w:ilvl w:val="0"/>
          <w:numId w:val="76"/>
        </w:numPr>
        <w:suppressLineNumbers w:val="false"/>
        <w:pBdr/>
        <w:spacing w:line="300" w:lineRule="auto"/>
        <w:ind/>
        <w:rPr/>
      </w:pPr>
      <w:r>
        <w:rPr>
          <w:highlight w:val="none"/>
        </w:rPr>
        <w:t xml:space="preserve">Prototyping_reformat/DatasetAnalysis/LIMUC/2_supervised_finetuning/finetune_vit_or_swin.ipynb [74]</w:t>
      </w:r>
      <w:r/>
    </w:p>
    <w:p w14:paraId="26C1DAC9">
      <w:pPr>
        <w:pStyle w:val="1048"/>
        <w:suppressLineNumbers w:val="false"/>
        <w:pBdr/>
        <w:spacing w:line="300" w:lineRule="auto"/>
        <w:ind w:firstLine="0"/>
        <w:rPr/>
      </w:pPr>
      <w:r>
        <w:rPr>
          <w:highlight w:val="none"/>
        </w:rPr>
        <w:t xml:space="preserve">These baselines are not included merely for completeness. They define the minimum standard that any generative method must surpass to be taken seriously. In many medical-imaging settings, a generative system appears attractive because it produces human-read</w:t>
      </w:r>
      <w:r>
        <w:rPr>
          <w:highlight w:val="none"/>
        </w:rPr>
        <w:t xml:space="preserve">able text, yet still underperforms a simpler classifier on the actual decision variable of interest. By anchoring the chapter on supervised performance first, the proposed method is evaluated against the best currently justified alternative rather than agai</w:t>
      </w:r>
      <w:r>
        <w:rPr>
          <w:highlight w:val="none"/>
        </w:rPr>
        <w:t xml:space="preserve">nst an artificially weak baseline.</w:t>
      </w:r>
      <w:r/>
    </w:p>
    <w:p w14:paraId="68680794">
      <w:pPr>
        <w:pStyle w:val="1048"/>
        <w:suppressLineNumbers w:val="false"/>
        <w:pBdr/>
        <w:spacing w:line="300" w:lineRule="auto"/>
        <w:ind w:firstLine="0"/>
        <w:rPr/>
      </w:pPr>
      <w:r>
        <w:rPr>
          <w:highlight w:val="none"/>
        </w:rPr>
      </w:r>
      <w:r/>
    </w:p>
    <w:p w14:paraId="12CC7DB8">
      <w:pPr>
        <w:pStyle w:val="1048"/>
        <w:suppressLineNumbers w:val="false"/>
        <w:pBdr/>
        <w:spacing w:line="300" w:lineRule="auto"/>
        <w:ind w:firstLine="0"/>
        <w:rPr>
          <w:b/>
          <w:bCs/>
        </w:rPr>
      </w:pPr>
      <w:r>
        <w:rPr>
          <w:b/>
          <w:bCs/>
          <w:highlight w:val="none"/>
        </w:rPr>
        <w:t xml:space="preserve">4.3.3 Zero-Shot Generative Baseline</w:t>
      </w:r>
      <w:r>
        <w:rPr>
          <w:b/>
          <w:bCs/>
        </w:rPr>
      </w:r>
    </w:p>
    <w:p w14:paraId="09CF77E6">
      <w:pPr>
        <w:pStyle w:val="1048"/>
        <w:suppressLineNumbers w:val="false"/>
        <w:pBdr/>
        <w:spacing w:line="300" w:lineRule="auto"/>
        <w:ind w:firstLine="0"/>
        <w:rPr/>
      </w:pPr>
      <w:r>
        <w:rPr>
          <w:highlight w:val="none"/>
        </w:rPr>
        <w:t xml:space="preserve">The third layer introduces a zero-shot generative severity baseline through Prototyping_reformat/DatasetAnalysis/LIMUC/3_vlm_severity/vlm_zero_shot_mayo.ipynb [75]. This layer is important because it exposes the raw transfer gap between general multimodal f</w:t>
      </w:r>
      <w:r>
        <w:rPr>
          <w:highlight w:val="none"/>
        </w:rPr>
        <w:t xml:space="preserve">luency and clinically controlled severity scoring.</w:t>
      </w:r>
      <w:r/>
      <w:r>
        <w:rPr>
          <w:highlight w:val="none"/>
        </w:rPr>
      </w:r>
      <w:r/>
      <w:r>
        <w:rPr>
          <w:highlight w:val="none"/>
        </w:rPr>
      </w:r>
    </w:p>
    <w:p w14:paraId="1C382258">
      <w:pPr>
        <w:pStyle w:val="1048"/>
        <w:suppressLineNumbers w:val="false"/>
        <w:pBdr/>
        <w:spacing w:line="300" w:lineRule="auto"/>
        <w:ind w:firstLine="0"/>
        <w:rPr/>
      </w:pPr>
      <w:r>
        <w:rPr>
          <w:highlight w:val="none"/>
        </w:rPr>
        <w:t xml:space="preserve">The zero-shot setup uses a fixed severity question prompt and expects a constrained textual output in the form SCORE: X, where X must belong to {0,1,2,3}. A strict parser then extracts the score and marks invalid or noncompliant generations explicitly. This</w:t>
      </w:r>
      <w:r>
        <w:rPr>
          <w:highlight w:val="none"/>
        </w:rPr>
        <w:t xml:space="preserve"> design serves two functions. First, it gives the zero-shot model the best possible chance to succeed under a clear format. Second, it prevents the evaluation from rewarding free-form answers that sound plausible but cannot be mapped reliably to the task la</w:t>
      </w:r>
      <w:r>
        <w:rPr>
          <w:highlight w:val="none"/>
        </w:rPr>
        <w:t xml:space="preserve">bel space.</w:t>
      </w:r>
      <w:r/>
      <w:r>
        <w:rPr>
          <w:highlight w:val="none"/>
        </w:rPr>
      </w:r>
      <w:r/>
      <w:r>
        <w:rPr>
          <w:highlight w:val="none"/>
        </w:rPr>
      </w:r>
    </w:p>
    <w:p w14:paraId="0D62754C">
      <w:pPr>
        <w:pStyle w:val="1048"/>
        <w:suppressLineNumbers w:val="false"/>
        <w:pBdr/>
        <w:spacing w:line="300" w:lineRule="auto"/>
        <w:ind w:firstLine="0"/>
        <w:rPr/>
      </w:pPr>
      <w:r>
        <w:rPr>
          <w:highlight w:val="none"/>
        </w:rPr>
        <w:t xml:space="preserve">Zero-shot evaluation is therefore treated as a diagnostic baseline, not as the proposed solution. Its role is to show what prompt-only transfer can and cannot do before any in-domain adaptation is introduced.</w:t>
      </w:r>
      <w:r/>
    </w:p>
    <w:p w14:paraId="65E808BF">
      <w:pPr>
        <w:pStyle w:val="1048"/>
        <w:suppressLineNumbers w:val="false"/>
        <w:pBdr/>
        <w:spacing w:line="300" w:lineRule="auto"/>
        <w:ind w:firstLine="0"/>
        <w:rPr/>
      </w:pPr>
      <w:r>
        <w:rPr>
          <w:highlight w:val="none"/>
        </w:rPr>
      </w:r>
      <w:r/>
    </w:p>
    <w:p w14:paraId="6D4E490B">
      <w:pPr>
        <w:pStyle w:val="1048"/>
        <w:suppressLineNumbers w:val="false"/>
        <w:pBdr/>
        <w:spacing w:line="300" w:lineRule="auto"/>
        <w:ind w:firstLine="0"/>
        <w:rPr>
          <w:b/>
          <w:bCs/>
        </w:rPr>
      </w:pPr>
      <w:r>
        <w:rPr>
          <w:b/>
          <w:bCs/>
          <w:highlight w:val="none"/>
        </w:rPr>
        <w:t xml:space="preserve">4.3.4 Parameter-Efficient Generative Adaptation with LoRA</w:t>
      </w:r>
      <w:r>
        <w:rPr>
          <w:b/>
          <w:bCs/>
        </w:rPr>
      </w:r>
    </w:p>
    <w:p w14:paraId="4F82708E">
      <w:pPr>
        <w:pStyle w:val="1048"/>
        <w:suppressLineNumbers w:val="false"/>
        <w:pBdr/>
        <w:spacing w:line="300" w:lineRule="auto"/>
        <w:ind w:firstLine="0"/>
        <w:rPr/>
      </w:pPr>
      <w:r>
        <w:rPr>
          <w:highlight w:val="none"/>
        </w:rPr>
        <w:t xml:space="preserve">The central methodological contribution of this chapter is the parameter-efficient adaptation layer implemented in Prototyping_reformat/DatasetAnalysis/LIMUC/3_vlm_severity/vlm_lora_finetune_mayo.ipynb [76]. This stage adapts a vision-language generation st</w:t>
      </w:r>
      <w:r>
        <w:rPr>
          <w:highlight w:val="none"/>
        </w:rPr>
        <w:t xml:space="preserve">ack using Low-Rank Adaptation (LoRA) rather than full end-to-end retraining [67].</w:t>
      </w:r>
      <w:r/>
      <w:r>
        <w:rPr>
          <w:highlight w:val="none"/>
        </w:rPr>
      </w:r>
      <w:r/>
      <w:r>
        <w:rPr>
          <w:highlight w:val="none"/>
        </w:rPr>
      </w:r>
    </w:p>
    <w:p w14:paraId="18C6E4D9">
      <w:pPr>
        <w:pStyle w:val="1048"/>
        <w:suppressLineNumbers w:val="false"/>
        <w:pBdr/>
        <w:spacing w:line="300" w:lineRule="auto"/>
        <w:ind w:firstLine="0"/>
        <w:rPr/>
      </w:pPr>
      <w:r>
        <w:rPr>
          <w:highlight w:val="none"/>
        </w:rPr>
        <w:t xml:space="preserve">LoRA is appropriate here for both practical and scientific reasons. Practically, it reduces the memory and optimization cost of adapting a large multimodal model. Scientifically, it allows the chapter to test whether a large pretrained vision-language model</w:t>
      </w:r>
      <w:r>
        <w:rPr>
          <w:highlight w:val="none"/>
        </w:rPr>
        <w:t xml:space="preserve"> can be made clinically useful for severity grading through targeted task adaptation rather than through unrestricted generation. The final architecture used in the comparison is BLIP2-Flan-T5-XL with LoRA adapters applied to the generative stack [68], [76]</w:t>
      </w:r>
      <w:r>
        <w:rPr>
          <w:highlight w:val="none"/>
        </w:rPr>
        <w:t xml:space="preserve">.</w:t>
      </w:r>
      <w:r/>
      <w:r>
        <w:rPr>
          <w:highlight w:val="none"/>
        </w:rPr>
      </w:r>
      <w:r/>
      <w:r>
        <w:rPr>
          <w:highlight w:val="none"/>
        </w:rPr>
      </w:r>
    </w:p>
    <w:p w14:paraId="3F37A53E">
      <w:pPr>
        <w:pStyle w:val="1048"/>
        <w:suppressLineNumbers w:val="false"/>
        <w:pBdr/>
        <w:spacing w:line="300" w:lineRule="auto"/>
        <w:ind w:firstLine="0"/>
        <w:rPr/>
      </w:pPr>
      <w:r>
        <w:rPr>
          <w:highlight w:val="none"/>
        </w:rPr>
        <w:t xml:space="preserve">This design direction is consistent with recent medical multimodal literature that emphasizes integrating vision and language foundation models under task-aware constraints for clinically useful behavior [105], [106].</w:t>
      </w:r>
      <w:r/>
      <w:r>
        <w:rPr>
          <w:highlight w:val="none"/>
        </w:rPr>
      </w:r>
      <w:r/>
      <w:r>
        <w:rPr>
          <w:highlight w:val="none"/>
        </w:rPr>
      </w:r>
    </w:p>
    <w:p w14:paraId="0614E0C4">
      <w:pPr>
        <w:pStyle w:val="1048"/>
        <w:suppressLineNumbers w:val="false"/>
        <w:pBdr/>
        <w:spacing w:line="300" w:lineRule="auto"/>
        <w:ind w:firstLine="0"/>
        <w:rPr/>
      </w:pPr>
      <w:r>
        <w:rPr>
          <w:highlight w:val="none"/>
        </w:rPr>
        <w:t xml:space="preserve">Two design choices are especially important. First, the target format is supervised explicitly so that the model learns to emit the severity token under a stable prefix rather than producing unconstrained prose. Second, the objective is label-token-focused,</w:t>
      </w:r>
      <w:r>
        <w:rPr>
          <w:highlight w:val="none"/>
        </w:rPr>
        <w:t xml:space="preserve"> which reduces the incentive to learn decorative language that is irrelevant to the Mayo decision itself. In other words, the model is still generative at the interface level, but its training objective is deliberately aligned with a bounded clinical output</w:t>
      </w:r>
      <w:r>
        <w:rPr>
          <w:highlight w:val="none"/>
        </w:rPr>
        <w:t xml:space="preserve">.</w:t>
      </w:r>
      <w:r/>
    </w:p>
    <w:p w14:paraId="319B94D9">
      <w:pPr>
        <w:pStyle w:val="1048"/>
        <w:suppressLineNumbers w:val="false"/>
        <w:pBdr/>
        <w:spacing w:line="300" w:lineRule="auto"/>
        <w:ind w:firstLine="0"/>
        <w:rPr/>
      </w:pPr>
      <w:r>
        <w:rPr>
          <w:highlight w:val="none"/>
        </w:rPr>
      </w:r>
      <w:r/>
    </w:p>
    <w:p w14:paraId="74CCCD86">
      <w:pPr>
        <w:pStyle w:val="1048"/>
        <w:suppressLineNumbers w:val="false"/>
        <w:pBdr/>
        <w:spacing w:line="300" w:lineRule="auto"/>
        <w:ind w:firstLine="0"/>
        <w:rPr>
          <w:b/>
          <w:bCs/>
        </w:rPr>
      </w:pPr>
      <w:r>
        <w:rPr>
          <w:b/>
          <w:bCs/>
          <w:highlight w:val="none"/>
        </w:rPr>
        <w:t xml:space="preserve">4.3.5 Retrieval-Supported Extension Path</w:t>
      </w:r>
      <w:r>
        <w:rPr>
          <w:b/>
          <w:bCs/>
        </w:rPr>
      </w:r>
    </w:p>
    <w:p w14:paraId="60E61F4B">
      <w:pPr>
        <w:pStyle w:val="1048"/>
        <w:suppressLineNumbers w:val="false"/>
        <w:pBdr/>
        <w:spacing w:line="300" w:lineRule="auto"/>
        <w:ind w:firstLine="0"/>
        <w:rPr/>
      </w:pPr>
      <w:r>
        <w:rPr>
          <w:highlight w:val="none"/>
        </w:rPr>
        <w:t xml:space="preserve">The repository also contains a retrieval-backed design pattern in Prototyping_reformat/DatasetAnalysis/Kvasir_VQA_x1/2_modeling/09_rag_blip2_eval/01_rag_blip2_eval.ipynb [77]. That pattern is relevant to the broader dissertation because it anticipates evide</w:t>
      </w:r>
      <w:r>
        <w:rPr>
          <w:highlight w:val="none"/>
        </w:rPr>
        <w:t xml:space="preserve">nce-grounded multimodal reasoning. However, it is not part of the primary Chapter 4 claim.</w:t>
      </w:r>
      <w:r/>
      <w:r>
        <w:rPr>
          <w:highlight w:val="none"/>
        </w:rPr>
      </w:r>
      <w:r/>
      <w:r>
        <w:rPr>
          <w:highlight w:val="none"/>
        </w:rPr>
      </w:r>
    </w:p>
    <w:p w14:paraId="1D270E04">
      <w:pPr>
        <w:pStyle w:val="1048"/>
        <w:suppressLineNumbers w:val="false"/>
        <w:pBdr/>
        <w:spacing w:line="300" w:lineRule="auto"/>
        <w:ind w:firstLine="0"/>
        <w:rPr/>
      </w:pPr>
      <w:r>
        <w:rPr>
          <w:highlight w:val="none"/>
        </w:rPr>
        <w:t xml:space="preserve">This exclusion is intentional. If retrieval support were added at the same time as severity adaptation, any improvement would become harder to attribute. Chapter 4 is therefore designed to answer a narrower question first: can a generative severity model ou</w:t>
      </w:r>
      <w:r>
        <w:rPr>
          <w:highlight w:val="none"/>
        </w:rPr>
        <w:t xml:space="preserve">tperform a strong supervised baseline on the internal task when the output space is tightly controlled? Only after that question is answered does the dissertation move, in Chapter 5, to the separate problem of evidence-grounded query support.</w:t>
      </w:r>
      <w:r/>
    </w:p>
    <w:p w14:paraId="22509F81">
      <w:pPr>
        <w:pStyle w:val="1048"/>
        <w:suppressLineNumbers w:val="false"/>
        <w:pBdr/>
        <w:spacing w:line="300" w:lineRule="auto"/>
        <w:ind w:firstLine="0"/>
        <w:rPr/>
      </w:pPr>
      <w:r>
        <w:rPr>
          <w:highlight w:val="none"/>
        </w:rPr>
      </w:r>
      <w:r/>
    </w:p>
    <w:p w14:paraId="12FCA65B">
      <w:pPr>
        <w:pStyle w:val="1048"/>
        <w:suppressLineNumbers w:val="false"/>
        <w:pBdr/>
        <w:spacing w:line="300" w:lineRule="auto"/>
        <w:ind w:firstLine="0"/>
        <w:rPr>
          <w:b/>
          <w:bCs/>
          <w:sz w:val="28"/>
          <w:szCs w:val="28"/>
        </w:rPr>
      </w:pPr>
      <w:r>
        <w:rPr>
          <w:b/>
          <w:bCs/>
          <w:sz w:val="28"/>
          <w:szCs w:val="28"/>
          <w:highlight w:val="none"/>
        </w:rPr>
        <w:t xml:space="preserve">4.4 Experimental Design and Evaluation Protocol</w:t>
      </w:r>
      <w:r>
        <w:rPr>
          <w:b/>
          <w:bCs/>
          <w:sz w:val="28"/>
          <w:szCs w:val="28"/>
        </w:rPr>
      </w:r>
    </w:p>
    <w:p w14:paraId="2A1AB235">
      <w:pPr>
        <w:pStyle w:val="1048"/>
        <w:suppressLineNumbers w:val="false"/>
        <w:pBdr/>
        <w:spacing w:line="300" w:lineRule="auto"/>
        <w:ind w:firstLine="0"/>
        <w:rPr/>
      </w:pPr>
      <w:r>
        <w:rPr>
          <w:highlight w:val="none"/>
        </w:rPr>
        <w:t xml:space="preserve">The experimental design is structured to distinguish genuine task learning from output-format artifacts. Because the proposed method sits between classification and generation, the evaluation protocol must measure both predictive quality and output controll</w:t>
      </w:r>
      <w:r>
        <w:rPr>
          <w:highlight w:val="none"/>
        </w:rPr>
        <w:t xml:space="preserve">ability.</w:t>
      </w:r>
      <w:r/>
      <w:r>
        <w:rPr>
          <w:highlight w:val="none"/>
        </w:rPr>
      </w:r>
      <w:r/>
      <w:r>
        <w:rPr>
          <w:highlight w:val="none"/>
        </w:rPr>
      </w:r>
    </w:p>
    <w:p w14:paraId="0C79154A">
      <w:pPr>
        <w:pStyle w:val="1048"/>
        <w:suppressLineNumbers w:val="false"/>
        <w:pBdr/>
        <w:spacing w:line="300" w:lineRule="auto"/>
        <w:ind w:firstLine="0"/>
        <w:rPr>
          <w:b/>
          <w:bCs/>
        </w:rPr>
      </w:pPr>
      <w:r>
        <w:rPr>
          <w:b/>
          <w:bCs/>
          <w:highlight w:val="none"/>
        </w:rPr>
        <w:t xml:space="preserve">4.4.1 Task Formulation and Output Modes</w:t>
      </w:r>
      <w:r>
        <w:rPr>
          <w:b/>
          <w:bCs/>
        </w:rPr>
      </w:r>
    </w:p>
    <w:p w14:paraId="657485D4">
      <w:pPr>
        <w:pStyle w:val="1048"/>
        <w:suppressLineNumbers w:val="false"/>
        <w:pBdr/>
        <w:spacing w:line="300" w:lineRule="auto"/>
        <w:ind w:firstLine="0"/>
        <w:rPr/>
      </w:pPr>
      <w:r>
        <w:rPr>
          <w:highlight w:val="none"/>
        </w:rPr>
        <w:t xml:space="preserve">The input to the system is a single colonoscopy frame paired with a fixed severity question prompt. The required output is a Mayo score in the closed set {0,1,2,3}. Although the broader dissertation is interested in richer physician-facing interaction, the </w:t>
      </w:r>
      <w:r>
        <w:rPr>
          <w:highlight w:val="none"/>
        </w:rPr>
        <w:t xml:space="preserve">formal Chapter 4 task remains score prediction. Any optional evidence phrase is therefore treated as a deferred extension rather than a headline result.</w:t>
      </w:r>
      <w:r/>
      <w:r>
        <w:rPr>
          <w:highlight w:val="none"/>
        </w:rPr>
      </w:r>
      <w:r/>
      <w:r>
        <w:rPr>
          <w:highlight w:val="none"/>
        </w:rPr>
      </w:r>
    </w:p>
    <w:p w14:paraId="543C0EAC">
      <w:pPr>
        <w:pStyle w:val="1048"/>
        <w:suppressLineNumbers w:val="false"/>
        <w:pBdr/>
        <w:spacing w:line="300" w:lineRule="auto"/>
        <w:ind w:firstLine="0"/>
        <w:rPr/>
      </w:pPr>
      <w:r>
        <w:rPr>
          <w:highlight w:val="none"/>
        </w:rPr>
        <w:t xml:space="preserve">Two evaluation lanes are used for the LoRA-adapted system:</w:t>
      </w:r>
      <w:r/>
      <w:r>
        <w:rPr>
          <w:highlight w:val="none"/>
        </w:rPr>
      </w:r>
      <w:r/>
      <w:r>
        <w:rPr>
          <w:highlight w:val="none"/>
        </w:rPr>
      </w:r>
    </w:p>
    <w:p w14:paraId="7FBD838D">
      <w:pPr>
        <w:pStyle w:val="1048"/>
        <w:numPr>
          <w:ilvl w:val="0"/>
          <w:numId w:val="77"/>
        </w:numPr>
        <w:suppressLineNumbers w:val="false"/>
        <w:pBdr/>
        <w:spacing w:line="300" w:lineRule="auto"/>
        <w:ind/>
        <w:rPr/>
      </w:pPr>
      <w:r>
        <w:rPr>
          <w:highlight w:val="none"/>
        </w:rPr>
        <w:t xml:space="preserve">mode1 (lora_mode1_train): the model generates text under the constrained prompt format, after which a strict parser extracts SCORE: &lt;0|1|2|3&gt;.</w:t>
      </w:r>
      <w:r/>
    </w:p>
    <w:p w14:paraId="75261ACF">
      <w:pPr>
        <w:pStyle w:val="1048"/>
        <w:numPr>
          <w:ilvl w:val="0"/>
          <w:numId w:val="77"/>
        </w:numPr>
        <w:suppressLineNumbers w:val="false"/>
        <w:pBdr/>
        <w:spacing w:line="300" w:lineRule="auto"/>
        <w:ind/>
        <w:rPr/>
      </w:pPr>
      <w:r>
        <w:rPr>
          <w:highlight w:val="none"/>
        </w:rPr>
        <w:t xml:space="preserve">mode2 (lora_mode2_eval): the score is selected by candidate-label likelihood after the SCORE: prefix using a sequence_logprob strategy, without relying on free-text parsing.</w:t>
      </w:r>
      <w:r/>
    </w:p>
    <w:p w14:paraId="2ED61A48">
      <w:pPr>
        <w:pStyle w:val="1048"/>
        <w:suppressLineNumbers w:val="false"/>
        <w:pBdr/>
        <w:spacing w:line="300" w:lineRule="auto"/>
        <w:ind w:firstLine="0"/>
        <w:rPr/>
      </w:pPr>
      <w:r>
        <w:rPr>
          <w:highlight w:val="none"/>
        </w:rPr>
        <w:t xml:space="preserve">These two lanes serve different purposes. mode1 is the primary generative lane because it preserves a natural generation pathway while still enforcing explicit output control. mode2 is a controlled ablation that removes free-text parsing and reduces the tas</w:t>
      </w:r>
      <w:r>
        <w:rPr>
          <w:highlight w:val="none"/>
        </w:rPr>
        <w:t xml:space="preserve">k to likelihood-based label selection. If mode2 were to match or exceed mode1, the implication would be that free-text generation is unnecessary. If mode2 fails, the implication is that the observed benefit comes from the adapted generation process rather t</w:t>
      </w:r>
      <w:r>
        <w:rPr>
          <w:highlight w:val="none"/>
        </w:rPr>
        <w:t xml:space="preserve">han from a trivial label-probability shortcut.</w:t>
      </w:r>
      <w:r/>
    </w:p>
    <w:p w14:paraId="326E43D3">
      <w:pPr>
        <w:pStyle w:val="1048"/>
        <w:suppressLineNumbers w:val="false"/>
        <w:pBdr/>
        <w:spacing w:line="300" w:lineRule="auto"/>
        <w:ind w:firstLine="0"/>
        <w:rPr/>
      </w:pPr>
      <w:r>
        <w:rPr>
          <w:highlight w:val="none"/>
        </w:rPr>
      </w:r>
      <w:r/>
    </w:p>
    <w:p w14:paraId="4C4A45A1">
      <w:pPr>
        <w:pStyle w:val="1048"/>
        <w:suppressLineNumbers w:val="false"/>
        <w:pBdr/>
        <w:spacing w:line="300" w:lineRule="auto"/>
        <w:ind w:firstLine="0"/>
        <w:rPr>
          <w:b/>
          <w:bCs/>
        </w:rPr>
      </w:pPr>
      <w:r>
        <w:rPr>
          <w:b/>
          <w:bCs/>
          <w:highlight w:val="none"/>
        </w:rPr>
        <w:t xml:space="preserve">4.4.2 Metric Bundle and Clinical Interpretation</w:t>
      </w:r>
      <w:r>
        <w:rPr>
          <w:b/>
          <w:bCs/>
        </w:rPr>
      </w:r>
    </w:p>
    <w:p w14:paraId="66A636CA">
      <w:pPr>
        <w:pStyle w:val="1048"/>
        <w:suppressLineNumbers w:val="false"/>
        <w:pBdr/>
        <w:spacing w:line="300" w:lineRule="auto"/>
        <w:ind w:firstLine="0"/>
        <w:rPr/>
      </w:pPr>
      <w:r>
        <w:rPr>
          <w:highlight w:val="none"/>
        </w:rPr>
        <w:t xml:space="preserve">No single metric is sufficient for this task. Chapter 4 therefore evaluates each lane using a bundle of complementary measures.</w:t>
      </w:r>
      <w:r/>
      <w:r>
        <w:rPr>
          <w:highlight w:val="none"/>
        </w:rPr>
      </w:r>
      <w:r>
        <w:rPr>
          <w:highlight w:val="none"/>
        </w:rPr>
      </w:r>
      <w:r>
        <w:rPr>
          <w:highlight w:val="none"/>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5757E05E">
            <w:pPr>
              <w:pStyle w:val="1048"/>
              <w:suppressLineNumbers w:val="false"/>
              <w:pBdr/>
              <w:spacing w:line="300" w:lineRule="auto"/>
              <w:ind/>
              <w:rPr/>
            </w:pPr>
            <w:r/>
            <w:r/>
          </w:p>
        </w:tc>
        <w:tc>
          <w:tcPr>
            <w:tcBorders/>
            <w:tcW w:w="4320" w:type="dxa"/>
            <w:textDirection w:val="lrTb"/>
            <w:noWrap w:val="false"/>
          </w:tcPr>
          <w:p w14:paraId="32E02326">
            <w:pPr>
              <w:pStyle w:val="1048"/>
              <w:suppressLineNumbers w:val="false"/>
              <w:pBdr/>
              <w:spacing w:line="300" w:lineRule="auto"/>
              <w:ind/>
              <w:rPr/>
            </w:pPr>
            <w:r/>
            <w:r/>
          </w:p>
        </w:tc>
      </w:tr>
      <w:tr>
        <w:trPr/>
        <w:tc>
          <w:tcPr>
            <w:tcBorders/>
            <w:tcW w:w="4320" w:type="dxa"/>
            <w:textDirection w:val="lrTb"/>
            <w:noWrap w:val="false"/>
          </w:tcPr>
          <w:p w14:paraId="0EC1E3D6">
            <w:pPr>
              <w:pStyle w:val="1048"/>
              <w:suppressLineNumbers w:val="false"/>
              <w:pBdr/>
              <w:spacing w:line="300" w:lineRule="auto"/>
              <w:ind/>
              <w:rPr/>
            </w:pPr>
            <w:r/>
            <w:r/>
          </w:p>
        </w:tc>
        <w:tc>
          <w:tcPr>
            <w:tcBorders/>
            <w:tcW w:w="4320" w:type="dxa"/>
            <w:textDirection w:val="lrTb"/>
            <w:noWrap w:val="false"/>
          </w:tcPr>
          <w:p w14:paraId="231CF68A">
            <w:pPr>
              <w:pStyle w:val="1048"/>
              <w:suppressLineNumbers w:val="false"/>
              <w:pBdr/>
              <w:spacing w:line="300" w:lineRule="auto"/>
              <w:ind/>
              <w:rPr/>
            </w:pPr>
            <w:r/>
            <w:r/>
          </w:p>
        </w:tc>
      </w:tr>
      <w:tr>
        <w:trPr/>
        <w:tc>
          <w:tcPr>
            <w:tcBorders/>
            <w:tcW w:w="4320" w:type="dxa"/>
            <w:textDirection w:val="lrTb"/>
            <w:noWrap w:val="false"/>
          </w:tcPr>
          <w:p w14:paraId="48D54D74">
            <w:pPr>
              <w:pStyle w:val="1048"/>
              <w:suppressLineNumbers w:val="false"/>
              <w:pBdr/>
              <w:spacing w:line="300" w:lineRule="auto"/>
              <w:ind/>
              <w:rPr/>
            </w:pPr>
            <w:r/>
            <w:r/>
          </w:p>
        </w:tc>
        <w:tc>
          <w:tcPr>
            <w:tcBorders/>
            <w:tcW w:w="4320" w:type="dxa"/>
            <w:textDirection w:val="lrTb"/>
            <w:noWrap w:val="false"/>
          </w:tcPr>
          <w:p w14:paraId="4D44D14D">
            <w:pPr>
              <w:pStyle w:val="1048"/>
              <w:suppressLineNumbers w:val="false"/>
              <w:pBdr/>
              <w:spacing w:line="300" w:lineRule="auto"/>
              <w:ind/>
              <w:rPr/>
            </w:pPr>
            <w:r/>
            <w:r/>
          </w:p>
        </w:tc>
      </w:tr>
      <w:tr>
        <w:trPr/>
        <w:tc>
          <w:tcPr>
            <w:tcBorders/>
            <w:tcW w:w="4320" w:type="dxa"/>
            <w:textDirection w:val="lrTb"/>
            <w:noWrap w:val="false"/>
          </w:tcPr>
          <w:p w14:paraId="2F9F2554">
            <w:pPr>
              <w:pStyle w:val="1048"/>
              <w:suppressLineNumbers w:val="false"/>
              <w:pBdr/>
              <w:spacing w:line="300" w:lineRule="auto"/>
              <w:ind/>
              <w:rPr/>
            </w:pPr>
            <w:r/>
            <w:r/>
          </w:p>
        </w:tc>
        <w:tc>
          <w:tcPr>
            <w:tcBorders/>
            <w:tcW w:w="4320" w:type="dxa"/>
            <w:textDirection w:val="lrTb"/>
            <w:noWrap w:val="false"/>
          </w:tcPr>
          <w:p w14:paraId="01E59AC6">
            <w:pPr>
              <w:pStyle w:val="1048"/>
              <w:suppressLineNumbers w:val="false"/>
              <w:pBdr/>
              <w:spacing w:line="300" w:lineRule="auto"/>
              <w:ind/>
              <w:rPr/>
            </w:pPr>
            <w:r/>
            <w:r/>
          </w:p>
        </w:tc>
      </w:tr>
      <w:tr>
        <w:trPr/>
        <w:tc>
          <w:tcPr>
            <w:tcBorders/>
            <w:tcW w:w="4320" w:type="dxa"/>
            <w:textDirection w:val="lrTb"/>
            <w:noWrap w:val="false"/>
          </w:tcPr>
          <w:p w14:paraId="3BE8142B">
            <w:pPr>
              <w:pStyle w:val="1048"/>
              <w:suppressLineNumbers w:val="false"/>
              <w:pBdr/>
              <w:spacing w:line="300" w:lineRule="auto"/>
              <w:ind/>
              <w:rPr/>
            </w:pPr>
            <w:r/>
            <w:r/>
          </w:p>
        </w:tc>
        <w:tc>
          <w:tcPr>
            <w:tcBorders/>
            <w:tcW w:w="4320" w:type="dxa"/>
            <w:textDirection w:val="lrTb"/>
            <w:noWrap w:val="false"/>
          </w:tcPr>
          <w:p w14:paraId="39C74B07">
            <w:pPr>
              <w:pStyle w:val="1048"/>
              <w:suppressLineNumbers w:val="false"/>
              <w:pBdr/>
              <w:spacing w:line="300" w:lineRule="auto"/>
              <w:ind/>
              <w:rPr/>
            </w:pPr>
            <w:r/>
            <w:r/>
          </w:p>
        </w:tc>
      </w:tr>
      <w:tr>
        <w:trPr/>
        <w:tc>
          <w:tcPr>
            <w:tcBorders/>
            <w:tcW w:w="4320" w:type="dxa"/>
            <w:textDirection w:val="lrTb"/>
            <w:noWrap w:val="false"/>
          </w:tcPr>
          <w:p w14:paraId="22781640">
            <w:pPr>
              <w:pStyle w:val="1048"/>
              <w:suppressLineNumbers w:val="false"/>
              <w:pBdr/>
              <w:spacing w:line="300" w:lineRule="auto"/>
              <w:ind/>
              <w:rPr/>
            </w:pPr>
            <w:r/>
            <w:r/>
          </w:p>
        </w:tc>
        <w:tc>
          <w:tcPr>
            <w:tcBorders/>
            <w:tcW w:w="4320" w:type="dxa"/>
            <w:textDirection w:val="lrTb"/>
            <w:noWrap w:val="false"/>
          </w:tcPr>
          <w:p w14:paraId="7D832ECC">
            <w:pPr>
              <w:pStyle w:val="1048"/>
              <w:suppressLineNumbers w:val="false"/>
              <w:pBdr/>
              <w:spacing w:line="300" w:lineRule="auto"/>
              <w:ind/>
              <w:rPr/>
            </w:pPr>
            <w:r/>
            <w:r/>
          </w:p>
        </w:tc>
      </w:tr>
      <w:tr>
        <w:trPr/>
        <w:tc>
          <w:tcPr>
            <w:tcBorders/>
            <w:tcW w:w="4320" w:type="dxa"/>
            <w:textDirection w:val="lrTb"/>
            <w:noWrap w:val="false"/>
          </w:tcPr>
          <w:p w14:paraId="534A9F19">
            <w:pPr>
              <w:pStyle w:val="1048"/>
              <w:suppressLineNumbers w:val="false"/>
              <w:pBdr/>
              <w:spacing w:line="300" w:lineRule="auto"/>
              <w:ind/>
              <w:rPr/>
            </w:pPr>
            <w:r/>
            <w:r/>
          </w:p>
        </w:tc>
        <w:tc>
          <w:tcPr>
            <w:tcBorders/>
            <w:tcW w:w="4320" w:type="dxa"/>
            <w:textDirection w:val="lrTb"/>
            <w:noWrap w:val="false"/>
          </w:tcPr>
          <w:p w14:paraId="2B046A0B">
            <w:pPr>
              <w:pStyle w:val="1048"/>
              <w:suppressLineNumbers w:val="false"/>
              <w:pBdr/>
              <w:spacing w:line="300" w:lineRule="auto"/>
              <w:ind/>
              <w:rPr/>
            </w:pPr>
            <w:r/>
            <w:r/>
          </w:p>
        </w:tc>
      </w:tr>
      <w:tr>
        <w:trPr>
          <w:trHeight w:val="640"/>
        </w:trPr>
        <w:tc>
          <w:tcPr>
            <w:tcBorders/>
            <w:tcW w:w="4320" w:type="dxa"/>
            <w:textDirection w:val="lrTb"/>
            <w:noWrap w:val="false"/>
          </w:tcPr>
          <w:p w14:paraId="40178F70">
            <w:pPr>
              <w:pStyle w:val="1048"/>
              <w:suppressLineNumbers w:val="false"/>
              <w:pBdr/>
              <w:spacing w:line="300" w:lineRule="auto"/>
              <w:ind/>
              <w:rPr/>
            </w:pPr>
            <w:r/>
            <w:r/>
          </w:p>
        </w:tc>
        <w:tc>
          <w:tcPr>
            <w:tcBorders/>
            <w:tcW w:w="4320" w:type="dxa"/>
            <w:textDirection w:val="lrTb"/>
            <w:noWrap w:val="false"/>
          </w:tcPr>
          <w:p w14:paraId="514F1B74">
            <w:pPr>
              <w:pStyle w:val="1048"/>
              <w:suppressLineNumbers w:val="false"/>
              <w:pBdr/>
              <w:spacing w:line="300" w:lineRule="auto"/>
              <w:ind w:firstLine="0"/>
              <w:rPr/>
            </w:pPr>
            <w:r/>
            <w:r/>
          </w:p>
        </w:tc>
      </w:tr>
    </w:tbl>
    <w:p w14:paraId="3D1A3372">
      <w:pPr>
        <w:pStyle w:val="1048"/>
        <w:suppressLineNumbers w:val="false"/>
        <w:pBdr/>
        <w:spacing w:line="300" w:lineRule="auto"/>
        <w:ind w:firstLine="720" w:left="2160"/>
        <w:rPr/>
      </w:pPr>
      <w:r/>
      <w:r/>
      <w:r>
        <w:t xml:space="preserve">Table 4.4. Metric Bundle</w:t>
      </w:r>
      <w:r/>
      <w:r/>
    </w:p>
    <w:p w14:paraId="349ABB83">
      <w:pPr>
        <w:pStyle w:val="1048"/>
        <w:suppressLineNumbers w:val="false"/>
        <w:pBdr/>
        <w:spacing w:line="300" w:lineRule="auto"/>
        <w:ind w:firstLine="0"/>
        <w:rPr>
          <w:highlight w:val="none"/>
        </w:rPr>
      </w:pPr>
      <w:r/>
      <w:r/>
      <w:r>
        <w:t xml:space="preserve">QWK is the primary metric because it rewards correct ordinal agreement and penalizes distant disagreements more strongly than adjacent ones. This is better aligned with the severity task than plain accuracy. Macro-F1 and balanced accuracy are also essential</w:t>
      </w:r>
      <w:r>
        <w:t xml:space="preserve"> because the dataset is imbalanced and a model that over-predicts common classes could achieve superficially acceptable accuracy while still failing on clinically important minority severities. Parse rate is included because a generative system cannot be co</w:t>
      </w:r>
      <w:r>
        <w:t xml:space="preserve">nsidered reliable if its textual outputs cannot be converted back into a score consistently.</w:t>
      </w:r>
      <w:r/>
      <w:r/>
    </w:p>
    <w:p w14:paraId="0B4A25E6">
      <w:pPr>
        <w:pStyle w:val="1048"/>
        <w:suppressLineNumbers w:val="false"/>
        <w:pBdr/>
        <w:spacing w:line="300" w:lineRule="auto"/>
        <w:ind w:firstLine="0"/>
        <w:rPr/>
      </w:pPr>
      <w:r/>
      <w:r/>
      <w:r/>
    </w:p>
    <w:p w14:paraId="4A5BFA45">
      <w:pPr>
        <w:pStyle w:val="1048"/>
        <w:suppressLineNumbers w:val="false"/>
        <w:pBdr/>
        <w:spacing w:line="300" w:lineRule="auto"/>
        <w:ind w:firstLine="0"/>
        <w:rPr/>
      </w:pPr>
      <w:r>
        <w:rPr>
          <w:highlight w:val="none"/>
        </w:rPr>
      </w:r>
      <w:r>
        <w:rPr>
          <w:highlight w:val="none"/>
        </w:rPr>
      </w:r>
      <w:r>
        <w:rPr>
          <w:highlight w:val="none"/>
        </w:rPr>
      </w:r>
    </w:p>
    <w:p w14:paraId="6B83ED55">
      <w:pPr>
        <w:pStyle w:val="1048"/>
        <w:suppressLineNumbers w:val="false"/>
        <w:pBdr/>
        <w:spacing w:line="300" w:lineRule="auto"/>
        <w:ind w:firstLine="0"/>
        <w:rPr>
          <w:b/>
          <w:bCs/>
        </w:rPr>
      </w:pPr>
      <w:r>
        <w:rPr>
          <w:b/>
          <w:bCs/>
        </w:rPr>
        <w:t xml:space="preserve">4.4.3 Reporting Policy, Statistical Checks, and Multi-Seed Aggregation</w:t>
      </w:r>
      <w:r>
        <w:rPr>
          <w:b/>
          <w:bCs/>
        </w:rPr>
      </w:r>
    </w:p>
    <w:p w14:paraId="7AE68234">
      <w:pPr>
        <w:pStyle w:val="1048"/>
        <w:suppressLineNumbers w:val="false"/>
        <w:pBdr/>
        <w:spacing w:line="300" w:lineRule="auto"/>
        <w:ind w:firstLine="0"/>
        <w:rPr/>
      </w:pPr>
      <w:r>
        <w:t xml:space="preserve">The chapter reports multi-seed aggregates rather than a single favorable run. This decision is especially important for the generative lane, where optimization variance can otherwise create misleading impressions of robustness. The supervised family is repo</w:t>
      </w:r>
      <w:r>
        <w:t xml:space="preserve">rted with seeds 11/23/42, and the final generative family is reported with seeds 11/23/77.</w:t>
      </w:r>
      <w:r/>
    </w:p>
    <w:p w14:paraId="387A2C52">
      <w:pPr>
        <w:pStyle w:val="1048"/>
        <w:suppressLineNumbers w:val="false"/>
        <w:pBdr/>
        <w:spacing w:line="300" w:lineRule="auto"/>
        <w:ind w:firstLine="0"/>
        <w:rPr/>
      </w:pPr>
      <w:r/>
      <w:r/>
    </w:p>
    <w:p w14:paraId="60A53244">
      <w:pPr>
        <w:pStyle w:val="1048"/>
        <w:suppressLineNumbers w:val="false"/>
        <w:pBdr/>
        <w:spacing w:line="300" w:lineRule="auto"/>
        <w:ind w:firstLine="0"/>
        <w:rPr/>
      </w:pPr>
      <w:r>
        <w:t xml:space="preserve">Confidence intervals are included for the key aggregate metrics, particularly QWK, so that the reader can judge whether apparent improvements are stable or merely within random variation. Where paired predictions are available, paired significance testing s</w:t>
      </w:r>
      <w:r>
        <w:t xml:space="preserve">uch as McNemar's test is used as an additional check. The chapter also includes a seed-level quality-control table for the mode1 generative lane, confirming that all reported runs converged non-degenerately and predicted all four classes.</w:t>
      </w:r>
      <w:r/>
    </w:p>
    <w:p w14:paraId="0D56BAAB">
      <w:pPr>
        <w:pStyle w:val="1048"/>
        <w:suppressLineNumbers w:val="false"/>
        <w:pBdr/>
        <w:spacing w:line="300" w:lineRule="auto"/>
        <w:ind w:firstLine="0"/>
        <w:rPr/>
      </w:pPr>
      <w:r/>
      <w:r/>
    </w:p>
    <w:p w14:paraId="35ADF978">
      <w:pPr>
        <w:pStyle w:val="1048"/>
        <w:suppressLineNumbers w:val="false"/>
        <w:pBdr/>
        <w:spacing w:line="300" w:lineRule="auto"/>
        <w:ind w:firstLine="0"/>
        <w:rPr/>
      </w:pPr>
      <w:r>
        <w:t xml:space="preserve">This reporting policy reflects the evidential standard of the dissertation. The goal is not to maximize a single number under flexible conditions. The goal is to determine whether the proposed modeling strategy produces a stable, reproducible, and clinicall</w:t>
      </w:r>
      <w:r>
        <w:t xml:space="preserve">y interpretable improvement over the supervised anchor.</w:t>
      </w:r>
      <w:r/>
      <w:r/>
      <w:r/>
      <w:r/>
    </w:p>
    <w:p w14:paraId="23D13945">
      <w:pPr>
        <w:pStyle w:val="1048"/>
        <w:suppressLineNumbers w:val="false"/>
        <w:pBdr/>
        <w:spacing w:line="300" w:lineRule="auto"/>
        <w:ind w:firstLine="0"/>
        <w:rPr/>
      </w:pPr>
      <w:r/>
      <w:r/>
      <w:r/>
    </w:p>
    <w:p w14:paraId="73513218">
      <w:pPr>
        <w:pStyle w:val="1048"/>
        <w:suppressLineNumbers w:val="false"/>
        <w:pBdr/>
        <w:spacing w:line="300" w:lineRule="auto"/>
        <w:ind w:firstLine="0"/>
        <w:rPr>
          <w:b/>
          <w:bCs/>
        </w:rPr>
      </w:pPr>
      <w:r>
        <w:rPr>
          <w:b/>
          <w:bCs/>
        </w:rPr>
        <w:t xml:space="preserve">4.4.4 Final Training Configuration Used for Reporting</w:t>
      </w:r>
      <w:r>
        <w:rPr>
          <w:b/>
          <w:bCs/>
        </w:rPr>
      </w:r>
    </w:p>
    <w:p w14:paraId="4574E8A6">
      <w:pPr>
        <w:pStyle w:val="1048"/>
        <w:suppressLineNumbers w:val="false"/>
        <w:pBdr/>
        <w:spacing w:line="300" w:lineRule="auto"/>
        <w:ind w:firstLine="0"/>
        <w:rPr>
          <w:highlight w:val="none"/>
          <w:lang w:val="en-US"/>
        </w:rPr>
      </w:pPr>
      <w:r>
        <w:t xml:space="preserve">The official configurations used in the chapter are compiled from the persisted reporting artifacts in Prototyping_reformat/DatasetAnalysis/LIMUC/4_reporting/out/ [78], specifically the multi-seed summaries for Pass 5 and Pass 6</w:t>
      </w:r>
      <w:r/>
      <w:r/>
      <w:r>
        <w:rPr>
          <w:lang w:val="en-US"/>
        </w:rPr>
        <w:t xml:space="preserve">.</w:t>
      </w:r>
      <w:r/>
    </w:p>
    <w:p w14:paraId="3D09D06E">
      <w:pPr>
        <w:pStyle w:val="1048"/>
        <w:suppressLineNumbers w:val="false"/>
        <w:pBdr/>
        <w:spacing w:line="300" w:lineRule="auto"/>
        <w:ind w:firstLine="0"/>
        <w:rPr/>
      </w:pPr>
      <w:r/>
      <w:r/>
      <w:r/>
    </w:p>
    <w:p w14:paraId="3CAA1F19">
      <w:pPr>
        <w:pStyle w:val="1048"/>
        <w:suppressLineNumbers w:val="false"/>
        <w:pBdr/>
        <w:spacing w:line="300" w:lineRule="auto"/>
        <w:ind w:firstLine="0"/>
        <w:rPr/>
      </w:pPr>
      <w:r/>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13C6AC1">
            <w:pPr>
              <w:pStyle w:val="1048"/>
              <w:suppressLineNumbers w:val="false"/>
              <w:pBdr/>
              <w:spacing w:line="300" w:lineRule="auto"/>
              <w:ind/>
              <w:rPr>
                <w:highlight w:val="none"/>
                <w:lang w:val="en-US"/>
              </w:rPr>
            </w:pPr>
            <w:r>
              <w:rPr>
                <w:highlight w:val="none"/>
                <w:lang w:val="en-US" w:bidi="en-US"/>
              </w:rPr>
            </w:r>
            <w:r>
              <w:rPr>
                <w:highlight w:val="none"/>
                <w:lang w:val="en-US"/>
              </w:rPr>
            </w:r>
          </w:p>
        </w:tc>
        <w:tc>
          <w:tcPr>
            <w:tcBorders/>
            <w:tcW w:w="4320" w:type="dxa"/>
            <w:textDirection w:val="lrTb"/>
            <w:noWrap w:val="false"/>
          </w:tcPr>
          <w:p w14:paraId="5332881D">
            <w:pPr>
              <w:pStyle w:val="1048"/>
              <w:suppressLineNumbers w:val="false"/>
              <w:pBdr/>
              <w:spacing w:line="300" w:lineRule="auto"/>
              <w:ind/>
              <w:rPr>
                <w:highlight w:val="none"/>
                <w:lang w:val="en-US"/>
              </w:rPr>
            </w:pPr>
            <w:r>
              <w:rPr>
                <w:highlight w:val="none"/>
                <w:lang w:val="en-US" w:bidi="en-US"/>
              </w:rPr>
            </w:r>
            <w:r>
              <w:rPr>
                <w:highlight w:val="none"/>
                <w:lang w:val="en-US"/>
              </w:rPr>
            </w:r>
          </w:p>
        </w:tc>
      </w:tr>
      <w:tr>
        <w:trPr/>
        <w:tc>
          <w:tcPr>
            <w:tcBorders/>
            <w:tcW w:w="4320" w:type="dxa"/>
            <w:textDirection w:val="lrTb"/>
            <w:noWrap w:val="false"/>
          </w:tcPr>
          <w:p w14:paraId="13936743">
            <w:pPr>
              <w:pStyle w:val="1048"/>
              <w:suppressLineNumbers w:val="false"/>
              <w:pBdr/>
              <w:spacing w:line="300" w:lineRule="auto"/>
              <w:ind/>
              <w:rPr>
                <w:highlight w:val="none"/>
                <w:lang w:val="en-US"/>
              </w:rPr>
            </w:pPr>
            <w:r>
              <w:rPr>
                <w:highlight w:val="none"/>
                <w:lang w:val="en-US" w:bidi="en-US"/>
              </w:rPr>
            </w:r>
            <w:r>
              <w:rPr>
                <w:highlight w:val="none"/>
                <w:lang w:val="en-US"/>
              </w:rPr>
            </w:r>
          </w:p>
        </w:tc>
        <w:tc>
          <w:tcPr>
            <w:tcBorders/>
            <w:tcW w:w="4320" w:type="dxa"/>
            <w:textDirection w:val="lrTb"/>
            <w:noWrap w:val="false"/>
          </w:tcPr>
          <w:p w14:paraId="22D526C4">
            <w:pPr>
              <w:pStyle w:val="1048"/>
              <w:suppressLineNumbers w:val="false"/>
              <w:pBdr/>
              <w:spacing w:line="300" w:lineRule="auto"/>
              <w:ind/>
              <w:rPr>
                <w:highlight w:val="none"/>
                <w:lang w:val="en-US"/>
              </w:rPr>
            </w:pPr>
            <w:r>
              <w:rPr>
                <w:highlight w:val="none"/>
                <w:lang w:val="en-US" w:bidi="en-US"/>
              </w:rPr>
            </w:r>
            <w:r>
              <w:rPr>
                <w:highlight w:val="none"/>
                <w:lang w:val="en-US"/>
              </w:rPr>
            </w:r>
          </w:p>
        </w:tc>
      </w:tr>
      <w:tr>
        <w:trPr/>
        <w:tc>
          <w:tcPr>
            <w:tcBorders/>
            <w:tcW w:w="4320" w:type="dxa"/>
            <w:textDirection w:val="lrTb"/>
            <w:noWrap w:val="false"/>
          </w:tcPr>
          <w:p w14:paraId="676983AC">
            <w:pPr>
              <w:pStyle w:val="1048"/>
              <w:suppressLineNumbers w:val="false"/>
              <w:pBdr/>
              <w:spacing w:line="300" w:lineRule="auto"/>
              <w:ind/>
              <w:rPr>
                <w:highlight w:val="none"/>
                <w:lang w:val="en-US"/>
              </w:rPr>
            </w:pPr>
            <w:r>
              <w:rPr>
                <w:highlight w:val="none"/>
                <w:lang w:val="en-US" w:bidi="en-US"/>
              </w:rPr>
            </w:r>
            <w:r>
              <w:rPr>
                <w:highlight w:val="none"/>
                <w:lang w:val="en-US"/>
              </w:rPr>
            </w:r>
          </w:p>
        </w:tc>
        <w:tc>
          <w:tcPr>
            <w:tcBorders/>
            <w:tcW w:w="4320" w:type="dxa"/>
            <w:textDirection w:val="lrTb"/>
            <w:noWrap w:val="false"/>
          </w:tcPr>
          <w:p w14:paraId="7A52AF7F">
            <w:pPr>
              <w:pStyle w:val="1048"/>
              <w:suppressLineNumbers w:val="false"/>
              <w:pBdr/>
              <w:spacing w:line="300" w:lineRule="auto"/>
              <w:ind/>
              <w:rPr>
                <w:highlight w:val="none"/>
                <w:lang w:val="en-US"/>
              </w:rPr>
            </w:pPr>
            <w:r>
              <w:rPr>
                <w:highlight w:val="none"/>
                <w:lang w:val="en-US" w:bidi="en-US"/>
              </w:rPr>
            </w:r>
            <w:r>
              <w:rPr>
                <w:highlight w:val="none"/>
                <w:lang w:val="en-US"/>
              </w:rPr>
            </w:r>
          </w:p>
        </w:tc>
      </w:tr>
    </w:tbl>
    <w:p w14:paraId="0D126694">
      <w:pPr>
        <w:pStyle w:val="1048"/>
        <w:suppressLineNumbers w:val="false"/>
        <w:pBdr/>
        <w:spacing w:line="300" w:lineRule="auto"/>
        <w:ind w:firstLine="720"/>
        <w:rPr/>
      </w:pPr>
      <w:r>
        <w:rPr>
          <w:highlight w:val="none"/>
          <w:lang w:val="en-US"/>
        </w:rPr>
      </w:r>
      <w:r>
        <w:rPr>
          <w:highlight w:val="none"/>
          <w:lang w:val="en-US"/>
        </w:rPr>
        <w:t xml:space="preserve">Table 4.5. Final Configuration Summary for Reported Results</w:t>
      </w:r>
      <w:r>
        <w:rPr>
          <w:highlight w:val="none"/>
          <w:lang w:val="en-US"/>
        </w:rPr>
      </w:r>
      <w:r>
        <w:rPr>
          <w:highlight w:val="none"/>
          <w:lang w:val="en-US"/>
        </w:rPr>
      </w:r>
    </w:p>
    <w:p w14:paraId="54AA934B">
      <w:pPr>
        <w:pStyle w:val="1048"/>
        <w:suppressLineNumbers w:val="false"/>
        <w:pBdr/>
        <w:spacing w:line="300" w:lineRule="auto"/>
        <w:ind w:firstLine="0"/>
        <w:rPr/>
      </w:pPr>
      <w:r/>
      <w:r/>
      <w:r/>
    </w:p>
    <w:p w14:paraId="7060072D">
      <w:pPr>
        <w:pStyle w:val="1048"/>
        <w:suppressLineNumbers w:val="false"/>
        <w:pBdr/>
        <w:spacing w:line="300" w:lineRule="auto"/>
        <w:ind w:firstLine="0"/>
        <w:rPr>
          <w:highlight w:val="none"/>
        </w:rPr>
      </w:pPr>
      <w:r/>
      <w:r>
        <w:t xml:space="preserve">The asymmetry between the supervised and generative configurations is expected rather than problematic. The models belong to different families and have different optimization constraints. The important point is not that they use identical hyperparameters, </w:t>
      </w:r>
      <w:r>
        <w:t xml:space="preserve">but that each family is trained under a reasonable and fixed protocol, and that the final comparison is based on the resulting multi-seed aggregates rather than on cherry-picked exceptions.</w:t>
      </w:r>
      <w:r/>
      <w:r/>
    </w:p>
    <w:p w14:paraId="10AF7586">
      <w:pPr>
        <w:pStyle w:val="1048"/>
        <w:suppressLineNumbers w:val="false"/>
        <w:pBdr/>
        <w:spacing w:line="300" w:lineRule="auto"/>
        <w:ind w:firstLine="0"/>
        <w:rPr/>
      </w:pPr>
      <w:r/>
      <w:r/>
      <w:r/>
    </w:p>
    <w:p w14:paraId="6F57CF7E">
      <w:pPr>
        <w:pStyle w:val="1048"/>
        <w:suppressLineNumbers w:val="false"/>
        <w:pBdr/>
        <w:spacing w:line="300" w:lineRule="auto"/>
        <w:ind w:firstLine="0"/>
        <w:rPr>
          <w:b/>
          <w:bCs/>
          <w:sz w:val="28"/>
          <w:szCs w:val="28"/>
        </w:rPr>
      </w:pPr>
      <w:r>
        <w:rPr>
          <w:b/>
          <w:bCs/>
          <w:sz w:val="28"/>
          <w:szCs w:val="28"/>
        </w:rPr>
        <w:t xml:space="preserve">4.5 Results</w:t>
      </w:r>
      <w:r>
        <w:rPr>
          <w:b/>
          <w:bCs/>
          <w:sz w:val="28"/>
          <w:szCs w:val="28"/>
        </w:rPr>
      </w:r>
    </w:p>
    <w:p w14:paraId="2101321D">
      <w:pPr>
        <w:pStyle w:val="1048"/>
        <w:suppressLineNumbers w:val="false"/>
        <w:pBdr/>
        <w:spacing w:line="300" w:lineRule="auto"/>
        <w:ind w:firstLine="0"/>
        <w:rPr/>
      </w:pPr>
      <w:r>
        <w:t xml:space="preserve">All reported values in this section are compiled from the persisted LIMUC reporting outputs under Prototyping_reformat/DatasetAnalysis/LIMUC/4_reporting/out/ [78] and the synchronized chapter tables under Thesis/markdown/figures/ch4_representations/ [79]. T</w:t>
      </w:r>
      <w:r>
        <w:t xml:space="preserve">he chapter interpretation below is restricted to those fixed results.</w:t>
      </w:r>
      <w:r/>
    </w:p>
    <w:p w14:paraId="7390D47B">
      <w:pPr>
        <w:pStyle w:val="1048"/>
        <w:suppressLineNumbers w:val="false"/>
        <w:pBdr/>
        <w:spacing w:line="300" w:lineRule="auto"/>
        <w:ind w:firstLine="0"/>
        <w:rPr/>
      </w:pPr>
      <w:r/>
      <w:r/>
    </w:p>
    <w:p w14:paraId="26BCBBE8">
      <w:pPr>
        <w:pStyle w:val="1048"/>
        <w:suppressLineNumbers w:val="false"/>
        <w:pBdr/>
        <w:spacing w:line="300" w:lineRule="auto"/>
        <w:ind w:firstLine="0"/>
        <w:rPr>
          <w:b/>
          <w:bCs/>
        </w:rPr>
      </w:pPr>
      <w:r>
        <w:rPr>
          <w:b/>
          <w:bCs/>
        </w:rPr>
        <w:t xml:space="preserve">4.5.1 Internal Multi-Seed Comparison on LIMUC</w:t>
      </w:r>
      <w:r>
        <w:rPr>
          <w:b/>
          <w:bCs/>
        </w:rPr>
      </w:r>
    </w:p>
    <w:p w14:paraId="40980E7D">
      <w:pPr>
        <w:pStyle w:val="1048"/>
        <w:suppressLineNumbers w:val="false"/>
        <w:pBdr/>
        <w:spacing w:line="300" w:lineRule="auto"/>
        <w:ind w:firstLine="0"/>
        <w:rPr/>
      </w:pPr>
      <w:r>
        <w:t xml:space="preserve">The main result of Chapter 4 is that the LoRA-adapted generative lane (mode1) outperforms the official supervised baseline on the internal LIMUC test set across every headline metric that matters for this task.</w:t>
      </w:r>
      <w:r/>
      <w:r/>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6663B42E">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295B5678">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2D9D50C5">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67D219C6">
            <w:pPr>
              <w:pStyle w:val="1048"/>
              <w:suppressLineNumbers w:val="false"/>
              <w:pBdr/>
              <w:spacing w:line="300" w:lineRule="auto"/>
              <w:ind/>
              <w:rPr>
                <w:highlight w:val="none"/>
              </w:rPr>
            </w:pPr>
            <w:r>
              <w:rPr>
                <w:highlight w:val="none"/>
              </w:rPr>
            </w:r>
            <w:r>
              <w:rPr>
                <w:highlight w:val="none"/>
              </w:rPr>
            </w:r>
          </w:p>
        </w:tc>
      </w:tr>
      <w:tr>
        <w:trPr/>
        <w:tc>
          <w:tcPr>
            <w:tcBorders/>
            <w:tcW w:w="2160" w:type="dxa"/>
            <w:textDirection w:val="lrTb"/>
            <w:noWrap w:val="false"/>
          </w:tcPr>
          <w:p w14:paraId="73936873">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442BA5A0">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04EB3F66">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3F45C3FF">
            <w:pPr>
              <w:pStyle w:val="1048"/>
              <w:suppressLineNumbers w:val="false"/>
              <w:pBdr/>
              <w:spacing w:line="300" w:lineRule="auto"/>
              <w:ind/>
              <w:rPr>
                <w:highlight w:val="none"/>
              </w:rPr>
            </w:pPr>
            <w:r>
              <w:rPr>
                <w:highlight w:val="none"/>
              </w:rPr>
            </w:r>
            <w:r>
              <w:rPr>
                <w:highlight w:val="none"/>
              </w:rPr>
            </w:r>
          </w:p>
        </w:tc>
      </w:tr>
      <w:tr>
        <w:trPr/>
        <w:tc>
          <w:tcPr>
            <w:tcBorders/>
            <w:tcW w:w="2160" w:type="dxa"/>
            <w:textDirection w:val="lrTb"/>
            <w:noWrap w:val="false"/>
          </w:tcPr>
          <w:p w14:paraId="010E1175">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2119ED3E">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1FEB137F">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340FEB64">
            <w:pPr>
              <w:pStyle w:val="1048"/>
              <w:suppressLineNumbers w:val="false"/>
              <w:pBdr/>
              <w:spacing w:line="300" w:lineRule="auto"/>
              <w:ind/>
              <w:rPr>
                <w:highlight w:val="none"/>
              </w:rPr>
            </w:pPr>
            <w:r>
              <w:rPr>
                <w:highlight w:val="none"/>
              </w:rPr>
            </w:r>
            <w:r>
              <w:rPr>
                <w:highlight w:val="none"/>
              </w:rPr>
            </w:r>
          </w:p>
        </w:tc>
      </w:tr>
      <w:tr>
        <w:trPr/>
        <w:tc>
          <w:tcPr>
            <w:tcBorders/>
            <w:tcW w:w="2160" w:type="dxa"/>
            <w:textDirection w:val="lrTb"/>
            <w:noWrap w:val="false"/>
          </w:tcPr>
          <w:p w14:paraId="75C40C72">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3A740DF7">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06037893">
            <w:pPr>
              <w:pStyle w:val="1048"/>
              <w:suppressLineNumbers w:val="false"/>
              <w:pBdr/>
              <w:spacing w:line="300" w:lineRule="auto"/>
              <w:ind/>
              <w:rPr>
                <w:highlight w:val="none"/>
              </w:rPr>
            </w:pPr>
            <w:r>
              <w:rPr>
                <w:highlight w:val="none"/>
              </w:rPr>
            </w:r>
            <w:r>
              <w:rPr>
                <w:highlight w:val="none"/>
              </w:rPr>
            </w:r>
          </w:p>
        </w:tc>
        <w:tc>
          <w:tcPr>
            <w:tcBorders/>
            <w:tcW w:w="2160" w:type="dxa"/>
            <w:textDirection w:val="lrTb"/>
            <w:noWrap w:val="false"/>
          </w:tcPr>
          <w:p w14:paraId="376B4716">
            <w:pPr>
              <w:pStyle w:val="1048"/>
              <w:suppressLineNumbers w:val="false"/>
              <w:pBdr/>
              <w:spacing w:line="300" w:lineRule="auto"/>
              <w:ind/>
              <w:rPr>
                <w:highlight w:val="none"/>
              </w:rPr>
            </w:pPr>
            <w:r>
              <w:rPr>
                <w:highlight w:val="none"/>
              </w:rPr>
            </w:r>
            <w:r>
              <w:rPr>
                <w:highlight w:val="none"/>
              </w:rPr>
            </w:r>
          </w:p>
        </w:tc>
      </w:tr>
    </w:tbl>
    <w:p w14:paraId="6EB932AF">
      <w:pPr>
        <w:pStyle w:val="1048"/>
        <w:suppressLineNumbers w:val="false"/>
        <w:pBdr/>
        <w:spacing w:line="300" w:lineRule="auto"/>
        <w:ind w:firstLine="720" w:left="720"/>
        <w:rPr/>
      </w:pPr>
      <w:r>
        <w:rPr>
          <w:highlight w:val="none"/>
        </w:rPr>
      </w:r>
      <w:r>
        <w:rPr>
          <w:highlight w:val="none"/>
        </w:rPr>
      </w:r>
      <w:r>
        <w:rPr>
          <w:highlight w:val="none"/>
        </w:rPr>
        <w:t xml:space="preserve">Table 4.6. Internal Multi-Seed Results on LIMUC</w:t>
      </w:r>
      <w:r>
        <w:rPr>
          <w:highlight w:val="none"/>
        </w:rPr>
      </w:r>
      <w:r>
        <w:rPr>
          <w:highlight w:val="none"/>
        </w:rPr>
      </w:r>
    </w:p>
    <w:p w14:paraId="73E82463">
      <w:pPr>
        <w:pStyle w:val="1048"/>
        <w:suppressLineNumbers w:val="false"/>
        <w:pBdr/>
        <w:spacing w:line="300" w:lineRule="auto"/>
        <w:ind w:firstLine="0"/>
        <w:rPr/>
      </w:pPr>
      <w:r/>
      <w:r/>
      <w:r/>
    </w:p>
    <w:p w14:paraId="3A4DB826">
      <w:pPr>
        <w:pStyle w:val="1048"/>
        <w:suppressLineNumbers w:val="false"/>
        <w:pBdr/>
        <w:spacing w:line="300" w:lineRule="auto"/>
        <w:ind w:firstLine="0"/>
        <w:rPr/>
      </w:pPr>
      <w:r>
        <w:t xml:space="preserve">Relative to the supervised baseline, mode1 improves internal QWK by +0.045007, macro-F1 by +0.060590, balanced accuracy by +0.065385, and accuracy by +0.044286. At the same time, it preserves a parse rate of 1.000000, meaning that every generated answer in </w:t>
      </w:r>
      <w:r>
        <w:t xml:space="preserve">the reported internal evaluation remained convertible to a valid score. This is a critical result because it shows that the proposed method does not trade improved scoring for unstable text output. Instead, it achieves both better ordinal agreement and perf</w:t>
      </w:r>
      <w:r>
        <w:t xml:space="preserve">ect format compliance under the constrained protocol.</w:t>
      </w:r>
      <w:r/>
      <w:r/>
      <w:r/>
      <w:r/>
    </w:p>
    <w:p w14:paraId="7664FC86">
      <w:pPr>
        <w:pStyle w:val="1048"/>
        <w:suppressLineNumbers w:val="false"/>
        <w:pBdr/>
        <w:spacing w:line="300" w:lineRule="auto"/>
        <w:ind w:firstLine="0"/>
        <w:rPr/>
      </w:pPr>
      <w:r>
        <w:t xml:space="preserve">The narrow QWK confidence interval for mode1 also suggests stable multi-seed behavior. This is supported by the seed-level quality-control record, where all three reported runs pass the non-degeneracy checks and each run predicts all four classes. In contra</w:t>
      </w:r>
      <w:r>
        <w:t xml:space="preserve">st, mode2 performs poorly despite also achieving a parse rate of 1.000000. This immediate contrast shows that syntactic validity alone is not sufficient; the model must also preserve meaningful class discrimination.</w:t>
      </w:r>
      <w:r/>
      <w:r/>
      <w:r/>
    </w:p>
    <w:p w14:paraId="0A9B6619">
      <w:pPr>
        <w:pStyle w:val="1048"/>
        <w:suppressLineNumbers w:val="false"/>
        <w:pBdr/>
        <w:spacing w:line="300" w:lineRule="auto"/>
        <w:ind w:firstLine="0"/>
        <w:rPr/>
      </w:pPr>
      <w:r/>
      <w:r/>
      <w:r/>
    </w:p>
    <w:p w14:paraId="260F2FB5">
      <w:pPr>
        <w:pStyle w:val="1048"/>
        <w:suppressLineNumbers w:val="false"/>
        <w:pBdr/>
        <w:spacing w:line="300" w:lineRule="auto"/>
        <w:ind w:firstLine="0"/>
        <w:rPr/>
      </w:pPr>
      <w:r/>
      <w:r/>
      <w:r/>
    </w:p>
    <w:p w14:paraId="275C1417">
      <w:pPr>
        <w:pStyle w:val="1048"/>
        <w:suppressLineNumbers w:val="false"/>
        <w:pBdr/>
        <w:spacing w:line="300" w:lineRule="auto"/>
        <w:ind w:firstLine="0"/>
        <w:rPr/>
      </w:pPr>
      <w:r/>
      <w:r/>
      <w:r/>
    </w:p>
    <w:p w14:paraId="559131A9">
      <w:pPr>
        <w:pStyle w:val="1048"/>
        <w:suppressLineNumbers w:val="false"/>
        <w:pBdr/>
        <w:spacing w:line="300" w:lineRule="auto"/>
        <w:ind w:firstLine="0"/>
        <w:rPr/>
      </w:pPr>
      <w:r/>
      <w:r/>
      <w:r/>
    </w:p>
    <w:p w14:paraId="0CC188FC">
      <w:pPr>
        <w:pStyle w:val="1048"/>
        <w:suppressLineNumbers w:val="false"/>
        <w:pBdr/>
        <w:spacing w:line="300" w:lineRule="auto"/>
        <w:ind w:firstLine="0"/>
        <w:rPr/>
      </w:pPr>
      <w:r/>
      <w:r/>
      <w:r/>
    </w:p>
    <w:p w14:paraId="5319966C">
      <w:pPr>
        <w:pStyle w:val="1048"/>
        <w:suppressLineNumbers w:val="false"/>
        <w:pBdr/>
        <w:spacing w:line="300" w:lineRule="auto"/>
        <w:ind w:firstLine="0"/>
        <w:rPr/>
      </w:pPr>
      <w:r>
        <w:rPr>
          <w:highlight w:val="none"/>
        </w:rPr>
      </w:r>
      <w:r>
        <w:rPr>
          <w:highlight w:val="none"/>
        </w:rPr>
      </w:r>
      <w:r>
        <w:rPr>
          <w:highlight w:val="none"/>
        </w:rPr>
      </w:r>
    </w:p>
    <w:p w14:paraId="6325F197" w14:textId="34188E83">
      <w:pPr>
        <w:pStyle w:val="1048"/>
        <w:suppressLineNumbers w:val="false"/>
        <w:pBdr/>
        <w:spacing w:line="300" w:lineRule="auto"/>
        <w:ind/>
        <w:rPr/>
      </w:pPr>
      <w:r/>
      <w:r/>
    </w:p>
    <w:p w14:paraId="1F3FBC0F" w14:textId="2ED9BEBE">
      <w:pPr>
        <w:pStyle w:val="1048"/>
        <w:suppressLineNumbers w:val="false"/>
        <w:pBdr/>
        <w:spacing w:line="300" w:lineRule="auto"/>
        <w:ind/>
        <w:rPr/>
      </w:pPr>
      <w:r/>
      <w:r/>
    </w:p>
    <w:p w14:paraId="75275F06" w14:textId="4DA30691">
      <w:pPr>
        <w:pStyle w:val="1056"/>
        <w:suppressLineNumbers w:val="false"/>
        <w:pBdr/>
        <w:spacing w:line="300" w:lineRule="auto"/>
        <w:ind/>
        <w:rPr/>
      </w:pPr>
      <w:r>
        <w:t xml:space="preserve">Bibliography</w:t>
      </w:r>
      <w:r/>
    </w:p>
    <w:p w14:paraId="4B5E8052">
      <w:pPr>
        <w:pStyle w:val="1048"/>
        <w:pBdr/>
        <w:spacing/>
        <w:ind/>
        <w:rPr/>
      </w:pPr>
      <w:r/>
      <w:r/>
    </w:p>
    <w:p w14:paraId="4500694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 Ben Abacha A, Hasan SA, Datla V, et al. 2019. "VQA-Med: Overview of the Medical Visual Question Answering Task at ImageCLEF 2019." CEUR Workshop Proceedings Vol-2380. https://ceur-ws.org/Vol-2380/paper_78.pdf.</w:t>
      </w:r>
      <w:r/>
    </w:p>
    <w:p w14:paraId="111EA5D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 Borgli H, Thambawita V, Smedsrud PH, et al. 2020. "HyperKvasir, a comprehensive multi-class image and video dataset for gastrointestinal endoscopy." Scientific Data. https://doi.org/10.1038/s41597-020-00622-y.</w:t>
      </w:r>
      <w:r/>
    </w:p>
    <w:p w14:paraId="48B606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 Borgli H, Thambawita V, Smedsrud PH, et al. 2020. "HyperKvasir, a comprehensive multi-class image and video dataset for gastrointestinal endoscopy." Scientific Data. https://www.nature.com/articles/s41597-020-00622-y.</w:t>
      </w:r>
      <w:r/>
    </w:p>
    <w:p w14:paraId="38EA3BE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4. Dong W, Shen S, Han Y, et al. 2025. "Generative Models in Medical Visual Question Answering: A Survey." Applied Sciences. </w:t>
      </w:r>
      <w:hyperlink r:id="rId22" w:tooltip="https://doi.org/10.3390/app15062983." w:history="1">
        <w:r>
          <w:rPr>
            <w:rStyle w:val="1063"/>
            <w:rFonts w:ascii="Arial" w:hAnsi="Arial" w:cs="Arial"/>
            <w:sz w:val="22"/>
            <w:szCs w:val="22"/>
            <w:highlight w:val="none"/>
          </w:rPr>
          <w:t xml:space="preserve">https://doi.org/10.3390/app15062983.</w:t>
        </w:r>
        <w:r>
          <w:rPr>
            <w:rStyle w:val="1063"/>
          </w:rPr>
        </w:r>
        <w:r>
          <w:rPr>
            <w:rStyle w:val="1063"/>
            <w:rFonts w:ascii="Arial" w:hAnsi="Arial" w:cs="Arial"/>
            <w:sz w:val="22"/>
            <w:szCs w:val="22"/>
            <w:highlight w:val="none"/>
          </w:rPr>
        </w:r>
        <w:r>
          <w:rPr>
            <w:rStyle w:val="1063"/>
            <w:rFonts w:ascii="Arial" w:hAnsi="Arial" w:cs="Arial"/>
            <w:sz w:val="22"/>
            <w:szCs w:val="22"/>
            <w:highlight w:val="none"/>
          </w:rPr>
        </w:r>
        <w:r>
          <w:rPr>
            <w:rStyle w:val="1063"/>
            <w:rFonts w:ascii="Arial" w:hAnsi="Arial" w:cs="Arial"/>
            <w:sz w:val="22"/>
            <w:szCs w:val="22"/>
            <w:highlight w:val="none"/>
          </w:rPr>
        </w:r>
      </w:hyperlink>
      <w:r>
        <w:rPr>
          <w:rFonts w:ascii="Arial" w:hAnsi="Arial" w:cs="Arial"/>
          <w:sz w:val="22"/>
          <w:szCs w:val="22"/>
          <w:highlight w:val="none"/>
        </w:rPr>
      </w:r>
      <w:r>
        <w:rPr>
          <w:rFonts w:ascii="Arial" w:hAnsi="Arial" w:cs="Arial"/>
          <w:sz w:val="22"/>
          <w:szCs w:val="22"/>
          <w:highlight w:val="none"/>
        </w:rPr>
      </w:r>
    </w:p>
    <w:p w14:paraId="35841A2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5. Gautam S, Riegler MA, Halvorsen P. 2025. "Kvasir-VQA-x1: A Multimodal Dataset for Medical Reasoning and Robust MedVQA in Gastrointestinal Endoscopy." arXiv:2506.09958. https://arxiv.org/abs/2506.09958.</w:t>
      </w:r>
      <w:r>
        <w:rPr>
          <w:rFonts w:ascii="Arial" w:hAnsi="Arial" w:cs="Arial"/>
          <w:sz w:val="22"/>
          <w:szCs w:val="22"/>
          <w:highlight w:val="none"/>
        </w:rPr>
      </w:r>
      <w:r>
        <w:rPr>
          <w:rFonts w:ascii="Arial" w:hAnsi="Arial" w:cs="Arial"/>
          <w:sz w:val="22"/>
          <w:szCs w:val="22"/>
          <w:highlight w:val="none"/>
        </w:rPr>
      </w:r>
    </w:p>
    <w:p w14:paraId="36433FE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 Gautam S, Riegler MOD, Sivertsen KD, Halvorsen P. 2025. "CLoE: Improving Endoscopic Severity Rating Through Curriculum Learning in Vision Language Models." arXiv:2508.13280. https://arxiv.org/abs/2508.13280.</w:t>
      </w:r>
      <w:r/>
    </w:p>
    <w:p w14:paraId="1C9233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 Gautam S, Storas A, Midoglu C, et al. 2024. "Kvasir-VQA: A Text-Image Pair GI Tract Dataset." arXiv:2409.01437. https://arxiv.org/abs/2409.01437.</w:t>
      </w:r>
      <w:r/>
    </w:p>
    <w:p w14:paraId="7FA7CAA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 Gautam S, Thambawita V, Riegler M, Halvorsen P, Hicks S. 2025. "Medico 2025: Visual Question Answering for Gastrointestinal Imaging." arXiv:2508.10869. https://arxiv.org/abs/2508.10869.</w:t>
      </w:r>
      <w:r/>
    </w:p>
    <w:p w14:paraId="67C9C60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w:t>
      </w:r>
      <w:r>
        <w:rPr>
          <w:rFonts w:ascii="Arial" w:hAnsi="Arial" w:cs="Arial"/>
          <w:sz w:val="22"/>
          <w:szCs w:val="22"/>
          <w:highlight w:val="none"/>
        </w:rPr>
        <w:t xml:space="preserve">. Hashash JG, Farraye FA, Wang Y, et al. 2024. "Inter- and Intraobserver Variability on Endoscopic Scoring Systems in Crohn's Disease and Ulcerative Colitis: A Systematic Review and Meta-Analysis." Inflammatory Bowel Diseases. https://pubmed.ncbi.nlm.nih.g</w:t>
      </w:r>
      <w:r>
        <w:rPr>
          <w:rFonts w:ascii="Arial" w:hAnsi="Arial" w:cs="Arial"/>
          <w:sz w:val="22"/>
          <w:szCs w:val="22"/>
          <w:highlight w:val="none"/>
        </w:rPr>
        <w:t xml:space="preserve">ov/38547325/.</w:t>
      </w:r>
      <w:r/>
    </w:p>
    <w:p w14:paraId="04058E3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 He X, Zhang Y, Mou L, et al. 2020. "PathVQA: 30000+ Questions for Medical Visual Question Answering." arXiv:2003.10286. https://arxiv.org/abs/2003.10286.</w:t>
      </w:r>
      <w:r/>
    </w:p>
    <w:p w14:paraId="56BFFD6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11. Hicks SA, Strumke I, Thambawita V, et al. 2022. "On evaluation metrics for medical applications of artificial intelligence." Scientific Reports. https://www.nature.com/articles/s41598-022-09954-8.</w:t>
      </w:r>
      <w:r/>
    </w:p>
    <w:p w14:paraId="4BF3693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12. Hu Y, Li T, Lu Q, et al. 2024. "OmniMedVQA: A New Large-Scale Comprehensive Evaluation Benchmark for Medical LVLM." arXiv:2402.09181. https://arxiv.org/abs/2402.09181.</w:t>
      </w:r>
      <w:r/>
    </w:p>
    <w:p w14:paraId="3EE7734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13. Huang X, Wang N, Liu H, Tang X, Zhou Y. 2025. "MedVLSynther: Synthesizing High-Quality Visual Question Answering from Medical Documents with Generator-Verifier LMMs." arXiv:2510.25867. https://arxiv.org/abs/2510.25867.</w:t>
      </w:r>
      <w:r/>
    </w:p>
    <w:p w14:paraId="611CE82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14. ImageCLEF. 2023. "ImageCLEFmed MEDVQA-GI 2023 task page." https://www.imageclef.org/2023/medical/vqa.</w:t>
      </w:r>
      <w:r/>
    </w:p>
    <w:p w14:paraId="7E95A2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15. ImageCLEF. 2024. "ImageCLEFmed VQA 2024 Task Page." https://www.imageclef.org/2024/medical/vqa.</w:t>
      </w:r>
      <w:r/>
    </w:p>
    <w:p w14:paraId="523F0B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16. ImageCLEF. 2025. "ImageCLEFmed MEDVQA 2025 task page." https://www.imageclef.org/2025/medical/vqa.</w:t>
      </w:r>
      <w:r/>
    </w:p>
    <w:p w14:paraId="346928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17. Jiang S, Wang Y, Song S, et al. 2025. "OmniV-Med: Scaling Medical Vision-Language Model for Universal Visual Understanding." arXiv:2504.14692. https://arxiv.org/abs/2504.14692.</w:t>
      </w:r>
      <w:r/>
    </w:p>
    <w:p w14:paraId="79B5CF3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18. Karim AHMR, Uzuner O. 2025. "MasonNLP at MEDIQA-WV 2025: Multimodal Retrieval-Augmented Generation with Large Language Models for Medical VQA." ClinicalNLP. https://aclanthology.org/2025.clinicalnlp-1.10/.</w:t>
      </w:r>
      <w:r/>
    </w:p>
    <w:p w14:paraId="15C90F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19. Lau JYC, Gayen S, Ben Abacha A, et al. 2018. "A dataset of clinically generated visual questions and answers about radiology images." Scientific Data. https://www.nature.com/articles/sdata2018251.</w:t>
      </w:r>
      <w:r/>
    </w:p>
    <w:p w14:paraId="3B15E3A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20. Lee J, Yoon W, Kim S, et al. 2019. "BioBERT: a pre-trained biomedical language representation model for biomedical text mining." arXiv:1901.08746. https://arxiv.org/abs/1901.08746.</w:t>
      </w:r>
      <w:r/>
    </w:p>
    <w:p w14:paraId="79B2E09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21. Li C, Wong C, Zhang S, et al. 2023. "LLaVA-Med: Training a Large Language-and-Vision Assistant for Biomedicine in One Day." arXiv:2306.00890. https://arxiv.org/abs/2306.00890.</w:t>
      </w:r>
      <w:r/>
    </w:p>
    <w:p w14:paraId="4399493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22. Li J, Li D, Savarese S, Hoi SCH. 2023. "BLIP-2: Bootstrapping Language-Image Pre-training with Frozen Image Encoders and Large Language Models." arXiv:2301.12597. https://arxiv.org/abs/2301.12597.</w:t>
      </w:r>
      <w:r/>
    </w:p>
    <w:p w14:paraId="084ED0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23. Li R, Liu L, Xie Q, et al. 2025. "Towards Medical Visual Question Answering with Large Multimodal Models." arXiv:2501.07109. https://arxiv.org/abs/2501.07109.</w:t>
      </w:r>
      <w:r/>
    </w:p>
    <w:p w14:paraId="74BB4C7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w:t>
      </w:r>
      <w:r>
        <w:rPr>
          <w:rFonts w:ascii="Arial" w:hAnsi="Arial" w:cs="Arial"/>
          <w:sz w:val="22"/>
          <w:szCs w:val="22"/>
          <w:highlight w:val="none"/>
        </w:rPr>
        <w:t xml:space="preserve">4. Lim DYZ, Basha A, Ku A, et al. 2025. "Vision-language large learning model, GPT4V, outperforms machine learning and deep learning methods in grading bowel preparation quality in outpatient colonoscopies." BMJ Open Gastroenterology 12:e001496. https://pm</w:t>
      </w:r>
      <w:r>
        <w:rPr>
          <w:rFonts w:ascii="Arial" w:hAnsi="Arial" w:cs="Arial"/>
          <w:sz w:val="22"/>
          <w:szCs w:val="22"/>
          <w:highlight w:val="none"/>
        </w:rPr>
        <w:t xml:space="preserve">c.ncbi.nlm.nih.gov/articles/PMC11911458/.</w:t>
      </w:r>
      <w:r/>
    </w:p>
    <w:p w14:paraId="3F67888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25. Lin S, Kryściński W, Wu D, et al. 2021. "Medical Visual Question Answering: A Survey." arXiv:2111.10056. https://arxiv.org/abs/2111.10056.</w:t>
      </w:r>
      <w:r/>
    </w:p>
    <w:p w14:paraId="5F754C2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26. Lin Z, Zhang D, Tao Q, et al. 2023. "Medical visual question answering: A survey." Artificial Intelligence in Medicine. https://doi.org/10.1016/j.artmed.2023.102611.</w:t>
      </w:r>
      <w:r/>
    </w:p>
    <w:p w14:paraId="011AFEC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27. Liu B, Zhan L, Xu L, et al. 2021. "SLAKE: A semantically-labeled knowledge-enhanced dataset for medical visual question answering." arXiv:2102.09542. https://arxiv.org/abs/2102.09542.</w:t>
      </w:r>
      <w:r/>
    </w:p>
    <w:p w14:paraId="64A91A7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28. Liu H, Li C, Wu Q, Lee YJ. 2023. "Visual Instruction Tuning (LLaVA)." arXiv:2304.08485. https://arxiv.org/abs/2304.08485.</w:t>
      </w:r>
      <w:r/>
    </w:p>
    <w:p w14:paraId="7B1AE5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29. Lu J, Batra D, Parikh D, Lee S. 2019. "ViLBERT: Pretraining Task-Agnostic Visiolinguistic Representations for Vision-and-Language Tasks." arXiv:1908.02265. https://arxiv.org/abs/1908.02265.</w:t>
      </w:r>
      <w:r/>
    </w:p>
    <w:p w14:paraId="1600BB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30. Luo R, Sun L, Xia Y, et al. 2022. "BioGPT: Generative Pre-trained Transformer for Biomedical Text Generation and Mining." arXiv:2210.10341. https://arxiv.org/abs/2210.10341.</w:t>
      </w:r>
      <w:r/>
    </w:p>
    <w:p w14:paraId="202B269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31. MediaEval. 2025. "Medico 2025 task page: VQA with multimodal explanations for GI imaging." https://multimediaeval.github.io/editions/2025/tasks/medico/.</w:t>
      </w:r>
      <w:r/>
    </w:p>
    <w:p w14:paraId="5C6ACA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32. Moor M, Huang Q, Wu S, et al. 2023. "Med-Flamingo: a Multimodal Medical Few-shot Learner." arXiv:2307.15189. https://arxiv.org/abs/2307.15189.</w:t>
      </w:r>
      <w:r/>
    </w:p>
    <w:p w14:paraId="75B797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33. Murino A, Rimondi A. 2023. "Automated Artificial Intelligence Scoring Systems for the Endoscopic Assessment of Ulcerative Colitis: How Far Are We from Clinical Application?" Gastrointestinal Endoscopy. https://doi.org/10.1016/j.gie.2022.10.010.</w:t>
      </w:r>
      <w:r/>
    </w:p>
    <w:p w14:paraId="5305BF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34. Murino A, Rimondi A. 2023. "Automated artificial intelligence scoring systems for the endoscopic assessment of ulcerative colitis: How far are we from clinical application?" Gastrointestinal Endoscopy. https://pubmed.ncbi.nlm.nih.gov/36509572/.</w:t>
      </w:r>
      <w:r/>
    </w:p>
    <w:p w14:paraId="3DF4DD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35. Murtaza N, Munsif S, Cuadros M, et al. 2023. "Overview of ImageCLEFmedical 2023 - Medical Visual Question Answering for Gastrointestinal Tract." CEUR-WS Vol-3497. https://ceur-ws.org/Vol-3497/paper-107.pdf.</w:t>
      </w:r>
      <w:r/>
    </w:p>
    <w:p w14:paraId="4088F35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36. Nguyen H-D, Dang M-A, Le M-T, Le M-T. 2025. "MedXplain-VQA: Multi-Component Explainable Medical Visual Question Answering." arXiv:2510.22803. https://arxiv.org/abs/2510.22803.</w:t>
      </w:r>
      <w:r/>
    </w:p>
    <w:p w14:paraId="0A88FF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w:t>
      </w:r>
      <w:r>
        <w:rPr>
          <w:rFonts w:ascii="Arial" w:hAnsi="Arial" w:cs="Arial"/>
          <w:sz w:val="22"/>
          <w:szCs w:val="22"/>
          <w:highlight w:val="none"/>
        </w:rPr>
        <w:t xml:space="preserve">7. Ozawa T, Ishihara S, Fujishiro M, et al. 2020. "Novel Computer-Aided Diagnosis System for Endoscopic Disease Activity in Patients with Ulcerative Colitis." Gastroenterology 158(8):2150-2157.e3. https://www.gastrojournal.org/article/S0016-5085%2820%29302</w:t>
      </w:r>
      <w:r>
        <w:rPr>
          <w:rFonts w:ascii="Arial" w:hAnsi="Arial" w:cs="Arial"/>
          <w:sz w:val="22"/>
          <w:szCs w:val="22"/>
          <w:highlight w:val="none"/>
        </w:rPr>
        <w:t xml:space="preserve">12-2/fulltext.</w:t>
      </w:r>
      <w:r/>
    </w:p>
    <w:p w14:paraId="2C66D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38. Polat G, Kani HT, Ergenc I, et al. 2022. "Labeled Images for Ulcerative Colitis (LIMUC) Dataset." Zenodo. https://zenodo.org/records/5827695. Secondary resource: https://github.com/wanghaining/ulcerative_colitis.</w:t>
      </w:r>
      <w:r/>
    </w:p>
    <w:p w14:paraId="6E0BE69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39. Radford A, Kim JW, Hallacy C, et al. 2021. "Learning Transferable Visual Models From Natural Language Supervision (CLIP)." arXiv:2103.00020. https://arxiv.org/abs/2103.00020.</w:t>
      </w:r>
      <w:r/>
    </w:p>
    <w:p w14:paraId="4FF0571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40. RAG-VQA-Medical Repository. n.d. "Prototyping_reformat/DatasetAnalysis/HyperKvasir/HyperKvasir.md." Internal repository artifact.</w:t>
      </w:r>
      <w:r/>
    </w:p>
    <w:p w14:paraId="3F6A68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41. RAG-VQA-Medical Repository. n.d. "Prototyping_reformat/DatasetAnalysis/ImageCLEF_MEDVQA_GI_2023/ImageCLEF_MEDVQA_GI_2023.md." Internal repository artifact.</w:t>
      </w:r>
      <w:r/>
    </w:p>
    <w:p w14:paraId="4458D96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42. RAG-VQA-Medical Repository. n.d. "Prototyping_reformat/DatasetAnalysis/Kvasir_SEG/Kvasir_SEG.md." Internal repository artifact.</w:t>
      </w:r>
      <w:r/>
    </w:p>
    <w:p w14:paraId="2352B7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43. RAG-VQA-Medical Repository. n.d. "Prototyping_reformat/DatasetAnalysis/Kvasir_VQA/0_dataset_prep/out/visualizations/answer_type_counts.csv." Internal repository artifact.</w:t>
      </w:r>
      <w:r/>
    </w:p>
    <w:p w14:paraId="0119F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44. RAG-VQA-Medical Repository. n.d. "Prototyping_reformat/DatasetAnalysis/Kvasir_VQA/0_dataset_prep/out/visualizations/qa_by_source.csv." Internal repository artifact.</w:t>
      </w:r>
      <w:r/>
    </w:p>
    <w:p w14:paraId="7DB6E1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45. RAG-VQA-Medical Repository. n.d. "Prototyping_reformat/DatasetAnalysis/Kvasir_VQA/0_dataset_prep/out/visualizations/question_type_counts.csv." Internal repository artifact.</w:t>
      </w:r>
      <w:r/>
    </w:p>
    <w:p w14:paraId="35956C9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46. RAG-VQA-Medical Repository. n.d. "Prototyping_reformat/DatasetAnalysis/Kvasir_VQA/evaluation_comparison/phase3_results/summary_uc_phase3.csv." Internal repository artifact.</w:t>
      </w:r>
      <w:r/>
    </w:p>
    <w:p w14:paraId="1D9D34A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47. RAG-VQA-Medical Repository. n.d. "Prototyping_reformat/DatasetAnalysis/Kvasir_VQA/evaluation_comparison/scenarios/scenarios.yaml." Internal repository artifact.</w:t>
      </w:r>
      <w:r/>
    </w:p>
    <w:p w14:paraId="2F0CF90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48. RAG-VQA-Medical Repository. n.d. "Prototyping_reformat/DatasetAnalysis/Kvasir_VQA/Kvasir_VQA.md." Internal repository artifact.</w:t>
      </w:r>
      <w:r/>
    </w:p>
    <w:p w14:paraId="5DFF12D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49. RAG-VQA-Medical Repository. n.d. "Prototyping_reformat/DatasetAnalysis/Kvasir_VQA_x1/Kvasir_VQA_x1.md." Internal repository artifact.</w:t>
      </w:r>
      <w:r/>
    </w:p>
    <w:p w14:paraId="4A002C7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50. RAG-VQA-Medical Repository. n.d. "Prototyping_reformat/DatasetAnalysis/LIMUC/LIMUC.md." Internal repository artifact.</w:t>
      </w:r>
      <w:r/>
    </w:p>
    <w:p w14:paraId="4A6AD0B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51. Rieff M, Varma M, Rabow O, et al. 2025. "SMMILE: An Expert-Driven Benchmark for Multimodal Medical In-Context Learning." arXiv:2506.21355. https://arxiv.org/abs/2506.21355.</w:t>
      </w:r>
      <w:r/>
    </w:p>
    <w:p w14:paraId="43078E8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52. Safwan I, Shaikh MA, Haaris M, Khan R, Tahir MA. 2025. "Multi-Task Learning for Visually Grounded Reasoning in Gastrointestinal VQA." arXiv:2511.04384. https://arxiv.org/abs/2511.04384.</w:t>
      </w:r>
      <w:r/>
    </w:p>
    <w:p w14:paraId="12129A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53. Sial M, Fatima M, Nawaz K, et al. 2025. "Path-RAG: Knowledge-Based Explainable Medical VQA with Large Language Models." Proceedings of Machine Learning Research 259. https://proceedings.mlr.press/v259/sial25a.html.</w:t>
      </w:r>
      <w:r/>
    </w:p>
    <w:p w14:paraId="4DC49A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54. Simula Datasets. n.d. "Kvasir-VQA dataset page." https://datasets.simula.no/kvasir-vqa/.</w:t>
      </w:r>
      <w:r/>
    </w:p>
    <w:p w14:paraId="35EE6F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55. Simula. 2024. "ImageCLEFmed-MEDVQA-GI-2024 repository." https://github.com/simula/ImageCLEFmed-MEDVQA-GI-2024.</w:t>
      </w:r>
      <w:r/>
    </w:p>
    <w:p w14:paraId="44775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56. Simula. n.d. "Kvasir-VQA-x1 GitHub repository." https://github.com/simula/Kvasir-VQA-x1.</w:t>
      </w:r>
      <w:r/>
    </w:p>
    <w:p w14:paraId="536F604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57. Smedsrud PH, Thambawita V, Hicks SA, et al. 2021. "Kvasir-Capsule, a video capsule endoscopy dataset." Scientific Data. https://www.nature.com/articles/s41597-021-00920-z.</w:t>
      </w:r>
      <w:r/>
    </w:p>
    <w:p w14:paraId="2B378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8. Stidham RW, Liu W, Bishu S, et al. 2019. "Performance of a Deep Learning Model vs Human Reviewers in Grading Endoscopic Disease Severity of Patients With Ulcerative Colitis." JAMA Network Open 2(5):e193963. https://jamanetwork.com/journals/jamanetworkop</w:t>
      </w:r>
      <w:r>
        <w:rPr>
          <w:rFonts w:ascii="Arial" w:hAnsi="Arial" w:cs="Arial"/>
          <w:sz w:val="22"/>
          <w:szCs w:val="22"/>
          <w:highlight w:val="none"/>
        </w:rPr>
        <w:t xml:space="preserve">en/fullarticle/2733432.</w:t>
      </w:r>
      <w:r/>
    </w:p>
    <w:p w14:paraId="049476F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9. Takenaka K, Ohtsuka K, Fujii T, et al. 2023. "Development and Validation of a Deep Neural Network for Accurate Evaluation of Endoscopic Images From Patients With Ulcerative Colitis." Journal of Crohn's and Colitis 17(4):463-472. https://academic.oup.com</w:t>
      </w:r>
      <w:r>
        <w:rPr>
          <w:rFonts w:ascii="Arial" w:hAnsi="Arial" w:cs="Arial"/>
          <w:sz w:val="22"/>
          <w:szCs w:val="22"/>
          <w:highlight w:val="none"/>
        </w:rPr>
        <w:t xml:space="preserve">/ecco-jcc/article/17/4/463/6762568.</w:t>
      </w:r>
      <w:r/>
    </w:p>
    <w:p w14:paraId="5512EA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60. Tan H, Bansal M. 2019. "LXMERT: Learning Cross-Modality Encoder Representations from Transformers." arXiv:1908.07490. https://arxiv.org/abs/1908.07490.</w:t>
      </w:r>
      <w:r/>
    </w:p>
    <w:p w14:paraId="6C6CBE7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61. Yan Q, He X, Yue X, Wang XE. 2024. "Worse than Random? An Embarrassingly Simple Probing Evaluation of Large Multimodal Models in Medical VQA." arXiv:2405.20421. https://arxiv.org/abs/2405.20421.</w:t>
      </w:r>
      <w:r/>
    </w:p>
    <w:p w14:paraId="1800D3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w:t>
      </w:r>
      <w:r>
        <w:rPr>
          <w:rFonts w:ascii="Arial" w:hAnsi="Arial" w:cs="Arial"/>
          <w:sz w:val="22"/>
          <w:szCs w:val="22"/>
          <w:highlight w:val="none"/>
        </w:rPr>
        <w:t xml:space="preserve">2. Yao H, Tewari AK, Morais M, et al. 2023. "Novel deep learning-based computer-aided diagnosis system for predicting inflammatory activity in ulcerative colitis: a prospective multicentre study." Gastrointestinal Endoscopy 97(2):330-339.e1. https://pubmed</w:t>
      </w:r>
      <w:r>
        <w:rPr>
          <w:rFonts w:ascii="Arial" w:hAnsi="Arial" w:cs="Arial"/>
          <w:sz w:val="22"/>
          <w:szCs w:val="22"/>
          <w:highlight w:val="none"/>
        </w:rPr>
        <w:t xml:space="preserve">.ncbi.nlm.nih.gov/35985375/.</w:t>
      </w:r>
      <w:r/>
    </w:p>
    <w:p w14:paraId="142016C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63. Yim W-w, Ben Abacha A, Yetisgen M, Xia F. 2025. "Overview of the MEDIQA-WV 2025 Shared Task on Woundcare Visual Question Answering." ClinicalNLP. https://aclanthology.org/2025.clinicalnlp-1.3/.</w:t>
      </w:r>
      <w:r/>
    </w:p>
    <w:p w14:paraId="1AD5362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64. Yip SL, He S, Nie Y, et al. 2025. "MedBookVQA: A Systematic and Comprehensive Medical Benchmark Derived from Open-Access Book." arXiv:2506.00855. https://arxiv.org/abs/2506.00855.</w:t>
      </w:r>
      <w:r/>
    </w:p>
    <w:p w14:paraId="3392117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65. Yu S, Wang H, Wu J, et al. 2025. "MedFrameQA: A Multi-Image Medical VQA Benchmark for Clinical Reasoning." arXiv:2505.16964 (revised 2026). https://arxiv.org/abs/2505.16964.</w:t>
      </w:r>
      <w:r/>
    </w:p>
    <w:p w14:paraId="7BC2B639">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66. Zhang X, Wu C, Zhao Z, et al. 2023. "PMC-VQA: Visual Instruction Tuning for Medical Visual Question Answering." arXiv:2305.10415. </w:t>
      </w:r>
      <w:hyperlink r:id="rId23" w:tooltip="https://arxiv.org/abs/2305.10415." w:history="1">
        <w:r>
          <w:rPr>
            <w:rStyle w:val="1063"/>
            <w:rFonts w:ascii="Arial" w:hAnsi="Arial" w:cs="Arial"/>
            <w:sz w:val="22"/>
            <w:szCs w:val="22"/>
            <w:highlight w:val="none"/>
          </w:rPr>
          <w:t xml:space="preserve">https://arxiv.org/abs/2305.10415.</w:t>
        </w:r>
        <w:r>
          <w:rPr>
            <w:rStyle w:val="1063"/>
          </w:rPr>
        </w:r>
        <w:r>
          <w:rPr>
            <w:rStyle w:val="1063"/>
            <w:rFonts w:ascii="Arial" w:hAnsi="Arial" w:cs="Arial"/>
            <w:sz w:val="22"/>
            <w:szCs w:val="22"/>
            <w:highlight w:val="none"/>
          </w:rPr>
        </w:r>
        <w:r>
          <w:rPr>
            <w:rStyle w:val="1063"/>
            <w:rFonts w:ascii="Arial" w:hAnsi="Arial" w:cs="Arial"/>
            <w:sz w:val="22"/>
            <w:szCs w:val="22"/>
            <w:highlight w:val="none"/>
          </w:rPr>
        </w:r>
        <w:r>
          <w:rPr>
            <w:rStyle w:val="1063"/>
            <w:rFonts w:ascii="Arial" w:hAnsi="Arial" w:cs="Arial"/>
            <w:sz w:val="22"/>
            <w:szCs w:val="22"/>
          </w:rPr>
        </w:r>
      </w:hyperlink>
      <w:r>
        <w:rPr>
          <w:rFonts w:ascii="Arial" w:hAnsi="Arial" w:cs="Arial"/>
          <w:sz w:val="22"/>
          <w:szCs w:val="22"/>
        </w:rPr>
      </w:r>
      <w:r>
        <w:rPr>
          <w:rFonts w:ascii="Arial" w:hAnsi="Arial" w:cs="Arial"/>
          <w:sz w:val="22"/>
          <w:szCs w:val="22"/>
          <w:highlight w:val="none"/>
        </w:rPr>
      </w:r>
    </w:p>
    <w:p w14:paraId="5D40CE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67. Hu EJ, Shen Y, Wallis P, et al. 2021. "LoRA: Low-Rank Adaptation of Large Language Models." arXiv:2106.09685. https://arxiv.org/abs/2106.09685.</w:t>
      </w:r>
      <w:r/>
    </w:p>
    <w:p w14:paraId="6C8BA30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68. Li J, Li D, Savarese S, Hoi SCH. 2023. "BLIP-2: Bootstrapping Language-Image Pre-training with Frozen Image Encoders and Large Language Models." arXiv:2301.12597. https://arxiv.org/abs/2301.12597.</w:t>
      </w:r>
      <w:r/>
    </w:p>
    <w:p w14:paraId="70753B8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69. RAG-VQA-Medical Repository. n.d. "Prototyping_reformat/DatasetAnalysis/LIMUC/0_dataset_prep/01_build_metadata_images_and_manifests.ipynb." Internal repository artifact.</w:t>
      </w:r>
      <w:r/>
    </w:p>
    <w:p w14:paraId="42F8F7B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70. RAG-VQA-Medical Repository. n.d. "Prototyping_reformat/DatasetAnalysis/LIMUC/1_frozen_encoders/resnet50_frozen_logreg.ipynb." Internal repository artifact.</w:t>
      </w:r>
      <w:r/>
    </w:p>
    <w:p w14:paraId="2A423E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71. RAG-VQA-Medical Repository. n.d. "Prototyping_reformat/DatasetAnalysis/LIMUC/1_frozen_encoders/vit_frozen_logreg.ipynb." Internal repository artifact.</w:t>
      </w:r>
      <w:r/>
    </w:p>
    <w:p w14:paraId="2D788E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72. RAG-VQA-Medical Repository. n.d. "Prototyping_reformat/DatasetAnalysis/LIMUC/1_frozen_encoders/clip_linear_baseline.ipynb." Internal repository artifact.</w:t>
      </w:r>
      <w:r/>
    </w:p>
    <w:p w14:paraId="7EBF39F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73. RAG-VQA-Medical Repository. n.d. "Prototyping_reformat/DatasetAnalysis/LIMUC/2_supervised_finetuning/finetune_resnet50.ipynb." Internal repository artifact.</w:t>
      </w:r>
      <w:r/>
    </w:p>
    <w:p w14:paraId="441A692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74. RAG-VQA-Medical Repository. n.d. "Prototyping_reformat/DatasetAnalysis/LIMUC/2_supervised_finetuning/finetune_vit_or_swin.ipynb." Internal repository artifact.</w:t>
      </w:r>
      <w:r/>
    </w:p>
    <w:p w14:paraId="2FE0922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75. RAG-VQA-Medical Repository. n.d. "Prototyping_reformat/DatasetAnalysis/LIMUC/3_vlm_severity/vlm_zero_shot_mayo.ipynb." Internal repository artifact.</w:t>
      </w:r>
      <w:r/>
    </w:p>
    <w:p w14:paraId="4E13884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76. RAG-VQA-Medical Repository. n.d. "Prototyping_reformat/DatasetAnalysis/LIMUC/3_vlm_severity/vlm_lora_finetune_mayo.ipynb." Internal repository artifact.</w:t>
      </w:r>
      <w:r/>
    </w:p>
    <w:p w14:paraId="4B19E85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77. RAG-VQA-Medical Repository. n.d. "Prototyping_reformat/DatasetAnalysis/Kvasir_VQA_x1/2_modeling/09_rag_blip2_eval/01_rag_blip2_eval.ipynb." Internal repository artifact.</w:t>
      </w:r>
      <w:r/>
    </w:p>
    <w:p w14:paraId="49DBF19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78. RAG-VQA-Medical Repository. n.d. "Prototyping_reformat/DatasetAnalysis/LIMUC/4_reporting/out/." Internal repository artifact.</w:t>
      </w:r>
      <w:r/>
    </w:p>
    <w:p w14:paraId="523B50A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79. RAG-VQA-Medical Repository. n.d. "Thesis/markdown/figures/ch4_representations/CH4_PART3_ASSET_MANIFEST_20260306.csv." Internal repository artifact.</w:t>
      </w:r>
      <w:r/>
    </w:p>
    <w:p w14:paraId="6DDC6A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80. RAG-VQA-Medical Repository. n.d. "Thesis/markdown/figures/ch4_representations/F02_ch4_core_metric_comparison.png." Internal repository artifact.</w:t>
      </w:r>
      <w:r/>
    </w:p>
    <w:p w14:paraId="7D58478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81. RAG-VQA-Medical Repository. n.d. "Thesis/markdown/figures/ch4_representations/F03_ch4_radar_profile.png." Internal repository artifact.</w:t>
      </w:r>
      <w:r/>
    </w:p>
    <w:p w14:paraId="66EA04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82. RAG-VQA-Medical Repository. n.d. "Thesis/markdown/figures/ch4_representations/F04_ch4_remission_slice_comparison.png." Internal repository artifact.</w:t>
      </w:r>
      <w:r/>
    </w:p>
    <w:p w14:paraId="5E5FAF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83. RAG-VQA-Medical Repository. n.d. "Thesis/markdown/figures/ch4_representations/F05_ch4_mcnemar_significance_heatmap.png." Internal repository artifact.</w:t>
      </w:r>
      <w:r/>
    </w:p>
    <w:p w14:paraId="757FC8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84. RAG-VQA-Medical Repository. n.d. "Thesis/markdown/figures/ch4_representations/F06_ch4_confusion_panel.png." Internal repository artifact.</w:t>
      </w:r>
      <w:r/>
    </w:p>
    <w:p w14:paraId="04B27A5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85. RAG-VQA-Medical Repository. n.d. "CH4_PART1_SCOPE_FREEZE_20260306.md." Internal repository artifact.</w:t>
      </w:r>
      <w:r/>
    </w:p>
    <w:p w14:paraId="175432C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86. RAG-VQA-Medical Repository. n.d. "CH4_PART2_REPRO_FREEZE_20260306.md." Internal repository artifact.</w:t>
      </w:r>
      <w:r/>
    </w:p>
    <w:p w14:paraId="033C6E2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87. RAG-VQA-Medical Repository. n.d. "CH4_PART7_DISSERTATION_READINESS_GATE_20260306.md." Internal repository artifact.</w:t>
      </w:r>
      <w:r/>
    </w:p>
    <w:p w14:paraId="47A5F2A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88. RAG-VQA-Medical Repository. n.d. "Prototyping_reformat/DatasetAnalysis/LIMUC/4_reporting/out/pass6_generative_metric_summary.csv." Internal repository artifact.</w:t>
      </w:r>
      <w:r/>
    </w:p>
    <w:p w14:paraId="7D19357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89. RAG-VQA-Medical Repository. n.d. "Prototyping_reformat/chapter5_pico_wrapper/pico_wrapper/schemas.py." Internal repository artifact.</w:t>
      </w:r>
      <w:r/>
    </w:p>
    <w:p w14:paraId="6A8D3EA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90. RAG-VQA-Medical Repository. n.d. "Prototyping_reformat/chapter5_pico_wrapper/pico_wrapper/retriever.py." Internal repository artifact.</w:t>
      </w:r>
      <w:r/>
    </w:p>
    <w:p w14:paraId="4EB588B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91. RAG-VQA-Medical Repository. n.d. "Prototyping_reformat/chapter5_pico_wrapper/pico_wrapper/wrapper.py." Internal repository artifact.</w:t>
      </w:r>
      <w:r/>
    </w:p>
    <w:p w14:paraId="5C3FF6F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92. RAG-VQA-Medical Repository. n.d. "Prototyping_reformat/chapter5_pico_wrapper/pico_wrapper/safety.py." Internal repository artifact.</w:t>
      </w:r>
      <w:r/>
    </w:p>
    <w:p w14:paraId="54A5DF8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93. RAG-VQA-Medical Repository. n.d. "Prototyping_reformat/chapter5_pico_wrapper/scripts/run_full_pipeline.py." Internal repository artifact.</w:t>
      </w:r>
      <w:r/>
    </w:p>
    <w:p w14:paraId="47536D9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94. RAG-VQA-Medical Repository. n.d. "Prototyping_reformat/chapter5_pico_wrapper/results/kb_build_pass4_latest/kb_manifest.json." Internal repository artifact.</w:t>
      </w:r>
      <w:r/>
    </w:p>
    <w:p w14:paraId="1DDC481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95. RAG-VQA-Medical Repository. n.d. "Prototyping_reformat/chapter5_pico_wrapper/results/wrapper_eval_pass4_latest/run_config.json." Internal repository artifact.</w:t>
      </w:r>
      <w:r/>
    </w:p>
    <w:p w14:paraId="7734025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96. RAG-VQA-Medical Repository. n.d. "Prototyping_reformat/chapter5_pico_wrapper/results/eval_pass4_latest/pico_eval.json." Internal repository artifact.</w:t>
      </w:r>
      <w:r/>
    </w:p>
    <w:p w14:paraId="38A0C5A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97. RAG-VQA-Medical Repository. n.d. "Prototyping_reformat/chapter5_pico_wrapper/results/eval_pass4_latest/retrieval_eval.json." Internal repository artifact.</w:t>
      </w:r>
      <w:r/>
    </w:p>
    <w:p w14:paraId="62FAC6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98. RAG-VQA-Medical Repository. n.d. "Prototyping_reformat/chapter5_pico_wrapper/results/eval_pass4_latest/answer_eval.json." Internal repository artifact.</w:t>
      </w:r>
      <w:r/>
    </w:p>
    <w:p w14:paraId="571B901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99. RAG-VQA-Medical Repository. n.d. "Prototyping_reformat/chapter5_pico_wrapper/results/eval_pass3_ablation/retrieval_ablation_summary.tsv." Internal repository artifact.</w:t>
      </w:r>
      <w:r/>
    </w:p>
    <w:p w14:paraId="192607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100. RAG-VQA-Medical Repository. n.d. "Prototyping_reformat/chapter5_pico_wrapper/results/chapter5_completion_audit_ch5_freeze_20260306/chapter5_completion_report.json." Internal repository artifact.</w:t>
      </w:r>
      <w:r/>
    </w:p>
    <w:p w14:paraId="630ADB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101. RAG-VQA-Medical Repository. n.d. "Prototyping_reformat/chapter5_pico_wrapper/tests/test_retriever.py." Internal repository artifact.</w:t>
      </w:r>
      <w:r/>
    </w:p>
    <w:p w14:paraId="0DCE91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102. RAG-VQA-Medical Repository. n.d. "Prototyping_reformat/chapter5_pico_wrapper/tests/test_wrapper_pipeline.py." Internal repository artifact.</w:t>
      </w:r>
      <w:r/>
    </w:p>
    <w:p w14:paraId="6714C9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103. RAG-VQA-Medical Repository. n.d. "Prototyping_reformat/chapter5_pico_wrapper/tests/test_safety.py." Internal repository artifact.</w:t>
      </w:r>
      <w:r/>
    </w:p>
    <w:p w14:paraId="2F8EDA8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104. RAG-VQA-Medical Repository. n.d. "Prototyping_reformat/chapter5_pico_wrapper/tests/test_ui_support.py." Internal repository artifact.</w:t>
      </w:r>
      <w:r/>
    </w:p>
    <w:p w14:paraId="176F98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105. IEEE Xplore. 2023. "Document 10153022." https://ieeexplore.ieee.org/abstract/document/10153022.</w:t>
      </w:r>
      <w:r/>
    </w:p>
    <w:p w14:paraId="20DA2D3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w:t>
      </w:r>
      <w:r>
        <w:rPr>
          <w:rFonts w:ascii="Arial" w:hAnsi="Arial" w:cs="Arial"/>
          <w:sz w:val="22"/>
          <w:szCs w:val="22"/>
          <w:highlight w:val="none"/>
        </w:rPr>
        <w:t xml:space="preserve">06. Talha M, Gasparovic M, Cupec R, et al. 2022. "Integrating Vision and Language Foundation Models for Advancing Medical Image Classification and Segmentation." In Machine Learning in Medical Imaging (MLMI 2022). https://link.springer.com/chapter/10.1007/</w:t>
      </w:r>
      <w:r>
        <w:rPr>
          <w:rFonts w:ascii="Arial" w:hAnsi="Arial" w:cs="Arial"/>
          <w:sz w:val="22"/>
          <w:szCs w:val="22"/>
          <w:highlight w:val="none"/>
        </w:rPr>
        <w:t xml:space="preserve">978-3-031-16072-1_9.</w:t>
      </w:r>
      <w:r/>
    </w:p>
    <w:p w14:paraId="0C13F725">
      <w:pPr>
        <w:suppressLineNumbers w:val="false"/>
        <w:pBdr/>
        <w:spacing w:after="240" w:afterAutospacing="0" w:before="240" w:beforeAutospacing="0" w:line="300" w:lineRule="auto"/>
        <w:ind w:firstLine="0" w:left="720"/>
        <w:rPr>
          <w:rFonts w:ascii="Arial" w:hAnsi="Arial" w:cs="Arial"/>
          <w:sz w:val="22"/>
          <w:szCs w:val="22"/>
        </w:rPr>
      </w:pPr>
      <w:r>
        <w:rPr>
          <w:rFonts w:ascii="Arial" w:hAnsi="Arial" w:cs="Arial"/>
          <w:sz w:val="22"/>
          <w:szCs w:val="22"/>
          <w:highlight w:val="none"/>
        </w:rPr>
        <w:t xml:space="preserve">107. Mohammed S, Fiaidhi J. 2024. "Generative AI for Evidence-Based Medicine: A PICO GenAI for Synthesizing Clinical Case Reports." ICC 2024. https://ieeexplore.ieee.org/abstract/document/10622271.</w:t>
      </w:r>
      <w:r>
        <w:rPr>
          <w:rFonts w:ascii="Arial" w:hAnsi="Arial" w:cs="Arial"/>
          <w:sz w:val="22"/>
          <w:szCs w:val="22"/>
          <w:highlight w:val="none"/>
        </w:rPr>
      </w:r>
      <w:r>
        <w:rPr>
          <w:rFonts w:ascii="Arial" w:hAnsi="Arial" w:cs="Arial"/>
          <w:sz w:val="22"/>
          <w:szCs w:val="22"/>
        </w:rPr>
      </w:r>
    </w:p>
    <w:p w14:paraId="134B5380" w14:textId="7698033F">
      <w:pPr>
        <w:pStyle w:val="1094"/>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094"/>
        <w:suppressLineNumbers w:val="false"/>
        <w:pBdr/>
        <w:spacing w:line="300" w:lineRule="auto"/>
        <w:ind/>
        <w:rPr/>
      </w:pPr>
      <w:r>
        <w:rPr>
          <w:lang w:val="en-US"/>
        </w:rPr>
      </w:r>
      <w:r>
        <w:rPr>
          <w:lang w:val="en-US"/>
        </w:rPr>
      </w:r>
      <w:r/>
    </w:p>
    <w:p w14:paraId="21B43741" w14:textId="6F08840B">
      <w:pPr>
        <w:pStyle w:val="1094"/>
        <w:suppressLineNumbers w:val="false"/>
        <w:pBdr/>
        <w:spacing w:line="300" w:lineRule="auto"/>
        <w:ind w:firstLine="0" w:left="0"/>
        <w:rPr/>
      </w:pPr>
      <w:r/>
      <w:r/>
    </w:p>
    <w:p w14:paraId="308E43FE" w14:textId="1686E186">
      <w:pPr>
        <w:pStyle w:val="1094"/>
        <w:suppressLineNumbers w:val="false"/>
        <w:pBdr/>
        <w:spacing w:line="300" w:lineRule="auto"/>
        <w:ind/>
        <w:rPr/>
      </w:pPr>
      <w:r/>
      <w:r/>
    </w:p>
    <w:p w14:paraId="776B7A88" w14:textId="36D30811">
      <w:pPr>
        <w:pStyle w:val="1094"/>
        <w:suppressLineNumbers w:val="false"/>
        <w:pBdr/>
        <w:spacing w:line="300" w:lineRule="auto"/>
        <w:ind/>
        <w:rPr/>
      </w:pPr>
      <w:r/>
      <w:r/>
    </w:p>
    <w:p w14:paraId="5532DE15" w14:textId="33829C7E">
      <w:pPr>
        <w:pStyle w:val="1094"/>
        <w:suppressLineNumbers w:val="false"/>
        <w:pBdr/>
        <w:spacing w:line="300" w:lineRule="auto"/>
        <w:ind/>
        <w:rPr/>
      </w:pPr>
      <w:r/>
      <w:r/>
    </w:p>
    <w:p w14:paraId="5D9E5F47" w14:textId="0842DE19">
      <w:pPr>
        <w:pStyle w:val="1094"/>
        <w:suppressLineNumbers w:val="false"/>
        <w:pBdr/>
        <w:spacing w:line="300" w:lineRule="auto"/>
        <w:ind/>
        <w:rPr/>
      </w:pPr>
      <w:r/>
      <w:r/>
    </w:p>
    <w:p w14:paraId="47235FB2" w14:textId="3FB9E21A">
      <w:pPr>
        <w:pStyle w:val="1094"/>
        <w:suppressLineNumbers w:val="false"/>
        <w:pBdr/>
        <w:spacing w:line="300" w:lineRule="auto"/>
        <w:ind/>
        <w:rPr/>
      </w:pPr>
      <w:r/>
      <w:r/>
    </w:p>
    <w:p w14:paraId="7AA27626" w14:textId="06AAD62B">
      <w:pPr>
        <w:pStyle w:val="1094"/>
        <w:suppressLineNumbers w:val="false"/>
        <w:pBdr/>
        <w:spacing w:line="300" w:lineRule="auto"/>
        <w:ind/>
        <w:rPr/>
      </w:pPr>
      <w:r/>
      <w:r/>
    </w:p>
    <w:p w14:paraId="4F492B30" w14:textId="7B03236C">
      <w:pPr>
        <w:pStyle w:val="1094"/>
        <w:suppressLineNumbers w:val="false"/>
        <w:pBdr/>
        <w:spacing w:line="300" w:lineRule="auto"/>
        <w:ind/>
        <w:rPr/>
      </w:pPr>
      <w:r/>
      <w:r/>
    </w:p>
    <w:p w14:paraId="0452A563" w14:textId="18D5A2A5">
      <w:pPr>
        <w:pStyle w:val="1094"/>
        <w:suppressLineNumbers w:val="false"/>
        <w:pBdr/>
        <w:spacing w:line="300" w:lineRule="auto"/>
        <w:ind/>
        <w:rPr/>
      </w:pPr>
      <w:r/>
      <w:r/>
    </w:p>
    <w:p w14:paraId="04D4A707" w14:textId="78C11C60">
      <w:pPr>
        <w:pStyle w:val="1094"/>
        <w:suppressLineNumbers w:val="false"/>
        <w:pBdr/>
        <w:spacing w:line="300" w:lineRule="auto"/>
        <w:ind/>
        <w:rPr/>
      </w:pPr>
      <w:r/>
      <w:r/>
    </w:p>
    <w:p w14:paraId="7C7937AE" w14:textId="7F3325A0">
      <w:pPr>
        <w:pStyle w:val="1094"/>
        <w:suppressLineNumbers w:val="false"/>
        <w:pBdr/>
        <w:spacing w:line="300" w:lineRule="auto"/>
        <w:ind/>
        <w:rPr/>
      </w:pPr>
      <w:r/>
      <w:r/>
    </w:p>
    <w:p w14:paraId="136C0608" w14:textId="2098A294">
      <w:pPr>
        <w:pStyle w:val="1094"/>
        <w:suppressLineNumbers w:val="false"/>
        <w:pBdr/>
        <w:spacing w:line="300" w:lineRule="auto"/>
        <w:ind/>
        <w:rPr/>
      </w:pPr>
      <w:r/>
      <w:r/>
    </w:p>
    <w:p w14:paraId="5373C01E" w14:textId="03A62521">
      <w:pPr>
        <w:pStyle w:val="1094"/>
        <w:suppressLineNumbers w:val="false"/>
        <w:pBdr/>
        <w:spacing w:line="300" w:lineRule="auto"/>
        <w:ind/>
        <w:rPr/>
      </w:pPr>
      <w:r/>
      <w:r/>
    </w:p>
    <w:p w14:paraId="2ABB7DEC" w14:textId="09A70241">
      <w:pPr>
        <w:pStyle w:val="1056"/>
        <w:suppressLineNumbers w:val="false"/>
        <w:pBdr/>
        <w:spacing w:line="300" w:lineRule="auto"/>
        <w:ind/>
        <w:rPr/>
      </w:pPr>
      <w:r/>
      <w:bookmarkStart w:id="13" w:name="_Toc66285142"/>
      <w:r>
        <w:t xml:space="preserve">Appendix A.</w:t>
      </w:r>
      <w:bookmarkEnd w:id="13"/>
      <w:r/>
      <w:r/>
    </w:p>
    <w:p w14:paraId="0E5E3A03" w14:textId="11231CB1">
      <w:pPr>
        <w:pStyle w:val="1048"/>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066"/>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066"/>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06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035"/>
      <w:rPr>
        <w:rFonts w:hint="default"/>
      </w:rPr>
      <w:start w:val="1"/>
      <w:suff w:val="tab"/>
    </w:lvl>
    <w:lvl w:ilvl="1">
      <w:isLgl w:val="false"/>
      <w:lvlJc w:val="left"/>
      <w:lvlText w:val="%1.%2."/>
      <w:numFmt w:val="decimal"/>
      <w:pPr>
        <w:pBdr/>
        <w:spacing/>
        <w:ind w:firstLine="0" w:left="0"/>
      </w:pPr>
      <w:pStyle w:val="1036"/>
      <w:rPr>
        <w:rFonts w:hint="default"/>
      </w:rPr>
      <w:start w:val="1"/>
      <w:suff w:val="tab"/>
    </w:lvl>
    <w:lvl w:ilvl="2">
      <w:isLgl w:val="false"/>
      <w:lvlJc w:val="left"/>
      <w:lvlText w:val="%1.%2.%3."/>
      <w:numFmt w:val="decimal"/>
      <w:pPr>
        <w:pBdr/>
        <w:spacing/>
        <w:ind w:firstLine="0" w:left="0"/>
      </w:pPr>
      <w:pStyle w:val="1037"/>
      <w:rPr>
        <w:rFonts w:hint="default"/>
      </w:rPr>
      <w:start w:val="1"/>
      <w:suff w:val="tab"/>
    </w:lvl>
    <w:lvl w:ilvl="3">
      <w:isLgl w:val="false"/>
      <w:lvlJc w:val="left"/>
      <w:lvlText w:val=""/>
      <w:numFmt w:val="none"/>
      <w:pPr>
        <w:pBdr/>
        <w:spacing/>
        <w:ind w:firstLine="0" w:left="0"/>
      </w:pPr>
      <w:pStyle w:val="1038"/>
      <w:rPr>
        <w:rFonts w:hint="default"/>
      </w:rPr>
      <w:start w:val="1"/>
      <w:suff w:val="nothing"/>
    </w:lvl>
    <w:lvl w:ilvl="4">
      <w:isLgl w:val="false"/>
      <w:lvlJc w:val="left"/>
      <w:lvlText w:val=""/>
      <w:numFmt w:val="none"/>
      <w:pPr>
        <w:pBdr/>
        <w:spacing/>
        <w:ind w:firstLine="0" w:left="0"/>
      </w:pPr>
      <w:pStyle w:val="1039"/>
      <w:rPr>
        <w:rFonts w:hint="default"/>
      </w:rPr>
      <w:start w:val="1"/>
      <w:suff w:val="nothing"/>
    </w:lvl>
    <w:lvl w:ilvl="5">
      <w:isLgl w:val="false"/>
      <w:lvlJc w:val="left"/>
      <w:lvlText w:val=""/>
      <w:numFmt w:val="none"/>
      <w:pPr>
        <w:pBdr/>
        <w:spacing/>
        <w:ind w:firstLine="0" w:left="0"/>
      </w:pPr>
      <w:pStyle w:val="1040"/>
      <w:rPr>
        <w:rFonts w:hint="default"/>
      </w:rPr>
      <w:start w:val="1"/>
      <w:suff w:val="nothing"/>
    </w:lvl>
    <w:lvl w:ilvl="6">
      <w:isLgl w:val="false"/>
      <w:lvlJc w:val="left"/>
      <w:lvlText w:val=""/>
      <w:numFmt w:val="none"/>
      <w:pPr>
        <w:pBdr/>
        <w:spacing/>
        <w:ind w:firstLine="0" w:left="0"/>
      </w:pPr>
      <w:pStyle w:val="1041"/>
      <w:rPr>
        <w:rFonts w:hint="default"/>
      </w:rPr>
      <w:start w:val="1"/>
      <w:suff w:val="nothing"/>
    </w:lvl>
    <w:lvl w:ilvl="7">
      <w:isLgl w:val="false"/>
      <w:lvlJc w:val="left"/>
      <w:lvlText w:val=""/>
      <w:numFmt w:val="none"/>
      <w:pPr>
        <w:pBdr/>
        <w:spacing/>
        <w:ind w:firstLine="0" w:left="0"/>
      </w:pPr>
      <w:pStyle w:val="1042"/>
      <w:rPr>
        <w:rFonts w:hint="default"/>
      </w:rPr>
      <w:start w:val="1"/>
      <w:suff w:val="nothing"/>
    </w:lvl>
    <w:lvl w:ilvl="8">
      <w:isLgl w:val="false"/>
      <w:lvlJc w:val="left"/>
      <w:lvlText w:val=""/>
      <w:numFmt w:val="none"/>
      <w:pPr>
        <w:pBdr/>
        <w:spacing/>
        <w:ind w:firstLine="0" w:left="0"/>
      </w:pPr>
      <w:pStyle w:val="1043"/>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088"/>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21E43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024257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E8F3A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76BBF8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7">
    <w:name w:val="Table Grid Light"/>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1"/>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4"/>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5"/>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w:basedOn w:val="10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w:basedOn w:val="10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1"/>
    <w:basedOn w:val="10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2"/>
    <w:basedOn w:val="10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3"/>
    <w:basedOn w:val="10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4"/>
    <w:basedOn w:val="10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5"/>
    <w:basedOn w:val="10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6"/>
    <w:basedOn w:val="10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1"/>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2"/>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3"/>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4"/>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5"/>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6"/>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7">
    <w:name w:val="Grid Table 6 Colorful - Accent 1"/>
    <w:basedOn w:val="10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8">
    <w:name w:val="Grid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9">
    <w:name w:val="Grid Table 6 Colorful - Accent 3"/>
    <w:basedOn w:val="10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0">
    <w:name w:val="Grid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1">
    <w:name w:val="Grid Table 6 Colorful - Accent 5"/>
    <w:basedOn w:val="10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6 Colorful - Accent 6"/>
    <w:basedOn w:val="10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3">
    <w:name w:val="Grid Table 7 Colorful"/>
    <w:basedOn w:val="10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1"/>
    <w:basedOn w:val="10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5"/>
    <w:basedOn w:val="10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6"/>
    <w:basedOn w:val="10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1"/>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2"/>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3"/>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4"/>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5"/>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6"/>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w:basedOn w:val="10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1"/>
    <w:basedOn w:val="10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2"/>
    <w:basedOn w:val="10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3"/>
    <w:basedOn w:val="10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4"/>
    <w:basedOn w:val="10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5"/>
    <w:basedOn w:val="10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6"/>
    <w:basedOn w:val="10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1"/>
    <w:basedOn w:val="10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3"/>
    <w:basedOn w:val="10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5"/>
    <w:basedOn w:val="10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6"/>
    <w:basedOn w:val="10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1"/>
    <w:basedOn w:val="10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2"/>
    <w:basedOn w:val="10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3"/>
    <w:basedOn w:val="10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4"/>
    <w:basedOn w:val="10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5"/>
    <w:basedOn w:val="10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6"/>
    <w:basedOn w:val="10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5 Dark"/>
    <w:basedOn w:val="10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1"/>
    <w:basedOn w:val="10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2"/>
    <w:basedOn w:val="10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3"/>
    <w:basedOn w:val="10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4"/>
    <w:basedOn w:val="10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5"/>
    <w:basedOn w:val="10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6"/>
    <w:basedOn w:val="10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1"/>
    <w:basedOn w:val="10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3"/>
    <w:basedOn w:val="10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5"/>
    <w:basedOn w:val="10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6"/>
    <w:basedOn w:val="10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7 Colorful"/>
    <w:basedOn w:val="10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3">
    <w:name w:val="List Table 7 Colorful - Accent 1"/>
    <w:basedOn w:val="10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94">
    <w:name w:val="List Table 7 Colorful - Accent 2"/>
    <w:basedOn w:val="10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95">
    <w:name w:val="List Table 7 Colorful - Accent 3"/>
    <w:basedOn w:val="10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96">
    <w:name w:val="List Table 7 Colorful - Accent 4"/>
    <w:basedOn w:val="10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7">
    <w:name w:val="List Table 7 Colorful - Accent 5"/>
    <w:basedOn w:val="10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98">
    <w:name w:val="List Table 7 Colorful - Accent 6"/>
    <w:basedOn w:val="10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9">
    <w:name w:val="Lined - Accent"/>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1"/>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2"/>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3"/>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4"/>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5"/>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6"/>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w:basedOn w:val="10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1"/>
    <w:basedOn w:val="10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2"/>
    <w:basedOn w:val="10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3"/>
    <w:basedOn w:val="10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4"/>
    <w:basedOn w:val="10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5"/>
    <w:basedOn w:val="10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6"/>
    <w:basedOn w:val="10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w:basedOn w:val="10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0">
    <w:name w:val="Title"/>
    <w:basedOn w:val="1034"/>
    <w:next w:val="1034"/>
    <w:link w:val="1021"/>
    <w:uiPriority w:val="10"/>
    <w:qFormat/>
    <w:pPr>
      <w:pBdr/>
      <w:spacing w:after="80" w:line="240" w:lineRule="auto"/>
      <w:ind/>
      <w:contextualSpacing w:val="true"/>
    </w:pPr>
    <w:rPr>
      <w:rFonts w:ascii="Arial" w:hAnsi="Arial" w:eastAsia="Arial" w:cs="Arial"/>
      <w:spacing w:val="-10"/>
      <w:sz w:val="56"/>
      <w:szCs w:val="56"/>
    </w:rPr>
  </w:style>
  <w:style w:type="character" w:styleId="1021">
    <w:name w:val="Title Char"/>
    <w:basedOn w:val="1044"/>
    <w:link w:val="1020"/>
    <w:uiPriority w:val="10"/>
    <w:pPr>
      <w:pBdr/>
      <w:spacing/>
      <w:ind/>
    </w:pPr>
    <w:rPr>
      <w:rFonts w:ascii="Arial" w:hAnsi="Arial" w:eastAsia="Arial" w:cs="Arial"/>
      <w:spacing w:val="-10"/>
      <w:sz w:val="56"/>
      <w:szCs w:val="56"/>
    </w:rPr>
  </w:style>
  <w:style w:type="paragraph" w:styleId="1022">
    <w:name w:val="Subtitle"/>
    <w:basedOn w:val="1034"/>
    <w:next w:val="1034"/>
    <w:link w:val="1023"/>
    <w:uiPriority w:val="11"/>
    <w:qFormat/>
    <w:pPr>
      <w:numPr>
        <w:ilvl w:val="1"/>
      </w:numPr>
      <w:pBdr/>
      <w:spacing/>
      <w:ind/>
    </w:pPr>
    <w:rPr>
      <w:color w:val="595959" w:themeColor="text1" w:themeTint="A6"/>
      <w:spacing w:val="15"/>
      <w:sz w:val="28"/>
      <w:szCs w:val="28"/>
    </w:rPr>
  </w:style>
  <w:style w:type="character" w:styleId="1023">
    <w:name w:val="Subtitle Char"/>
    <w:basedOn w:val="1044"/>
    <w:link w:val="1022"/>
    <w:uiPriority w:val="11"/>
    <w:pPr>
      <w:pBdr/>
      <w:spacing/>
      <w:ind/>
    </w:pPr>
    <w:rPr>
      <w:color w:val="595959" w:themeColor="text1" w:themeTint="A6"/>
      <w:spacing w:val="15"/>
      <w:sz w:val="28"/>
      <w:szCs w:val="28"/>
    </w:rPr>
  </w:style>
  <w:style w:type="paragraph" w:styleId="1024">
    <w:name w:val="Quote"/>
    <w:basedOn w:val="1034"/>
    <w:next w:val="1034"/>
    <w:link w:val="1025"/>
    <w:uiPriority w:val="29"/>
    <w:qFormat/>
    <w:pPr>
      <w:pBdr/>
      <w:spacing w:before="160"/>
      <w:ind/>
      <w:jc w:val="center"/>
    </w:pPr>
    <w:rPr>
      <w:i/>
      <w:iCs/>
      <w:color w:val="404040" w:themeColor="text1" w:themeTint="BF"/>
    </w:rPr>
  </w:style>
  <w:style w:type="character" w:styleId="1025">
    <w:name w:val="Quote Char"/>
    <w:basedOn w:val="1044"/>
    <w:link w:val="1024"/>
    <w:uiPriority w:val="29"/>
    <w:pPr>
      <w:pBdr/>
      <w:spacing/>
      <w:ind/>
    </w:pPr>
    <w:rPr>
      <w:i/>
      <w:iCs/>
      <w:color w:val="404040" w:themeColor="text1" w:themeTint="BF"/>
    </w:rPr>
  </w:style>
  <w:style w:type="character" w:styleId="1026">
    <w:name w:val="Intense Emphasis"/>
    <w:basedOn w:val="1044"/>
    <w:uiPriority w:val="21"/>
    <w:qFormat/>
    <w:pPr>
      <w:pBdr/>
      <w:spacing/>
      <w:ind/>
    </w:pPr>
    <w:rPr>
      <w:i/>
      <w:iCs/>
      <w:color w:val="0f4761" w:themeColor="accent1" w:themeShade="BF"/>
    </w:rPr>
  </w:style>
  <w:style w:type="paragraph" w:styleId="1027">
    <w:name w:val="Intense Quote"/>
    <w:basedOn w:val="1034"/>
    <w:next w:val="1034"/>
    <w:link w:val="10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8">
    <w:name w:val="Intense Quote Char"/>
    <w:basedOn w:val="1044"/>
    <w:link w:val="1027"/>
    <w:uiPriority w:val="30"/>
    <w:pPr>
      <w:pBdr/>
      <w:spacing/>
      <w:ind/>
    </w:pPr>
    <w:rPr>
      <w:i/>
      <w:iCs/>
      <w:color w:val="0f4761" w:themeColor="accent1" w:themeShade="BF"/>
    </w:rPr>
  </w:style>
  <w:style w:type="character" w:styleId="1029">
    <w:name w:val="Intense Reference"/>
    <w:basedOn w:val="1044"/>
    <w:uiPriority w:val="32"/>
    <w:qFormat/>
    <w:pPr>
      <w:pBdr/>
      <w:spacing/>
      <w:ind/>
    </w:pPr>
    <w:rPr>
      <w:b/>
      <w:bCs/>
      <w:smallCaps/>
      <w:color w:val="0f4761" w:themeColor="accent1" w:themeShade="BF"/>
      <w:spacing w:val="5"/>
    </w:rPr>
  </w:style>
  <w:style w:type="paragraph" w:styleId="1030">
    <w:name w:val="No Spacing"/>
    <w:basedOn w:val="1034"/>
    <w:uiPriority w:val="1"/>
    <w:qFormat/>
    <w:pPr>
      <w:pBdr/>
      <w:spacing w:after="0" w:line="240" w:lineRule="auto"/>
      <w:ind/>
    </w:pPr>
  </w:style>
  <w:style w:type="character" w:styleId="1031">
    <w:name w:val="Subtle Emphasis"/>
    <w:basedOn w:val="1044"/>
    <w:uiPriority w:val="19"/>
    <w:qFormat/>
    <w:pPr>
      <w:pBdr/>
      <w:spacing/>
      <w:ind/>
    </w:pPr>
    <w:rPr>
      <w:i/>
      <w:iCs/>
      <w:color w:val="404040" w:themeColor="text1" w:themeTint="BF"/>
    </w:rPr>
  </w:style>
  <w:style w:type="character" w:styleId="1032">
    <w:name w:val="Subtle Reference"/>
    <w:basedOn w:val="1044"/>
    <w:uiPriority w:val="31"/>
    <w:qFormat/>
    <w:pPr>
      <w:pBdr/>
      <w:spacing/>
      <w:ind/>
    </w:pPr>
    <w:rPr>
      <w:smallCaps/>
      <w:color w:val="5a5a5a" w:themeColor="text1" w:themeTint="A5"/>
    </w:rPr>
  </w:style>
  <w:style w:type="character" w:styleId="1033">
    <w:name w:val="Book Title"/>
    <w:basedOn w:val="1044"/>
    <w:uiPriority w:val="33"/>
    <w:qFormat/>
    <w:pPr>
      <w:pBdr/>
      <w:spacing/>
      <w:ind/>
    </w:pPr>
    <w:rPr>
      <w:b/>
      <w:bCs/>
      <w:i/>
      <w:iCs/>
      <w:spacing w:val="5"/>
    </w:rPr>
  </w:style>
  <w:style w:type="paragraph" w:styleId="1034" w:default="1">
    <w:name w:val="Normal"/>
    <w:qFormat/>
    <w:pPr>
      <w:pBdr/>
      <w:spacing w:after="240" w:line="360" w:lineRule="auto"/>
      <w:ind/>
    </w:pPr>
    <w:rPr>
      <w:rFonts w:ascii="Arial" w:hAnsi="Arial"/>
    </w:rPr>
  </w:style>
  <w:style w:type="paragraph" w:styleId="1035">
    <w:name w:val="Heading 1"/>
    <w:basedOn w:val="1049"/>
    <w:next w:val="1048"/>
    <w:link w:val="1053"/>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036">
    <w:name w:val="Heading 2"/>
    <w:basedOn w:val="1047"/>
    <w:next w:val="1048"/>
    <w:link w:val="1054"/>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037">
    <w:name w:val="Heading 3"/>
    <w:basedOn w:val="1034"/>
    <w:next w:val="1048"/>
    <w:link w:val="1058"/>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038">
    <w:name w:val="Heading 4"/>
    <w:basedOn w:val="1034"/>
    <w:next w:val="1048"/>
    <w:link w:val="1068"/>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039">
    <w:name w:val="Heading 5"/>
    <w:basedOn w:val="1034"/>
    <w:next w:val="1048"/>
    <w:link w:val="1069"/>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040">
    <w:name w:val="Heading 6"/>
    <w:basedOn w:val="1034"/>
    <w:next w:val="1034"/>
    <w:link w:val="1074"/>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041">
    <w:name w:val="Heading 7"/>
    <w:basedOn w:val="1034"/>
    <w:next w:val="1034"/>
    <w:link w:val="1075"/>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042">
    <w:name w:val="Heading 8"/>
    <w:basedOn w:val="1034"/>
    <w:next w:val="1034"/>
    <w:link w:val="1076"/>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043">
    <w:name w:val="Heading 9"/>
    <w:basedOn w:val="1034"/>
    <w:next w:val="1034"/>
    <w:link w:val="1077"/>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044" w:default="1">
    <w:name w:val="Default Paragraph Font"/>
    <w:uiPriority w:val="1"/>
    <w:semiHidden/>
    <w:unhideWhenUsed/>
    <w:pPr>
      <w:pBdr/>
      <w:spacing/>
      <w:ind/>
    </w:pPr>
  </w:style>
  <w:style w:type="table" w:styleId="10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6" w:default="1">
    <w:name w:val="No List"/>
    <w:uiPriority w:val="99"/>
    <w:semiHidden/>
    <w:unhideWhenUsed/>
    <w:pPr>
      <w:pBdr/>
      <w:spacing/>
      <w:ind/>
    </w:pPr>
  </w:style>
  <w:style w:type="paragraph" w:styleId="1047" w:customStyle="1">
    <w:name w:val="1_Para_FlushLeft"/>
    <w:basedOn w:val="1034"/>
    <w:next w:val="1048"/>
    <w:qFormat/>
    <w:pPr>
      <w:pBdr/>
      <w:spacing w:before="120"/>
      <w:ind/>
    </w:pPr>
    <w:rPr>
      <w:lang w:val="en-CA"/>
    </w:rPr>
  </w:style>
  <w:style w:type="paragraph" w:styleId="1048" w:customStyle="1">
    <w:name w:val="1_Para"/>
    <w:basedOn w:val="1047"/>
    <w:qFormat/>
    <w:pPr>
      <w:pBdr/>
      <w:spacing/>
      <w:ind w:firstLine="720"/>
    </w:pPr>
  </w:style>
  <w:style w:type="paragraph" w:styleId="1049" w:customStyle="1">
    <w:name w:val="1_Para_HangingIndent"/>
    <w:basedOn w:val="1047"/>
    <w:next w:val="1048"/>
    <w:qFormat/>
    <w:pPr>
      <w:pBdr/>
      <w:spacing/>
      <w:ind w:hanging="720" w:left="720"/>
    </w:pPr>
  </w:style>
  <w:style w:type="paragraph" w:styleId="1050" w:customStyle="1">
    <w:name w:val="9_TitlePage_Title"/>
    <w:basedOn w:val="1034"/>
    <w:qFormat/>
    <w:pPr>
      <w:pBdr/>
      <w:spacing w:after="0" w:before="840"/>
      <w:ind/>
      <w:jc w:val="center"/>
    </w:pPr>
    <w:rPr>
      <w:b/>
      <w:sz w:val="34"/>
      <w:szCs w:val="34"/>
    </w:rPr>
  </w:style>
  <w:style w:type="character" w:styleId="1051">
    <w:name w:val="Emphasis"/>
    <w:basedOn w:val="1044"/>
    <w:uiPriority w:val="20"/>
    <w:qFormat/>
    <w:pPr>
      <w:pBdr/>
      <w:spacing/>
      <w:ind/>
    </w:pPr>
    <w:rPr>
      <w:i/>
      <w:iCs/>
    </w:rPr>
  </w:style>
  <w:style w:type="paragraph" w:styleId="1052" w:customStyle="1">
    <w:name w:val="9_TitlePage_Text"/>
    <w:basedOn w:val="1034"/>
    <w:next w:val="1048"/>
    <w:qFormat/>
    <w:pPr>
      <w:pBdr/>
      <w:spacing w:after="360" w:before="360"/>
      <w:ind/>
      <w:jc w:val="center"/>
    </w:pPr>
    <w:rPr>
      <w:sz w:val="24"/>
    </w:rPr>
  </w:style>
  <w:style w:type="character" w:styleId="1053" w:customStyle="1">
    <w:name w:val="Heading 1 Char"/>
    <w:basedOn w:val="1044"/>
    <w:link w:val="1035"/>
    <w:uiPriority w:val="9"/>
    <w:pPr>
      <w:pBdr/>
      <w:spacing/>
      <w:ind/>
    </w:pPr>
    <w:rPr>
      <w:rFonts w:ascii="Arial" w:hAnsi="Arial" w:eastAsiaTheme="majorEastAsia" w:cstheme="majorBidi"/>
      <w:b/>
      <w:color w:val="000000" w:themeColor="text1"/>
      <w:sz w:val="34"/>
      <w:szCs w:val="32"/>
      <w:lang w:val="en-CA"/>
    </w:rPr>
  </w:style>
  <w:style w:type="character" w:styleId="1054" w:customStyle="1">
    <w:name w:val="Heading 2 Char"/>
    <w:basedOn w:val="1044"/>
    <w:link w:val="1036"/>
    <w:uiPriority w:val="9"/>
    <w:pPr>
      <w:pBdr/>
      <w:spacing/>
      <w:ind/>
    </w:pPr>
    <w:rPr>
      <w:rFonts w:ascii="Arial" w:hAnsi="Arial" w:eastAsiaTheme="majorEastAsia" w:cstheme="majorBidi"/>
      <w:b/>
      <w:color w:val="000000" w:themeColor="text1"/>
      <w:sz w:val="30"/>
      <w:szCs w:val="26"/>
      <w:lang w:val="en-CA"/>
    </w:rPr>
  </w:style>
  <w:style w:type="paragraph" w:styleId="1055" w:customStyle="1">
    <w:name w:val="Heading 1_Preliminary"/>
    <w:basedOn w:val="1036"/>
    <w:next w:val="1048"/>
    <w:qFormat/>
    <w:pPr>
      <w:pageBreakBefore w:val="true"/>
      <w:numPr>
        <w:ilvl w:val="0"/>
        <w:numId w:val="0"/>
      </w:numPr>
      <w:pBdr/>
      <w:spacing w:before="120"/>
      <w:ind/>
    </w:pPr>
  </w:style>
  <w:style w:type="paragraph" w:styleId="1056" w:customStyle="1">
    <w:name w:val="Heading 1_NoNumber"/>
    <w:basedOn w:val="1047"/>
    <w:next w:val="1048"/>
    <w:qFormat/>
    <w:pPr>
      <w:pageBreakBefore w:val="true"/>
      <w:pBdr/>
      <w:spacing w:after="480" w:line="240" w:lineRule="auto"/>
      <w:ind/>
      <w:outlineLvl w:val="0"/>
    </w:pPr>
    <w:rPr>
      <w:b/>
      <w:sz w:val="34"/>
    </w:rPr>
  </w:style>
  <w:style w:type="paragraph" w:styleId="1057" w:customStyle="1">
    <w:name w:val="Heading 2_NoNumber"/>
    <w:basedOn w:val="1036"/>
    <w:next w:val="1048"/>
    <w:qFormat/>
    <w:pPr>
      <w:numPr>
        <w:ilvl w:val="0"/>
        <w:numId w:val="0"/>
      </w:numPr>
      <w:pBdr/>
      <w:spacing/>
      <w:ind/>
    </w:pPr>
  </w:style>
  <w:style w:type="character" w:styleId="1058" w:customStyle="1">
    <w:name w:val="Heading 3 Char"/>
    <w:basedOn w:val="1044"/>
    <w:link w:val="1037"/>
    <w:uiPriority w:val="9"/>
    <w:pPr>
      <w:pBdr/>
      <w:spacing/>
      <w:ind/>
    </w:pPr>
    <w:rPr>
      <w:rFonts w:ascii="Arial" w:hAnsi="Arial" w:eastAsiaTheme="majorEastAsia" w:cstheme="majorBidi"/>
      <w:b/>
      <w:color w:val="000000" w:themeColor="text1"/>
      <w:sz w:val="26"/>
      <w:szCs w:val="24"/>
      <w:lang w:val="en-CA"/>
    </w:rPr>
  </w:style>
  <w:style w:type="paragraph" w:styleId="1059" w:customStyle="1">
    <w:name w:val="Heading 3_NoNumber"/>
    <w:basedOn w:val="1037"/>
    <w:next w:val="1048"/>
    <w:qFormat/>
    <w:pPr>
      <w:numPr>
        <w:ilvl w:val="0"/>
        <w:numId w:val="0"/>
      </w:numPr>
      <w:pBdr/>
      <w:spacing/>
      <w:ind/>
    </w:pPr>
  </w:style>
  <w:style w:type="paragraph" w:styleId="1060">
    <w:name w:val="toc 2"/>
    <w:basedOn w:val="1034"/>
    <w:next w:val="1034"/>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061">
    <w:name w:val="toc 1"/>
    <w:basedOn w:val="1034"/>
    <w:next w:val="1034"/>
    <w:uiPriority w:val="39"/>
    <w:unhideWhenUsed/>
    <w:qFormat/>
    <w:pPr>
      <w:pBdr/>
      <w:tabs>
        <w:tab w:val="right" w:leader="dot" w:pos="8630"/>
      </w:tabs>
      <w:spacing w:after="0" w:before="240" w:line="240" w:lineRule="auto"/>
      <w:ind w:hanging="605" w:left="605"/>
    </w:pPr>
    <w:rPr>
      <w:b/>
      <w:bCs/>
      <w:szCs w:val="24"/>
    </w:rPr>
  </w:style>
  <w:style w:type="paragraph" w:styleId="1062">
    <w:name w:val="toc 3"/>
    <w:basedOn w:val="1034"/>
    <w:next w:val="1034"/>
    <w:uiPriority w:val="39"/>
    <w:unhideWhenUsed/>
    <w:qFormat/>
    <w:pPr>
      <w:pBdr/>
      <w:spacing w:after="0" w:before="40" w:line="240" w:lineRule="auto"/>
      <w:ind w:hanging="835" w:left="1440"/>
    </w:pPr>
    <w:rPr>
      <w:szCs w:val="20"/>
    </w:rPr>
  </w:style>
  <w:style w:type="character" w:styleId="1063">
    <w:name w:val="Hyperlink"/>
    <w:basedOn w:val="1044"/>
    <w:uiPriority w:val="99"/>
    <w:unhideWhenUsed/>
    <w:pPr>
      <w:pBdr/>
      <w:spacing/>
      <w:ind/>
    </w:pPr>
    <w:rPr>
      <w:color w:val="0563c1" w:themeColor="hyperlink"/>
      <w:u w:val="single"/>
    </w:rPr>
  </w:style>
  <w:style w:type="paragraph" w:styleId="1064">
    <w:name w:val="Header"/>
    <w:basedOn w:val="1034"/>
    <w:link w:val="1065"/>
    <w:uiPriority w:val="99"/>
    <w:unhideWhenUsed/>
    <w:pPr>
      <w:pBdr/>
      <w:tabs>
        <w:tab w:val="center" w:leader="none" w:pos="4680"/>
        <w:tab w:val="right" w:leader="none" w:pos="9360"/>
      </w:tabs>
      <w:spacing w:after="0" w:line="240" w:lineRule="auto"/>
      <w:ind/>
    </w:pPr>
  </w:style>
  <w:style w:type="character" w:styleId="1065" w:customStyle="1">
    <w:name w:val="Header Char"/>
    <w:basedOn w:val="1044"/>
    <w:link w:val="1064"/>
    <w:uiPriority w:val="99"/>
    <w:pPr>
      <w:pBdr/>
      <w:spacing/>
      <w:ind/>
    </w:pPr>
    <w:rPr>
      <w:rFonts w:ascii="Arial" w:hAnsi="Arial"/>
    </w:rPr>
  </w:style>
  <w:style w:type="paragraph" w:styleId="1066">
    <w:name w:val="Footer"/>
    <w:basedOn w:val="1034"/>
    <w:link w:val="1067"/>
    <w:uiPriority w:val="99"/>
    <w:unhideWhenUsed/>
    <w:pPr>
      <w:pBdr/>
      <w:tabs>
        <w:tab w:val="center" w:leader="none" w:pos="4680"/>
        <w:tab w:val="right" w:leader="none" w:pos="9360"/>
      </w:tabs>
      <w:spacing w:after="0" w:line="240" w:lineRule="auto"/>
      <w:ind/>
    </w:pPr>
  </w:style>
  <w:style w:type="character" w:styleId="1067" w:customStyle="1">
    <w:name w:val="Footer Char"/>
    <w:basedOn w:val="1044"/>
    <w:link w:val="1066"/>
    <w:uiPriority w:val="99"/>
    <w:pPr>
      <w:pBdr/>
      <w:spacing/>
      <w:ind/>
    </w:pPr>
    <w:rPr>
      <w:rFonts w:ascii="Arial" w:hAnsi="Arial"/>
    </w:rPr>
  </w:style>
  <w:style w:type="character" w:styleId="1068" w:customStyle="1">
    <w:name w:val="Heading 4 Char"/>
    <w:basedOn w:val="1044"/>
    <w:link w:val="1038"/>
    <w:uiPriority w:val="9"/>
    <w:pPr>
      <w:pBdr/>
      <w:spacing/>
      <w:ind/>
    </w:pPr>
    <w:rPr>
      <w:rFonts w:ascii="Arial" w:hAnsi="Arial" w:eastAsiaTheme="majorEastAsia" w:cstheme="majorBidi"/>
      <w:b/>
      <w:i/>
      <w:iCs/>
      <w:color w:val="000000" w:themeColor="text1"/>
      <w:sz w:val="24"/>
    </w:rPr>
  </w:style>
  <w:style w:type="character" w:styleId="1069" w:customStyle="1">
    <w:name w:val="Heading 5 Char"/>
    <w:basedOn w:val="1044"/>
    <w:link w:val="1039"/>
    <w:uiPriority w:val="9"/>
    <w:pPr>
      <w:pBdr/>
      <w:spacing/>
      <w:ind/>
    </w:pPr>
    <w:rPr>
      <w:rFonts w:ascii="Arial" w:hAnsi="Arial" w:eastAsiaTheme="majorEastAsia" w:cstheme="majorBidi"/>
      <w:b/>
      <w:color w:val="000000" w:themeColor="text1"/>
    </w:rPr>
  </w:style>
  <w:style w:type="paragraph" w:styleId="1070">
    <w:name w:val="toc 4"/>
    <w:basedOn w:val="1034"/>
    <w:next w:val="1034"/>
    <w:uiPriority w:val="39"/>
    <w:unhideWhenUsed/>
    <w:pPr>
      <w:pBdr/>
      <w:tabs>
        <w:tab w:val="right" w:leader="dot" w:pos="8630"/>
      </w:tabs>
      <w:spacing w:after="0" w:before="40" w:line="240" w:lineRule="auto"/>
      <w:ind w:hanging="288" w:left="1728"/>
    </w:pPr>
    <w:rPr>
      <w:sz w:val="20"/>
      <w:szCs w:val="20"/>
    </w:rPr>
  </w:style>
  <w:style w:type="paragraph" w:styleId="1071" w:customStyle="1">
    <w:name w:val="3_Figure_NoCaptionOrNote"/>
    <w:basedOn w:val="1034"/>
    <w:next w:val="1048"/>
    <w:qFormat/>
    <w:pPr>
      <w:pBdr/>
      <w:spacing w:after="480" w:before="120" w:line="240" w:lineRule="auto"/>
      <w:ind/>
      <w:jc w:val="center"/>
    </w:pPr>
  </w:style>
  <w:style w:type="paragraph" w:styleId="1072" w:customStyle="1">
    <w:name w:val="3_CaptionAbove"/>
    <w:basedOn w:val="1034"/>
    <w:qFormat/>
    <w:pPr>
      <w:keepNext w:val="true"/>
      <w:keepLines w:val="true"/>
      <w:pBdr/>
      <w:spacing w:after="120" w:before="240" w:line="240" w:lineRule="auto"/>
      <w:ind w:hanging="1440" w:left="1440"/>
    </w:pPr>
    <w:rPr>
      <w:b/>
    </w:rPr>
  </w:style>
  <w:style w:type="paragraph" w:styleId="1073">
    <w:name w:val="table of figures"/>
    <w:basedOn w:val="1034"/>
    <w:next w:val="1034"/>
    <w:uiPriority w:val="99"/>
    <w:unhideWhenUsed/>
    <w:pPr>
      <w:pBdr/>
      <w:spacing w:after="0" w:before="80" w:line="240" w:lineRule="auto"/>
      <w:ind w:hanging="1440" w:left="1440"/>
    </w:pPr>
  </w:style>
  <w:style w:type="character" w:styleId="1074" w:customStyle="1">
    <w:name w:val="Heading 6 Char"/>
    <w:basedOn w:val="1044"/>
    <w:link w:val="1040"/>
    <w:uiPriority w:val="9"/>
    <w:semiHidden/>
    <w:pPr>
      <w:pBdr/>
      <w:spacing/>
      <w:ind/>
    </w:pPr>
    <w:rPr>
      <w:rFonts w:asciiTheme="majorHAnsi" w:hAnsiTheme="majorHAnsi" w:eastAsiaTheme="majorEastAsia" w:cstheme="majorBidi"/>
      <w:color w:val="1f4d78" w:themeColor="accent1" w:themeShade="7F"/>
    </w:rPr>
  </w:style>
  <w:style w:type="character" w:styleId="1075" w:customStyle="1">
    <w:name w:val="Heading 7 Char"/>
    <w:basedOn w:val="1044"/>
    <w:link w:val="1041"/>
    <w:uiPriority w:val="9"/>
    <w:semiHidden/>
    <w:pPr>
      <w:pBdr/>
      <w:spacing/>
      <w:ind/>
    </w:pPr>
    <w:rPr>
      <w:rFonts w:asciiTheme="majorHAnsi" w:hAnsiTheme="majorHAnsi" w:eastAsiaTheme="majorEastAsia" w:cstheme="majorBidi"/>
      <w:i/>
      <w:iCs/>
      <w:color w:val="1f4d78" w:themeColor="accent1" w:themeShade="7F"/>
    </w:rPr>
  </w:style>
  <w:style w:type="character" w:styleId="1076" w:customStyle="1">
    <w:name w:val="Heading 8 Char"/>
    <w:basedOn w:val="1044"/>
    <w:link w:val="104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77" w:customStyle="1">
    <w:name w:val="Heading 9 Char"/>
    <w:basedOn w:val="1044"/>
    <w:link w:val="104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78" w:customStyle="1">
    <w:name w:val="2_BlockQuote"/>
    <w:basedOn w:val="1034"/>
    <w:next w:val="1048"/>
    <w:qFormat/>
    <w:pPr>
      <w:pBdr/>
      <w:spacing w:before="40" w:line="240" w:lineRule="auto"/>
      <w:ind w:right="720" w:left="720"/>
      <w:jc w:val="both"/>
    </w:pPr>
  </w:style>
  <w:style w:type="paragraph" w:styleId="1079" w:customStyle="1">
    <w:name w:val="3_CaptionBelow"/>
    <w:basedOn w:val="1072"/>
    <w:next w:val="1048"/>
    <w:qFormat/>
    <w:pPr>
      <w:keepNext w:val="false"/>
      <w:pBdr/>
      <w:spacing w:after="360" w:before="120"/>
      <w:ind/>
    </w:pPr>
  </w:style>
  <w:style w:type="paragraph" w:styleId="1080" w:customStyle="1">
    <w:name w:val="3_TableData"/>
    <w:basedOn w:val="1034"/>
    <w:qFormat/>
    <w:pPr>
      <w:keepLines w:val="true"/>
      <w:pBdr/>
      <w:spacing w:after="20" w:before="20" w:line="240" w:lineRule="auto"/>
      <w:ind/>
    </w:pPr>
    <w:rPr>
      <w:rFonts w:ascii="Arial Narrow" w:hAnsi="Arial Narrow"/>
    </w:rPr>
  </w:style>
  <w:style w:type="paragraph" w:styleId="1081" w:customStyle="1">
    <w:name w:val="1_Para_NoSpace"/>
    <w:basedOn w:val="1047"/>
    <w:next w:val="1048"/>
    <w:qFormat/>
    <w:pPr>
      <w:pBdr/>
      <w:spacing w:after="40" w:line="240" w:lineRule="auto"/>
      <w:ind/>
    </w:pPr>
    <w:rPr>
      <w:rFonts w:eastAsia="Calibri" w:cs="Arial"/>
    </w:rPr>
  </w:style>
  <w:style w:type="paragraph" w:styleId="1082" w:customStyle="1">
    <w:name w:val="3_TableHeading_Column"/>
    <w:basedOn w:val="1080"/>
    <w:qFormat/>
    <w:pPr>
      <w:pBdr/>
      <w:spacing w:after="80" w:before="80"/>
      <w:ind/>
    </w:pPr>
    <w:rPr>
      <w:b/>
    </w:rPr>
  </w:style>
  <w:style w:type="paragraph" w:styleId="1083" w:customStyle="1">
    <w:name w:val="2_ParticipantQuote"/>
    <w:basedOn w:val="1078"/>
    <w:qFormat/>
    <w:pPr>
      <w:pBdr/>
      <w:spacing/>
      <w:ind/>
    </w:pPr>
    <w:rPr>
      <w:rFonts w:ascii="Verdana" w:hAnsi="Verdana"/>
      <w:iCs/>
      <w:color w:val="000000" w:themeColor="text1"/>
      <w:sz w:val="20"/>
    </w:rPr>
  </w:style>
  <w:style w:type="paragraph" w:styleId="1084" w:customStyle="1">
    <w:name w:val="2_QuestionAnswer"/>
    <w:basedOn w:val="1078"/>
    <w:next w:val="1048"/>
    <w:qFormat/>
    <w:pPr>
      <w:pBdr/>
      <w:spacing/>
      <w:ind w:hanging="864" w:left="1584"/>
    </w:pPr>
    <w:rPr>
      <w:rFonts w:ascii="Verdana" w:hAnsi="Verdana"/>
      <w:sz w:val="20"/>
    </w:rPr>
  </w:style>
  <w:style w:type="paragraph" w:styleId="1085" w:customStyle="1">
    <w:name w:val="3_Figure"/>
    <w:basedOn w:val="1071"/>
    <w:next w:val="1079"/>
    <w:qFormat/>
    <w:pPr>
      <w:keepNext w:val="true"/>
      <w:keepLines w:val="true"/>
      <w:pBdr/>
      <w:spacing w:after="0"/>
      <w:ind/>
    </w:pPr>
  </w:style>
  <w:style w:type="paragraph" w:styleId="1086" w:customStyle="1">
    <w:name w:val="2_Epigraph"/>
    <w:basedOn w:val="1078"/>
    <w:qFormat/>
    <w:pPr>
      <w:pBdr/>
      <w:spacing/>
      <w:ind/>
      <w:jc w:val="left"/>
    </w:pPr>
    <w:rPr>
      <w:i/>
    </w:rPr>
  </w:style>
  <w:style w:type="paragraph" w:styleId="1087" w:customStyle="1">
    <w:name w:val="2_List_ManualNumbering"/>
    <w:basedOn w:val="1034"/>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088" w:customStyle="1">
    <w:name w:val="2_Bullet"/>
    <w:basedOn w:val="1034"/>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089" w:customStyle="1">
    <w:name w:val="2_Poem"/>
    <w:basedOn w:val="1034"/>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090" w:customStyle="1">
    <w:name w:val="3_CaptionBelow_withNote"/>
    <w:basedOn w:val="1079"/>
    <w:next w:val="1093"/>
    <w:qFormat/>
    <w:pPr>
      <w:keepNext w:val="true"/>
      <w:pBdr/>
      <w:spacing w:after="0"/>
      <w:ind/>
    </w:pPr>
  </w:style>
  <w:style w:type="paragraph" w:styleId="1091" w:customStyle="1">
    <w:name w:val="3_TableData_Centre"/>
    <w:basedOn w:val="1080"/>
    <w:qFormat/>
    <w:pPr>
      <w:pBdr/>
      <w:spacing/>
      <w:ind/>
      <w:jc w:val="center"/>
    </w:pPr>
  </w:style>
  <w:style w:type="paragraph" w:styleId="1092" w:customStyle="1">
    <w:name w:val="3_TableData_Right"/>
    <w:basedOn w:val="1080"/>
    <w:qFormat/>
    <w:pPr>
      <w:pBdr/>
      <w:spacing/>
      <w:ind/>
      <w:jc w:val="right"/>
    </w:pPr>
  </w:style>
  <w:style w:type="paragraph" w:styleId="1093" w:customStyle="1">
    <w:name w:val="3_FigureNote"/>
    <w:basedOn w:val="1034"/>
    <w:next w:val="1048"/>
    <w:qFormat/>
    <w:pPr>
      <w:pBdr/>
      <w:spacing w:after="360" w:line="240" w:lineRule="auto"/>
      <w:ind/>
    </w:pPr>
    <w:rPr>
      <w:sz w:val="20"/>
    </w:rPr>
  </w:style>
  <w:style w:type="paragraph" w:styleId="1094" w:customStyle="1">
    <w:name w:val="5_Ref"/>
    <w:basedOn w:val="1034"/>
    <w:uiPriority w:val="99"/>
    <w:pPr>
      <w:keepLines w:val="true"/>
      <w:pBdr/>
      <w:spacing w:after="120" w:before="300" w:line="240" w:lineRule="auto"/>
      <w:ind w:hanging="720" w:left="720"/>
    </w:pPr>
    <w:rPr>
      <w:rFonts w:eastAsia="Calibri" w:cs="Arial"/>
      <w:lang w:val="en-CA"/>
    </w:rPr>
  </w:style>
  <w:style w:type="paragraph" w:styleId="1095" w:customStyle="1">
    <w:name w:val="3_TableNote"/>
    <w:basedOn w:val="1034"/>
    <w:qFormat/>
    <w:pPr>
      <w:pBdr/>
      <w:spacing w:after="360" w:before="40" w:line="240" w:lineRule="auto"/>
      <w:ind/>
    </w:pPr>
    <w:rPr>
      <w:rFonts w:ascii="Arial Narrow" w:hAnsi="Arial Narrow"/>
      <w:sz w:val="20"/>
    </w:rPr>
  </w:style>
  <w:style w:type="paragraph" w:styleId="1096" w:customStyle="1">
    <w:name w:val="5_Ref_AmerAntiq_Author"/>
    <w:basedOn w:val="1034"/>
    <w:next w:val="1097"/>
    <w:qFormat/>
    <w:pPr>
      <w:keepNext w:val="true"/>
      <w:keepLines w:val="true"/>
      <w:pBdr/>
      <w:spacing w:after="0" w:before="300" w:line="240" w:lineRule="auto"/>
      <w:ind/>
    </w:pPr>
    <w:rPr>
      <w:rFonts w:eastAsia="Calibri" w:cs="Arial"/>
      <w:lang w:val="en-CA"/>
    </w:rPr>
  </w:style>
  <w:style w:type="paragraph" w:styleId="1097" w:customStyle="1">
    <w:name w:val="5_Ref_AmerAntiq_Work"/>
    <w:basedOn w:val="1096"/>
    <w:qFormat/>
    <w:pPr>
      <w:keepNext w:val="false"/>
      <w:pBdr/>
      <w:tabs>
        <w:tab w:val="left" w:leader="none" w:pos="1080"/>
      </w:tabs>
      <w:spacing w:before="0"/>
      <w:ind w:hanging="360" w:left="720"/>
    </w:pPr>
  </w:style>
  <w:style w:type="character" w:styleId="1098">
    <w:name w:val="annotation reference"/>
    <w:basedOn w:val="1044"/>
    <w:uiPriority w:val="99"/>
    <w:semiHidden/>
    <w:unhideWhenUsed/>
    <w:pPr>
      <w:pBdr/>
      <w:spacing/>
      <w:ind/>
    </w:pPr>
    <w:rPr>
      <w:sz w:val="16"/>
      <w:szCs w:val="16"/>
    </w:rPr>
  </w:style>
  <w:style w:type="paragraph" w:styleId="1099">
    <w:name w:val="annotation text"/>
    <w:basedOn w:val="1034"/>
    <w:link w:val="1100"/>
    <w:uiPriority w:val="99"/>
    <w:semiHidden/>
    <w:unhideWhenUsed/>
    <w:pPr>
      <w:pBdr/>
      <w:spacing w:line="240" w:lineRule="auto"/>
      <w:ind/>
    </w:pPr>
    <w:rPr>
      <w:sz w:val="20"/>
      <w:szCs w:val="20"/>
    </w:rPr>
  </w:style>
  <w:style w:type="character" w:styleId="1100" w:customStyle="1">
    <w:name w:val="Comment Text Char"/>
    <w:basedOn w:val="1044"/>
    <w:link w:val="1099"/>
    <w:uiPriority w:val="99"/>
    <w:semiHidden/>
    <w:pPr>
      <w:pBdr/>
      <w:spacing/>
      <w:ind/>
    </w:pPr>
    <w:rPr>
      <w:rFonts w:ascii="Arial" w:hAnsi="Arial"/>
      <w:sz w:val="20"/>
      <w:szCs w:val="20"/>
    </w:rPr>
  </w:style>
  <w:style w:type="paragraph" w:styleId="1101">
    <w:name w:val="annotation subject"/>
    <w:basedOn w:val="1099"/>
    <w:next w:val="1099"/>
    <w:link w:val="1102"/>
    <w:uiPriority w:val="99"/>
    <w:semiHidden/>
    <w:unhideWhenUsed/>
    <w:pPr>
      <w:pBdr/>
      <w:spacing/>
      <w:ind/>
    </w:pPr>
    <w:rPr>
      <w:b/>
      <w:bCs/>
    </w:rPr>
  </w:style>
  <w:style w:type="character" w:styleId="1102" w:customStyle="1">
    <w:name w:val="Comment Subject Char"/>
    <w:basedOn w:val="1100"/>
    <w:link w:val="1101"/>
    <w:uiPriority w:val="99"/>
    <w:semiHidden/>
    <w:pPr>
      <w:pBdr/>
      <w:spacing/>
      <w:ind/>
    </w:pPr>
    <w:rPr>
      <w:rFonts w:ascii="Arial" w:hAnsi="Arial"/>
      <w:b/>
      <w:bCs/>
      <w:sz w:val="20"/>
      <w:szCs w:val="20"/>
    </w:rPr>
  </w:style>
  <w:style w:type="paragraph" w:styleId="1103">
    <w:name w:val="Balloon Text"/>
    <w:basedOn w:val="1034"/>
    <w:link w:val="1104"/>
    <w:uiPriority w:val="99"/>
    <w:semiHidden/>
    <w:unhideWhenUsed/>
    <w:pPr>
      <w:pBdr/>
      <w:spacing w:after="0" w:line="240" w:lineRule="auto"/>
      <w:ind/>
    </w:pPr>
    <w:rPr>
      <w:rFonts w:ascii="Segoe UI" w:hAnsi="Segoe UI" w:cs="Segoe UI"/>
      <w:sz w:val="18"/>
      <w:szCs w:val="18"/>
    </w:rPr>
  </w:style>
  <w:style w:type="character" w:styleId="1104" w:customStyle="1">
    <w:name w:val="Balloon Text Char"/>
    <w:basedOn w:val="1044"/>
    <w:link w:val="1103"/>
    <w:uiPriority w:val="99"/>
    <w:semiHidden/>
    <w:pPr>
      <w:pBdr/>
      <w:spacing/>
      <w:ind/>
    </w:pPr>
    <w:rPr>
      <w:rFonts w:ascii="Segoe UI" w:hAnsi="Segoe UI" w:cs="Segoe UI"/>
      <w:sz w:val="18"/>
      <w:szCs w:val="18"/>
    </w:rPr>
  </w:style>
  <w:style w:type="table" w:styleId="1105">
    <w:name w:val="Table Grid"/>
    <w:basedOn w:val="104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6">
    <w:name w:val="Caption"/>
    <w:basedOn w:val="1034"/>
    <w:next w:val="1034"/>
    <w:uiPriority w:val="35"/>
    <w:unhideWhenUsed/>
    <w:qFormat/>
    <w:pPr>
      <w:pBdr/>
      <w:spacing w:after="200" w:line="240" w:lineRule="auto"/>
      <w:ind/>
    </w:pPr>
    <w:rPr>
      <w:i/>
      <w:iCs/>
      <w:color w:val="44546a" w:themeColor="text2"/>
      <w:sz w:val="18"/>
      <w:szCs w:val="18"/>
    </w:rPr>
  </w:style>
  <w:style w:type="numbering" w:styleId="1107" w:customStyle="1">
    <w:name w:val="No List1"/>
    <w:next w:val="1046"/>
    <w:uiPriority w:val="99"/>
    <w:semiHidden/>
    <w:unhideWhenUsed/>
    <w:pPr>
      <w:pBdr/>
      <w:spacing/>
      <w:ind/>
    </w:pPr>
  </w:style>
  <w:style w:type="paragraph" w:styleId="1108">
    <w:name w:val="List Paragraph"/>
    <w:basedOn w:val="1034"/>
    <w:uiPriority w:val="34"/>
    <w:qFormat/>
    <w:pPr>
      <w:pBdr/>
      <w:spacing w:after="100" w:before="100" w:line="240" w:lineRule="auto"/>
      <w:ind w:left="720"/>
      <w:contextualSpacing w:val="true"/>
      <w:jc w:val="both"/>
    </w:pPr>
    <w:rPr>
      <w:rFonts w:ascii="Calibri" w:hAnsi="Calibri"/>
    </w:rPr>
  </w:style>
  <w:style w:type="paragraph" w:styleId="1109" w:customStyle="1">
    <w:name w:val="Default"/>
    <w:pPr>
      <w:pBdr/>
      <w:spacing w:after="0" w:before="100" w:line="240" w:lineRule="auto"/>
      <w:ind/>
      <w:jc w:val="both"/>
    </w:pPr>
    <w:rPr>
      <w:rFonts w:ascii="Arial" w:hAnsi="Arial" w:cs="Arial"/>
      <w:color w:val="000000"/>
      <w:sz w:val="24"/>
      <w:szCs w:val="24"/>
    </w:rPr>
  </w:style>
  <w:style w:type="paragraph" w:styleId="1110">
    <w:name w:val="Normal (Web)"/>
    <w:basedOn w:val="1034"/>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11">
    <w:name w:val="Placeholder Text"/>
    <w:basedOn w:val="1044"/>
    <w:uiPriority w:val="99"/>
    <w:semiHidden/>
    <w:pPr>
      <w:pBdr/>
      <w:spacing/>
      <w:ind/>
    </w:pPr>
    <w:rPr>
      <w:color w:val="808080"/>
    </w:rPr>
  </w:style>
  <w:style w:type="paragraph" w:styleId="1112">
    <w:name w:val="TOC Heading"/>
    <w:basedOn w:val="1035"/>
    <w:next w:val="1034"/>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13" w:customStyle="1">
    <w:name w:val="FollowedHyperlink1"/>
    <w:basedOn w:val="1044"/>
    <w:uiPriority w:val="99"/>
    <w:semiHidden/>
    <w:unhideWhenUsed/>
    <w:pPr>
      <w:pBdr/>
      <w:spacing/>
      <w:ind/>
    </w:pPr>
    <w:rPr>
      <w:color w:val="800080"/>
      <w:u w:val="single"/>
    </w:rPr>
  </w:style>
  <w:style w:type="paragraph" w:styleId="1114">
    <w:name w:val="endnote text"/>
    <w:basedOn w:val="1034"/>
    <w:link w:val="1115"/>
    <w:uiPriority w:val="99"/>
    <w:unhideWhenUsed/>
    <w:pPr>
      <w:pBdr/>
      <w:spacing w:after="0" w:before="100" w:line="240" w:lineRule="auto"/>
      <w:ind/>
      <w:jc w:val="both"/>
    </w:pPr>
    <w:rPr>
      <w:rFonts w:ascii="Calibri" w:hAnsi="Calibri"/>
      <w:sz w:val="20"/>
      <w:szCs w:val="20"/>
    </w:rPr>
  </w:style>
  <w:style w:type="character" w:styleId="1115" w:customStyle="1">
    <w:name w:val="Endnote Text Char"/>
    <w:basedOn w:val="1044"/>
    <w:link w:val="1114"/>
    <w:uiPriority w:val="99"/>
    <w:pPr>
      <w:pBdr/>
      <w:spacing/>
      <w:ind/>
    </w:pPr>
    <w:rPr>
      <w:rFonts w:ascii="Calibri" w:hAnsi="Calibri"/>
      <w:sz w:val="20"/>
      <w:szCs w:val="20"/>
    </w:rPr>
  </w:style>
  <w:style w:type="character" w:styleId="1116">
    <w:name w:val="endnote reference"/>
    <w:basedOn w:val="1044"/>
    <w:uiPriority w:val="99"/>
    <w:semiHidden/>
    <w:unhideWhenUsed/>
    <w:pPr>
      <w:pBdr/>
      <w:spacing/>
      <w:ind/>
    </w:pPr>
    <w:rPr>
      <w:vertAlign w:val="superscript"/>
    </w:rPr>
  </w:style>
  <w:style w:type="paragraph" w:styleId="1117">
    <w:name w:val="footnote text"/>
    <w:basedOn w:val="1034"/>
    <w:link w:val="1118"/>
    <w:uiPriority w:val="99"/>
    <w:unhideWhenUsed/>
    <w:pPr>
      <w:pBdr/>
      <w:spacing w:after="0" w:before="100" w:line="240" w:lineRule="auto"/>
      <w:ind/>
    </w:pPr>
    <w:rPr>
      <w:sz w:val="20"/>
      <w:szCs w:val="20"/>
    </w:rPr>
  </w:style>
  <w:style w:type="character" w:styleId="1118" w:customStyle="1">
    <w:name w:val="Footnote Text Char"/>
    <w:basedOn w:val="1044"/>
    <w:link w:val="1117"/>
    <w:uiPriority w:val="99"/>
    <w:pPr>
      <w:pBdr/>
      <w:spacing/>
      <w:ind/>
    </w:pPr>
    <w:rPr>
      <w:rFonts w:ascii="Arial" w:hAnsi="Arial"/>
      <w:sz w:val="20"/>
      <w:szCs w:val="20"/>
    </w:rPr>
  </w:style>
  <w:style w:type="character" w:styleId="1119">
    <w:name w:val="footnote reference"/>
    <w:basedOn w:val="1044"/>
    <w:uiPriority w:val="99"/>
    <w:semiHidden/>
    <w:unhideWhenUsed/>
    <w:pPr>
      <w:pBdr/>
      <w:spacing/>
      <w:ind/>
    </w:pPr>
    <w:rPr>
      <w:vertAlign w:val="superscript"/>
    </w:rPr>
  </w:style>
  <w:style w:type="character" w:styleId="1120">
    <w:name w:val="Strong"/>
    <w:basedOn w:val="1044"/>
    <w:uiPriority w:val="22"/>
    <w:qFormat/>
    <w:pPr>
      <w:pBdr/>
      <w:spacing/>
      <w:ind/>
    </w:pPr>
    <w:rPr>
      <w:b/>
      <w:bCs/>
      <w:sz w:val="24"/>
      <w:szCs w:val="24"/>
      <w:vertAlign w:val="baseline"/>
    </w:rPr>
  </w:style>
  <w:style w:type="character" w:styleId="1121">
    <w:name w:val="FollowedHyperlink"/>
    <w:basedOn w:val="1044"/>
    <w:uiPriority w:val="99"/>
    <w:semiHidden/>
    <w:unhideWhenUsed/>
    <w:pPr>
      <w:pBdr/>
      <w:spacing/>
      <w:ind/>
    </w:pPr>
    <w:rPr>
      <w:color w:val="954f72" w:themeColor="followedHyperlink"/>
      <w:u w:val="single"/>
    </w:rPr>
  </w:style>
  <w:style w:type="paragraph" w:styleId="1122">
    <w:name w:val="Body Text 2"/>
    <w:basedOn w:val="1034"/>
    <w:link w:val="1123"/>
    <w:uiPriority w:val="99"/>
    <w:unhideWhenUsed/>
    <w:pPr>
      <w:pBdr/>
      <w:spacing w:after="120" w:line="480" w:lineRule="auto"/>
      <w:ind/>
    </w:pPr>
  </w:style>
  <w:style w:type="character" w:styleId="1123" w:customStyle="1">
    <w:name w:val="Body Text 2 Char"/>
    <w:basedOn w:val="1044"/>
    <w:link w:val="1122"/>
    <w:uiPriority w:val="99"/>
    <w:pPr>
      <w:pBdr/>
      <w:spacing/>
      <w:ind/>
    </w:pPr>
    <w:rPr>
      <w:rFonts w:ascii="Arial" w:hAnsi="Arial"/>
    </w:rPr>
  </w:style>
  <w:style w:type="paragraph" w:styleId="1124">
    <w:name w:val="toc 5"/>
    <w:basedOn w:val="1034"/>
    <w:next w:val="1034"/>
    <w:uiPriority w:val="39"/>
    <w:unhideWhenUsed/>
    <w:pPr>
      <w:pBdr/>
      <w:spacing w:after="0" w:before="40" w:line="240" w:lineRule="auto"/>
      <w:ind w:left="662"/>
    </w:pPr>
    <w:rPr>
      <w:szCs w:val="20"/>
    </w:rPr>
  </w:style>
  <w:style w:type="paragraph" w:styleId="1125">
    <w:name w:val="toc 6"/>
    <w:basedOn w:val="1034"/>
    <w:next w:val="1034"/>
    <w:uiPriority w:val="39"/>
    <w:unhideWhenUsed/>
    <w:pPr>
      <w:pBdr/>
      <w:spacing w:after="0"/>
      <w:ind w:left="880"/>
    </w:pPr>
    <w:rPr>
      <w:rFonts w:asciiTheme="minorHAnsi" w:hAnsiTheme="minorHAnsi"/>
      <w:sz w:val="20"/>
      <w:szCs w:val="20"/>
    </w:rPr>
  </w:style>
  <w:style w:type="paragraph" w:styleId="1126">
    <w:name w:val="toc 7"/>
    <w:basedOn w:val="1034"/>
    <w:next w:val="1034"/>
    <w:uiPriority w:val="39"/>
    <w:unhideWhenUsed/>
    <w:pPr>
      <w:pBdr/>
      <w:spacing w:after="0"/>
      <w:ind w:left="1100"/>
    </w:pPr>
    <w:rPr>
      <w:rFonts w:asciiTheme="minorHAnsi" w:hAnsiTheme="minorHAnsi"/>
      <w:sz w:val="20"/>
      <w:szCs w:val="20"/>
    </w:rPr>
  </w:style>
  <w:style w:type="paragraph" w:styleId="1127">
    <w:name w:val="toc 8"/>
    <w:basedOn w:val="1034"/>
    <w:next w:val="1034"/>
    <w:uiPriority w:val="39"/>
    <w:unhideWhenUsed/>
    <w:pPr>
      <w:pBdr/>
      <w:spacing w:after="0"/>
      <w:ind w:left="1320"/>
    </w:pPr>
    <w:rPr>
      <w:rFonts w:asciiTheme="minorHAnsi" w:hAnsiTheme="minorHAnsi"/>
      <w:sz w:val="20"/>
      <w:szCs w:val="20"/>
    </w:rPr>
  </w:style>
  <w:style w:type="paragraph" w:styleId="1128">
    <w:name w:val="toc 9"/>
    <w:basedOn w:val="1034"/>
    <w:next w:val="1034"/>
    <w:uiPriority w:val="39"/>
    <w:unhideWhenUsed/>
    <w:pPr>
      <w:pBdr/>
      <w:spacing w:after="0"/>
      <w:ind w:left="1540"/>
    </w:pPr>
    <w:rPr>
      <w:rFonts w:asciiTheme="minorHAnsi" w:hAnsiTheme="minorHAnsi"/>
      <w:sz w:val="20"/>
      <w:szCs w:val="20"/>
    </w:rPr>
  </w:style>
  <w:style w:type="paragraph" w:styleId="1129" w:customStyle="1">
    <w:name w:val="Reference"/>
    <w:basedOn w:val="1130"/>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130">
    <w:name w:val="Body Text"/>
    <w:basedOn w:val="1034"/>
    <w:link w:val="1131"/>
    <w:uiPriority w:val="99"/>
    <w:semiHidden/>
    <w:unhideWhenUsed/>
    <w:pPr>
      <w:pBdr/>
      <w:spacing w:after="120"/>
      <w:ind/>
    </w:pPr>
  </w:style>
  <w:style w:type="character" w:styleId="1131" w:customStyle="1">
    <w:name w:val="Body Text Char"/>
    <w:basedOn w:val="1044"/>
    <w:link w:val="1130"/>
    <w:uiPriority w:val="99"/>
    <w:semiHidden/>
    <w:pPr>
      <w:pBdr/>
      <w:spacing/>
      <w:ind/>
    </w:pPr>
    <w:rPr>
      <w:rFonts w:ascii="Arial" w:hAnsi="Arial"/>
    </w:rPr>
  </w:style>
  <w:style w:type="paragraph" w:styleId="1132">
    <w:name w:val="Document Map"/>
    <w:basedOn w:val="1034"/>
    <w:link w:val="1133"/>
    <w:uiPriority w:val="99"/>
    <w:semiHidden/>
    <w:unhideWhenUsed/>
    <w:pPr>
      <w:pBdr/>
      <w:spacing w:after="0" w:line="240" w:lineRule="auto"/>
      <w:ind/>
    </w:pPr>
    <w:rPr>
      <w:rFonts w:ascii="Lucida Grande" w:hAnsi="Lucida Grande" w:cs="Lucida Grande"/>
      <w:sz w:val="24"/>
      <w:szCs w:val="24"/>
    </w:rPr>
  </w:style>
  <w:style w:type="character" w:styleId="1133" w:customStyle="1">
    <w:name w:val="Document Map Char"/>
    <w:basedOn w:val="1044"/>
    <w:link w:val="1132"/>
    <w:uiPriority w:val="99"/>
    <w:semiHidden/>
    <w:pPr>
      <w:pBdr/>
      <w:spacing/>
      <w:ind/>
    </w:pPr>
    <w:rPr>
      <w:rFonts w:ascii="Lucida Grande" w:hAnsi="Lucida Grande" w:cs="Lucida Grande"/>
      <w:sz w:val="24"/>
      <w:szCs w:val="24"/>
    </w:rPr>
  </w:style>
  <w:style w:type="table" w:styleId="1134">
    <w:name w:val="Grid Table 4 Accent 1"/>
    <w:basedOn w:val="1045"/>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3"/>
    <w:basedOn w:val="1045"/>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2"/>
    <w:basedOn w:val="1045"/>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doi.org/10.3390/app15062983." TargetMode="External"/><Relationship Id="rId23" Type="http://schemas.openxmlformats.org/officeDocument/2006/relationships/hyperlink" Target="https://arxiv.org/abs/2305.1041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9</cp:revision>
  <dcterms:modified xsi:type="dcterms:W3CDTF">2026-03-06T21:57:37Z</dcterms:modified>
</cp:coreProperties>
</file>