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050"/>
        <w:suppressLineNumbers w:val="false"/>
        <w:pBdr/>
        <w:spacing w:line="300" w:lineRule="auto"/>
        <w:ind/>
        <w:rPr/>
      </w:pPr>
      <w:r>
        <w:t xml:space="preserve">                                                                                                                                                                        </w:t>
      </w:r>
      <w:r>
        <w:t xml:space="preserve">Generative AI Based on Medical Visual Question Answering (VQA) Techniques</w:t>
      </w:r>
      <w:r/>
    </w:p>
    <w:p w14:paraId="13CB27D0" w14:textId="50B9AC34">
      <w:pPr>
        <w:pStyle w:val="1052"/>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052"/>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052"/>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052"/>
        <w:suppressLineNumbers w:val="false"/>
        <w:pBdr/>
        <w:spacing w:line="300" w:lineRule="auto"/>
        <w:ind/>
        <w:rPr/>
      </w:pPr>
      <w:r/>
      <w:r/>
    </w:p>
    <w:p w14:paraId="06B81385" w14:textId="16F92474">
      <w:pPr>
        <w:pStyle w:val="1052"/>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2025</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052"/>
        <w:suppressLineNumbers w:val="false"/>
        <w:pBdr/>
        <w:spacing w:line="300" w:lineRule="auto"/>
        <w:ind/>
        <w:rPr/>
      </w:pPr>
      <w:r/>
      <w:r/>
    </w:p>
    <w:p w14:paraId="38105075" w14:textId="77777777">
      <w:pPr>
        <w:pStyle w:val="1047"/>
        <w:suppressLineNumbers w:val="false"/>
        <w:pBdr/>
        <w:spacing w:line="300" w:lineRule="auto"/>
        <w:ind/>
        <w:jc w:val="center"/>
        <w:rPr/>
      </w:pPr>
      <w:r/>
      <w:r/>
    </w:p>
    <w:p w14:paraId="1307437E" w14:textId="36D59F4F">
      <w:pPr>
        <w:pStyle w:val="1052"/>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055"/>
        <w:suppressLineNumbers w:val="false"/>
        <w:pBdr/>
        <w:spacing w:line="300" w:lineRule="auto"/>
        <w:ind/>
        <w:rPr/>
      </w:pPr>
      <w:r/>
      <w:bookmarkStart w:id="0" w:name="_Toc66285129"/>
      <w:r>
        <w:t xml:space="preserve">Declaration of Committee</w:t>
      </w:r>
      <w:bookmarkEnd w:id="0"/>
      <w:r/>
      <w:r/>
    </w:p>
    <w:tbl>
      <w:tblPr>
        <w:tblStyle w:val="1105"/>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081"/>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081"/>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081"/>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081"/>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081"/>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081"/>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081"/>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081"/>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081"/>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081"/>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081"/>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081"/>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081"/>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081"/>
              <w:suppressLineNumbers w:val="false"/>
              <w:pBdr/>
              <w:spacing w:line="300" w:lineRule="auto"/>
              <w:ind/>
              <w:rPr>
                <w:b/>
                <w:bCs/>
              </w:rPr>
            </w:pPr>
            <w:r>
              <w:rPr>
                <w:b/>
                <w:bCs/>
              </w:rPr>
            </w:r>
            <w:r>
              <w:rPr>
                <w:b/>
                <w:bCs/>
              </w:rPr>
            </w:r>
            <w:r>
              <w:rPr>
                <w:b/>
                <w:bCs/>
              </w:rPr>
            </w:r>
          </w:p>
        </w:tc>
      </w:tr>
    </w:tbl>
    <w:p w14:paraId="5CDFA64C" w14:textId="77777777">
      <w:pPr>
        <w:pStyle w:val="1047"/>
        <w:suppressLineNumbers w:val="false"/>
        <w:pBdr/>
        <w:spacing w:line="300" w:lineRule="auto"/>
        <w:ind/>
        <w:rPr/>
      </w:pPr>
      <w:r/>
      <w:r/>
    </w:p>
    <w:p w14:paraId="737AF15A" w14:textId="4E89F67E">
      <w:pPr>
        <w:pStyle w:val="1055"/>
        <w:suppressLineNumbers w:val="false"/>
        <w:pBdr/>
        <w:spacing w:line="300" w:lineRule="auto"/>
        <w:ind/>
        <w:rPr/>
      </w:pPr>
      <w:r/>
      <w:bookmarkStart w:id="1" w:name="_Toc66285130"/>
      <w:r>
        <w:t xml:space="preserve">Ethics Statement</w:t>
      </w:r>
      <w:bookmarkEnd w:id="1"/>
      <w:r/>
      <w:r/>
    </w:p>
    <w:p w14:paraId="1DC20FB9" w14:textId="5A59ED0F">
      <w:pPr>
        <w:pStyle w:val="1071"/>
        <w:suppressLineNumbers w:val="false"/>
        <w:pBdr/>
        <w:spacing w:line="300" w:lineRule="auto"/>
        <w:ind/>
        <w:jc w:val="left"/>
        <w:rPr/>
      </w:pPr>
      <w:r/>
      <w:r/>
    </w:p>
    <w:p w14:paraId="27BA7813" w14:textId="77777777">
      <w:pPr>
        <w:pStyle w:val="1055"/>
        <w:suppressLineNumbers w:val="false"/>
        <w:pBdr/>
        <w:spacing w:line="300" w:lineRule="auto"/>
        <w:ind/>
        <w:rPr/>
      </w:pPr>
      <w:r/>
      <w:bookmarkStart w:id="2" w:name="_Toc66285131"/>
      <w:r>
        <w:t xml:space="preserve">Abstract</w:t>
      </w:r>
      <w:bookmarkEnd w:id="2"/>
      <w:r/>
      <w:r/>
    </w:p>
    <w:p w14:paraId="1A7AE1EC">
      <w:pPr>
        <w:suppressLineNumbers w:val="false"/>
        <w:pBdr/>
        <w:spacing w:after="100" w:afterAutospacing="1" w:before="100" w:beforeAutospacing="1" w:line="300" w:lineRule="auto"/>
        <w:ind/>
        <w:rPr/>
      </w:pPr>
      <w:r>
        <w:rPr>
          <w:rFonts w:eastAsia="Times New Roman" w:cs="Arial"/>
          <w:lang w:val="en-IN" w:eastAsia="en-IN"/>
        </w:rPr>
        <w:t xml:space="preserve">M</w:t>
      </w:r>
      <w:r>
        <w:rPr>
          <w:rFonts w:eastAsia="Times New Roman" w:cs="Arial"/>
          <w:lang w:val="en-IN" w:eastAsia="en-IN"/>
        </w:rPr>
        <w:t xml:space="preserve">edical Visual Question Answering (MedVQA) promises a more useful interface for clinical AI than standalone classifiers because it allows clinicians to query images directly in natural language. In gastrointestinal (GI) endoscopy, this capability is especia</w:t>
      </w:r>
      <w:r>
        <w:rPr>
          <w:rFonts w:eastAsia="Times New Roman" w:cs="Arial"/>
          <w:lang w:val="en-IN" w:eastAsia="en-IN"/>
        </w:rPr>
        <w:t xml:space="preserve">l</w:t>
      </w:r>
      <w:r>
        <w:rPr>
          <w:rFonts w:eastAsia="Times New Roman" w:cs="Arial"/>
          <w:lang w:val="en-IN" w:eastAsia="en-IN"/>
        </w:rPr>
        <w:t xml:space="preserve">ly relevant for high-volume, high-variability workflows such as ulcerative colitis severity grading, polyp assessment, and procedure documentation. However, practical MedVQA remains limited by dataset bias, long-tail label imbalance, weak lexical grounding</w:t>
      </w:r>
      <w:r>
        <w:rPr>
          <w:rFonts w:eastAsia="Times New Roman" w:cs="Arial"/>
          <w:lang w:val="en-IN" w:eastAsia="en-IN"/>
        </w:rPr>
        <w:t xml:space="preserve"> in free-text generation, and inconsistent clinical faithfulness across question types.</w:t>
      </w:r>
      <w:r>
        <w:rPr>
          <w:rFonts w:eastAsia="Times New Roman" w:cs="Arial"/>
          <w:lang w:val="en-IN" w:eastAsia="en-IN"/>
        </w:rPr>
      </w:r>
      <w:r/>
    </w:p>
    <w:p w14:paraId="4CA5C5B0">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clinically oriented VQA framework for colonoscopy. The work is grounded in multi-dataset experimentation across HyperKvasir, Kvasir-VQA, Kvasir-VQA-x1, ImageCLEF MEDVQA-GI 2023, and LIMUC, cove</w:t>
      </w:r>
      <w:r>
        <w:rPr>
          <w:rFonts w:eastAsia="Times New Roman" w:cs="Arial"/>
          <w:lang w:val="en-IN" w:eastAsia="en-IN"/>
        </w:rPr>
        <w:t xml:space="preserve">r</w:t>
      </w:r>
      <w:r>
        <w:rPr>
          <w:rFonts w:eastAsia="Times New Roman" w:cs="Arial"/>
          <w:lang w:val="en-IN" w:eastAsia="en-IN"/>
        </w:rPr>
        <w:t xml:space="preserve">ing both closed-set and generative settings. Repository benchmarks show a clear pattern: supervised or constrained models remain substantially stronger than raw zero-shot VLMs on current GI tasks. In our saved runs, ViLT reaches 0.9089 accuracy on ImageCLE</w:t>
      </w:r>
      <w:r>
        <w:rPr>
          <w:rFonts w:eastAsia="Times New Roman" w:cs="Arial"/>
          <w:lang w:val="en-IN" w:eastAsia="en-IN"/>
        </w:rPr>
        <w:t xml:space="preserve">F</w:t>
      </w:r>
      <w:r>
        <w:rPr>
          <w:rFonts w:eastAsia="Times New Roman" w:cs="Arial"/>
          <w:lang w:val="en-IN" w:eastAsia="en-IN"/>
        </w:rPr>
        <w:t xml:space="preserve"> MEDVQA-GI validation, while Qwen2.5-VL zero-shot raw outputs collapse to 0.0007 accuracy before lexical projection. On HyperKvasir, fine-tuned ResNet50 reaches 0.8789 test accuracy, while BLIP2 zero-shot projected labels remain low (0.0638). On LIMUC seve</w:t>
      </w:r>
      <w:r>
        <w:rPr>
          <w:rFonts w:eastAsia="Times New Roman" w:cs="Arial"/>
          <w:lang w:val="en-IN" w:eastAsia="en-IN"/>
        </w:rPr>
        <w:t xml:space="preserve">rity grading, fine-tuned ResNet50 attains 0.7539 accuracy, macro-F1 0.6829, and QWK 0.8351, with persistent minority-class difficulty.</w:t>
      </w:r>
      <w:r>
        <w:rPr>
          <w:rFonts w:eastAsia="Times New Roman" w:cs="Arial"/>
          <w:lang w:val="en-IN" w:eastAsia="en-IN"/>
        </w:rPr>
      </w:r>
      <w:r/>
    </w:p>
    <w:p w14:paraId="78E5AD53">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hese findings motivate the thesis direction: move from score-only pipelines toward clinically grounded, evidence-aware multimodal reasoning that combines (1) robust visual recognition, (2) question-aware answer generation, and (3) retrieval-supported justi</w:t>
      </w:r>
      <w:r>
        <w:rPr>
          <w:rFonts w:eastAsia="Times New Roman" w:cs="Arial"/>
          <w:lang w:val="en-IN" w:eastAsia="en-IN"/>
        </w:rPr>
        <w:t xml:space="preserve">f</w:t>
      </w:r>
      <w:r>
        <w:rPr>
          <w:rFonts w:eastAsia="Times New Roman" w:cs="Arial"/>
          <w:lang w:val="en-IN" w:eastAsia="en-IN"/>
        </w:rPr>
        <w:t xml:space="preserve">ication for higher-risk decisions. The dissertation contributes a structured research agenda, scenario-driven evaluation design, and an implementation pathway for integrating VQA with retrieval-augmented generation (RAG) in GI decision support. The long-te</w:t>
      </w:r>
      <w:r>
        <w:rPr>
          <w:rFonts w:eastAsia="Times New Roman" w:cs="Arial"/>
          <w:lang w:val="en-IN" w:eastAsia="en-IN"/>
        </w:rPr>
        <w:t xml:space="preserve">rm objective is an assistant that does not only classify findings, but can explain, qualify uncertainty, and align outputs with clinician workflow and evidence-based care.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vision-language models, retrieval-augmented generation, clinical decision support</w:t>
      </w:r>
      <w:r>
        <w:rPr>
          <w:rFonts w:eastAsia="Times New Roman" w:cs="Arial"/>
        </w:rPr>
      </w:r>
      <w:r>
        <w:rPr>
          <w:rFonts w:eastAsia="Times New Roman" w:cs="Arial"/>
        </w:rPr>
      </w:r>
    </w:p>
    <w:p w14:paraId="279134F9" w14:textId="77777777">
      <w:pPr>
        <w:pStyle w:val="1055"/>
        <w:suppressLineNumbers w:val="false"/>
        <w:pBdr/>
        <w:spacing w:line="300" w:lineRule="auto"/>
        <w:ind/>
        <w:rPr>
          <w:color w:val="auto"/>
        </w:rPr>
      </w:pPr>
      <w:r>
        <w:rPr>
          <w:color w:val="auto"/>
        </w:rPr>
        <w:t xml:space="preserve">Dedication</w:t>
      </w:r>
      <w:r>
        <w:rPr>
          <w:color w:val="auto"/>
        </w:rPr>
      </w:r>
      <w:r>
        <w:rPr>
          <w:color w:val="auto"/>
        </w:rPr>
      </w:r>
    </w:p>
    <w:p w14:paraId="2F5AEE33" w14:textId="77777777">
      <w:pPr>
        <w:pStyle w:val="1055"/>
        <w:suppressLineNumbers w:val="false"/>
        <w:pBdr/>
        <w:spacing w:line="300" w:lineRule="auto"/>
        <w:ind/>
        <w:rPr/>
      </w:pPr>
      <w:r/>
      <w:bookmarkStart w:id="4" w:name="_Toc66285133"/>
      <w:r>
        <w:t xml:space="preserve">Acknowledgements</w:t>
      </w:r>
      <w:bookmarkEnd w:id="4"/>
      <w:r/>
      <w:r/>
    </w:p>
    <w:p w14:paraId="5E728AC9" w14:textId="65820004">
      <w:pPr>
        <w:pStyle w:val="1048"/>
        <w:suppressLineNumbers w:val="false"/>
        <w:pBdr/>
        <w:spacing w:line="300" w:lineRule="auto"/>
        <w:ind/>
        <w:rPr/>
      </w:pPr>
      <w:r>
        <w:t xml:space="preserve">This is an optional page. </w:t>
      </w:r>
      <w:r>
        <w:t xml:space="preserve">Use</w:t>
      </w:r>
      <w:r>
        <w:t xml:space="preserve"> your choice of paragraph style</w:t>
      </w:r>
      <w:r>
        <w:t xml:space="preserve"> for text on this page (</w:t>
      </w:r>
      <w:r>
        <w:rPr>
          <w:b/>
        </w:rPr>
        <w:t xml:space="preserve">1_Para</w:t>
      </w:r>
      <w:r>
        <w:t xml:space="preserve"> shown here).</w:t>
      </w:r>
      <w:r/>
    </w:p>
    <w:p w14:paraId="6B431FCD" w14:textId="77777777">
      <w:pPr>
        <w:pStyle w:val="1055"/>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060"/>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cs="Arial"/>
        </w:rPr>
      </w:r>
      <w:r>
        <w:rPr>
          <w:rFonts w:ascii="Arial" w:hAnsi="Arial" w:cs="Arial"/>
        </w:rPr>
      </w:r>
    </w:p>
    <w:p w14:paraId="75A7DF9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cs="Arial"/>
        </w:rPr>
      </w:r>
      <w:r>
        <w:rPr>
          <w:rFonts w:ascii="Arial" w:hAnsi="Arial" w:cs="Arial"/>
        </w:rPr>
      </w:r>
    </w:p>
    <w:p w14:paraId="2353674D">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cs="Arial"/>
        </w:rPr>
      </w:r>
      <w:r>
        <w:rPr>
          <w:rFonts w:ascii="Arial" w:hAnsi="Arial" w:cs="Arial"/>
        </w:rPr>
      </w:r>
    </w:p>
    <w:p w14:paraId="11501C8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cs="Arial"/>
        </w:rPr>
      </w:r>
      <w:r>
        <w:rPr>
          <w:rFonts w:ascii="Arial" w:hAnsi="Arial" w:cs="Arial"/>
        </w:rPr>
      </w:r>
    </w:p>
    <w:p w14:paraId="249DB12D">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cs="Arial"/>
        </w:rPr>
      </w:r>
      <w:r>
        <w:rPr>
          <w:rFonts w:ascii="Arial" w:hAnsi="Arial" w:cs="Arial"/>
        </w:rPr>
      </w:r>
    </w:p>
    <w:p w14:paraId="471ECEE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cs="Arial"/>
        </w:rPr>
      </w:r>
      <w:r>
        <w:rPr>
          <w:rFonts w:ascii="Arial" w:hAnsi="Arial" w:cs="Arial"/>
        </w:rPr>
      </w:r>
    </w:p>
    <w:p w14:paraId="3F93BBB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Tables ................................................................................................................. viii</w:t>
      </w:r>
      <w:r>
        <w:rPr>
          <w:rFonts w:ascii="Arial" w:hAnsi="Arial" w:cs="Arial"/>
        </w:rPr>
      </w:r>
      <w:r>
        <w:rPr>
          <w:rFonts w:ascii="Arial" w:hAnsi="Arial" w:cs="Arial"/>
        </w:rPr>
      </w:r>
    </w:p>
    <w:p w14:paraId="41EB7F7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Figures ................................................................................................................. ix</w:t>
      </w:r>
      <w:r>
        <w:rPr>
          <w:rFonts w:ascii="Arial" w:hAnsi="Arial" w:cs="Arial"/>
        </w:rPr>
      </w:r>
      <w:r>
        <w:rPr>
          <w:rFonts w:ascii="Arial" w:hAnsi="Arial" w:cs="Arial"/>
        </w:rPr>
      </w:r>
    </w:p>
    <w:p w14:paraId="500CAE5C">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Acronyms .............................................................................................................. x</w:t>
      </w:r>
      <w:r>
        <w:rPr>
          <w:rFonts w:ascii="Arial" w:hAnsi="Arial" w:cs="Arial"/>
        </w:rPr>
      </w:r>
      <w:r>
        <w:rPr>
          <w:rFonts w:ascii="Arial" w:hAnsi="Arial" w:cs="Arial"/>
        </w:rPr>
      </w:r>
    </w:p>
    <w:p w14:paraId="43BB55A4">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Glossary .......................................................................................................................... xi</w:t>
      </w:r>
      <w:r>
        <w:rPr>
          <w:rFonts w:ascii="Arial" w:hAnsi="Arial" w:cs="Arial"/>
        </w:rPr>
      </w:r>
      <w:r>
        <w:rPr>
          <w:rFonts w:ascii="Arial" w:hAnsi="Arial" w:cs="Arial"/>
        </w:rPr>
      </w:r>
    </w:p>
    <w:p w14:paraId="47388DA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Preface/Executive Summary/Image ............................................................................... xii</w:t>
      </w:r>
      <w:r>
        <w:rPr>
          <w:rFonts w:ascii="Arial" w:hAnsi="Arial" w:cs="Arial"/>
        </w:rPr>
      </w:r>
      <w:r>
        <w:rPr>
          <w:rFonts w:ascii="Arial" w:hAnsi="Arial" w:cs="Arial"/>
        </w:rPr>
      </w:r>
    </w:p>
    <w:p w14:paraId="2BD86F5E">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cs="Arial"/>
        </w:rPr>
      </w:r>
      <w:r>
        <w:rPr>
          <w:rFonts w:ascii="Arial" w:hAnsi="Arial" w:cs="Arial"/>
        </w:rPr>
      </w:r>
    </w:p>
    <w:p w14:paraId="218FB89A">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cs="Arial"/>
        </w:rPr>
      </w:r>
      <w:r>
        <w:rPr>
          <w:rFonts w:ascii="Arial" w:hAnsi="Arial" w:cs="Arial"/>
        </w:rPr>
      </w:r>
    </w:p>
    <w:p w14:paraId="06004D1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cs="Arial"/>
        </w:rPr>
      </w:r>
      <w:r>
        <w:rPr>
          <w:rFonts w:ascii="Arial" w:hAnsi="Arial" w:cs="Arial"/>
        </w:rPr>
      </w:r>
    </w:p>
    <w:p w14:paraId="300F052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cs="Arial"/>
        </w:rPr>
      </w:r>
      <w:r>
        <w:rPr>
          <w:rFonts w:ascii="Arial" w:hAnsi="Arial" w:cs="Arial"/>
        </w:rPr>
      </w:r>
    </w:p>
    <w:p w14:paraId="204C482C">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cs="Arial"/>
        </w:rPr>
      </w:r>
      <w:r>
        <w:rPr>
          <w:rFonts w:ascii="Arial" w:hAnsi="Arial" w:cs="Arial"/>
        </w:rPr>
      </w:r>
    </w:p>
    <w:p w14:paraId="788E3ED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cs="Arial"/>
        </w:rPr>
      </w:r>
      <w:r>
        <w:rPr>
          <w:rFonts w:ascii="Arial" w:hAnsi="Arial" w:cs="Arial"/>
        </w:rPr>
      </w:r>
    </w:p>
    <w:p w14:paraId="4716553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cs="Arial"/>
        </w:rPr>
      </w:r>
      <w:r>
        <w:rPr>
          <w:rFonts w:ascii="Arial" w:hAnsi="Arial" w:cs="Arial"/>
        </w:rPr>
      </w:r>
    </w:p>
    <w:p w14:paraId="3B33860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cs="Arial"/>
        </w:rPr>
      </w:r>
      <w:r>
        <w:rPr>
          <w:rFonts w:ascii="Arial" w:hAnsi="Arial" w:cs="Arial"/>
        </w:rPr>
      </w:r>
    </w:p>
    <w:p w14:paraId="16E1E2D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cs="Arial"/>
        </w:rPr>
      </w:r>
      <w:r>
        <w:rPr>
          <w:rFonts w:ascii="Arial" w:hAnsi="Arial" w:cs="Arial"/>
        </w:rPr>
      </w:r>
    </w:p>
    <w:p w14:paraId="719F77B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cs="Arial"/>
        </w:rPr>
      </w:r>
      <w:r>
        <w:rPr>
          <w:rFonts w:ascii="Arial" w:hAnsi="Arial" w:cs="Arial"/>
        </w:rPr>
      </w:r>
    </w:p>
    <w:p w14:paraId="14F739E7">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- 1.10 Contributions Claimed in This Dissertation ......................................................... 16</w:t>
      </w:r>
      <w:r>
        <w:rPr>
          <w:rFonts w:ascii="Arial" w:hAnsi="Arial" w:cs="Arial"/>
        </w:rPr>
      </w:r>
      <w:r>
        <w:rPr>
          <w:rFonts w:ascii="Arial" w:hAnsi="Arial" w:cs="Arial"/>
        </w:rPr>
      </w:r>
    </w:p>
    <w:p w14:paraId="1DF772F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cs="Arial"/>
        </w:rPr>
      </w:r>
      <w:r>
        <w:rPr>
          <w:rFonts w:ascii="Arial" w:hAnsi="Arial" w:cs="Arial"/>
        </w:rPr>
      </w:r>
    </w:p>
    <w:p w14:paraId="4AA05F10">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cs="Arial"/>
        </w:rPr>
      </w:r>
      <w:r>
        <w:rPr>
          <w:rFonts w:ascii="Arial" w:hAnsi="Arial" w:cs="Arial"/>
        </w:rPr>
      </w:r>
    </w:p>
    <w:p w14:paraId="612ED5E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cs="Arial"/>
        </w:rPr>
      </w:r>
      <w:r>
        <w:rPr>
          <w:rFonts w:ascii="Arial" w:hAnsi="Arial" w:cs="Arial"/>
        </w:rPr>
      </w:r>
    </w:p>
    <w:p w14:paraId="7BD900A0">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cs="Arial"/>
        </w:rPr>
      </w:r>
      <w:r>
        <w:rPr>
          <w:rFonts w:ascii="Arial" w:hAnsi="Arial" w:cs="Arial"/>
        </w:rPr>
      </w:r>
    </w:p>
    <w:p w14:paraId="1B30B803">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cs="Arial"/>
        </w:rPr>
      </w:r>
      <w:r>
        <w:rPr>
          <w:rFonts w:ascii="Arial" w:hAnsi="Arial" w:cs="Arial"/>
        </w:rPr>
      </w:r>
    </w:p>
    <w:p w14:paraId="79F3D43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cs="Arial"/>
        </w:rPr>
      </w:r>
      <w:r>
        <w:rPr>
          <w:rFonts w:ascii="Arial" w:hAnsi="Arial" w:cs="Arial"/>
        </w:rPr>
      </w:r>
    </w:p>
    <w:p w14:paraId="2DD2889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cs="Arial"/>
        </w:rPr>
      </w:r>
      <w:r>
        <w:rPr>
          <w:rFonts w:ascii="Arial" w:hAnsi="Arial" w:cs="Arial"/>
        </w:rPr>
      </w:r>
    </w:p>
    <w:p w14:paraId="6499036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cs="Arial"/>
        </w:rPr>
      </w:r>
      <w:r>
        <w:rPr>
          <w:rFonts w:ascii="Arial" w:hAnsi="Arial" w:cs="Arial"/>
        </w:rPr>
      </w:r>
    </w:p>
    <w:p w14:paraId="3DBA77E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cs="Arial"/>
        </w:rPr>
      </w:r>
      <w:r>
        <w:rPr>
          <w:rFonts w:ascii="Arial" w:hAnsi="Arial" w:cs="Arial"/>
        </w:rPr>
      </w:r>
    </w:p>
    <w:p w14:paraId="4CC8FE2B">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cs="Arial"/>
        </w:rPr>
      </w:r>
      <w:r>
        <w:rPr>
          <w:rFonts w:ascii="Arial" w:hAnsi="Arial" w:cs="Arial"/>
        </w:rPr>
      </w:r>
    </w:p>
    <w:p w14:paraId="63DFC22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cs="Arial"/>
        </w:rPr>
      </w:r>
      <w:r>
        <w:rPr>
          <w:rFonts w:ascii="Arial" w:hAnsi="Arial" w:cs="Arial"/>
        </w:rPr>
      </w:r>
    </w:p>
    <w:p w14:paraId="4604A9D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cs="Arial"/>
        </w:rPr>
      </w:r>
      <w:r>
        <w:rPr>
          <w:rFonts w:ascii="Arial" w:hAnsi="Arial" w:cs="Arial"/>
        </w:rPr>
      </w:r>
    </w:p>
    <w:p w14:paraId="443497C3">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cs="Arial"/>
        </w:rPr>
      </w:r>
      <w:r>
        <w:rPr>
          <w:rFonts w:ascii="Arial" w:hAnsi="Arial" w:cs="Arial"/>
        </w:rPr>
      </w:r>
    </w:p>
    <w:p w14:paraId="35526A9B">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cs="Arial"/>
        </w:rPr>
      </w:r>
      <w:r>
        <w:rPr>
          <w:rFonts w:ascii="Arial" w:hAnsi="Arial" w:cs="Arial"/>
        </w:rPr>
      </w:r>
    </w:p>
    <w:p w14:paraId="06E3111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cs="Arial"/>
        </w:rPr>
      </w:r>
      <w:r>
        <w:rPr>
          <w:rFonts w:ascii="Arial" w:hAnsi="Arial" w:cs="Arial"/>
        </w:rPr>
      </w:r>
    </w:p>
    <w:p w14:paraId="3E9C691A">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cs="Arial"/>
        </w:rPr>
      </w:r>
      <w:r>
        <w:rPr>
          <w:rFonts w:ascii="Arial" w:hAnsi="Arial" w:cs="Arial"/>
        </w:rPr>
      </w:r>
    </w:p>
    <w:p w14:paraId="0F4B176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cs="Arial"/>
        </w:rPr>
      </w:r>
      <w:r>
        <w:rPr>
          <w:rFonts w:ascii="Arial" w:hAnsi="Arial" w:cs="Arial"/>
        </w:rPr>
      </w:r>
    </w:p>
    <w:p w14:paraId="19249B5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cs="Arial"/>
        </w:rPr>
      </w:r>
      <w:r>
        <w:rPr>
          <w:rFonts w:ascii="Arial" w:hAnsi="Arial" w:cs="Arial"/>
        </w:rPr>
      </w:r>
    </w:p>
    <w:p w14:paraId="538B0E2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cs="Arial"/>
        </w:rPr>
      </w:r>
      <w:r>
        <w:rPr>
          <w:rFonts w:ascii="Arial" w:hAnsi="Arial" w:cs="Arial"/>
        </w:rPr>
      </w:r>
    </w:p>
    <w:p w14:paraId="54755D64">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cs="Arial"/>
        </w:rPr>
      </w:r>
      <w:r>
        <w:rPr>
          <w:rFonts w:ascii="Arial" w:hAnsi="Arial" w:cs="Arial"/>
        </w:rPr>
      </w:r>
    </w:p>
    <w:p w14:paraId="53FF13A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cs="Arial"/>
        </w:rPr>
      </w:r>
      <w:r>
        <w:rPr>
          <w:rFonts w:ascii="Arial" w:hAnsi="Arial" w:cs="Arial"/>
        </w:rPr>
      </w:r>
    </w:p>
    <w:p w14:paraId="6F6A5ED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cs="Arial"/>
        </w:rPr>
      </w:r>
      <w:r>
        <w:rPr>
          <w:rFonts w:ascii="Arial" w:hAnsi="Arial" w:cs="Arial"/>
        </w:rPr>
      </w:r>
    </w:p>
    <w:p w14:paraId="13EF3C93">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09CC846E">
      <w:pPr>
        <w:pStyle w:val="1060"/>
        <w:suppressLineNumbers w:val="false"/>
        <w:pBdr/>
        <w:spacing w:line="300" w:lineRule="auto"/>
        <w:ind/>
        <w:rPr>
          <w:rFonts w:asciiTheme="minorHAnsi" w:hAnsiTheme="minorHAnsi" w:eastAsiaTheme="minorEastAsia"/>
        </w:rPr>
      </w:pPr>
      <w:r>
        <w:rPr>
          <w:rFonts w:asciiTheme="minorHAnsi" w:hAnsiTheme="minorHAnsi" w:eastAsiaTheme="minorEastAsia"/>
          <w:bCs w:val="0"/>
          <w:szCs w:val="22"/>
        </w:rPr>
      </w:r>
      <w:r>
        <w:rPr>
          <w:rFonts w:asciiTheme="minorHAnsi" w:hAnsiTheme="minorHAnsi" w:eastAsiaTheme="minorEastAsia"/>
        </w:rPr>
      </w:r>
      <w:r>
        <w:rPr>
          <w:rFonts w:asciiTheme="minorHAnsi" w:hAnsiTheme="minorHAnsi" w:eastAsiaTheme="minorEastAsia"/>
        </w:rPr>
      </w:r>
    </w:p>
    <w:p w14:paraId="20F8E0D7" w14:textId="77777777">
      <w:pPr>
        <w:pStyle w:val="1055"/>
        <w:suppressLineNumbers w:val="false"/>
        <w:pBdr/>
        <w:spacing w:line="300" w:lineRule="auto"/>
        <w:ind/>
        <w:rPr/>
      </w:pPr>
      <w:r/>
      <w:bookmarkStart w:id="6" w:name="_Toc66285135"/>
      <w:r>
        <w:t xml:space="preserve">List of Tables</w:t>
      </w:r>
      <w:bookmarkEnd w:id="6"/>
      <w:r/>
      <w:r/>
    </w:p>
    <w:p w14:paraId="67B0D2B1" w14:textId="18DB8D31">
      <w:pPr>
        <w:pStyle w:val="1048"/>
        <w:suppressLineNumbers w:val="false"/>
        <w:pBdr/>
        <w:spacing w:line="300" w:lineRule="auto"/>
        <w:ind/>
        <w:rPr/>
      </w:pPr>
      <w:r>
        <w:rPr>
          <w:lang w:val="en-US"/>
        </w:rPr>
        <w:fldChar w:fldCharType="begin"/>
      </w:r>
      <w:r>
        <w:instrText xml:space="preserve"> TOC \c "Table" </w:instrText>
      </w:r>
      <w:r>
        <w:rPr>
          <w:lang w:val="en-US"/>
        </w:rPr>
        <w:fldChar w:fldCharType="separate"/>
      </w:r>
      <w:r>
        <w:rPr>
          <w:b/>
          <w:bCs/>
          <w:lang w:val="en-US"/>
        </w:rPr>
        <w:t xml:space="preserve">No table of figures entries found.</w:t>
      </w:r>
      <w:r>
        <w:fldChar w:fldCharType="end"/>
      </w:r>
      <w:r/>
    </w:p>
    <w:p w14:paraId="200A737F" w14:textId="601E7AB1">
      <w:pPr>
        <w:pStyle w:val="1047"/>
        <w:suppressLineNumbers w:val="false"/>
        <w:pBdr/>
        <w:spacing w:line="300" w:lineRule="auto"/>
        <w:ind/>
        <w:rPr>
          <w:highlight w:val="yellow"/>
        </w:rPr>
      </w:pPr>
      <w:r>
        <w:rPr>
          <w:highlight w:val="yellow"/>
        </w:rPr>
        <w:t xml:space="preserve">Use References&gt;Insert Caption to create caption labels and numbers. Right-click on the text above and select Update Field to update this list. See the Thesis Template Instructions for information on creating tables, figures, and captions.</w:t>
      </w:r>
      <w:r>
        <w:rPr>
          <w:highlight w:val="yellow"/>
        </w:rPr>
      </w:r>
      <w:r>
        <w:rPr>
          <w:highlight w:val="yellow"/>
        </w:rPr>
      </w:r>
    </w:p>
    <w:p w14:paraId="15B5B926" w14:textId="77777777">
      <w:pPr>
        <w:pStyle w:val="1047"/>
        <w:suppressLineNumbers w:val="false"/>
        <w:pBdr/>
        <w:spacing w:line="300" w:lineRule="auto"/>
        <w:ind/>
        <w:rPr>
          <w:highlight w:val="yellow"/>
        </w:rPr>
      </w:pPr>
      <w:r>
        <w:rPr>
          <w:highlight w:val="yellow"/>
        </w:rPr>
        <w:t xml:space="preserve">Remember to delete this note before submission. </w:t>
      </w:r>
      <w:r>
        <w:rPr>
          <w:highlight w:val="yellow"/>
        </w:rPr>
      </w:r>
      <w:r>
        <w:rPr>
          <w:highlight w:val="yellow"/>
        </w:rPr>
      </w:r>
    </w:p>
    <w:p w14:paraId="5B6E05D4" w14:textId="778C94E2">
      <w:pPr>
        <w:pStyle w:val="1047"/>
        <w:suppressLineNumbers w:val="false"/>
        <w:pBdr/>
        <w:spacing w:line="300" w:lineRule="auto"/>
        <w:ind/>
        <w:rPr/>
      </w:pPr>
      <w:r>
        <w:rPr>
          <w:highlight w:val="yellow"/>
        </w:rPr>
        <w:t xml:space="preserve">If there are no tables in the document, remove this page.</w:t>
      </w:r>
      <w:r/>
    </w:p>
    <w:p w14:paraId="058FCE8F" w14:textId="77777777">
      <w:pPr>
        <w:pStyle w:val="1055"/>
        <w:suppressLineNumbers w:val="false"/>
        <w:pBdr/>
        <w:spacing w:line="300" w:lineRule="auto"/>
        <w:ind/>
        <w:rPr/>
      </w:pPr>
      <w:r/>
      <w:bookmarkStart w:id="7" w:name="_Toc66285136"/>
      <w:r>
        <w:t xml:space="preserve">List of Figures</w:t>
      </w:r>
      <w:bookmarkEnd w:id="7"/>
      <w:r/>
      <w:r/>
    </w:p>
    <w:p w14:paraId="449CDAE5" w14:textId="77777777">
      <w:pPr>
        <w:pStyle w:val="1048"/>
        <w:suppressLineNumbers w:val="false"/>
        <w:pBdr/>
        <w:spacing w:line="300" w:lineRule="auto"/>
        <w:ind/>
        <w:rPr/>
      </w:pPr>
      <w:r/>
      <w:r/>
    </w:p>
    <w:p w14:paraId="43EE6F4B" w14:textId="77777777">
      <w:pPr>
        <w:pStyle w:val="1055"/>
        <w:suppressLineNumbers w:val="false"/>
        <w:pBdr/>
        <w:spacing w:line="300" w:lineRule="auto"/>
        <w:ind/>
        <w:rPr/>
      </w:pPr>
      <w:r/>
      <w:bookmarkStart w:id="8" w:name="_Toc66285137"/>
      <w:r>
        <w:t xml:space="preserve">List of Acronyms</w:t>
      </w:r>
      <w:bookmarkEnd w:id="8"/>
      <w:r/>
      <w:r/>
    </w:p>
    <w:tbl>
      <w:tblPr>
        <w:tblStyle w:val="110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trPr/>
        <w:tc>
          <w:tcPr>
            <w:tcBorders/>
            <w:tcW w:w="1800" w:type="dxa"/>
            <w:textDirection w:val="lrTb"/>
            <w:noWrap w:val="false"/>
          </w:tcPr>
          <w:p w14:paraId="17DF34DE" w14:textId="77777777">
            <w:pPr>
              <w:pStyle w:val="1081"/>
              <w:suppressLineNumbers w:val="false"/>
              <w:pBdr/>
              <w:spacing w:line="300" w:lineRule="auto"/>
              <w:ind/>
              <w:rPr/>
            </w:pPr>
            <w:r/>
            <w:r/>
          </w:p>
        </w:tc>
        <w:tc>
          <w:tcPr>
            <w:tcBorders/>
            <w:tcW w:w="6830" w:type="dxa"/>
            <w:textDirection w:val="lrTb"/>
            <w:noWrap w:val="false"/>
          </w:tcPr>
          <w:p w14:paraId="68FBECE8" w14:textId="77777777">
            <w:pPr>
              <w:pStyle w:val="1081"/>
              <w:suppressLineNumbers w:val="false"/>
              <w:pBdr/>
              <w:spacing w:line="300" w:lineRule="auto"/>
              <w:ind/>
              <w:rPr/>
            </w:pPr>
            <w:r/>
            <w:r/>
          </w:p>
        </w:tc>
      </w:tr>
      <w:tr>
        <w:trPr/>
        <w:tc>
          <w:tcPr>
            <w:tcBorders/>
            <w:tcW w:w="1800" w:type="dxa"/>
            <w:textDirection w:val="lrTb"/>
            <w:noWrap w:val="false"/>
          </w:tcPr>
          <w:p w14:paraId="0E94A983" w14:textId="77777777">
            <w:pPr>
              <w:pStyle w:val="1081"/>
              <w:suppressLineNumbers w:val="false"/>
              <w:pBdr/>
              <w:spacing w:line="300" w:lineRule="auto"/>
              <w:ind/>
              <w:rPr/>
            </w:pPr>
            <w:r/>
            <w:r/>
          </w:p>
        </w:tc>
        <w:tc>
          <w:tcPr>
            <w:tcBorders/>
            <w:tcW w:w="6830" w:type="dxa"/>
            <w:textDirection w:val="lrTb"/>
            <w:noWrap w:val="false"/>
          </w:tcPr>
          <w:p w14:paraId="7837B5A4" w14:textId="77777777">
            <w:pPr>
              <w:pStyle w:val="1081"/>
              <w:suppressLineNumbers w:val="false"/>
              <w:pBdr/>
              <w:spacing w:line="300" w:lineRule="auto"/>
              <w:ind/>
              <w:rPr/>
            </w:pPr>
            <w:r/>
            <w:r/>
          </w:p>
        </w:tc>
      </w:tr>
    </w:tbl>
    <w:p w14:paraId="1B68C9C0" w14:textId="77777777">
      <w:pPr>
        <w:pStyle w:val="1048"/>
        <w:suppressLineNumbers w:val="false"/>
        <w:pBdr/>
        <w:spacing w:line="300" w:lineRule="auto"/>
        <w:ind/>
        <w:rPr/>
      </w:pPr>
      <w:r/>
      <w:r/>
    </w:p>
    <w:p w14:paraId="1E1089D8" w14:textId="77777777">
      <w:pPr>
        <w:pStyle w:val="1055"/>
        <w:suppressLineNumbers w:val="false"/>
        <w:pBdr/>
        <w:spacing w:line="300" w:lineRule="auto"/>
        <w:ind/>
        <w:rPr/>
      </w:pPr>
      <w:r/>
      <w:bookmarkStart w:id="9" w:name="_Toc66285138"/>
      <w:r>
        <w:t xml:space="preserve">Glossary</w:t>
      </w:r>
      <w:bookmarkEnd w:id="9"/>
      <w:r/>
      <w:r/>
    </w:p>
    <w:tbl>
      <w:tblPr>
        <w:tblStyle w:val="110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trPr/>
        <w:tc>
          <w:tcPr>
            <w:tcBorders/>
            <w:tcW w:w="2785" w:type="dxa"/>
            <w:textDirection w:val="lrTb"/>
            <w:noWrap w:val="false"/>
          </w:tcPr>
          <w:p w14:paraId="7B84D4B1" w14:textId="0FF2DCF6">
            <w:pPr>
              <w:pStyle w:val="1081"/>
              <w:suppressLineNumbers w:val="false"/>
              <w:pBdr/>
              <w:spacing w:line="300" w:lineRule="auto"/>
              <w:ind/>
              <w:rPr/>
            </w:pPr>
            <w:r>
              <w:t xml:space="preserve">Thesis</w:t>
            </w:r>
            <w:r/>
          </w:p>
        </w:tc>
        <w:tc>
          <w:tcPr>
            <w:tcBorders/>
            <w:tcW w:w="5845" w:type="dxa"/>
            <w:textDirection w:val="lrTb"/>
            <w:noWrap w:val="false"/>
          </w:tcPr>
          <w:p w14:paraId="31E09778" w14:textId="5949C699">
            <w:pPr>
              <w:pStyle w:val="1081"/>
              <w:suppressLineNumbers w:val="false"/>
              <w:pBdr/>
              <w:spacing w:line="300" w:lineRule="auto"/>
              <w:ind/>
              <w:rPr/>
            </w:pPr>
            <w:r>
              <w:t xml:space="preserve">An ext</w:t>
            </w:r>
            <w:r>
              <w:t xml:space="preserve">ended research paper that is </w:t>
            </w:r>
            <w:r>
              <w:t xml:space="preserve">part of the final exam process for a graduate degree</w:t>
            </w:r>
            <w:r>
              <w:t xml:space="preserve">. The document may also be classified as a project or collection of extended essays.</w:t>
            </w:r>
            <w:r/>
          </w:p>
        </w:tc>
      </w:tr>
      <w:tr>
        <w:trPr/>
        <w:tc>
          <w:tcPr>
            <w:tcBorders/>
            <w:tcW w:w="2785" w:type="dxa"/>
            <w:textDirection w:val="lrTb"/>
            <w:noWrap w:val="false"/>
          </w:tcPr>
          <w:p w14:paraId="2637183F" w14:textId="30F5D137">
            <w:pPr>
              <w:pStyle w:val="1081"/>
              <w:suppressLineNumbers w:val="false"/>
              <w:pBdr/>
              <w:spacing w:line="300" w:lineRule="auto"/>
              <w:ind/>
              <w:rPr/>
            </w:pPr>
            <w:r>
              <w:t xml:space="preserve">Glossary </w:t>
            </w:r>
            <w:r/>
          </w:p>
        </w:tc>
        <w:tc>
          <w:tcPr>
            <w:tcBorders/>
            <w:tcW w:w="5845" w:type="dxa"/>
            <w:textDirection w:val="lrTb"/>
            <w:noWrap w:val="false"/>
          </w:tcPr>
          <w:p w14:paraId="2AA9EB33" w14:textId="07F6246E">
            <w:pPr>
              <w:pStyle w:val="1081"/>
              <w:suppressLineNumbers w:val="false"/>
              <w:pBdr/>
              <w:spacing w:line="300" w:lineRule="auto"/>
              <w:ind/>
              <w:rPr/>
            </w:pPr>
            <w:r>
              <w:t xml:space="preserve">An alphabetical list of key terms</w:t>
            </w:r>
            <w:r/>
          </w:p>
        </w:tc>
      </w:tr>
      <w:tr>
        <w:trPr/>
        <w:tc>
          <w:tcPr>
            <w:tcBorders/>
            <w:tcW w:w="2785" w:type="dxa"/>
            <w:textDirection w:val="lrTb"/>
            <w:noWrap w:val="false"/>
          </w:tcPr>
          <w:p w14:paraId="41BC213F" w14:textId="272B530A">
            <w:pPr>
              <w:pStyle w:val="1081"/>
              <w:suppressLineNumbers w:val="false"/>
              <w:pBdr/>
              <w:spacing w:line="300" w:lineRule="auto"/>
              <w:ind/>
              <w:rPr/>
            </w:pPr>
            <w:r/>
            <w:r/>
          </w:p>
        </w:tc>
        <w:tc>
          <w:tcPr>
            <w:tcBorders/>
            <w:tcW w:w="5845" w:type="dxa"/>
            <w:textDirection w:val="lrTb"/>
            <w:noWrap w:val="false"/>
          </w:tcPr>
          <w:p w14:paraId="69543990" w14:textId="767E8DEF">
            <w:pPr>
              <w:pStyle w:val="1081"/>
              <w:suppressLineNumbers w:val="false"/>
              <w:pBdr/>
              <w:spacing w:line="300" w:lineRule="auto"/>
              <w:ind/>
              <w:rPr/>
            </w:pPr>
            <w:r>
              <w:t xml:space="preserve">This is an optional page and can be removed if not used.</w:t>
            </w:r>
            <w:r/>
          </w:p>
        </w:tc>
      </w:tr>
      <w:tr>
        <w:trPr/>
        <w:tc>
          <w:tcPr>
            <w:tcBorders/>
            <w:tcW w:w="2785" w:type="dxa"/>
            <w:textDirection w:val="lrTb"/>
            <w:noWrap w:val="false"/>
          </w:tcPr>
          <w:p w14:paraId="4845FFFB" w14:textId="77777777">
            <w:pPr>
              <w:pStyle w:val="1081"/>
              <w:suppressLineNumbers w:val="false"/>
              <w:pBdr/>
              <w:spacing w:line="300" w:lineRule="auto"/>
              <w:ind/>
              <w:rPr/>
            </w:pPr>
            <w:r/>
            <w:r/>
          </w:p>
        </w:tc>
        <w:tc>
          <w:tcPr>
            <w:tcBorders/>
            <w:tcW w:w="5845" w:type="dxa"/>
            <w:textDirection w:val="lrTb"/>
            <w:noWrap w:val="false"/>
          </w:tcPr>
          <w:p w14:paraId="407A178D" w14:textId="701805AE">
            <w:pPr>
              <w:pStyle w:val="1081"/>
              <w:suppressLineNumbers w:val="false"/>
              <w:pBdr/>
              <w:spacing w:line="300" w:lineRule="auto"/>
              <w:ind/>
              <w:rPr/>
            </w:pPr>
            <w:r>
              <w:t xml:space="preserve">Use one table row for each item to allow sorting using Word’s table tools.</w:t>
            </w:r>
            <w:r/>
          </w:p>
        </w:tc>
      </w:tr>
      <w:tr>
        <w:trPr/>
        <w:tc>
          <w:tcPr>
            <w:tcBorders/>
            <w:tcW w:w="2785" w:type="dxa"/>
            <w:textDirection w:val="lrTb"/>
            <w:noWrap w:val="false"/>
          </w:tcPr>
          <w:p w14:paraId="6C4FC331" w14:textId="77777777">
            <w:pPr>
              <w:pStyle w:val="1081"/>
              <w:suppressLineNumbers w:val="false"/>
              <w:pBdr/>
              <w:spacing w:line="300" w:lineRule="auto"/>
              <w:ind/>
              <w:rPr/>
            </w:pPr>
            <w:r/>
            <w:r/>
          </w:p>
        </w:tc>
        <w:tc>
          <w:tcPr>
            <w:tcBorders/>
            <w:tcW w:w="5845" w:type="dxa"/>
            <w:textDirection w:val="lrTb"/>
            <w:noWrap w:val="false"/>
          </w:tcPr>
          <w:p w14:paraId="4B001707" w14:textId="54A0309B">
            <w:pPr>
              <w:pStyle w:val="1081"/>
              <w:suppressLineNumbers w:val="false"/>
              <w:pBdr/>
              <w:spacing w:line="300" w:lineRule="auto"/>
              <w:ind/>
              <w:rPr/>
            </w:pPr>
            <w:r>
              <w:t xml:space="preserve">Apply the style </w:t>
            </w:r>
            <w:r>
              <w:rPr>
                <w:b/>
              </w:rPr>
              <w:t xml:space="preserve">1_Para_NoSpace</w:t>
            </w:r>
            <w:r>
              <w:t xml:space="preserve"> </w:t>
            </w:r>
            <w:r>
              <w:t xml:space="preserve">to table rows as shown here.</w:t>
            </w:r>
            <w:r/>
          </w:p>
        </w:tc>
      </w:tr>
      <w:tr>
        <w:trPr/>
        <w:tc>
          <w:tcPr>
            <w:tcBorders/>
            <w:tcW w:w="2785" w:type="dxa"/>
            <w:textDirection w:val="lrTb"/>
            <w:noWrap w:val="false"/>
          </w:tcPr>
          <w:p w14:paraId="1A6AB485" w14:textId="77777777">
            <w:pPr>
              <w:pStyle w:val="1081"/>
              <w:suppressLineNumbers w:val="false"/>
              <w:pBdr/>
              <w:spacing w:line="300" w:lineRule="auto"/>
              <w:ind/>
              <w:rPr/>
            </w:pPr>
            <w:r/>
            <w:r/>
          </w:p>
        </w:tc>
        <w:tc>
          <w:tcPr>
            <w:tcBorders/>
            <w:tcW w:w="5845" w:type="dxa"/>
            <w:textDirection w:val="lrTb"/>
            <w:noWrap w:val="false"/>
          </w:tcPr>
          <w:p w14:paraId="0A9C17A1" w14:textId="77777777">
            <w:pPr>
              <w:pStyle w:val="1081"/>
              <w:suppressLineNumbers w:val="false"/>
              <w:pBdr/>
              <w:spacing w:line="300" w:lineRule="auto"/>
              <w:ind/>
              <w:rPr/>
            </w:pPr>
            <w:r/>
            <w:r/>
          </w:p>
        </w:tc>
      </w:tr>
    </w:tbl>
    <w:p w14:paraId="2D862DD5" w14:textId="43C6734B">
      <w:pPr>
        <w:pStyle w:val="1055"/>
        <w:suppressLineNumbers w:val="false"/>
        <w:pBdr/>
        <w:spacing w:line="300" w:lineRule="auto"/>
        <w:ind/>
        <w:rPr/>
      </w:pPr>
      <w:r/>
      <w:bookmarkStart w:id="10" w:name="_Toc66285139"/>
      <w:r>
        <w:t xml:space="preserve">Preface/Executive Summary/Image</w:t>
      </w:r>
      <w:bookmarkEnd w:id="10"/>
      <w:r/>
      <w:r/>
    </w:p>
    <w:p w14:paraId="1333C2D7" w14:textId="080E1499">
      <w:pPr>
        <w:pStyle w:val="1048"/>
        <w:suppressLineNumbers w:val="false"/>
        <w:pBdr/>
        <w:spacing w:line="300" w:lineRule="auto"/>
        <w:ind/>
        <w:rPr/>
      </w:pPr>
      <w:r>
        <w:t xml:space="preserve">This page can be used for a Preface, Executive Summary, or introductory image. This is an optional page and can be deleted if not used.</w:t>
      </w:r>
      <w:r>
        <w:t xml:space="preserve"> </w:t>
      </w:r>
      <w:r/>
    </w:p>
    <w:p w14:paraId="73A47AF6" w14:textId="41F305FC">
      <w:pPr>
        <w:pStyle w:val="1048"/>
        <w:suppressLineNumbers w:val="false"/>
        <w:pBdr/>
        <w:spacing w:line="300" w:lineRule="auto"/>
        <w:ind/>
        <w:rPr/>
      </w:pPr>
      <w:r>
        <w:t xml:space="preserve">To hide the heading at the top of this page – e.g., if using an introductory image – select the text and change the text colour to white.</w:t>
      </w:r>
      <w:r/>
    </w:p>
    <w:p w14:paraId="754C8CCF" w14:textId="055E589D">
      <w:pPr>
        <w:pStyle w:val="1048"/>
        <w:suppressLineNumbers w:val="false"/>
        <w:pBdr/>
        <w:spacing w:line="300" w:lineRule="auto"/>
        <w:ind/>
        <w:rPr/>
      </w:pPr>
      <w:r>
        <w:rPr>
          <w:highlight w:val="yellow"/>
        </w:rPr>
        <w:t xml:space="preserve">D</w:t>
      </w:r>
      <w:r>
        <w:rPr>
          <w:highlight w:val="yellow"/>
        </w:rPr>
        <w:t xml:space="preserve">o not</w:t>
      </w:r>
      <w:r>
        <w:rPr>
          <w:highlight w:val="yellow"/>
        </w:rPr>
        <w:t xml:space="preserve"> delete the </w:t>
      </w:r>
      <w:r>
        <w:rPr>
          <w:highlight w:val="yellow"/>
        </w:rPr>
        <w:t xml:space="preserve">section break</w:t>
      </w:r>
      <w:r>
        <w:rPr>
          <w:highlight w:val="yellow"/>
        </w:rPr>
        <w:t xml:space="preserve"> that follows this paragraph.</w:t>
      </w:r>
      <w:r>
        <w:rPr>
          <w:highlight w:val="yellow"/>
        </w:rPr>
        <w:t xml:space="preserve"> If the section break is not visible, turn on non-printing characters using the </w:t>
      </w:r>
      <w:r>
        <w:rPr>
          <w:highlight w:val="yellow"/>
        </w:rPr>
        <w:t xml:space="preserve">Show/Hide icon (</w:t>
      </w:r>
      <w:r>
        <w:rPr>
          <w:rFonts w:cs="Arial"/>
          <w:highlight w:val="yellow"/>
        </w:rPr>
        <w:t xml:space="preserve">¶</w:t>
      </w:r>
      <w:r>
        <w:rPr>
          <w:highlight w:val="yellow"/>
        </w:rPr>
        <w:t xml:space="preserve">) on the Home ribbon.</w:t>
      </w:r>
      <w:bookmarkStart w:id="11" w:name="_GoBack"/>
      <w:r/>
      <w:bookmarkEnd w:id="11"/>
      <w:r/>
      <w:r/>
    </w:p>
    <w:p w14:paraId="0F990FC3" w14:textId="77777777">
      <w:pPr>
        <w:pStyle w:val="1048"/>
        <w:suppressLineNumbers w:val="false"/>
        <w:pBdr/>
        <w:spacing w:line="300" w:lineRule="auto"/>
        <w:ind/>
        <w:rPr/>
      </w:pPr>
      <w:r/>
      <w:r/>
    </w:p>
    <w:p w14:paraId="7DFE54F9" w14:textId="77777777">
      <w:pPr>
        <w:pStyle w:val="1048"/>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035"/>
        <w:suppressLineNumbers w:val="false"/>
        <w:pBdr/>
        <w:spacing w:line="300" w:lineRule="auto"/>
        <w:ind/>
        <w:rPr/>
      </w:pPr>
      <w:r>
        <w:br/>
      </w:r>
      <w:r>
        <w:br/>
      </w:r>
      <w:bookmarkStart w:id="12" w:name="_Toc66285140"/>
      <w:r>
        <w:t xml:space="preserve">Introduction</w:t>
      </w:r>
      <w:bookmarkEnd w:id="12"/>
      <w:r/>
      <w:r/>
    </w:p>
    <w:p w14:paraId="5998F02E">
      <w:pPr>
        <w:pStyle w:val="1048"/>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048"/>
        <w:suppressLineNumbers w:val="false"/>
        <w:pBdr/>
        <w:spacing w:after="240" w:before="120" w:line="300" w:lineRule="auto"/>
        <w:ind w:firstLine="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048"/>
        <w:suppressLineNumbers w:val="false"/>
        <w:pBdr/>
        <w:spacing w:after="240" w:before="120" w:line="300" w:lineRule="auto"/>
        <w:ind w:firstLine="0"/>
        <w:rPr/>
      </w:pPr>
      <w:r>
        <w:t xml:space="preserve">At a glance, this chapter:</w:t>
      </w:r>
      <w:r/>
    </w:p>
    <w:p w14:paraId="4CA84745">
      <w:pPr>
        <w:pStyle w:val="1048"/>
        <w:suppressLineNumbers w:val="false"/>
        <w:pBdr/>
        <w:spacing w:after="240" w:before="120" w:line="120" w:lineRule="auto"/>
        <w:ind w:firstLine="0"/>
        <w:rPr/>
      </w:pPr>
      <w:r>
        <w:t xml:space="preserve">1. Establishes background and motivation for MedVQA in GI endoscopy.</w:t>
      </w:r>
      <w:r/>
    </w:p>
    <w:p w14:paraId="14ACB86D">
      <w:pPr>
        <w:pStyle w:val="1048"/>
        <w:suppressLineNumbers w:val="false"/>
        <w:pBdr/>
        <w:spacing w:after="240" w:before="120" w:line="120" w:lineRule="auto"/>
        <w:ind w:firstLine="0"/>
        <w:rPr/>
      </w:pPr>
      <w:r>
        <w:t xml:space="preserve">2. Defines the reliability and translational gap the dissertation addresses.</w:t>
      </w:r>
      <w:r/>
    </w:p>
    <w:p w14:paraId="6C1DB768">
      <w:pPr>
        <w:pStyle w:val="1048"/>
        <w:suppressLineNumbers w:val="false"/>
        <w:pBdr/>
        <w:spacing w:after="240" w:before="120" w:line="120" w:lineRule="auto"/>
        <w:ind w:firstLine="0"/>
        <w:rPr/>
      </w:pPr>
      <w:r>
        <w:t xml:space="preserve">3. Formalizes aim, objectives, and research questions with evaluation mapping.</w:t>
      </w:r>
      <w:r/>
    </w:p>
    <w:p w14:paraId="35CAC59A">
      <w:pPr>
        <w:pStyle w:val="1048"/>
        <w:suppressLineNumbers w:val="false"/>
        <w:pBdr/>
        <w:spacing w:after="240" w:before="120" w:line="120" w:lineRule="auto"/>
        <w:ind w:firstLine="0"/>
        <w:rPr/>
      </w:pPr>
      <w:r>
        <w:t xml:space="preserve">4. Specifies scope, assumptions, and governance constraints for defensible claims.</w:t>
      </w:r>
      <w:r/>
    </w:p>
    <w:p w14:paraId="509D5112">
      <w:pPr>
        <w:pStyle w:val="1048"/>
        <w:suppressLineNumbers w:val="false"/>
        <w:pBdr/>
        <w:spacing w:after="240" w:before="120" w:line="120" w:lineRule="auto"/>
        <w:ind w:firstLine="0"/>
        <w:rPr/>
      </w:pPr>
      <w:r>
        <w:t xml:space="preserve">5. Provides the conceptual and chapter-level roadmap used in Chapters 2 and 3.</w:t>
      </w:r>
      <w:r/>
    </w:p>
    <w:p w14:paraId="5F5E1B7B">
      <w:pPr>
        <w:pStyle w:val="1048"/>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048"/>
        <w:pBdr/>
        <w:spacing/>
        <w:ind w:firstLine="0"/>
        <w:rPr/>
      </w:pPr>
      <w:r/>
      <w:r/>
    </w:p>
    <w:p w14:paraId="1960384C" w14:textId="1BF67330">
      <w:pPr>
        <w:pStyle w:val="1048"/>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048"/>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swer clinically relevant questions expressed in natural language. In contrast to conventional image classification systems that return only categorical predictions, 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048"/>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048"/>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048"/>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048"/>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048"/>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048"/>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048"/>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048"/>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048"/>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048"/>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048"/>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048"/>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048"/>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048"/>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048"/>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048"/>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048"/>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048"/>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048"/>
        <w:suppressLineNumbers w:val="false"/>
        <w:pBdr/>
        <w:spacing w:line="300" w:lineRule="auto"/>
        <w:ind w:firstLine="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048"/>
        <w:numPr>
          <w:ilvl w:val="0"/>
          <w:numId w:val="11"/>
        </w:numPr>
        <w:suppressLineNumbers w:val="false"/>
        <w:pBdr/>
        <w:spacing w:line="120" w:lineRule="auto"/>
        <w:ind/>
        <w:rPr/>
      </w:pPr>
      <w:r>
        <w:t xml:space="preserve">Is an abnormality present?</w:t>
      </w:r>
      <w:r/>
    </w:p>
    <w:p w14:paraId="60356D3B">
      <w:pPr>
        <w:pStyle w:val="1048"/>
        <w:numPr>
          <w:ilvl w:val="0"/>
          <w:numId w:val="11"/>
        </w:numPr>
        <w:suppressLineNumbers w:val="false"/>
        <w:pBdr/>
        <w:spacing w:line="120" w:lineRule="auto"/>
        <w:ind/>
        <w:rPr/>
      </w:pPr>
      <w:r>
        <w:t xml:space="preserve">How many findings are visible?</w:t>
      </w:r>
      <w:r/>
    </w:p>
    <w:p w14:paraId="34D6544D">
      <w:pPr>
        <w:pStyle w:val="1048"/>
        <w:numPr>
          <w:ilvl w:val="0"/>
          <w:numId w:val="11"/>
        </w:numPr>
        <w:suppressLineNumbers w:val="false"/>
        <w:pBdr/>
        <w:spacing w:line="120" w:lineRule="auto"/>
        <w:ind/>
        <w:rPr/>
      </w:pPr>
      <w:r>
        <w:t xml:space="preserve">Where is the lesion located?</w:t>
      </w:r>
      <w:r/>
    </w:p>
    <w:p w14:paraId="3BB894DE">
      <w:pPr>
        <w:pStyle w:val="1048"/>
        <w:numPr>
          <w:ilvl w:val="0"/>
          <w:numId w:val="11"/>
        </w:numPr>
        <w:suppressLineNumbers w:val="false"/>
        <w:pBdr/>
        <w:spacing w:line="120" w:lineRule="auto"/>
        <w:ind/>
        <w:rPr/>
      </w:pPr>
      <w:r>
        <w:t xml:space="preserve">What type or morphology is observed?</w:t>
      </w:r>
      <w:r/>
    </w:p>
    <w:p w14:paraId="151B2E34">
      <w:pPr>
        <w:pStyle w:val="1048"/>
        <w:numPr>
          <w:ilvl w:val="0"/>
          <w:numId w:val="11"/>
        </w:numPr>
        <w:suppressLineNumbers w:val="false"/>
        <w:pBdr/>
        <w:spacing w:line="120" w:lineRule="auto"/>
        <w:ind/>
        <w:rPr/>
      </w:pPr>
      <w:r>
        <w:t xml:space="preserve">What is the likely severity of inflammation?</w:t>
      </w:r>
      <w:r/>
    </w:p>
    <w:p w14:paraId="2E00C101">
      <w:pPr>
        <w:pStyle w:val="1048"/>
        <w:suppressLineNumbers w:val="false"/>
        <w:pBdr/>
        <w:spacing w:line="300" w:lineRule="auto"/>
        <w:ind w:firstLine="0"/>
        <w:rPr/>
      </w:pPr>
      <w:r>
        <w:t xml:space="preserve">These question types map naturally to MedVQA task families and are suitable for systematic evaluation.</w:t>
      </w:r>
      <w:r/>
    </w:p>
    <w:p w14:paraId="47040743">
      <w:pPr>
        <w:pStyle w:val="1048"/>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048"/>
        <w:suppressLineNumbers w:val="false"/>
        <w:pBdr/>
        <w:spacing w:line="300" w:lineRule="auto"/>
        <w:ind w:firstLine="0"/>
        <w:rPr/>
      </w:pPr>
      <w:r>
        <w:t xml:space="preserve">Recent dataset development makes this thesis direction feasible:</w:t>
      </w:r>
      <w:r/>
    </w:p>
    <w:p w14:paraId="734AA1D9">
      <w:pPr>
        <w:pStyle w:val="1048"/>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048"/>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048"/>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048"/>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048"/>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048"/>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048"/>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048"/>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048"/>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048"/>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048"/>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048"/>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048"/>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048"/>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048"/>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048"/>
        <w:numPr>
          <w:ilvl w:val="0"/>
          <w:numId w:val="13"/>
        </w:numPr>
        <w:suppressLineNumbers w:val="false"/>
        <w:pBdr/>
        <w:spacing w:after="240" w:before="120" w:line="120" w:lineRule="auto"/>
        <w:ind/>
        <w:rPr/>
      </w:pPr>
      <w:r>
        <w:t xml:space="preserve">Fine-grained visual discrimination.</w:t>
      </w:r>
      <w:r/>
    </w:p>
    <w:p w14:paraId="202FB3F2">
      <w:pPr>
        <w:pStyle w:val="1048"/>
        <w:numPr>
          <w:ilvl w:val="0"/>
          <w:numId w:val="13"/>
        </w:numPr>
        <w:suppressLineNumbers w:val="false"/>
        <w:pBdr/>
        <w:spacing w:after="240" w:before="120" w:line="120" w:lineRule="auto"/>
        <w:ind/>
        <w:rPr/>
      </w:pPr>
      <w:r>
        <w:t xml:space="preserve">Ordinal class structure.</w:t>
      </w:r>
      <w:r/>
    </w:p>
    <w:p w14:paraId="3563D1FB">
      <w:pPr>
        <w:pStyle w:val="1048"/>
        <w:numPr>
          <w:ilvl w:val="0"/>
          <w:numId w:val="13"/>
        </w:numPr>
        <w:suppressLineNumbers w:val="false"/>
        <w:pBdr/>
        <w:spacing w:after="240" w:before="120" w:line="120" w:lineRule="auto"/>
        <w:ind/>
        <w:rPr/>
      </w:pPr>
      <w:r>
        <w:t xml:space="preserve">Asymmetric clinical cost of errors.</w:t>
      </w:r>
      <w:r/>
    </w:p>
    <w:p w14:paraId="3017EE4A">
      <w:pPr>
        <w:pStyle w:val="1048"/>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048"/>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048"/>
        <w:suppressLineNumbers w:val="false"/>
        <w:pBdr/>
        <w:spacing w:line="300" w:lineRule="auto"/>
        <w:ind w:firstLine="0"/>
        <w:rPr/>
      </w:pPr>
      <w:r>
        <w:rPr>
          <w:highlight w:val="none"/>
        </w:rPr>
      </w:r>
      <w:r>
        <w:rPr>
          <w:highlight w:val="none"/>
        </w:rPr>
      </w:r>
      <w:r/>
    </w:p>
    <w:p w14:paraId="2B89AE6B">
      <w:pPr>
        <w:pStyle w:val="1048"/>
        <w:suppressLineNumbers w:val="false"/>
        <w:pBdr/>
        <w:spacing w:line="300" w:lineRule="auto"/>
        <w:ind w:firstLine="0"/>
        <w:rPr>
          <w:b/>
          <w:bCs/>
        </w:rPr>
      </w:pPr>
      <w:r>
        <w:rPr>
          <w:b/>
          <w:bCs/>
        </w:rPr>
        <w:t xml:space="preserve">1.3.1 Workflow-Oriented Motivation</w:t>
      </w:r>
      <w:r>
        <w:rPr>
          <w:b/>
          <w:bCs/>
        </w:rPr>
      </w:r>
      <w:r>
        <w:rPr>
          <w:b/>
          <w:bCs/>
        </w:rPr>
      </w:r>
    </w:p>
    <w:p w14:paraId="48E249BE">
      <w:pPr>
        <w:pStyle w:val="1048"/>
        <w:suppressLineNumbers w:val="false"/>
        <w:pBdr/>
        <w:spacing w:line="300" w:lineRule="auto"/>
        <w:ind w:firstLine="0"/>
        <w:rPr/>
      </w:pPr>
      <w:r>
        <w:t xml:space="preserve">In practical clinical terms, the decision path is closer to:</w:t>
      </w:r>
      <w:r/>
    </w:p>
    <w:p w14:paraId="4EEF4013">
      <w:pPr>
        <w:pStyle w:val="1048"/>
        <w:suppressLineNumbers w:val="false"/>
        <w:pBdr/>
        <w:spacing w:line="300" w:lineRule="auto"/>
        <w:ind w:firstLine="0"/>
        <w:rPr/>
      </w:pPr>
      <w:r>
        <w:t xml:space="preserve">Endoscopy frame(s)</w:t>
      </w:r>
      <w:r/>
    </w:p>
    <w:p w14:paraId="38C0B0F3">
      <w:pPr>
        <w:pStyle w:val="1048"/>
        <w:suppressLineNumbers w:val="false"/>
        <w:pBdr/>
        <w:spacing w:after="240" w:before="120" w:line="120" w:lineRule="auto"/>
        <w:ind w:firstLine="0"/>
        <w:rPr/>
      </w:pPr>
      <w:r>
        <w:rPr>
          <w:lang w:val="en-US"/>
        </w:rPr>
        <w:t xml:space="preserve">1.</w:t>
      </w:r>
      <w:r>
        <w:t xml:space="preserve"> clinician question</w:t>
      </w:r>
      <w:r/>
    </w:p>
    <w:p w14:paraId="1A02D1D8">
      <w:pPr>
        <w:pStyle w:val="1048"/>
        <w:suppressLineNumbers w:val="false"/>
        <w:pBdr/>
        <w:spacing w:after="240" w:before="120" w:line="120" w:lineRule="auto"/>
        <w:ind w:firstLine="0"/>
        <w:rPr/>
      </w:pPr>
      <w:r>
        <w:rPr>
          <w:lang w:val="en-US"/>
        </w:rPr>
        <w:t xml:space="preserve">2.</w:t>
      </w:r>
      <w:r>
        <w:t xml:space="preserve"> visual-grounded answer</w:t>
      </w:r>
      <w:r/>
    </w:p>
    <w:p w14:paraId="409262C4">
      <w:pPr>
        <w:pStyle w:val="1048"/>
        <w:suppressLineNumbers w:val="false"/>
        <w:pBdr/>
        <w:spacing w:after="240" w:before="120" w:line="120" w:lineRule="auto"/>
        <w:ind w:firstLine="0"/>
        <w:rPr/>
      </w:pPr>
      <w:r>
        <w:rPr>
          <w:lang w:val="en-US"/>
        </w:rPr>
        <w:t xml:space="preserve">3.</w:t>
      </w:r>
      <w:r>
        <w:t xml:space="preserve"> confidence and uncertainty signal</w:t>
      </w:r>
      <w:r/>
    </w:p>
    <w:p w14:paraId="162ECB99">
      <w:pPr>
        <w:pStyle w:val="1048"/>
        <w:suppressLineNumbers w:val="false"/>
        <w:pBdr/>
        <w:spacing w:after="240" w:before="120" w:line="120" w:lineRule="auto"/>
        <w:ind w:firstLine="0"/>
        <w:rPr/>
      </w:pPr>
      <w:r>
        <w:rPr>
          <w:lang w:val="en-US"/>
        </w:rPr>
        <w:t xml:space="preserve">4.</w:t>
      </w:r>
      <w:r>
        <w:t xml:space="preserve"> optional evidence-linked follow-up</w:t>
      </w:r>
      <w:r/>
    </w:p>
    <w:p w14:paraId="043EADB2">
      <w:pPr>
        <w:pStyle w:val="1048"/>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048"/>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048"/>
        <w:suppressLineNumbers w:val="false"/>
        <w:pBdr/>
        <w:spacing w:line="300" w:lineRule="auto"/>
        <w:ind w:firstLine="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048"/>
        <w:suppressLineNumbers w:val="false"/>
        <w:pBdr/>
        <w:spacing w:line="300" w:lineRule="auto"/>
        <w:ind w:firstLine="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048"/>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048"/>
        <w:suppressLineNumbers w:val="false"/>
        <w:pBdr/>
        <w:spacing w:line="300" w:lineRule="auto"/>
        <w:ind w:firstLine="0"/>
        <w:rPr/>
      </w:pPr>
      <w:r>
        <w:t xml:space="preserve">The central problem addressed in this dissertation is:</w:t>
      </w:r>
      <w:r/>
    </w:p>
    <w:p w14:paraId="7FCD196A">
      <w:pPr>
        <w:pStyle w:val="1048"/>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048"/>
        <w:suppressLineNumbers w:val="false"/>
        <w:pBdr/>
        <w:spacing w:line="300" w:lineRule="auto"/>
        <w:ind w:firstLine="0"/>
        <w:rPr/>
      </w:pPr>
      <w:r>
        <w:t xml:space="preserve">This problem is decomposed into four operational gaps:</w:t>
      </w:r>
      <w:r/>
    </w:p>
    <w:p w14:paraId="127E5F12">
      <w:pPr>
        <w:pStyle w:val="1048"/>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048"/>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048"/>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048"/>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048"/>
        <w:suppressLineNumbers w:val="false"/>
        <w:pBdr/>
        <w:spacing w:line="300" w:lineRule="auto"/>
        <w:ind w:firstLine="0"/>
        <w:rPr>
          <w:b/>
          <w:bCs/>
        </w:rPr>
      </w:pPr>
      <w:r>
        <w:rPr>
          <w:b/>
          <w:bCs/>
        </w:rPr>
        <w:t xml:space="preserve">1.4.1 Evidence from This Repository</w:t>
      </w:r>
      <w:r>
        <w:rPr>
          <w:b/>
          <w:bCs/>
        </w:rPr>
      </w:r>
      <w:r>
        <w:rPr>
          <w:b/>
          <w:bCs/>
        </w:rPr>
      </w:r>
    </w:p>
    <w:p w14:paraId="4EBC79D9">
      <w:pPr>
        <w:pStyle w:val="1048"/>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048"/>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048"/>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048"/>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048"/>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048"/>
        <w:suppressLineNumbers w:val="false"/>
        <w:pBdr/>
        <w:spacing w:line="300" w:lineRule="auto"/>
        <w:ind w:firstLine="0"/>
        <w:rPr/>
      </w:pPr>
      <w:r>
        <w:rPr>
          <w:highlight w:val="none"/>
        </w:rPr>
        <w:t xml:space="preserve">These findings support a staged strategy:</w:t>
      </w:r>
      <w:r>
        <w:rPr>
          <w:highlight w:val="none"/>
        </w:rPr>
      </w:r>
      <w:r/>
    </w:p>
    <w:p w14:paraId="2025BD1E">
      <w:pPr>
        <w:pStyle w:val="1048"/>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048"/>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048"/>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048"/>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048"/>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048"/>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048"/>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048"/>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048"/>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048"/>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048"/>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048"/>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048"/>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048"/>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048"/>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048"/>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048"/>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048"/>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048"/>
        <w:suppressLineNumbers w:val="false"/>
        <w:pBdr/>
        <w:spacing w:line="300" w:lineRule="auto"/>
        <w:ind/>
        <w:rPr/>
      </w:pPr>
      <w:r/>
      <w:r/>
    </w:p>
    <w:tbl>
      <w:tblPr>
        <w:tblStyle w:val="1105"/>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048"/>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048"/>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048"/>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048"/>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048"/>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048"/>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048"/>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048"/>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048"/>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048"/>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048"/>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048"/>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048"/>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048"/>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048"/>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048"/>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05"/>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048"/>
        <w:suppressLineNumbers w:val="false"/>
        <w:pBdr/>
        <w:spacing w:line="300" w:lineRule="auto"/>
        <w:ind w:firstLine="0"/>
        <w:rPr/>
      </w:pPr>
      <w:r/>
      <w:r/>
    </w:p>
    <w:p w14:paraId="34F5A392">
      <w:pPr>
        <w:pStyle w:val="1048"/>
        <w:suppressLineNumbers w:val="false"/>
        <w:pBdr/>
        <w:spacing w:line="300" w:lineRule="auto"/>
        <w:ind w:firstLine="0"/>
        <w:rPr>
          <w:b/>
          <w:bCs/>
        </w:rPr>
      </w:pPr>
      <w:r>
        <w:rPr>
          <w:b/>
          <w:bCs/>
        </w:rPr>
        <w:t xml:space="preserve">1.6.2 Research Hypotheses (Working)</w:t>
      </w:r>
      <w:r>
        <w:rPr>
          <w:b/>
          <w:bCs/>
        </w:rPr>
      </w:r>
      <w:r>
        <w:rPr>
          <w:b/>
          <w:bCs/>
        </w:rPr>
      </w:r>
    </w:p>
    <w:p w14:paraId="69C4345A">
      <w:pPr>
        <w:pStyle w:val="1048"/>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048"/>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048"/>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048"/>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048"/>
        <w:suppressLineNumbers w:val="false"/>
        <w:pBdr/>
        <w:spacing w:line="300" w:lineRule="auto"/>
        <w:ind/>
        <w:rPr/>
      </w:pPr>
      <w:r/>
      <w:r/>
    </w:p>
    <w:p w14:paraId="4F3700B9">
      <w:pPr>
        <w:pStyle w:val="1048"/>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048"/>
        <w:suppressLineNumbers w:val="false"/>
        <w:pBdr/>
        <w:spacing w:line="300" w:lineRule="auto"/>
        <w:ind w:firstLine="0"/>
        <w:rPr>
          <w:b/>
          <w:bCs/>
        </w:rPr>
      </w:pPr>
      <w:r>
        <w:rPr>
          <w:b/>
          <w:bCs/>
        </w:rPr>
        <w:t xml:space="preserve">1.7.1 In Scope</w:t>
      </w:r>
      <w:r>
        <w:rPr>
          <w:b/>
          <w:bCs/>
        </w:rPr>
      </w:r>
      <w:r>
        <w:rPr>
          <w:b/>
          <w:bCs/>
        </w:rPr>
      </w:r>
    </w:p>
    <w:p w14:paraId="3A98C560">
      <w:pPr>
        <w:pStyle w:val="1048"/>
        <w:numPr>
          <w:ilvl w:val="0"/>
          <w:numId w:val="18"/>
        </w:numPr>
        <w:suppressLineNumbers w:val="false"/>
        <w:pBdr/>
        <w:spacing w:line="120" w:lineRule="auto"/>
        <w:ind/>
        <w:rPr/>
      </w:pPr>
      <w:r>
        <w:t xml:space="preserve">Colonoscopy and GI endoscopy image-question answering.</w:t>
      </w:r>
      <w:r/>
    </w:p>
    <w:p w14:paraId="7B66B808">
      <w:pPr>
        <w:pStyle w:val="1048"/>
        <w:numPr>
          <w:ilvl w:val="0"/>
          <w:numId w:val="18"/>
        </w:numPr>
        <w:suppressLineNumbers w:val="false"/>
        <w:pBdr/>
        <w:spacing w:line="120" w:lineRule="auto"/>
        <w:ind/>
        <w:rPr/>
      </w:pPr>
      <w:r>
        <w:t xml:space="preserve">UC severity-oriented analysis as a flagship clinical axis.</w:t>
      </w:r>
      <w:r/>
    </w:p>
    <w:p w14:paraId="17AA6AAC">
      <w:pPr>
        <w:pStyle w:val="1048"/>
        <w:numPr>
          <w:ilvl w:val="0"/>
          <w:numId w:val="18"/>
        </w:numPr>
        <w:suppressLineNumbers w:val="false"/>
        <w:pBdr/>
        <w:spacing w:line="120" w:lineRule="auto"/>
        <w:ind/>
        <w:rPr/>
      </w:pPr>
      <w:r>
        <w:t xml:space="preserve">Multi-dataset benchmarking from persisted local artifacts.</w:t>
      </w:r>
      <w:r/>
    </w:p>
    <w:p w14:paraId="3006CBB9">
      <w:pPr>
        <w:pStyle w:val="1048"/>
        <w:numPr>
          <w:ilvl w:val="0"/>
          <w:numId w:val="18"/>
        </w:numPr>
        <w:suppressLineNumbers w:val="false"/>
        <w:pBdr/>
        <w:spacing w:line="120" w:lineRule="auto"/>
        <w:ind/>
        <w:rPr/>
      </w:pPr>
      <w:r>
        <w:t xml:space="preserve">Closed-set and generative answer tracks.</w:t>
      </w:r>
      <w:r/>
    </w:p>
    <w:p w14:paraId="2EF3C012">
      <w:pPr>
        <w:pStyle w:val="1048"/>
        <w:numPr>
          <w:ilvl w:val="0"/>
          <w:numId w:val="18"/>
        </w:numPr>
        <w:suppressLineNumbers w:val="false"/>
        <w:pBdr/>
        <w:spacing w:line="120" w:lineRule="auto"/>
        <w:ind/>
        <w:rPr/>
      </w:pPr>
      <w:r>
        <w:t xml:space="preserve">Design of an evidence-aware extension pathway (RAG/PICO-oriented direction).</w:t>
      </w:r>
      <w:r/>
    </w:p>
    <w:p w14:paraId="65A9DFF6">
      <w:pPr>
        <w:pStyle w:val="1048"/>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048"/>
        <w:numPr>
          <w:ilvl w:val="0"/>
          <w:numId w:val="19"/>
        </w:numPr>
        <w:suppressLineNumbers w:val="false"/>
        <w:pBdr/>
        <w:spacing w:line="120" w:lineRule="auto"/>
        <w:ind/>
        <w:rPr/>
      </w:pPr>
      <w:r>
        <w:t xml:space="preserve">Prospective real-time deployment in clinical endoscopy units.</w:t>
      </w:r>
      <w:r/>
    </w:p>
    <w:p w14:paraId="2B700D60">
      <w:pPr>
        <w:pStyle w:val="1048"/>
        <w:numPr>
          <w:ilvl w:val="0"/>
          <w:numId w:val="19"/>
        </w:numPr>
        <w:suppressLineNumbers w:val="false"/>
        <w:pBdr/>
        <w:spacing w:line="120" w:lineRule="auto"/>
        <w:ind/>
        <w:rPr/>
      </w:pPr>
      <w:r>
        <w:t xml:space="preserve">Full regulatory and compliance validation.</w:t>
      </w:r>
      <w:r/>
    </w:p>
    <w:p w14:paraId="4F514535">
      <w:pPr>
        <w:pStyle w:val="1048"/>
        <w:numPr>
          <w:ilvl w:val="0"/>
          <w:numId w:val="19"/>
        </w:numPr>
        <w:suppressLineNumbers w:val="false"/>
        <w:pBdr/>
        <w:spacing w:line="120" w:lineRule="auto"/>
        <w:ind/>
        <w:rPr/>
      </w:pPr>
      <w:r>
        <w:t xml:space="preserve">Multi-center randomized outcome trials.</w:t>
      </w:r>
      <w:r/>
    </w:p>
    <w:p w14:paraId="02243ACC">
      <w:pPr>
        <w:pStyle w:val="1048"/>
        <w:numPr>
          <w:ilvl w:val="0"/>
          <w:numId w:val="19"/>
        </w:numPr>
        <w:suppressLineNumbers w:val="false"/>
        <w:pBdr/>
        <w:spacing w:line="120" w:lineRule="auto"/>
        <w:ind/>
        <w:rPr/>
      </w:pPr>
      <w:r>
        <w:t xml:space="preserve">Production-grade latency optimization for full video streams.</w:t>
      </w:r>
      <w:r/>
    </w:p>
    <w:p w14:paraId="06B25097">
      <w:pPr>
        <w:pStyle w:val="1048"/>
        <w:suppressLineNumbers w:val="false"/>
        <w:pBdr/>
        <w:spacing w:line="300" w:lineRule="auto"/>
        <w:ind w:firstLine="0"/>
        <w:rPr>
          <w:b/>
          <w:bCs/>
        </w:rPr>
      </w:pPr>
      <w:r>
        <w:rPr>
          <w:b/>
          <w:bCs/>
        </w:rPr>
        <w:t xml:space="preserve">1.7.3 Working Assumptions</w:t>
      </w:r>
      <w:r>
        <w:rPr>
          <w:b/>
          <w:bCs/>
        </w:rPr>
      </w:r>
      <w:r>
        <w:rPr>
          <w:b/>
          <w:bCs/>
        </w:rPr>
      </w:r>
    </w:p>
    <w:p w14:paraId="01FA2F0A">
      <w:pPr>
        <w:pStyle w:val="1048"/>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048"/>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048"/>
        <w:numPr>
          <w:ilvl w:val="0"/>
          <w:numId w:val="20"/>
        </w:numPr>
        <w:suppressLineNumbers w:val="false"/>
        <w:pBdr/>
        <w:spacing w:line="120" w:lineRule="auto"/>
        <w:ind/>
        <w:rPr/>
      </w:pPr>
      <w:r>
        <w:t xml:space="preserve">Evidence-aware generation is treated as an additive and safeguarded layer.</w:t>
      </w:r>
      <w:r/>
    </w:p>
    <w:p w14:paraId="66233F51">
      <w:pPr>
        <w:pStyle w:val="1048"/>
        <w:numPr>
          <w:ilvl w:val="0"/>
          <w:numId w:val="20"/>
        </w:numPr>
        <w:suppressLineNumbers w:val="false"/>
        <w:pBdr/>
        <w:spacing w:line="120" w:lineRule="auto"/>
        <w:ind/>
        <w:rPr/>
      </w:pPr>
      <w:r>
        <w:t xml:space="preserve">High-risk low-confidence outputs require abstention/escalation behavior.</w:t>
      </w:r>
      <w:r/>
    </w:p>
    <w:p w14:paraId="019702AE">
      <w:pPr>
        <w:pStyle w:val="1048"/>
        <w:suppressLineNumbers w:val="false"/>
        <w:pBdr/>
        <w:spacing w:line="300" w:lineRule="auto"/>
        <w:ind w:firstLine="0"/>
        <w:rPr/>
      </w:pPr>
      <w:r>
        <w:rPr>
          <w:highlight w:val="none"/>
        </w:rPr>
      </w:r>
      <w:r>
        <w:rPr>
          <w:highlight w:val="none"/>
        </w:rPr>
      </w:r>
      <w:r/>
    </w:p>
    <w:p w14:paraId="7B39CFD3">
      <w:pPr>
        <w:pStyle w:val="1048"/>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048"/>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048"/>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048"/>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048"/>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048"/>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048"/>
        <w:suppressLineNumbers w:val="false"/>
        <w:pBdr/>
        <w:spacing w:line="300" w:lineRule="auto"/>
        <w:ind w:firstLine="0"/>
        <w:rPr/>
      </w:pPr>
      <w:r>
        <w:t xml:space="preserve">Example query pattern for Chapter 5 use cases:</w:t>
      </w:r>
      <w:r/>
    </w:p>
    <w:p w14:paraId="6882997F">
      <w:pPr>
        <w:pStyle w:val="1048"/>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048"/>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048"/>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048"/>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048"/>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048"/>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048"/>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048"/>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048"/>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048"/>
        <w:suppressLineNumbers w:val="false"/>
        <w:pBdr/>
        <w:spacing w:line="300" w:lineRule="auto"/>
        <w:ind w:firstLine="0"/>
        <w:rPr/>
      </w:pPr>
      <w:r>
        <w:rPr>
          <w:highlight w:val="none"/>
        </w:rPr>
        <w:t xml:space="preserve">Question received</w:t>
      </w:r>
      <w:r/>
    </w:p>
    <w:p w14:paraId="344966AE">
      <w:pPr>
        <w:pStyle w:val="1048"/>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048"/>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048"/>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048"/>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048"/>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048"/>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05"/>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048"/>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048"/>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048"/>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048"/>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048"/>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048"/>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048"/>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048"/>
        <w:suppressLineNumbers w:val="false"/>
        <w:pBdr/>
        <w:spacing w:line="300" w:lineRule="auto"/>
        <w:ind w:firstLine="0" w:left="0"/>
        <w:rPr/>
      </w:pPr>
      <w:r>
        <w:t xml:space="preserve">Clinical Image(s) + Clinician Question</w:t>
      </w:r>
      <w:r/>
    </w:p>
    <w:p w14:paraId="0DDAF825">
      <w:pPr>
        <w:pStyle w:val="1048"/>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048"/>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048"/>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048"/>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048"/>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048"/>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048"/>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048"/>
        <w:suppressLineNumbers w:val="false"/>
        <w:pBdr/>
        <w:spacing w:line="300" w:lineRule="auto"/>
        <w:ind w:firstLine="0"/>
        <w:rPr/>
      </w:pPr>
      <w:r>
        <w:t xml:space="preserve">Figure 1.1: Clinician-Centric MedVQA Pipeline for Colonoscopy.</w:t>
      </w:r>
      <w:r/>
    </w:p>
    <w:p w14:paraId="5CBD96E7">
      <w:pPr>
        <w:pStyle w:val="1048"/>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04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048"/>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048"/>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048"/>
        <w:suppressLineNumbers w:val="false"/>
        <w:pBdr/>
        <w:spacing w:line="300" w:lineRule="auto"/>
        <w:ind w:firstLine="0"/>
        <w:rPr/>
      </w:pPr>
      <w:r>
        <w:t xml:space="preserve">Figure 1.2: Data-to-Decision Funnel.</w:t>
      </w:r>
      <w:r/>
    </w:p>
    <w:p w14:paraId="4B0DA8D9">
      <w:pPr>
        <w:pStyle w:val="1048"/>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048"/>
        <w:suppressLineNumbers w:val="false"/>
        <w:pBdr/>
        <w:spacing w:line="300" w:lineRule="auto"/>
        <w:ind w:firstLine="0"/>
        <w:rPr>
          <w:b/>
          <w:bCs/>
        </w:rPr>
      </w:pPr>
      <w:r>
        <w:rPr>
          <w:b/>
          <w:bCs/>
        </w:rPr>
        <w:t xml:space="preserve">1.9.4 Figure 1.3: Research Design Map</w:t>
      </w:r>
      <w:r>
        <w:rPr>
          <w:b/>
          <w:bCs/>
        </w:rPr>
      </w:r>
      <w:r>
        <w:rPr>
          <w:b/>
          <w:bCs/>
        </w:rPr>
      </w:r>
    </w:p>
    <w:p w14:paraId="32FA5038">
      <w:pPr>
        <w:pStyle w:val="1048"/>
        <w:suppressLineNumbers w:val="false"/>
        <w:pBdr/>
        <w:spacing w:line="300" w:lineRule="auto"/>
        <w:ind w:right="0" w:firstLine="0" w:left="0"/>
        <w:rPr/>
      </w:pPr>
      <w:r>
        <w:t xml:space="preserve">Figure 1.3: Research Questions to Methods to Metrics to Outputs.</w:t>
      </w:r>
      <w:r/>
    </w:p>
    <w:p w14:paraId="44C13B48">
      <w:pPr>
        <w:pStyle w:val="1048"/>
        <w:suppressLineNumbers w:val="false"/>
        <w:pBdr/>
        <w:spacing w:line="300" w:lineRule="auto"/>
        <w:ind w:right="0" w:firstLine="0" w:left="0"/>
        <w:rPr/>
      </w:pPr>
      <w:r>
        <w:t xml:space="preserve">RQ layer</w:t>
      </w:r>
      <w:r/>
    </w:p>
    <w:p w14:paraId="1EEAAFAA">
      <w:pPr>
        <w:pStyle w:val="1048"/>
        <w:suppressLineNumbers w:val="false"/>
        <w:pBdr/>
        <w:spacing w:line="120" w:lineRule="auto"/>
        <w:ind w:right="0" w:firstLine="0" w:left="0"/>
        <w:rPr/>
      </w:pPr>
      <w:r>
        <w:rPr>
          <w:lang w:val="en-US"/>
        </w:rPr>
        <w:t xml:space="preserve">1.</w:t>
      </w:r>
      <w:r>
        <w:t xml:space="preserve"> dataset/method layer</w:t>
      </w:r>
      <w:r/>
    </w:p>
    <w:p w14:paraId="1E221488">
      <w:pPr>
        <w:pStyle w:val="1048"/>
        <w:suppressLineNumbers w:val="false"/>
        <w:pBdr/>
        <w:spacing w:line="120" w:lineRule="auto"/>
        <w:ind w:right="0" w:firstLine="0" w:left="0"/>
        <w:rPr/>
      </w:pPr>
      <w:r>
        <w:rPr>
          <w:lang w:val="en-US"/>
        </w:rPr>
        <w:t xml:space="preserve">2.</w:t>
      </w:r>
      <w:r>
        <w:t xml:space="preserve"> metric layer</w:t>
      </w:r>
      <w:r/>
    </w:p>
    <w:p w14:paraId="413A4C83">
      <w:pPr>
        <w:pStyle w:val="1048"/>
        <w:suppressLineNumbers w:val="false"/>
        <w:pBdr/>
        <w:spacing w:line="120" w:lineRule="auto"/>
        <w:ind w:right="0" w:firstLine="0" w:left="0"/>
        <w:rPr/>
      </w:pPr>
      <w:r>
        <w:rPr>
          <w:lang w:val="en-US"/>
        </w:rPr>
        <w:t xml:space="preserve">3.</w:t>
      </w:r>
      <w:r>
        <w:t xml:space="preserve"> scenario acceptance layer</w:t>
      </w:r>
      <w:r/>
    </w:p>
    <w:p w14:paraId="7C280CA6">
      <w:pPr>
        <w:pStyle w:val="1048"/>
        <w:suppressLineNumbers w:val="false"/>
        <w:pBdr/>
        <w:spacing w:line="300" w:lineRule="auto"/>
        <w:ind w:right="0" w:firstLine="0" w:left="0"/>
        <w:rPr>
          <w:b/>
          <w:bCs/>
        </w:rPr>
      </w:pPr>
      <w:r>
        <w:rPr>
          <w:b/>
          <w:bCs/>
        </w:rPr>
        <w:t xml:space="preserve">1.9.6 Risk-Control Matrix</w:t>
      </w:r>
      <w:r>
        <w:rPr>
          <w:b/>
          <w:bCs/>
        </w:rPr>
      </w:r>
      <w:r>
        <w:rPr>
          <w:b/>
          <w:bCs/>
        </w:rPr>
      </w:r>
    </w:p>
    <w:tbl>
      <w:tblPr>
        <w:tblStyle w:val="1105"/>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048"/>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048"/>
        <w:suppressLineNumbers w:val="false"/>
        <w:pBdr/>
        <w:spacing w:line="300" w:lineRule="auto"/>
        <w:ind w:left="2835"/>
        <w:rPr/>
      </w:pPr>
      <w:r>
        <w:rPr>
          <w:highlight w:val="none"/>
          <w:lang w:val="en-US"/>
        </w:rPr>
      </w:r>
      <w:r>
        <w:rPr>
          <w:highlight w:val="none"/>
          <w:lang w:val="en-US"/>
        </w:rPr>
      </w:r>
      <w:r/>
    </w:p>
    <w:p w14:paraId="4E0174DA">
      <w:pPr>
        <w:pStyle w:val="1048"/>
        <w:suppressLineNumbers w:val="false"/>
        <w:pBdr/>
        <w:spacing w:line="300" w:lineRule="auto"/>
        <w:ind w:firstLine="0"/>
        <w:rPr>
          <w:b/>
          <w:bCs/>
          <w:sz w:val="28"/>
          <w:szCs w:val="28"/>
        </w:rPr>
      </w:pPr>
      <w:r>
        <w:rPr>
          <w:b/>
          <w:bCs/>
          <w:sz w:val="28"/>
          <w:szCs w:val="28"/>
        </w:rPr>
        <w:t xml:space="preserve">1.10 Contributions Claimed in This Dissertation</w:t>
      </w:r>
      <w:r>
        <w:rPr>
          <w:b/>
          <w:bCs/>
          <w:sz w:val="28"/>
          <w:szCs w:val="28"/>
        </w:rPr>
      </w:r>
      <w:r>
        <w:rPr>
          <w:b/>
          <w:bCs/>
          <w:sz w:val="28"/>
          <w:szCs w:val="28"/>
        </w:rPr>
      </w:r>
    </w:p>
    <w:p w14:paraId="02E79219">
      <w:pPr>
        <w:pStyle w:val="1048"/>
        <w:suppressLineNumbers w:val="false"/>
        <w:pBdr/>
        <w:spacing w:line="300" w:lineRule="auto"/>
        <w:ind w:firstLine="0"/>
        <w:rPr/>
      </w:pPr>
      <w:r>
        <w:t xml:space="preserve">At this stage, the dissertation claims the following contributions:</w:t>
      </w:r>
      <w:r/>
    </w:p>
    <w:p w14:paraId="79AF7D3C">
      <w:pPr>
        <w:pStyle w:val="1048"/>
        <w:numPr>
          <w:ilvl w:val="0"/>
          <w:numId w:val="51"/>
        </w:numPr>
        <w:suppressLineNumbers w:val="false"/>
        <w:pBdr/>
        <w:spacing w:after="240" w:before="120" w:line="240" w:lineRule="auto"/>
        <w:ind/>
        <w:rPr/>
      </w:pPr>
      <w:r>
        <w:t xml:space="preserve">A consolidated GI MedVQA evidence base across multiple datasets and task formulations using reproducible local artifacts [20]-[24].</w:t>
      </w:r>
      <w:r/>
    </w:p>
    <w:p w14:paraId="2A08C86D">
      <w:pPr>
        <w:pStyle w:val="1048"/>
        <w:numPr>
          <w:ilvl w:val="0"/>
          <w:numId w:val="51"/>
        </w:numPr>
        <w:suppressLineNumbers w:val="false"/>
        <w:pBdr/>
        <w:spacing w:after="240" w:before="120" w:line="240" w:lineRule="auto"/>
        <w:ind/>
        <w:rPr/>
      </w:pPr>
      <w:r>
        <w:t xml:space="preserve">Empirical clarification that naive zero-shot VLM transfer is currently insufficient for dependable GI MedVQA performance in this repository setting.</w:t>
      </w:r>
      <w:r/>
    </w:p>
    <w:p w14:paraId="68A7C076">
      <w:pPr>
        <w:pStyle w:val="1048"/>
        <w:numPr>
          <w:ilvl w:val="0"/>
          <w:numId w:val="51"/>
        </w:numPr>
        <w:suppressLineNumbers w:val="false"/>
        <w:pBdr/>
        <w:spacing w:after="240" w:before="120" w:line="240" w:lineRule="auto"/>
        <w:ind/>
        <w:rPr/>
      </w:pPr>
      <w:r>
        <w:t xml:space="preserve">A severity-focused framing that aligns model evaluation with clinically meaningful endpoints, including macro-F1, balanced metrics, remission slices, and QWK in UC-oriented tasks.</w:t>
      </w:r>
      <w:r/>
    </w:p>
    <w:p w14:paraId="6A4D6551">
      <w:pPr>
        <w:pStyle w:val="1048"/>
        <w:numPr>
          <w:ilvl w:val="0"/>
          <w:numId w:val="51"/>
        </w:numPr>
        <w:suppressLineNumbers w:val="false"/>
        <w:pBdr/>
        <w:spacing w:after="240" w:before="120" w:line="240" w:lineRule="auto"/>
        <w:ind/>
        <w:rPr/>
      </w:pPr>
      <w:r>
        <w:t xml:space="preserve">A scenario-driven evaluation framework that complements leaderboard metrics with clinically interpretable acceptance criteria.</w:t>
      </w:r>
      <w:r/>
    </w:p>
    <w:p w14:paraId="1BA74232">
      <w:pPr>
        <w:pStyle w:val="1048"/>
        <w:numPr>
          <w:ilvl w:val="0"/>
          <w:numId w:val="51"/>
        </w:numPr>
        <w:suppressLineNumbers w:val="false"/>
        <w:pBdr/>
        <w:spacing w:after="240" w:before="120" w:line="240" w:lineRule="auto"/>
        <w:ind/>
        <w:rPr>
          <w:highlight w:val="none"/>
        </w:rPr>
      </w:pPr>
      <w:r>
        <w:t xml:space="preserve">A concrete design pathway for integrating retrieval-augmented, evidence-aware answering as a controlled extension of visual-grounded VQA.</w:t>
      </w:r>
      <w:r>
        <w:rPr>
          <w:highlight w:val="none"/>
        </w:rPr>
      </w:r>
      <w:r>
        <w:rPr>
          <w:highlight w:val="none"/>
        </w:rPr>
      </w:r>
    </w:p>
    <w:p w14:paraId="33587185">
      <w:pPr>
        <w:pStyle w:val="1048"/>
        <w:suppressLineNumbers w:val="false"/>
        <w:pBdr/>
        <w:spacing w:line="300" w:lineRule="auto"/>
        <w:ind w:firstLine="0"/>
        <w:rPr>
          <w:b/>
          <w:bCs/>
        </w:rPr>
      </w:pPr>
      <w:r>
        <w:rPr>
          <w:b/>
          <w:bCs/>
        </w:rPr>
        <w:t xml:space="preserve">1.10.1 Contribution Boundaries</w:t>
      </w:r>
      <w:r>
        <w:rPr>
          <w:b/>
          <w:bCs/>
        </w:rPr>
      </w:r>
      <w:r>
        <w:rPr>
          <w:b/>
          <w:bCs/>
        </w:rPr>
      </w:r>
    </w:p>
    <w:p w14:paraId="620A1895">
      <w:pPr>
        <w:pStyle w:val="1048"/>
        <w:suppressLineNumbers w:val="false"/>
        <w:pBdr/>
        <w:spacing w:line="300" w:lineRule="auto"/>
        <w:ind w:firstLine="0"/>
        <w:rPr/>
      </w:pPr>
      <w:r>
        <w:t xml:space="preserve">This dissertation does not claim immediate real-time clinical deployment readiness. The contributions are methodological, empirical, and design-oriented, and they establish the basis for subsequent translational validation.</w:t>
      </w:r>
      <w:r/>
    </w:p>
    <w:p w14:paraId="0B52FBB4">
      <w:pPr>
        <w:pStyle w:val="1048"/>
        <w:suppressLineNumbers w:val="false"/>
        <w:pBdr/>
        <w:spacing w:line="300" w:lineRule="auto"/>
        <w:ind w:firstLine="0"/>
        <w:rPr/>
      </w:pPr>
      <w:r/>
      <w:r/>
    </w:p>
    <w:p w14:paraId="4D026E48">
      <w:pPr>
        <w:pStyle w:val="1048"/>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5D95C937">
      <w:pPr>
        <w:pStyle w:val="1048"/>
        <w:suppressLineNumbers w:val="false"/>
        <w:pBdr/>
        <w:spacing w:line="300" w:lineRule="auto"/>
        <w:ind w:firstLine="0"/>
        <w:rPr/>
      </w:pPr>
      <w:r>
        <w:t xml:space="preserve">Chapter 1 (this chapter): establishes background, motivation, problem decomposition, research questions, conceptual framework, and contribution boundaries.</w:t>
      </w:r>
      <w:r/>
    </w:p>
    <w:p w14:paraId="6C7410F9">
      <w:pPr>
        <w:pStyle w:val="1048"/>
        <w:suppressLineNumbers w:val="false"/>
        <w:pBdr/>
        <w:spacing w:line="300" w:lineRule="auto"/>
        <w:ind w:firstLine="0"/>
        <w:rPr/>
      </w:pPr>
      <w:r>
        <w:t xml:space="preserve">Chapter 2: provides a structured scoping review of MedVQA and GI endoscopy literature, with explicit gap extraction.</w:t>
      </w:r>
      <w:r/>
    </w:p>
    <w:p w14:paraId="0F92827C">
      <w:pPr>
        <w:pStyle w:val="1048"/>
        <w:suppressLineNumbers w:val="false"/>
        <w:pBdr/>
        <w:spacing w:line="300" w:lineRule="auto"/>
        <w:ind w:firstLine="0"/>
        <w:rPr/>
      </w:pPr>
      <w:r>
        <w:t xml:space="preserve">Chapter 3: investigates existing VQA techniques across GI-endoscopy datasets (HyperKvasir, Kvasir-VQA, Kvasir-VQA-x1, ImageCLEF MEDVQA-GI 2023, LIMUC, and supporting Kvasir-SEG analyses), including comparative and failure-mode analyses.</w:t>
      </w:r>
      <w:r/>
    </w:p>
    <w:p w14:paraId="09E092D4">
      <w:pPr>
        <w:pStyle w:val="1048"/>
        <w:suppressLineNumbers w:val="false"/>
        <w:pBdr/>
        <w:spacing w:line="300" w:lineRule="auto"/>
        <w:ind w:firstLine="0"/>
        <w:rPr/>
      </w:pPr>
      <w:r>
        <w:t xml:space="preserve">Chapter 4: develops the proposed dataset-model-RAG-fine-tuning pipeline with implementation detail.</w:t>
      </w:r>
      <w:r/>
    </w:p>
    <w:p w14:paraId="69EB1FDF">
      <w:pPr>
        <w:pStyle w:val="1048"/>
        <w:suppressLineNumbers w:val="false"/>
        <w:pBdr/>
        <w:spacing w:line="300" w:lineRule="auto"/>
        <w:ind w:firstLine="0"/>
        <w:rPr/>
      </w:pPr>
      <w:r>
        <w:t xml:space="preserve">Chapter 5: instantiates PICO-oriented and scenario-based use cases with objective-oriented prompt and evidence design.</w:t>
      </w:r>
      <w:r/>
    </w:p>
    <w:p w14:paraId="667BE60C">
      <w:pPr>
        <w:pStyle w:val="1048"/>
        <w:suppressLineNumbers w:val="false"/>
        <w:pBdr/>
        <w:spacing w:line="300" w:lineRule="auto"/>
        <w:ind w:firstLine="0"/>
        <w:rPr/>
      </w:pPr>
      <w:r>
        <w:t xml:space="preserve">Chapter 6: integrates experimental findings, scenario performance, and evidence-layer behavior into a consolidated discussion.</w:t>
      </w:r>
      <w:r/>
    </w:p>
    <w:p w14:paraId="3C5296C7">
      <w:pPr>
        <w:pStyle w:val="1048"/>
        <w:suppressLineNumbers w:val="false"/>
        <w:pBdr/>
        <w:spacing w:line="300" w:lineRule="auto"/>
        <w:ind w:firstLine="0"/>
        <w:rPr/>
      </w:pPr>
      <w:r>
        <w:t xml:space="preserve">Chapter 7: synthesizes conclusions, revisits research questions, states limitations, and defines future work.</w:t>
      </w:r>
      <w:r/>
    </w:p>
    <w:p w14:paraId="26F79DA0">
      <w:pPr>
        <w:pStyle w:val="1048"/>
        <w:suppressLineNumbers w:val="false"/>
        <w:pBdr/>
        <w:spacing w:line="300" w:lineRule="auto"/>
        <w:ind/>
        <w:rPr/>
      </w:pPr>
      <w:r/>
      <w:r/>
    </w:p>
    <w:p w14:paraId="70E53ED4">
      <w:pPr>
        <w:pStyle w:val="1048"/>
        <w:suppressLineNumbers w:val="false"/>
        <w:pBdr/>
        <w:spacing w:line="300" w:lineRule="auto"/>
        <w:ind/>
        <w:rPr/>
      </w:pPr>
      <w:r/>
      <w:r/>
    </w:p>
    <w:p w14:paraId="381B1532">
      <w:pPr>
        <w:pStyle w:val="1048"/>
        <w:suppressLineNumbers w:val="false"/>
        <w:pBdr/>
        <w:spacing w:line="300" w:lineRule="auto"/>
        <w:ind/>
        <w:rPr/>
      </w:pPr>
      <w:r/>
      <w:r/>
    </w:p>
    <w:p w14:paraId="5154A291">
      <w:pPr>
        <w:pStyle w:val="1048"/>
        <w:suppressLineNumbers w:val="false"/>
        <w:pBdr/>
        <w:spacing w:line="300" w:lineRule="auto"/>
        <w:ind/>
        <w:rPr/>
      </w:pPr>
      <w:r/>
      <w:r/>
    </w:p>
    <w:p w14:paraId="12B54F1F" w14:textId="65827942">
      <w:pPr>
        <w:pStyle w:val="1048"/>
        <w:suppressLineNumbers w:val="false"/>
        <w:pBdr/>
        <w:spacing w:line="300" w:lineRule="auto"/>
        <w:ind w:firstLine="0"/>
        <w:rPr/>
      </w:pPr>
      <w:r/>
      <w:r/>
    </w:p>
    <w:p w14:paraId="25FF9EE4" w14:textId="4F9F96C5">
      <w:pPr>
        <w:pStyle w:val="1035"/>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048"/>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048"/>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048"/>
        <w:suppressLineNumbers w:val="false"/>
        <w:pBdr/>
        <w:spacing w:after="240" w:before="120" w:line="240" w:lineRule="auto"/>
        <w:ind w:firstLine="0"/>
        <w:rPr/>
      </w:pPr>
      <w:r>
        <w:t xml:space="preserve">At a glance, this chapter:</w:t>
      </w:r>
      <w:r/>
    </w:p>
    <w:p w14:paraId="6F7D20EC">
      <w:pPr>
        <w:pStyle w:val="1048"/>
        <w:suppressLineNumbers w:val="false"/>
        <w:pBdr/>
        <w:spacing w:after="240" w:before="120" w:line="240" w:lineRule="auto"/>
        <w:ind w:firstLine="0"/>
        <w:rPr/>
      </w:pPr>
      <w:r>
        <w:t xml:space="preserve">1. Defines a transparent scoping protocol and source-selection framework.</w:t>
      </w:r>
      <w:r/>
    </w:p>
    <w:p w14:paraId="1D29130D">
      <w:pPr>
        <w:pStyle w:val="1048"/>
        <w:suppressLineNumbers w:val="false"/>
        <w:pBdr/>
        <w:spacing w:after="240" w:before="120" w:line="240" w:lineRule="auto"/>
        <w:ind w:firstLine="0"/>
        <w:rPr/>
      </w:pPr>
      <w:r>
        <w:t xml:space="preserve">2. Summarizes the method and benchmark evolution of MedVQA.</w:t>
      </w:r>
      <w:r/>
    </w:p>
    <w:p w14:paraId="5AC7DB51">
      <w:pPr>
        <w:pStyle w:val="1048"/>
        <w:suppressLineNumbers w:val="false"/>
        <w:pBdr/>
        <w:spacing w:after="240" w:before="120" w:line="240" w:lineRule="auto"/>
        <w:ind w:firstLine="0"/>
        <w:rPr/>
      </w:pPr>
      <w:r>
        <w:t xml:space="preserve">3. Maps GI-colonoscopy datasets and challenge ecosystems to task needs.</w:t>
      </w:r>
      <w:r/>
    </w:p>
    <w:p w14:paraId="5FA99030">
      <w:pPr>
        <w:pStyle w:val="1048"/>
        <w:suppressLineNumbers w:val="false"/>
        <w:pBdr/>
        <w:spacing w:after="240" w:before="120" w:line="240" w:lineRule="auto"/>
        <w:ind w:firstLine="0"/>
        <w:rPr/>
      </w:pPr>
      <w:r>
        <w:t xml:space="preserve">4. Evaluates technique families against scenario-oriented clinical requirements.</w:t>
      </w:r>
      <w:r/>
    </w:p>
    <w:p w14:paraId="4265698E">
      <w:pPr>
        <w:pStyle w:val="1048"/>
        <w:suppressLineNumbers w:val="false"/>
        <w:pBdr/>
        <w:spacing w:after="240" w:before="120" w:line="240" w:lineRule="auto"/>
        <w:ind w:firstLine="0"/>
        <w:rPr/>
      </w:pPr>
      <w:r>
        <w:t xml:space="preserve">5. Produces a gap-and-risk synthesis that directly drives Chapter 3 experiments.</w:t>
      </w:r>
      <w:r/>
    </w:p>
    <w:p w14:paraId="5F35DB85">
      <w:pPr>
        <w:pStyle w:val="1048"/>
        <w:pBdr/>
        <w:spacing/>
        <w:ind w:firstLine="0"/>
        <w:rPr/>
      </w:pPr>
      <w:r/>
      <w:r/>
    </w:p>
    <w:p w14:paraId="0BC6FFF5">
      <w:pPr>
        <w:pStyle w:val="1048"/>
        <w:pBdr/>
        <w:spacing/>
        <w:ind w:firstLine="0"/>
        <w:rPr/>
      </w:pPr>
      <w:r>
        <w:t xml:space="preserve">The next chapter moves from literature synthesis to artifact-grounded empirical evaluation across GI-endoscopy datasets.</w:t>
      </w:r>
      <w:r/>
    </w:p>
    <w:p w14:paraId="4489C505">
      <w:pPr>
        <w:pStyle w:val="1048"/>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034"/>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034"/>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034"/>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05"/>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034"/>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034"/>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03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03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03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03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034"/>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04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048"/>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05"/>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048"/>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04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048"/>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05"/>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04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05"/>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05"/>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048"/>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05"/>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048"/>
        <w:suppressLineNumbers w:val="false"/>
        <w:pBdr/>
        <w:spacing w:after="240" w:afterAutospacing="0" w:before="240" w:beforeAutospacing="0" w:line="300" w:lineRule="auto"/>
        <w:ind w:firstLine="0"/>
        <w:rPr/>
      </w:pPr>
      <w:r/>
      <w:r/>
    </w:p>
    <w:p w14:paraId="5B81A01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04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04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04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048"/>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048"/>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048"/>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048"/>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048"/>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048"/>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04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048"/>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04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05"/>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035"/>
        <w:suppressLineNumbers w:val="false"/>
        <w:pBdr/>
        <w:spacing w:line="300" w:lineRule="auto"/>
        <w:ind/>
        <w:rPr/>
      </w:pPr>
      <w:r>
        <w:br/>
      </w:r>
      <w:r>
        <w:br/>
      </w:r>
      <w:r>
        <w:t xml:space="preserve">Investigating Existing VQA Techniques Across GI-Endoscopy Datasets</w:t>
      </w:r>
      <w:r/>
    </w:p>
    <w:p w14:paraId="62020F09">
      <w:pPr>
        <w:pStyle w:val="103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048"/>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048"/>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048"/>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048"/>
        <w:suppressLineNumbers w:val="false"/>
        <w:pBdr/>
        <w:spacing w:line="300" w:lineRule="auto"/>
        <w:ind/>
        <w:rPr/>
      </w:pPr>
      <w:r>
        <w:rPr>
          <w:lang w:val="en-CA"/>
        </w:rPr>
        <w:t xml:space="preserve">Across the datasets in this repository, the chapter provides a reproducible comparison of:</w:t>
      </w:r>
      <w:r/>
    </w:p>
    <w:p w14:paraId="5565F7B0">
      <w:pPr>
        <w:pStyle w:val="1048"/>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048"/>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048"/>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048"/>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048"/>
        <w:suppressLineNumbers w:val="false"/>
        <w:pBdr/>
        <w:spacing w:line="300" w:lineRule="auto"/>
        <w:ind/>
        <w:rPr/>
      </w:pPr>
      <w:r>
        <w:rPr>
          <w:lang w:val="en-CA"/>
        </w:rPr>
      </w:r>
      <w:r/>
    </w:p>
    <w:p w14:paraId="63B94992">
      <w:pPr>
        <w:pStyle w:val="1048"/>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048"/>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048"/>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048"/>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048"/>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048"/>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048"/>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048"/>
        <w:suppressLineNumbers w:val="false"/>
        <w:pBdr/>
        <w:spacing w:line="300" w:lineRule="auto"/>
        <w:ind/>
        <w:rPr/>
      </w:pPr>
      <w:r>
        <w:rPr>
          <w:lang w:val="en-CA"/>
        </w:rPr>
        <w:t xml:space="preserve">This chapter serves three thesis-level functions:</w:t>
      </w:r>
      <w:r/>
    </w:p>
    <w:p w14:paraId="551E486B">
      <w:pPr>
        <w:pStyle w:val="1048"/>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048"/>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048"/>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048"/>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048"/>
        <w:suppressLineNumbers w:val="false"/>
        <w:pBdr/>
        <w:spacing w:line="300" w:lineRule="auto"/>
        <w:ind w:firstLine="0"/>
        <w:rPr/>
      </w:pPr>
      <w:r>
        <w:rPr>
          <w:b/>
          <w:bCs/>
          <w:sz w:val="28"/>
          <w:szCs w:val="28"/>
          <w:highlight w:val="none"/>
        </w:rPr>
      </w:r>
      <w:r>
        <w:rPr>
          <w:b/>
          <w:bCs/>
          <w:sz w:val="28"/>
          <w:szCs w:val="28"/>
          <w:highlight w:val="none"/>
        </w:rPr>
      </w:r>
      <w:r/>
    </w:p>
    <w:p w14:paraId="03C3260E">
      <w:pPr>
        <w:pStyle w:val="1048"/>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048"/>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04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048"/>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04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05"/>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048"/>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048"/>
        <w:suppressLineNumbers w:val="false"/>
        <w:pBdr/>
        <w:spacing w:line="300" w:lineRule="auto"/>
        <w:ind w:firstLine="0"/>
        <w:rPr/>
      </w:pPr>
      <w:r>
        <w:rPr>
          <w:highlight w:val="none"/>
        </w:rPr>
      </w:r>
      <w:r>
        <w:rPr>
          <w:highlight w:val="none"/>
        </w:rPr>
      </w:r>
      <w:r/>
    </w:p>
    <w:p w14:paraId="18A23A64">
      <w:pPr>
        <w:pStyle w:val="1048"/>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048"/>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048"/>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048"/>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048"/>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048"/>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048"/>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048"/>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048"/>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048"/>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048"/>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048"/>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048"/>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048"/>
        <w:suppressLineNumbers w:val="false"/>
        <w:pBdr/>
        <w:spacing w:line="300" w:lineRule="auto"/>
        <w:ind w:firstLine="0"/>
        <w:rPr/>
      </w:pPr>
      <w:r>
        <w:rPr>
          <w:highlight w:val="none"/>
        </w:rPr>
      </w:r>
      <w:r>
        <w:rPr>
          <w:highlight w:val="none"/>
        </w:rPr>
      </w:r>
      <w:r/>
    </w:p>
    <w:p w14:paraId="68CC8585">
      <w:pPr>
        <w:pStyle w:val="1048"/>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048"/>
        <w:suppressLineNumbers w:val="false"/>
        <w:pBdr/>
        <w:spacing w:line="300" w:lineRule="auto"/>
        <w:ind w:firstLine="720"/>
        <w:rPr>
          <w:highlight w:val="none"/>
        </w:rPr>
      </w:pPr>
      <w:r>
        <w:rPr>
          <w:highlight w:val="none"/>
        </w:rPr>
      </w:r>
      <w:r>
        <w:rPr>
          <w:highlight w:val="none"/>
        </w:rPr>
      </w:r>
      <w:r>
        <w:rPr>
          <w:highlight w:val="none"/>
        </w:rPr>
      </w:r>
    </w:p>
    <w:p w14:paraId="15B1179A">
      <w:pPr>
        <w:pStyle w:val="1048"/>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048"/>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03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048"/>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048"/>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048"/>
        <w:suppressLineNumbers w:val="false"/>
        <w:pBdr/>
        <w:spacing w:line="300" w:lineRule="auto"/>
        <w:ind w:firstLine="0"/>
        <w:rPr>
          <w:b/>
          <w:bCs/>
        </w:rPr>
      </w:pPr>
      <w:r>
        <w:rPr>
          <w:b/>
          <w:bCs/>
        </w:rPr>
        <w:t xml:space="preserve">Why these datasets are included</w:t>
      </w:r>
      <w:r>
        <w:rPr>
          <w:b/>
          <w:bCs/>
        </w:rPr>
      </w:r>
      <w:r>
        <w:rPr>
          <w:b/>
          <w:bCs/>
        </w:rPr>
      </w:r>
    </w:p>
    <w:p w14:paraId="021FE8FD">
      <w:pPr>
        <w:pStyle w:val="1048"/>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048"/>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048"/>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048"/>
        <w:suppressLineNumbers w:val="false"/>
        <w:pBdr/>
        <w:spacing w:line="300" w:lineRule="auto"/>
        <w:ind/>
        <w:rPr/>
      </w:pPr>
      <w:r/>
      <w:r/>
    </w:p>
    <w:p w14:paraId="6E3C99E3">
      <w:pPr>
        <w:pStyle w:val="1048"/>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048"/>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048"/>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048"/>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048"/>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05"/>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048"/>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048"/>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048"/>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048"/>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048"/>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048"/>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048"/>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048"/>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048"/>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048"/>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048"/>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04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048"/>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048"/>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04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048"/>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048"/>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04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048"/>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048"/>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048"/>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048"/>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048"/>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048"/>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048"/>
        <w:suppressLineNumbers w:val="false"/>
        <w:pBdr/>
        <w:spacing w:line="300" w:lineRule="auto"/>
        <w:ind w:firstLine="0"/>
        <w:rPr/>
      </w:pPr>
      <w:r>
        <w:t xml:space="preserve">The protocol defines three focused scenario templates:</w:t>
      </w:r>
      <w:r/>
    </w:p>
    <w:p w14:paraId="086DBEE0">
      <w:pPr>
        <w:pStyle w:val="1048"/>
        <w:numPr>
          <w:ilvl w:val="0"/>
          <w:numId w:val="61"/>
        </w:numPr>
        <w:suppressLineNumbers w:val="false"/>
        <w:pBdr/>
        <w:spacing w:line="120" w:lineRule="auto"/>
        <w:ind/>
        <w:rPr/>
      </w:pPr>
      <w:r>
        <w:rPr>
          <w:b/>
          <w:bCs/>
        </w:rPr>
        <w:t xml:space="preserve">S1</w:t>
      </w:r>
      <w:r>
        <w:t xml:space="preserve">: active bleeding binary detection,</w:t>
      </w:r>
      <w:r/>
    </w:p>
    <w:p w14:paraId="368B6670">
      <w:pPr>
        <w:pStyle w:val="1048"/>
        <w:numPr>
          <w:ilvl w:val="0"/>
          <w:numId w:val="61"/>
        </w:numPr>
        <w:suppressLineNumbers w:val="false"/>
        <w:pBdr/>
        <w:spacing w:line="120" w:lineRule="auto"/>
        <w:ind/>
        <w:rPr/>
      </w:pPr>
      <w:r>
        <w:rPr>
          <w:b/>
          <w:bCs/>
        </w:rPr>
        <w:t xml:space="preserve">S2</w:t>
      </w:r>
      <w:r>
        <w:t xml:space="preserve">: instrument type plus polyp count,</w:t>
      </w:r>
      <w:r/>
    </w:p>
    <w:p w14:paraId="43E8ABEF">
      <w:pPr>
        <w:pStyle w:val="1048"/>
        <w:numPr>
          <w:ilvl w:val="0"/>
          <w:numId w:val="61"/>
        </w:numPr>
        <w:suppressLineNumbers w:val="false"/>
        <w:pBdr/>
        <w:spacing w:line="120" w:lineRule="auto"/>
        <w:ind/>
        <w:rPr/>
      </w:pPr>
      <w:r>
        <w:rPr>
          <w:b/>
          <w:bCs/>
        </w:rPr>
        <w:t xml:space="preserve">S3</w:t>
      </w:r>
      <w:r>
        <w:t xml:space="preserve">: Paris morphology closed set.</w:t>
      </w:r>
      <w:r/>
    </w:p>
    <w:p w14:paraId="04E223CF">
      <w:pPr>
        <w:pStyle w:val="1048"/>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048"/>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048"/>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048"/>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048"/>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048"/>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048"/>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048"/>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048"/>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04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048"/>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048"/>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048"/>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048"/>
        <w:suppressLineNumbers w:val="false"/>
        <w:pBdr/>
        <w:spacing w:line="300" w:lineRule="auto"/>
        <w:ind w:firstLine="0"/>
        <w:rPr/>
      </w:pPr>
      <w:r>
        <w:t xml:space="preserve">(A) Closed-set classification and constrained QA </w:t>
      </w:r>
      <w:r/>
    </w:p>
    <w:p w14:paraId="6C164702">
      <w:pPr>
        <w:pStyle w:val="1048"/>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048"/>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048"/>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048"/>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048"/>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048"/>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048"/>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048"/>
        <w:suppressLineNumbers w:val="false"/>
        <w:pBdr/>
        <w:spacing w:line="300" w:lineRule="auto"/>
        <w:ind w:firstLine="0"/>
        <w:rPr/>
      </w:pPr>
      <w:r>
        <w:t xml:space="preserve">(B) Generative overlap and format fidelity (free-text outputs)</w:t>
      </w:r>
      <w:r/>
    </w:p>
    <w:p w14:paraId="7586D480">
      <w:pPr>
        <w:pStyle w:val="1048"/>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048"/>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048"/>
        <w:suppressLineNumbers w:val="false"/>
        <w:pBdr/>
        <w:spacing w:line="300" w:lineRule="auto"/>
        <w:ind w:firstLine="0"/>
        <w:rPr/>
      </w:pPr>
      <w:r/>
      <w:r/>
    </w:p>
    <w:p w14:paraId="4E402BC8">
      <w:pPr>
        <w:pStyle w:val="1048"/>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048"/>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048"/>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048"/>
        <w:suppressLineNumbers w:val="false"/>
        <w:pBdr/>
        <w:spacing w:line="300" w:lineRule="auto"/>
        <w:ind w:firstLine="0"/>
        <w:rPr/>
      </w:pPr>
      <w:r>
        <w:t xml:space="preserve">(C) Ordinal severity and clinically meaningful slices (UC severity as flagship use case)</w:t>
      </w:r>
      <w:r/>
    </w:p>
    <w:p w14:paraId="55F8F60D">
      <w:pPr>
        <w:pStyle w:val="1048"/>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048"/>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048"/>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048"/>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048"/>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048"/>
        <w:suppressLineNumbers w:val="false"/>
        <w:pBdr/>
        <w:spacing w:line="300" w:lineRule="auto"/>
        <w:ind w:firstLine="0"/>
        <w:rPr/>
      </w:pPr>
      <w:r>
        <w:t xml:space="preserve">(D) Uncertainty and comparative significance diagnostics (paired predictions only)</w:t>
      </w:r>
      <w:r/>
    </w:p>
    <w:p w14:paraId="4AC8EC63">
      <w:pPr>
        <w:pStyle w:val="1048"/>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048"/>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048"/>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048"/>
        <w:suppressLineNumbers w:val="false"/>
        <w:pBdr/>
        <w:spacing w:line="300" w:lineRule="auto"/>
        <w:ind/>
        <w:rPr/>
      </w:pPr>
      <w:r/>
      <w:r/>
    </w:p>
    <w:p w14:paraId="4D6A02E9">
      <w:pPr>
        <w:pStyle w:val="1048"/>
        <w:suppressLineNumbers w:val="false"/>
        <w:pBdr/>
        <w:spacing w:line="300" w:lineRule="auto"/>
        <w:ind/>
        <w:rPr/>
      </w:pPr>
      <w:r/>
      <w:r/>
    </w:p>
    <w:p w14:paraId="7CA832D8">
      <w:pPr>
        <w:pStyle w:val="1048"/>
        <w:suppressLineNumbers w:val="false"/>
        <w:pBdr/>
        <w:spacing w:line="300" w:lineRule="auto"/>
        <w:ind/>
        <w:rPr/>
      </w:pPr>
      <w: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048"/>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048"/>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048"/>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048"/>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048"/>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048"/>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048"/>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048"/>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048"/>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048"/>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048"/>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048"/>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048"/>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048"/>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048"/>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048"/>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048"/>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048"/>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048"/>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048"/>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048"/>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048"/>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048"/>
        <w:suppressLineNumbers w:val="false"/>
        <w:pBdr/>
        <w:spacing w:line="300" w:lineRule="auto"/>
        <w:ind w:firstLine="0"/>
        <w:rPr/>
      </w:pPr>
      <w:r>
        <w:rPr>
          <w:color w:val="000000" w:themeColor="text1"/>
        </w:rPr>
      </w:r>
      <w:r/>
    </w:p>
    <w:p w14:paraId="23ADB059">
      <w:pPr>
        <w:pStyle w:val="1048"/>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048"/>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048"/>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048"/>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048"/>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04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048"/>
        <w:suppressLineNumbers w:val="false"/>
        <w:pBdr/>
        <w:spacing w:line="300" w:lineRule="auto"/>
        <w:ind w:firstLine="0"/>
        <w:rPr/>
      </w:pPr>
      <w:r>
        <w:rPr>
          <w:highlight w:val="none"/>
        </w:rPr>
      </w:r>
      <w:r>
        <w:rPr>
          <w:highlight w:val="none"/>
        </w:rPr>
      </w:r>
      <w:r/>
    </w:p>
    <w:tbl>
      <w:tblPr>
        <w:tblStyle w:val="110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04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048"/>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048"/>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048"/>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04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048"/>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048"/>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04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048"/>
        <w:suppressLineNumbers w:val="false"/>
        <w:pBdr/>
        <w:spacing w:line="300" w:lineRule="auto"/>
        <w:ind w:firstLine="0"/>
        <w:rPr/>
      </w:pPr>
      <w:r/>
      <w:r/>
    </w:p>
    <w:tbl>
      <w:tblPr>
        <w:tblStyle w:val="1105"/>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048"/>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048"/>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048"/>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0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048"/>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048"/>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048"/>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04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048"/>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04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048"/>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04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048"/>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048"/>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048"/>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04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05"/>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048"/>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048"/>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048"/>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05"/>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048"/>
        <w:suppressLineNumbers w:val="false"/>
        <w:pBdr/>
        <w:spacing w:line="300" w:lineRule="auto"/>
        <w:ind w:firstLine="0"/>
        <w:rPr/>
      </w:pPr>
      <w:r>
        <w:rPr>
          <w:highlight w:val="none"/>
        </w:rPr>
      </w:r>
      <w:r>
        <w:rPr>
          <w:highlight w:val="none"/>
        </w:rPr>
      </w:r>
      <w:r/>
    </w:p>
    <w:p w14:paraId="5A84B595">
      <w:pPr>
        <w:pStyle w:val="1048"/>
        <w:suppressLineNumbers w:val="false"/>
        <w:pBdr/>
        <w:spacing w:line="300" w:lineRule="auto"/>
        <w:ind w:firstLine="0"/>
        <w:rPr>
          <w:highlight w:val="none"/>
        </w:rPr>
      </w:pPr>
      <w:r>
        <w:rPr>
          <w:highlight w:val="none"/>
        </w:rPr>
      </w:r>
      <w:r>
        <w:rPr>
          <w:highlight w:val="none"/>
        </w:rPr>
      </w:r>
      <w:r>
        <w:rPr>
          <w:highlight w:val="none"/>
        </w:rPr>
      </w:r>
    </w:p>
    <w:p w14:paraId="67AD313F">
      <w:pPr>
        <w:pStyle w:val="1048"/>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048"/>
        <w:suppressLineNumbers w:val="false"/>
        <w:pBdr/>
        <w:spacing w:line="300" w:lineRule="auto"/>
        <w:ind w:firstLine="0"/>
        <w:rPr/>
      </w:pPr>
      <w:r/>
      <w:r/>
    </w:p>
    <w:p w14:paraId="0BAD3CBD">
      <w:pPr>
        <w:pStyle w:val="1048"/>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048"/>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048"/>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048"/>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048"/>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048"/>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048"/>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048"/>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05"/>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048"/>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048"/>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048"/>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048"/>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048"/>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048"/>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048"/>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048"/>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048"/>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048"/>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048"/>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048"/>
        <w:suppressLineNumbers w:val="false"/>
        <w:pBdr/>
        <w:spacing w:line="300" w:lineRule="auto"/>
        <w:ind w:firstLine="0"/>
        <w:rPr>
          <w:b/>
          <w:bCs/>
        </w:rPr>
      </w:pPr>
      <w:r>
        <w:rPr>
          <w:b/>
          <w:bCs/>
        </w:rPr>
        <w:t xml:space="preserve">3.5.2 Dominant Failure Modes (RQ3)</w:t>
      </w:r>
      <w:r>
        <w:rPr>
          <w:b/>
          <w:bCs/>
        </w:rPr>
      </w:r>
      <w:r>
        <w:rPr>
          <w:b/>
          <w:bCs/>
        </w:rP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048"/>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04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048"/>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048"/>
        <w:suppressLineNumbers w:val="false"/>
        <w:pBdr/>
        <w:spacing w:line="300" w:lineRule="auto"/>
        <w:ind w:firstLine="0"/>
        <w:rPr>
          <w:b/>
          <w:bCs/>
        </w:rPr>
      </w:pPr>
      <w:r>
        <w:rPr>
          <w:b/>
          <w:bCs/>
        </w:rPr>
        <w:t xml:space="preserve">3.5.3 Severity Robustness (RQ4)</w:t>
      </w:r>
      <w:r>
        <w:rPr>
          <w:b/>
          <w:bCs/>
        </w:rPr>
      </w:r>
      <w:r>
        <w:rPr>
          <w:b/>
          <w:bCs/>
        </w:rPr>
      </w:r>
    </w:p>
    <w:p w14:paraId="057E441A">
      <w:pPr>
        <w:pStyle w:val="1048"/>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048"/>
        <w:suppressLineNumbers w:val="false"/>
        <w:pBdr/>
        <w:spacing w:line="300" w:lineRule="auto"/>
        <w:ind w:firstLine="0"/>
        <w:rPr>
          <w:b/>
          <w:bCs/>
        </w:rPr>
      </w:pPr>
      <w:r>
        <w:rPr>
          <w:b/>
          <w:bCs/>
        </w:rPr>
        <w:t xml:space="preserve">3.5.4 Statistical Stability</w:t>
      </w:r>
      <w:r>
        <w:rPr>
          <w:b/>
          <w:bCs/>
        </w:rPr>
      </w:r>
      <w:r>
        <w:rPr>
          <w:b/>
          <w:bCs/>
        </w:rPr>
      </w:r>
    </w:p>
    <w:p w14:paraId="2C28295E">
      <w:pPr>
        <w:pStyle w:val="1048"/>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048"/>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048"/>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048"/>
        <w:suppressLineNumbers w:val="false"/>
        <w:pBdr/>
        <w:spacing w:line="300" w:lineRule="auto"/>
        <w:ind w:firstLine="0"/>
        <w:rPr>
          <w:b/>
          <w:bCs/>
        </w:rPr>
      </w:pPr>
      <w:r>
        <w:rPr>
          <w:b/>
          <w:bCs/>
          <w:highlight w:val="none"/>
        </w:rPr>
      </w:r>
      <w:r>
        <w:rPr>
          <w:b/>
          <w:bCs/>
        </w:rPr>
      </w:r>
      <w:r>
        <w:rPr>
          <w:b/>
          <w:bCs/>
        </w:rPr>
      </w:r>
    </w:p>
    <w:p w14:paraId="6B7F04DC">
      <w:pPr>
        <w:pStyle w:val="1048"/>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048"/>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048"/>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048"/>
        <w:suppressLineNumbers w:val="false"/>
        <w:pBdr/>
        <w:spacing w:line="300" w:lineRule="auto"/>
        <w:ind w:firstLine="0"/>
        <w:rPr/>
      </w:pPr>
      <w:r>
        <w:t xml:space="preserve">Chapter 3 establishes a reproducible empirical baseline for the dissertation:</w:t>
      </w:r>
      <w:r/>
    </w:p>
    <w:p w14:paraId="4681F31D">
      <w:pPr>
        <w:pStyle w:val="1048"/>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048"/>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048"/>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048"/>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048"/>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048"/>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048"/>
        <w:suppressLineNumbers w:val="false"/>
        <w:pBdr/>
        <w:spacing w:line="300" w:lineRule="auto"/>
        <w:ind w:firstLine="0"/>
        <w:rPr/>
      </w:pPr>
      <w:r>
        <w:rPr>
          <w:highlight w:val="none"/>
        </w:rPr>
      </w:r>
      <w:r>
        <w:rPr>
          <w:highlight w:val="none"/>
        </w:rPr>
      </w:r>
      <w:r/>
    </w:p>
    <w:p w14:paraId="530C2379">
      <w:pPr>
        <w:pStyle w:val="1048"/>
        <w:suppressLineNumbers w:val="false"/>
        <w:pBdr/>
        <w:spacing w:line="300" w:lineRule="auto"/>
        <w:ind w:firstLine="0"/>
        <w:rPr/>
      </w:pPr>
      <w:r/>
      <w:r/>
    </w:p>
    <w:p w14:paraId="5D77A607">
      <w:pPr>
        <w:pStyle w:val="1048"/>
        <w:suppressLineNumbers w:val="false"/>
        <w:pBdr/>
        <w:spacing w:line="300" w:lineRule="auto"/>
        <w:ind w:firstLine="0"/>
        <w:rPr/>
      </w:pPr>
      <w:r/>
      <w:r/>
    </w:p>
    <w:p w14:paraId="53FE87BB">
      <w:pPr>
        <w:pStyle w:val="1048"/>
        <w:suppressLineNumbers w:val="false"/>
        <w:pBdr/>
        <w:spacing w:line="300" w:lineRule="auto"/>
        <w:ind w:firstLine="0"/>
        <w:rPr/>
      </w:pPr>
      <w:r/>
      <w:r/>
    </w:p>
    <w:p w14:paraId="442B2995">
      <w:pPr>
        <w:pStyle w:val="1048"/>
        <w:suppressLineNumbers w:val="false"/>
        <w:pBdr/>
        <w:spacing w:line="300" w:lineRule="auto"/>
        <w:ind w:firstLine="0"/>
        <w:rPr/>
      </w:pPr>
      <w:r/>
      <w:r/>
    </w:p>
    <w:p w14:paraId="0DE07F34">
      <w:pPr>
        <w:pStyle w:val="1048"/>
        <w:suppressLineNumbers w:val="false"/>
        <w:pBdr/>
        <w:spacing w:line="300" w:lineRule="auto"/>
        <w:ind w:firstLine="0"/>
        <w:rPr/>
      </w:pPr>
      <w:r/>
      <w:r/>
    </w:p>
    <w:p w14:paraId="3CF471EA">
      <w:pPr>
        <w:pStyle w:val="1048"/>
        <w:suppressLineNumbers w:val="false"/>
        <w:pBdr/>
        <w:spacing w:line="300" w:lineRule="auto"/>
        <w:ind w:firstLine="0"/>
        <w:rPr/>
      </w:pPr>
      <w:r/>
      <w:r/>
    </w:p>
    <w:p w14:paraId="5474D7CA">
      <w:pPr>
        <w:pStyle w:val="1048"/>
        <w:suppressLineNumbers w:val="false"/>
        <w:pBdr/>
        <w:spacing w:line="300" w:lineRule="auto"/>
        <w:ind w:firstLine="0"/>
        <w:rPr/>
      </w:pPr>
      <w:r/>
      <w:r/>
    </w:p>
    <w:p w14:paraId="1D9157EA">
      <w:pPr>
        <w:pStyle w:val="1048"/>
        <w:suppressLineNumbers w:val="false"/>
        <w:pBdr/>
        <w:spacing w:line="300" w:lineRule="auto"/>
        <w:ind w:firstLine="0"/>
        <w:rPr/>
      </w:pPr>
      <w:r/>
      <w:r/>
    </w:p>
    <w:p w14:paraId="646C775B">
      <w:pPr>
        <w:pStyle w:val="1048"/>
        <w:suppressLineNumbers w:val="false"/>
        <w:pBdr/>
        <w:spacing w:line="300" w:lineRule="auto"/>
        <w:ind w:firstLine="0"/>
        <w:rPr/>
      </w:pPr>
      <w:r/>
      <w:r/>
    </w:p>
    <w:p w14:paraId="6F6A112D">
      <w:pPr>
        <w:pStyle w:val="1048"/>
        <w:suppressLineNumbers w:val="false"/>
        <w:pBdr/>
        <w:spacing w:line="300" w:lineRule="auto"/>
        <w:ind w:firstLine="0"/>
        <w:rPr/>
      </w:pPr>
      <w:r/>
      <w:r/>
    </w:p>
    <w:p w14:paraId="5E8044AB">
      <w:pPr>
        <w:pStyle w:val="1048"/>
        <w:suppressLineNumbers w:val="false"/>
        <w:pBdr/>
        <w:spacing w:line="300" w:lineRule="auto"/>
        <w:ind w:firstLine="0"/>
        <w:rPr/>
      </w:pPr>
      <w:r/>
      <w:r/>
    </w:p>
    <w:p w14:paraId="42BEB6E6">
      <w:pPr>
        <w:pStyle w:val="1048"/>
        <w:suppressLineNumbers w:val="false"/>
        <w:pBdr/>
        <w:spacing w:line="300" w:lineRule="auto"/>
        <w:ind w:firstLine="0"/>
        <w:rPr/>
      </w:pPr>
      <w:r/>
      <w:r/>
    </w:p>
    <w:p w14:paraId="7E0366C4">
      <w:pPr>
        <w:pStyle w:val="1048"/>
        <w:suppressLineNumbers w:val="false"/>
        <w:pBdr/>
        <w:spacing w:line="300" w:lineRule="auto"/>
        <w:ind w:firstLine="0"/>
        <w:rPr/>
      </w:pPr>
      <w:r/>
      <w:r/>
    </w:p>
    <w:p w14:paraId="1584DB52">
      <w:pPr>
        <w:pStyle w:val="1048"/>
        <w:suppressLineNumbers w:val="false"/>
        <w:pBdr/>
        <w:spacing w:line="300" w:lineRule="auto"/>
        <w:ind w:firstLine="0"/>
        <w:rPr/>
      </w:pPr>
      <w:r/>
      <w:r/>
    </w:p>
    <w:p w14:paraId="2C80C08E">
      <w:pPr>
        <w:pStyle w:val="1048"/>
        <w:suppressLineNumbers w:val="false"/>
        <w:pBdr/>
        <w:spacing w:line="300" w:lineRule="auto"/>
        <w:ind w:firstLine="0"/>
        <w:rPr/>
      </w:pPr>
      <w:r/>
      <w:r/>
    </w:p>
    <w:p w14:paraId="471F9FFC">
      <w:pPr>
        <w:pStyle w:val="1048"/>
        <w:suppressLineNumbers w:val="false"/>
        <w:pBdr/>
        <w:spacing w:line="300" w:lineRule="auto"/>
        <w:ind w:firstLine="0"/>
        <w:rPr/>
      </w:pPr>
      <w:r/>
      <w:r/>
    </w:p>
    <w:p w14:paraId="60FCAA16">
      <w:pPr>
        <w:pStyle w:val="1048"/>
        <w:suppressLineNumbers w:val="false"/>
        <w:pBdr/>
        <w:spacing w:line="300" w:lineRule="auto"/>
        <w:ind w:firstLine="0"/>
        <w:rPr/>
      </w:pPr>
      <w:r/>
      <w:r/>
    </w:p>
    <w:p w14:paraId="61506B8D">
      <w:pPr>
        <w:pStyle w:val="1048"/>
        <w:suppressLineNumbers w:val="false"/>
        <w:pBdr/>
        <w:spacing w:line="300" w:lineRule="auto"/>
        <w:ind w:firstLine="0"/>
        <w:rPr/>
      </w:pPr>
      <w:r/>
      <w:r/>
    </w:p>
    <w:p w14:paraId="2B5E1455">
      <w:pPr>
        <w:pStyle w:val="1048"/>
        <w:suppressLineNumbers w:val="false"/>
        <w:pBdr/>
        <w:spacing w:line="300" w:lineRule="auto"/>
        <w:ind w:firstLine="0"/>
        <w:rPr/>
      </w:pPr>
      <w:r/>
      <w:r/>
    </w:p>
    <w:p w14:paraId="7F60234E" w14:textId="0E7E9E48">
      <w:pPr>
        <w:pStyle w:val="1048"/>
        <w:suppressLineNumbers w:val="false"/>
        <w:pBdr/>
        <w:spacing w:line="300" w:lineRule="auto"/>
        <w:ind w:firstLine="0"/>
        <w:rPr/>
      </w:pPr>
      <w:r/>
      <w:r/>
    </w:p>
    <w:p w14:paraId="424FCAB4" w14:textId="250CE9C7">
      <w:pPr>
        <w:pStyle w:val="1035"/>
        <w:suppressLineNumbers w:val="false"/>
        <w:pBdr/>
        <w:spacing w:line="300" w:lineRule="auto"/>
        <w:ind/>
        <w:rPr/>
      </w:pPr>
      <w:r>
        <w:br/>
      </w:r>
      <w:r>
        <w:br/>
      </w:r>
      <w:r/>
      <w:r>
        <w:t xml:space="preserve">Generative AI techniques for rating Ulcerative Colitis Severity</w:t>
      </w:r>
      <w:r/>
      <w:r/>
      <w:r>
        <w:rPr>
          <w:b/>
          <w:bCs/>
        </w:rPr>
      </w:r>
      <w:r>
        <w:rPr>
          <w:b/>
          <w:bCs/>
        </w:rPr>
      </w:r>
      <w:r>
        <w:rPr>
          <w:b/>
          <w:bCs/>
        </w:rPr>
      </w:r>
      <w:r/>
    </w:p>
    <w:p w14:paraId="6AB28B0A" w14:textId="30C5D79A">
      <w:pPr>
        <w:pStyle w:val="1048"/>
        <w:suppressLineNumbers w:val="false"/>
        <w:pBdr/>
        <w:spacing w:line="300" w:lineRule="auto"/>
        <w:ind w:firstLine="0"/>
        <w:rPr>
          <w:b/>
          <w:bCs/>
        </w:rPr>
      </w:pPr>
      <w:r>
        <w:rPr>
          <w:b/>
          <w:bCs/>
        </w:rPr>
        <w:t xml:space="preserve">4.1 </w:t>
      </w:r>
      <w:r>
        <w:rPr>
          <w:b/>
          <w:bCs/>
        </w:rPr>
        <w:t xml:space="preserve">Chapter Overview and Goals</w:t>
      </w:r>
      <w:r>
        <w:rPr>
          <w:b/>
          <w:bCs/>
        </w:rPr>
      </w:r>
      <w:r>
        <w:rPr>
          <w:b/>
          <w:bCs/>
        </w:rPr>
      </w:r>
      <w:r>
        <w:rPr>
          <w:b/>
          <w:bCs/>
        </w:rPr>
      </w:r>
    </w:p>
    <w:p w14:paraId="34BD2929">
      <w:pPr>
        <w:pStyle w:val="1048"/>
        <w:suppressLineNumbers w:val="false"/>
        <w:pBdr/>
        <w:spacing w:line="300" w:lineRule="auto"/>
        <w:ind w:firstLine="0"/>
        <w:rPr/>
      </w:pPr>
      <w:r>
        <w:t xml:space="preserve">Chapter 3 established a reproducible reliability baseline across GI MedVQA settings and showed a consistent gap between supervised severity models and naive zero-shot severity prompting on LIMUC.  </w:t>
      </w:r>
      <w:r/>
    </w:p>
    <w:p w14:paraId="2F4FDF34">
      <w:pPr>
        <w:pStyle w:val="1048"/>
        <w:suppressLineNumbers w:val="false"/>
        <w:pBdr/>
        <w:spacing w:line="300" w:lineRule="auto"/>
        <w:ind w:firstLine="0"/>
        <w:rPr>
          <w:highlight w:val="none"/>
        </w:rPr>
      </w:pPr>
      <w:r>
        <w:t xml:space="preserve">Chapter 4 operationalizes that gap into a concrete method: a controlled severity-oriented pipeline for Ulcerative Colitis (UC) that preserves visual reliability while introducing generative capabilities under explicit output constraints.</w:t>
      </w:r>
      <w:r/>
      <w:r/>
      <w:r/>
      <w:r/>
      <w:r>
        <w:rPr>
          <w:highlight w:val="none"/>
        </w:rPr>
      </w:r>
      <w:r>
        <w:rPr>
          <w:highlight w:val="none"/>
        </w:rPr>
      </w:r>
      <w:r>
        <w:rPr>
          <w:highlight w:val="none"/>
        </w:rPr>
      </w:r>
      <w:r>
        <w:rPr>
          <w:highlight w:val="none"/>
        </w:rPr>
      </w:r>
    </w:p>
    <w:p w14:paraId="06F62A59">
      <w:pPr>
        <w:pStyle w:val="1048"/>
        <w:suppressLineNumbers w:val="false"/>
        <w:pBdr/>
        <w:spacing w:line="300" w:lineRule="auto"/>
        <w:ind w:firstLine="0"/>
        <w:rPr/>
      </w:pPr>
      <w:r>
        <w:t xml:space="preserve">This chapter has four goals:</w:t>
      </w:r>
      <w:r/>
      <w:r/>
      <w:r/>
      <w:r/>
    </w:p>
    <w:p w14:paraId="4C22B4C0">
      <w:pPr>
        <w:pStyle w:val="1048"/>
        <w:numPr>
          <w:ilvl w:val="0"/>
          <w:numId w:val="75"/>
        </w:numPr>
        <w:suppressLineNumbers w:val="false"/>
        <w:pBdr/>
        <w:spacing w:line="300" w:lineRule="auto"/>
        <w:ind/>
        <w:rPr/>
      </w:pPr>
      <w:r>
        <w:t xml:space="preserve">Define a reproducible UC severity task formulation for Mayo 0-3 scoring.</w:t>
      </w:r>
      <w:r/>
    </w:p>
    <w:p w14:paraId="0267EAE9">
      <w:pPr>
        <w:pStyle w:val="1048"/>
        <w:numPr>
          <w:ilvl w:val="0"/>
          <w:numId w:val="75"/>
        </w:numPr>
        <w:suppressLineNumbers w:val="false"/>
        <w:pBdr/>
        <w:spacing w:line="300" w:lineRule="auto"/>
        <w:ind/>
        <w:rPr/>
      </w:pPr>
      <w:r/>
      <w:r>
        <w:t xml:space="preserve">Build strong supervised and zero-shot baselines in the same protocol.</w:t>
      </w:r>
      <w:r/>
    </w:p>
    <w:p w14:paraId="5545BC9F">
      <w:pPr>
        <w:pStyle w:val="1048"/>
        <w:numPr>
          <w:ilvl w:val="0"/>
          <w:numId w:val="75"/>
        </w:numPr>
        <w:suppressLineNumbers w:val="false"/>
        <w:pBdr/>
        <w:spacing w:line="300" w:lineRule="auto"/>
        <w:ind/>
        <w:rPr/>
      </w:pPr>
      <w:r/>
      <w:r>
        <w:t xml:space="preserve">Implement parameter-efficient VLM adaptation (LoRA) for controlled generative severity output.</w:t>
      </w:r>
      <w:r/>
    </w:p>
    <w:p w14:paraId="0F1F14B0">
      <w:pPr>
        <w:pStyle w:val="1048"/>
        <w:numPr>
          <w:ilvl w:val="0"/>
          <w:numId w:val="75"/>
        </w:numPr>
        <w:suppressLineNumbers w:val="false"/>
        <w:pBdr/>
        <w:spacing w:line="300" w:lineRule="auto"/>
        <w:ind/>
        <w:rPr/>
      </w:pPr>
      <w:r/>
      <w:r>
        <w:t xml:space="preserve">Compare methods with ordinal and clinically aligned metrics, then analyze failure patterns.</w:t>
      </w:r>
      <w:r/>
    </w:p>
    <w:p w14:paraId="173B015E">
      <w:pPr>
        <w:pStyle w:val="1048"/>
        <w:suppressLineNumbers w:val="false"/>
        <w:pBdr/>
        <w:spacing w:line="300" w:lineRule="auto"/>
        <w:ind w:firstLine="0" w:left="709"/>
        <w:rPr/>
      </w:pPr>
      <w:r>
        <w:rPr>
          <w:highlight w:val="none"/>
        </w:rPr>
      </w:r>
      <w:r>
        <w:rPr>
          <w:highlight w:val="none"/>
        </w:rPr>
      </w:r>
      <w:r>
        <w:rPr>
          <w:highlight w:val="none"/>
        </w:rPr>
      </w:r>
    </w:p>
    <w:p w14:paraId="451DA6EA">
      <w:pPr>
        <w:pStyle w:val="1048"/>
        <w:suppressLineNumbers w:val="false"/>
        <w:pBdr/>
        <w:spacing w:line="300" w:lineRule="auto"/>
        <w:ind w:firstLine="0"/>
        <w:rPr>
          <w:b/>
          <w:bCs/>
          <w:highlight w:val="none"/>
        </w:rPr>
      </w:pPr>
      <w:r>
        <w:rPr>
          <w:b/>
          <w:bCs/>
        </w:rPr>
        <w:t xml:space="preserve">4.</w:t>
      </w:r>
      <w:r>
        <w:rPr>
          <w:b/>
          <w:bCs/>
          <w:lang w:val="en-US"/>
        </w:rPr>
        <w:t xml:space="preserve">2</w:t>
      </w:r>
      <w:r>
        <w:rPr>
          <w:b/>
          <w:bCs/>
        </w:rPr>
        <w:t xml:space="preserve"> </w:t>
      </w:r>
      <w:r>
        <w:rPr>
          <w:b/>
          <w:bCs/>
        </w:rPr>
        <w:t xml:space="preserve">Datasets and Scope</w:t>
      </w:r>
      <w:r>
        <w:rPr>
          <w:b/>
          <w:bCs/>
        </w:rPr>
      </w:r>
      <w:r>
        <w:rPr>
          <w:b/>
          <w:bCs/>
        </w:rPr>
      </w:r>
      <w:r>
        <w:rPr>
          <w:b/>
          <w:bCs/>
          <w:highlight w:val="none"/>
        </w:rPr>
      </w:r>
      <w:r>
        <w:rPr>
          <w:b/>
          <w:bCs/>
          <w:highlight w:val="none"/>
        </w:rPr>
      </w:r>
      <w:r>
        <w:rPr>
          <w:b/>
          <w:bCs/>
          <w:highlight w:val="none"/>
        </w:rPr>
      </w:r>
      <w:r>
        <w:rPr>
          <w:b/>
          <w:bCs/>
          <w:highlight w:val="none"/>
        </w:rPr>
      </w:r>
    </w:p>
    <w:p w14:paraId="0DF5F484">
      <w:pPr>
        <w:pStyle w:val="1048"/>
        <w:suppressLineNumbers w:val="false"/>
        <w:pBdr/>
        <w:spacing w:line="300" w:lineRule="auto"/>
        <w:ind w:firstLine="0"/>
        <w:rPr>
          <w:b/>
          <w:bCs/>
          <w:highlight w:val="none"/>
        </w:rPr>
      </w:pPr>
      <w:r>
        <w:rPr>
          <w:b/>
          <w:bCs/>
          <w:lang w:val="en-US"/>
        </w:rPr>
        <w:t xml:space="preserve">4.2.1 </w:t>
      </w:r>
      <w:r>
        <w:rPr>
          <w:b/>
          <w:bCs/>
        </w:rPr>
      </w:r>
      <w:r>
        <w:rPr>
          <w:b/>
          <w:bCs/>
        </w:rPr>
        <w:t xml:space="preserve">Primary Dataset Required</w:t>
      </w:r>
      <w:r>
        <w:rPr>
          <w:b/>
          <w:bCs/>
        </w:rPr>
      </w:r>
      <w:r>
        <w:rPr>
          <w:b/>
          <w:bCs/>
          <w:highlight w:val="none"/>
        </w:rPr>
      </w:r>
      <w:r>
        <w:rPr>
          <w:b/>
          <w:bCs/>
          <w:highlight w:val="none"/>
        </w:rPr>
      </w:r>
    </w:p>
    <w:p w14:paraId="33BFB382">
      <w:pPr>
        <w:pStyle w:val="1048"/>
        <w:suppressLineNumbers w:val="false"/>
        <w:pBdr/>
        <w:spacing w:line="300" w:lineRule="auto"/>
        <w:ind w:firstLine="0"/>
        <w:rPr/>
      </w:pPr>
      <w:r>
        <w:t xml:space="preserve">The only dataset strictly required to execute Chapter 4 in this repository is:</w:t>
      </w:r>
      <w:r>
        <w:rPr>
          <w:lang w:val="en-US"/>
        </w:rPr>
        <w:t xml:space="preserve"> </w:t>
      </w:r>
      <w:r/>
      <w:r/>
      <w:r/>
      <w:r/>
      <w:r>
        <w:rPr>
          <w:b/>
          <w:bCs/>
        </w:rPr>
        <w:t xml:space="preserve">LIMUC</w:t>
      </w:r>
      <w:r>
        <w:t xml:space="preserve"> (UC severity, Mayo 0-3), expected by:</w:t>
      </w:r>
      <w:r>
        <w:rPr>
          <w:lang w:val="en-US"/>
        </w:rPr>
        <w:t xml:space="preserve"> </w:t>
      </w:r>
      <w:r/>
      <w:r>
        <w:t xml:space="preserve">DatasetAnalysis/LIMUC/0_dataset_prep/01_build_metadata_images_and_manifests.ipynb</w:t>
      </w:r>
      <w:r/>
      <w:r/>
      <w:r/>
      <w:r/>
      <w:r/>
    </w:p>
    <w:p w14:paraId="47DA61E1">
      <w:pPr>
        <w:pStyle w:val="1048"/>
        <w:suppressLineNumbers w:val="false"/>
        <w:pBdr/>
        <w:spacing w:line="300" w:lineRule="auto"/>
        <w:ind w:firstLine="0"/>
        <w:rPr/>
      </w:pPr>
      <w:r>
        <w:t xml:space="preserve">Expected local structure (as referenced by the LIMUC data-prep notebook):</w:t>
      </w:r>
      <w:r/>
      <w:r/>
      <w:r/>
      <w:r/>
    </w:p>
    <w:p w14:paraId="231B7892">
      <w:pPr>
        <w:pStyle w:val="1048"/>
        <w:numPr>
          <w:ilvl w:val="0"/>
          <w:numId w:val="76"/>
        </w:numPr>
        <w:suppressLineNumbers w:val="false"/>
        <w:pBdr/>
        <w:spacing w:line="300" w:lineRule="auto"/>
        <w:ind/>
        <w:rPr/>
      </w:pPr>
      <w:r>
        <w:t xml:space="preserve">Datasets/LIMUC/train_and_validation_sets</w:t>
      </w:r>
      <w:r/>
    </w:p>
    <w:p w14:paraId="0C17C205">
      <w:pPr>
        <w:pStyle w:val="1048"/>
        <w:numPr>
          <w:ilvl w:val="0"/>
          <w:numId w:val="76"/>
        </w:numPr>
        <w:suppressLineNumbers w:val="false"/>
        <w:pBdr/>
        <w:spacing w:line="300" w:lineRule="auto"/>
        <w:ind/>
        <w:rPr/>
      </w:pPr>
      <w:r>
        <w:t xml:space="preserve">Datasets/LIMUC/test_set</w:t>
      </w:r>
      <w:r/>
    </w:p>
    <w:p w14:paraId="1CEF4067">
      <w:pPr>
        <w:pStyle w:val="1048"/>
        <w:numPr>
          <w:ilvl w:val="0"/>
          <w:numId w:val="76"/>
        </w:numPr>
        <w:suppressLineNumbers w:val="false"/>
        <w:pBdr/>
        <w:spacing w:line="300" w:lineRule="auto"/>
        <w:ind/>
        <w:rPr/>
      </w:pPr>
      <w:r>
        <w:t xml:space="preserve">optional: Datasets/LIMUC/patient_based_classified_images for patient-aware split workflows</w:t>
      </w:r>
      <w:r/>
    </w:p>
    <w:p w14:paraId="4234B1EC">
      <w:pPr>
        <w:pStyle w:val="1048"/>
        <w:suppressLineNumbers w:val="false"/>
        <w:pBdr/>
        <w:spacing w:line="300" w:lineRule="auto"/>
        <w:ind w:firstLine="0"/>
        <w:rPr/>
      </w:pPr>
      <w:r>
        <w:t xml:space="preserve">Frozen LIMUC metadata snapshot used in this chapter (metadata_enriched.csv) contains 11,276 frames:</w:t>
      </w:r>
      <w:r/>
      <w:r/>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15A757ED">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Split</w:t>
            </w:r>
            <w:r>
              <w:rPr>
                <w:color w:val="000000" w:themeColor="text1"/>
              </w:rPr>
            </w:r>
          </w:p>
        </w:tc>
        <w:tc>
          <w:tcPr>
            <w:tcBorders/>
            <w:tcW w:w="4320" w:type="dxa"/>
            <w:textDirection w:val="lrTb"/>
            <w:noWrap w:val="false"/>
          </w:tcPr>
          <w:p w14:paraId="0E72BF21">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N</w:t>
            </w:r>
            <w:r>
              <w:rPr>
                <w:color w:val="000000" w:themeColor="text1"/>
              </w:rPr>
            </w:r>
          </w:p>
        </w:tc>
      </w:tr>
      <w:tr>
        <w:trPr/>
        <w:tc>
          <w:tcPr>
            <w:tcBorders/>
            <w:tcW w:w="4320" w:type="dxa"/>
            <w:textDirection w:val="lrTb"/>
            <w:noWrap w:val="false"/>
          </w:tcPr>
          <w:p w14:paraId="45842417">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Train</w:t>
            </w:r>
            <w:r>
              <w:rPr>
                <w:color w:val="000000" w:themeColor="text1"/>
              </w:rPr>
            </w:r>
          </w:p>
        </w:tc>
        <w:tc>
          <w:tcPr>
            <w:tcBorders/>
            <w:tcW w:w="4320" w:type="dxa"/>
            <w:textDirection w:val="lrTb"/>
            <w:noWrap w:val="false"/>
          </w:tcPr>
          <w:p w14:paraId="64798866">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8669</w:t>
            </w:r>
            <w:r>
              <w:rPr>
                <w:color w:val="000000" w:themeColor="text1"/>
              </w:rPr>
            </w:r>
          </w:p>
        </w:tc>
      </w:tr>
      <w:tr>
        <w:trPr/>
        <w:tc>
          <w:tcPr>
            <w:tcBorders/>
            <w:tcW w:w="4320" w:type="dxa"/>
            <w:textDirection w:val="lrTb"/>
            <w:noWrap w:val="false"/>
          </w:tcPr>
          <w:p w14:paraId="704340A8">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Val</w:t>
            </w:r>
            <w:r>
              <w:rPr>
                <w:color w:val="000000" w:themeColor="text1"/>
              </w:rPr>
            </w:r>
          </w:p>
        </w:tc>
        <w:tc>
          <w:tcPr>
            <w:tcBorders/>
            <w:tcW w:w="4320" w:type="dxa"/>
            <w:textDirection w:val="lrTb"/>
            <w:noWrap w:val="false"/>
          </w:tcPr>
          <w:p w14:paraId="09458597">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921</w:t>
            </w:r>
            <w:r>
              <w:rPr>
                <w:color w:val="000000" w:themeColor="text1"/>
              </w:rPr>
            </w:r>
          </w:p>
        </w:tc>
      </w:tr>
      <w:tr>
        <w:trPr/>
        <w:tc>
          <w:tcPr>
            <w:tcBorders/>
            <w:tcW w:w="4320" w:type="dxa"/>
            <w:textDirection w:val="lrTb"/>
            <w:noWrap w:val="false"/>
          </w:tcPr>
          <w:p w14:paraId="0EEE212B">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Test</w:t>
            </w:r>
            <w:r>
              <w:rPr>
                <w:color w:val="000000" w:themeColor="text1"/>
              </w:rPr>
            </w:r>
          </w:p>
        </w:tc>
        <w:tc>
          <w:tcPr>
            <w:tcBorders/>
            <w:tcW w:w="4320" w:type="dxa"/>
            <w:textDirection w:val="lrTb"/>
            <w:noWrap w:val="false"/>
          </w:tcPr>
          <w:p w14:paraId="0EE49DC1">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1686</w:t>
            </w:r>
            <w:r>
              <w:rPr>
                <w:color w:val="000000" w:themeColor="text1"/>
              </w:rPr>
            </w:r>
          </w:p>
        </w:tc>
      </w:tr>
    </w:tbl>
    <w:p w14:paraId="623A9440">
      <w:pPr>
        <w:pStyle w:val="1048"/>
        <w:suppressLineNumbers w:val="false"/>
        <w:pBdr/>
        <w:spacing w:line="300" w:lineRule="auto"/>
        <w:ind w:firstLine="0"/>
        <w:rPr/>
      </w:pPr>
      <w:r/>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C729380">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p>
        </w:tc>
        <w:tc>
          <w:tcPr>
            <w:tcBorders/>
            <w:tcW w:w="4320" w:type="dxa"/>
            <w:textDirection w:val="lrTb"/>
            <w:noWrap w:val="false"/>
          </w:tcPr>
          <w:p w14:paraId="09C06217">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N (all splits)</w:t>
            </w:r>
            <w:r>
              <w:rPr>
                <w:color w:val="000000" w:themeColor="text1"/>
              </w:rPr>
            </w:r>
          </w:p>
        </w:tc>
      </w:tr>
      <w:tr>
        <w:trPr/>
        <w:tc>
          <w:tcPr>
            <w:tcBorders/>
            <w:tcW w:w="4320" w:type="dxa"/>
            <w:textDirection w:val="lrTb"/>
            <w:noWrap w:val="false"/>
          </w:tcPr>
          <w:p w14:paraId="09400A9E">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p>
        </w:tc>
        <w:tc>
          <w:tcPr>
            <w:tcBorders/>
            <w:tcW w:w="4320" w:type="dxa"/>
            <w:textDirection w:val="lrTb"/>
            <w:noWrap w:val="false"/>
          </w:tcPr>
          <w:p w14:paraId="36444C3C">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p>
        </w:tc>
      </w:tr>
      <w:tr>
        <w:trPr/>
        <w:tc>
          <w:tcPr>
            <w:tcBorders/>
            <w:tcW w:w="4320" w:type="dxa"/>
            <w:textDirection w:val="lrTb"/>
            <w:noWrap w:val="false"/>
          </w:tcPr>
          <w:p w14:paraId="15B5BC7C">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p>
        </w:tc>
        <w:tc>
          <w:tcPr>
            <w:tcBorders/>
            <w:tcW w:w="4320" w:type="dxa"/>
            <w:textDirection w:val="lrTb"/>
            <w:noWrap w:val="false"/>
          </w:tcPr>
          <w:p w14:paraId="739C8CAD">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p>
        </w:tc>
      </w:tr>
      <w:tr>
        <w:trPr/>
        <w:tc>
          <w:tcPr>
            <w:tcBorders/>
            <w:tcW w:w="4320" w:type="dxa"/>
            <w:textDirection w:val="lrTb"/>
            <w:noWrap w:val="false"/>
          </w:tcPr>
          <w:p w14:paraId="6B5AF720">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p>
        </w:tc>
        <w:tc>
          <w:tcPr>
            <w:tcBorders/>
            <w:tcW w:w="4320" w:type="dxa"/>
            <w:textDirection w:val="lrTb"/>
            <w:noWrap w:val="false"/>
          </w:tcPr>
          <w:p w14:paraId="369D60D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p>
        </w:tc>
      </w:tr>
      <w:tr>
        <w:trPr/>
        <w:tc>
          <w:tcPr>
            <w:tcBorders/>
            <w:tcW w:w="4320" w:type="dxa"/>
            <w:textDirection w:val="lrTb"/>
            <w:noWrap w:val="false"/>
          </w:tcPr>
          <w:p w14:paraId="7B648E7F">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p>
        </w:tc>
        <w:tc>
          <w:tcPr>
            <w:tcBorders/>
            <w:tcW w:w="4320" w:type="dxa"/>
            <w:textDirection w:val="lrTb"/>
            <w:noWrap w:val="false"/>
          </w:tcPr>
          <w:p w14:paraId="6C2B4355">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p>
        </w:tc>
      </w:tr>
    </w:tbl>
    <w:p w14:paraId="66E58A2C">
      <w:pPr>
        <w:pStyle w:val="1048"/>
        <w:suppressLineNumbers w:val="false"/>
        <w:pBdr/>
        <w:spacing w:line="300" w:lineRule="auto"/>
        <w:ind w:firstLine="0"/>
        <w:rPr/>
      </w:pPr>
      <w:r>
        <w:rPr>
          <w:highlight w:val="none"/>
        </w:rPr>
      </w:r>
      <w:r>
        <w:rPr>
          <w:highlight w:val="none"/>
        </w:rPr>
      </w:r>
    </w:p>
    <w:p w14:paraId="3E054CDF">
      <w:pPr>
        <w:pStyle w:val="1048"/>
        <w:suppressLineNumbers w:val="false"/>
        <w:pBdr/>
        <w:spacing w:line="300" w:lineRule="auto"/>
        <w:ind w:firstLine="0"/>
        <w:rPr>
          <w:b/>
          <w:bCs/>
          <w:highlight w:val="none"/>
        </w:rPr>
      </w:pPr>
      <w:r>
        <w:rPr>
          <w:b/>
          <w:bCs/>
          <w:lang w:val="en-US"/>
        </w:rPr>
        <w:t xml:space="preserve">4.2.2</w:t>
      </w:r>
      <w:r>
        <w:rPr>
          <w:b/>
          <w:bCs/>
        </w:rPr>
        <w:t xml:space="preserve"> Optional External Robustness Dataset</w:t>
      </w:r>
      <w:r>
        <w:rPr>
          <w:b/>
          <w:bCs/>
        </w:rPr>
      </w:r>
      <w:r>
        <w:rPr>
          <w:b/>
          <w:bCs/>
          <w:highlight w:val="none"/>
        </w:rPr>
      </w:r>
    </w:p>
    <w:p w14:paraId="2E23B4B4">
      <w:pPr>
        <w:pStyle w:val="1048"/>
        <w:suppressLineNumbers w:val="false"/>
        <w:pBdr/>
        <w:spacing w:line="300" w:lineRule="auto"/>
        <w:ind w:firstLine="0"/>
        <w:rPr/>
      </w:pPr>
      <w:r>
        <w:t xml:space="preserve">If cross-dataset robustness is included in Chapter 4, add:</w:t>
      </w:r>
      <w:r/>
      <w:r/>
      <w:r/>
      <w:r/>
    </w:p>
    <w:p w14:paraId="50B8651E">
      <w:pPr>
        <w:pStyle w:val="1048"/>
        <w:numPr>
          <w:ilvl w:val="0"/>
          <w:numId w:val="77"/>
        </w:numPr>
        <w:suppressLineNumbers w:val="false"/>
        <w:pBdr/>
        <w:spacing w:line="300" w:lineRule="auto"/>
        <w:ind/>
        <w:rPr/>
      </w:pPr>
      <w:r>
        <w:rPr>
          <w:b/>
          <w:bCs/>
        </w:rPr>
        <w:t xml:space="preserve">HyperKvasir UC subset</w:t>
      </w:r>
      <w:r>
        <w:t xml:space="preserve"> (or a clinically filtered UC subset) as external-only evaluation.</w:t>
      </w:r>
      <w:r/>
    </w:p>
    <w:p w14:paraId="691A80D2" w14:textId="35438F4D">
      <w:pPr>
        <w:pStyle w:val="1048"/>
        <w:suppressLineNumbers w:val="false"/>
        <w:pBdr/>
        <w:spacing w:line="300" w:lineRule="auto"/>
        <w:ind w:firstLine="0"/>
        <w:rPr/>
      </w:pPr>
      <w:r>
        <w:t xml:space="preserve">This is optional and should be framed as domain-shift testing, not primary training evidence.</w:t>
      </w:r>
      <w:r/>
      <w:r/>
      <w:r/>
    </w:p>
    <w:p w14:paraId="5D3CB785">
      <w:pPr>
        <w:pStyle w:val="1048"/>
        <w:suppressLineNumbers w:val="false"/>
        <w:pBdr/>
        <w:spacing w:line="300" w:lineRule="auto"/>
        <w:ind w:firstLine="0"/>
        <w:rPr/>
      </w:pPr>
      <w:r/>
      <w:r/>
      <w:r/>
    </w:p>
    <w:p w14:paraId="7A0D0664">
      <w:pPr>
        <w:pStyle w:val="1048"/>
        <w:suppressLineNumbers w:val="false"/>
        <w:pBdr/>
        <w:spacing w:line="300" w:lineRule="auto"/>
        <w:ind w:firstLine="0"/>
        <w:rPr>
          <w:b/>
          <w:bCs/>
          <w:highlight w:val="none"/>
        </w:rPr>
      </w:pPr>
      <w:r>
        <w:rPr>
          <w:b/>
          <w:bCs/>
          <w:lang w:val="en-US"/>
        </w:rPr>
        <w:t xml:space="preserve">4.2.3</w:t>
      </w:r>
      <w:r>
        <w:rPr>
          <w:b/>
          <w:bCs/>
        </w:rPr>
        <w:t xml:space="preserve"> Optional External Robustness Dataset</w:t>
      </w:r>
      <w:r>
        <w:rPr>
          <w:b/>
          <w:bCs/>
          <w:highlight w:val="none"/>
        </w:rPr>
      </w:r>
      <w:r>
        <w:rPr>
          <w:b/>
          <w:bCs/>
          <w:highlight w:val="none"/>
        </w:rPr>
      </w:r>
    </w:p>
    <w:p w14:paraId="25F3F80C">
      <w:pPr>
        <w:pStyle w:val="1048"/>
        <w:suppressLineNumbers w:val="false"/>
        <w:pBdr/>
        <w:spacing w:line="300" w:lineRule="auto"/>
        <w:ind w:firstLine="0"/>
        <w:rPr/>
      </w:pPr>
      <w:r>
        <w:t xml:space="preserve">The following are useful for broader thesis context but are not mandatory for Chapter 4 core UC severity execution:</w:t>
      </w:r>
      <w:r/>
      <w:r/>
      <w:r/>
      <w:r/>
    </w:p>
    <w:p w14:paraId="7554733C">
      <w:pPr>
        <w:pStyle w:val="1048"/>
        <w:numPr>
          <w:ilvl w:val="0"/>
          <w:numId w:val="78"/>
        </w:numPr>
        <w:suppressLineNumbers w:val="false"/>
        <w:pBdr/>
        <w:spacing w:line="300" w:lineRule="auto"/>
        <w:ind/>
        <w:rPr/>
      </w:pPr>
      <w:r>
        <w:t xml:space="preserve">Kvasir-VQA</w:t>
      </w:r>
      <w:r/>
    </w:p>
    <w:p w14:paraId="3DF5000C">
      <w:pPr>
        <w:pStyle w:val="1048"/>
        <w:numPr>
          <w:ilvl w:val="0"/>
          <w:numId w:val="78"/>
        </w:numPr>
        <w:suppressLineNumbers w:val="false"/>
        <w:pBdr/>
        <w:spacing w:line="300" w:lineRule="auto"/>
        <w:ind/>
        <w:rPr/>
      </w:pPr>
      <w:r>
        <w:t xml:space="preserve">Kvasir-VQA-x1</w:t>
      </w:r>
      <w:r/>
    </w:p>
    <w:p w14:paraId="79A5FD4F" w14:textId="0332211C">
      <w:pPr>
        <w:pStyle w:val="1048"/>
        <w:numPr>
          <w:ilvl w:val="0"/>
          <w:numId w:val="78"/>
        </w:numPr>
        <w:suppressLineNumbers w:val="false"/>
        <w:pBdr/>
        <w:spacing w:line="300" w:lineRule="auto"/>
        <w:ind/>
        <w:rPr/>
      </w:pPr>
      <w:r>
        <w:t xml:space="preserve">ImageCLEF MEDVQA-GI</w:t>
      </w:r>
      <w:r/>
      <w:r/>
      <w:r/>
    </w:p>
    <w:p w14:paraId="28CEFD8F">
      <w:pPr>
        <w:pStyle w:val="1048"/>
        <w:suppressLineNumbers w:val="false"/>
        <w:pBdr/>
        <w:spacing w:line="300" w:lineRule="auto"/>
        <w:ind w:firstLine="0"/>
        <w:rPr/>
      </w:pPr>
      <w:r/>
      <w:r/>
      <w:r/>
    </w:p>
    <w:p w14:paraId="24B6DD5F">
      <w:pPr>
        <w:pStyle w:val="1048"/>
        <w:suppressLineNumbers w:val="false"/>
        <w:pBdr/>
        <w:spacing w:line="300" w:lineRule="auto"/>
        <w:ind w:firstLine="0"/>
        <w:rPr>
          <w:b/>
          <w:bCs/>
        </w:rPr>
      </w:pPr>
      <w:r>
        <w:rPr>
          <w:b/>
          <w:bCs/>
        </w:rPr>
        <w:t xml:space="preserve">4.</w:t>
      </w:r>
      <w:r>
        <w:rPr>
          <w:b/>
          <w:bCs/>
          <w:lang w:val="en-US"/>
        </w:rPr>
        <w:t xml:space="preserve">3</w:t>
      </w:r>
      <w:r>
        <w:rPr>
          <w:b/>
          <w:bCs/>
        </w:rPr>
        <w:t xml:space="preserve"> </w:t>
      </w:r>
      <w:r>
        <w:rPr>
          <w:b/>
          <w:bCs/>
        </w:rPr>
        <w:t xml:space="preserve">Proposed Pipeline</w:t>
      </w:r>
      <w:r>
        <w:rPr>
          <w:b/>
          <w:bCs/>
        </w:rPr>
      </w:r>
      <w:r>
        <w:rPr>
          <w:b/>
          <w:bCs/>
        </w:rPr>
      </w:r>
      <w:r>
        <w:rPr>
          <w:b/>
          <w:bCs/>
        </w:rPr>
      </w:r>
    </w:p>
    <w:p w14:paraId="0E714785" w14:textId="100645BF">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486400" cy="31198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38997" name=""/>
                        <pic:cNvPicPr>
                          <a:picLocks noChangeAspect="1"/>
                        </pic:cNvPicPr>
                        <pic:nvPr/>
                      </pic:nvPicPr>
                      <pic:blipFill rotWithShape="1">
                        <a:blip r:embed="rId22"/>
                        <a:stretch/>
                      </pic:blipFill>
                      <pic:spPr bwMode="auto">
                        <a:xfrm>
                          <a:off x="0" y="0"/>
                          <a:ext cx="5486399" cy="3119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4.57pt;mso-wrap-distance-left:0.00pt;mso-wrap-distance-top:0.00pt;mso-wrap-distance-right:0.00pt;mso-wrap-distance-bottom:0.00pt;z-index:1;" stroked="false">
                <v:imagedata r:id="rId22" o:title=""/>
                <o:lock v:ext="edit" rotation="t"/>
              </v:shape>
            </w:pict>
          </mc:Fallback>
        </mc:AlternateContent>
      </w:r>
      <w:r/>
    </w:p>
    <w:p w14:paraId="65F56D15" w14:textId="77FF9532">
      <w:pPr>
        <w:pStyle w:val="1048"/>
        <w:suppressLineNumbers w:val="false"/>
        <w:pBdr/>
        <w:spacing w:line="300" w:lineRule="auto"/>
        <w:ind w:firstLine="0"/>
        <w:rPr/>
      </w:pPr>
      <w:r/>
      <w:r/>
    </w:p>
    <w:p w14:paraId="533D5613">
      <w:pPr>
        <w:pStyle w:val="1048"/>
        <w:suppressLineNumbers w:val="false"/>
        <w:pBdr/>
        <w:spacing w:line="300" w:lineRule="auto"/>
        <w:ind w:firstLine="0"/>
        <w:rPr>
          <w:b/>
          <w:bCs/>
        </w:rPr>
      </w:pPr>
      <w:r>
        <w:rPr>
          <w:b/>
          <w:bCs/>
        </w:rPr>
        <w:t xml:space="preserve">4.</w:t>
      </w:r>
      <w:r>
        <w:rPr>
          <w:b/>
          <w:bCs/>
          <w:lang w:val="en-US"/>
        </w:rPr>
        <w:t xml:space="preserve">3.1</w:t>
      </w:r>
      <w:r>
        <w:rPr>
          <w:b/>
          <w:bCs/>
        </w:rPr>
        <w:t xml:space="preserve"> </w:t>
      </w:r>
      <w:r>
        <w:rPr>
          <w:b/>
          <w:bCs/>
        </w:rPr>
        <w:t xml:space="preserve">Data Preparation Layer</w:t>
      </w:r>
      <w:r>
        <w:rPr>
          <w:b/>
          <w:bCs/>
        </w:rPr>
      </w:r>
      <w:r>
        <w:rPr>
          <w:b/>
          <w:bCs/>
        </w:rPr>
      </w:r>
      <w:r>
        <w:rPr>
          <w:b/>
          <w:bCs/>
        </w:rPr>
      </w:r>
    </w:p>
    <w:p w14:paraId="64053D26">
      <w:pPr>
        <w:pStyle w:val="1048"/>
        <w:suppressLineNumbers w:val="false"/>
        <w:pBdr/>
        <w:spacing w:line="300" w:lineRule="auto"/>
        <w:ind w:firstLine="0"/>
        <w:rPr/>
      </w:pPr>
      <w:r>
        <w:t xml:space="preserve">Primary notebook:</w:t>
      </w:r>
      <w:r/>
      <w:r/>
      <w:r/>
      <w:r/>
    </w:p>
    <w:p w14:paraId="5E64D312">
      <w:pPr>
        <w:pStyle w:val="1048"/>
        <w:numPr>
          <w:ilvl w:val="0"/>
          <w:numId w:val="79"/>
        </w:numPr>
        <w:suppressLineNumbers w:val="false"/>
        <w:pBdr/>
        <w:spacing w:line="300" w:lineRule="auto"/>
        <w:ind/>
        <w:rPr/>
      </w:pPr>
      <w:r>
        <w:t xml:space="preserve">Prototyping_reformat/DatasetAnalysis/LIMUC/0_dataset_prep/01_build_metadata_images_and_manifests.ipynb</w:t>
      </w:r>
      <w:r/>
    </w:p>
    <w:p w14:paraId="58C0F46B">
      <w:pPr>
        <w:pStyle w:val="1048"/>
        <w:suppressLineNumbers w:val="false"/>
        <w:pBdr/>
        <w:spacing w:line="300" w:lineRule="auto"/>
        <w:ind w:firstLine="0"/>
        <w:rPr/>
      </w:pPr>
      <w:r>
        <w:t xml:space="preserve">Core outputs used downstream:</w:t>
      </w:r>
      <w:r/>
      <w:r/>
      <w:r/>
      <w:r/>
    </w:p>
    <w:p w14:paraId="76AFCCED">
      <w:pPr>
        <w:pStyle w:val="1048"/>
        <w:numPr>
          <w:ilvl w:val="0"/>
          <w:numId w:val="80"/>
        </w:numPr>
        <w:suppressLineNumbers w:val="false"/>
        <w:pBdr/>
        <w:spacing w:line="300" w:lineRule="auto"/>
        <w:ind/>
        <w:rPr/>
      </w:pPr>
      <w:r>
        <w:t xml:space="preserve">metadata table with split assignment</w:t>
      </w:r>
      <w:r/>
    </w:p>
    <w:p w14:paraId="33E34D3B">
      <w:pPr>
        <w:pStyle w:val="1048"/>
        <w:numPr>
          <w:ilvl w:val="0"/>
          <w:numId w:val="80"/>
        </w:numPr>
        <w:suppressLineNumbers w:val="false"/>
        <w:pBdr/>
        <w:spacing w:line="300" w:lineRule="auto"/>
        <w:ind/>
        <w:rPr/>
      </w:pPr>
      <w:r>
        <w:t xml:space="preserve">label mapping (Mayo classes)</w:t>
      </w:r>
      <w:r/>
    </w:p>
    <w:p w14:paraId="7E206384">
      <w:pPr>
        <w:pStyle w:val="1048"/>
        <w:numPr>
          <w:ilvl w:val="0"/>
          <w:numId w:val="80"/>
        </w:numPr>
        <w:suppressLineNumbers w:val="false"/>
        <w:pBdr/>
        <w:spacing w:line="300" w:lineRule="auto"/>
        <w:ind/>
        <w:rPr/>
      </w:pPr>
      <w:r>
        <w:t xml:space="preserve">split hash for reproducibility traceability</w:t>
      </w:r>
      <w:r/>
    </w:p>
    <w:p w14:paraId="799D1B75">
      <w:pPr>
        <w:pStyle w:val="1048"/>
        <w:suppressLineNumbers w:val="false"/>
        <w:pBdr/>
        <w:spacing w:line="300" w:lineRule="auto"/>
        <w:ind w:firstLine="0" w:left="0"/>
        <w:rPr/>
      </w:pPr>
      <w:r/>
      <w:r/>
      <w:r/>
    </w:p>
    <w:p w14:paraId="422E35C0">
      <w:pPr>
        <w:pStyle w:val="1048"/>
        <w:suppressLineNumbers w:val="false"/>
        <w:pBdr/>
        <w:spacing w:line="300" w:lineRule="auto"/>
        <w:ind w:firstLine="0"/>
        <w:rPr>
          <w:b/>
          <w:bCs/>
        </w:rPr>
      </w:pPr>
      <w:r>
        <w:rPr>
          <w:b/>
          <w:bCs/>
        </w:rPr>
        <w:t xml:space="preserve">4.</w:t>
      </w:r>
      <w:r>
        <w:rPr>
          <w:b/>
          <w:bCs/>
          <w:lang w:val="en-US"/>
        </w:rPr>
        <w:t xml:space="preserve">3.2</w:t>
      </w:r>
      <w:r>
        <w:rPr>
          <w:b/>
          <w:bCs/>
        </w:rPr>
        <w:t xml:space="preserve"> </w:t>
      </w:r>
      <w:r>
        <w:rPr>
          <w:b/>
          <w:bCs/>
        </w:rPr>
      </w:r>
      <w:r>
        <w:rPr>
          <w:b/>
          <w:bCs/>
        </w:rPr>
        <w:t xml:space="preserve">Strong Supervised Baseline Layer</w:t>
      </w:r>
      <w:r>
        <w:rPr>
          <w:b/>
          <w:bCs/>
        </w:rPr>
      </w:r>
      <w:r>
        <w:rPr>
          <w:b/>
          <w:bCs/>
        </w:rPr>
      </w:r>
      <w:r>
        <w:rPr>
          <w:b/>
          <w:bCs/>
        </w:rPr>
      </w:r>
      <w:r>
        <w:rPr>
          <w:highlight w:val="none"/>
        </w:rPr>
      </w:r>
      <w:r>
        <w:rPr>
          <w:highlight w:val="none"/>
        </w:rPr>
      </w:r>
      <w:r>
        <w:rPr>
          <w:highlight w:val="none"/>
        </w:rPr>
      </w:r>
      <w:r>
        <w:rPr>
          <w:b/>
          <w:bCs/>
        </w:rPr>
      </w:r>
    </w:p>
    <w:p w14:paraId="0217A5C5">
      <w:pPr>
        <w:pStyle w:val="1048"/>
        <w:suppressLineNumbers w:val="false"/>
        <w:pBdr/>
        <w:spacing w:line="300" w:lineRule="auto"/>
        <w:ind w:firstLine="0"/>
        <w:rPr/>
      </w:pPr>
      <w:r>
        <w:t xml:space="preserve">Frozen baselines:</w:t>
      </w:r>
      <w:r/>
      <w:r/>
      <w:r/>
      <w:r/>
    </w:p>
    <w:p w14:paraId="13F16715">
      <w:pPr>
        <w:pStyle w:val="1048"/>
        <w:numPr>
          <w:ilvl w:val="0"/>
          <w:numId w:val="81"/>
        </w:numPr>
        <w:suppressLineNumbers w:val="false"/>
        <w:pBdr/>
        <w:spacing w:line="300" w:lineRule="auto"/>
        <w:ind/>
        <w:rPr>
          <w:sz w:val="22"/>
          <w:szCs w:val="22"/>
        </w:rPr>
      </w:pPr>
      <w:r>
        <w:rPr>
          <w:sz w:val="22"/>
          <w:szCs w:val="22"/>
        </w:rPr>
        <w:t xml:space="preserve">Prototyping_reformat/DatasetAnalysis/LIMUC/1_frozen_encoders/resnet50_frozen_logreg.ipynb</w:t>
      </w:r>
      <w:r>
        <w:rPr>
          <w:sz w:val="22"/>
          <w:szCs w:val="22"/>
        </w:rPr>
      </w:r>
    </w:p>
    <w:p w14:paraId="11BCAF32">
      <w:pPr>
        <w:pStyle w:val="1048"/>
        <w:numPr>
          <w:ilvl w:val="0"/>
          <w:numId w:val="81"/>
        </w:numPr>
        <w:suppressLineNumbers w:val="false"/>
        <w:pBdr/>
        <w:spacing w:line="300" w:lineRule="auto"/>
        <w:ind/>
        <w:rPr>
          <w:sz w:val="22"/>
          <w:szCs w:val="22"/>
        </w:rPr>
      </w:pPr>
      <w:r>
        <w:rPr>
          <w:sz w:val="22"/>
          <w:szCs w:val="22"/>
        </w:rPr>
        <w:t xml:space="preserve">Prototyping_reformat/DatasetAnalysis/LIMUC/1_frozen_encoders/vit_frozen_logreg.ipynb</w:t>
      </w:r>
      <w:r>
        <w:rPr>
          <w:sz w:val="22"/>
          <w:szCs w:val="22"/>
        </w:rPr>
      </w:r>
    </w:p>
    <w:p w14:paraId="5B615FB2">
      <w:pPr>
        <w:pStyle w:val="1048"/>
        <w:numPr>
          <w:ilvl w:val="0"/>
          <w:numId w:val="81"/>
        </w:numPr>
        <w:suppressLineNumbers w:val="false"/>
        <w:pBdr/>
        <w:spacing w:line="300" w:lineRule="auto"/>
        <w:ind/>
        <w:rPr>
          <w:sz w:val="22"/>
          <w:szCs w:val="22"/>
        </w:rPr>
      </w:pPr>
      <w:r>
        <w:rPr>
          <w:sz w:val="22"/>
          <w:szCs w:val="22"/>
        </w:rPr>
        <w:t xml:space="preserve">Prototyping_reformat/DatasetAnalysis/LIMUC/1_frozen_encoders/clip_linear_baseline.ipynb</w:t>
      </w:r>
      <w:r>
        <w:rPr>
          <w:sz w:val="22"/>
          <w:szCs w:val="22"/>
        </w:rPr>
      </w:r>
    </w:p>
    <w:p w14:paraId="4F935B0A">
      <w:pPr>
        <w:pStyle w:val="1048"/>
        <w:suppressLineNumbers w:val="false"/>
        <w:pBdr/>
        <w:spacing w:line="300" w:lineRule="auto"/>
        <w:ind w:firstLine="0"/>
        <w:rPr/>
      </w:pPr>
      <w:r>
        <w:t xml:space="preserve">Fine-tuned baselines:</w:t>
      </w:r>
      <w:r/>
      <w:r/>
      <w:r/>
      <w:r/>
    </w:p>
    <w:p w14:paraId="2FE57ABE">
      <w:pPr>
        <w:pStyle w:val="1048"/>
        <w:numPr>
          <w:ilvl w:val="0"/>
          <w:numId w:val="82"/>
        </w:numPr>
        <w:suppressLineNumbers w:val="false"/>
        <w:pBdr/>
        <w:spacing w:line="300" w:lineRule="auto"/>
        <w:ind/>
        <w:rPr/>
      </w:pPr>
      <w:r>
        <w:t xml:space="preserve">Prototyping_reformat/DatasetAnalysis/LIMUC/2_supervised_finetuning/finetune_resnet50.ipynb</w:t>
      </w:r>
      <w:r/>
    </w:p>
    <w:p w14:paraId="66AAE1EC">
      <w:pPr>
        <w:pStyle w:val="1048"/>
        <w:numPr>
          <w:ilvl w:val="0"/>
          <w:numId w:val="82"/>
        </w:numPr>
        <w:suppressLineNumbers w:val="false"/>
        <w:pBdr/>
        <w:spacing w:line="300" w:lineRule="auto"/>
        <w:ind/>
        <w:rPr/>
      </w:pPr>
      <w:r>
        <w:t xml:space="preserve">Prototyping_reformat/DatasetAnalysis/LIMUC/2_supervised_finetuning/finetune_vit_or_swin.ipynb</w:t>
      </w:r>
      <w:r/>
    </w:p>
    <w:p w14:paraId="6325F197" w14:textId="34188E83">
      <w:pPr>
        <w:pStyle w:val="1048"/>
        <w:suppressLineNumbers w:val="false"/>
        <w:pBdr/>
        <w:spacing w:line="300" w:lineRule="auto"/>
        <w:ind w:firstLine="0"/>
        <w:rPr>
          <w:highlight w:val="none"/>
        </w:rPr>
      </w:pPr>
      <w:r>
        <w:t xml:space="preserve">These models define the reliability anchor for all generative comparisons.</w:t>
      </w:r>
      <w:r/>
      <w:r/>
      <w:r/>
    </w:p>
    <w:p w14:paraId="2CC98C67">
      <w:pPr>
        <w:pStyle w:val="1048"/>
        <w:suppressLineNumbers w:val="false"/>
        <w:pBdr/>
        <w:spacing w:line="300" w:lineRule="auto"/>
        <w:ind w:firstLine="0"/>
        <w:rPr/>
      </w:pPr>
      <w:r/>
      <w:r/>
      <w:r/>
    </w:p>
    <w:p w14:paraId="58FF2A06">
      <w:pPr>
        <w:pStyle w:val="1048"/>
        <w:suppressLineNumbers w:val="false"/>
        <w:pBdr/>
        <w:spacing w:line="300" w:lineRule="auto"/>
        <w:ind w:firstLine="0"/>
        <w:rPr>
          <w:b/>
          <w:bCs/>
        </w:rPr>
      </w:pPr>
      <w:r>
        <w:rPr>
          <w:b/>
          <w:bCs/>
        </w:rPr>
        <w:t xml:space="preserve">4.</w:t>
      </w:r>
      <w:r>
        <w:rPr>
          <w:b/>
          <w:bCs/>
          <w:lang w:val="en-US"/>
        </w:rPr>
        <w:t xml:space="preserve">3.3</w:t>
      </w:r>
      <w:r>
        <w:rPr>
          <w:b/>
          <w:bCs/>
        </w:rPr>
        <w:t xml:space="preserve"> </w:t>
      </w:r>
      <w:r>
        <w:rPr>
          <w:b/>
          <w:bCs/>
        </w:rPr>
      </w:r>
      <w:r>
        <w:rPr>
          <w:b/>
          <w:bCs/>
        </w:rPr>
        <w:t xml:space="preserve">Zero-Shot Generative Severity Layer</w:t>
      </w:r>
      <w:r>
        <w:rPr>
          <w:b/>
          <w:bCs/>
        </w:rPr>
      </w:r>
      <w:r>
        <w:rPr>
          <w:b/>
          <w:bCs/>
        </w:rPr>
      </w:r>
    </w:p>
    <w:p w14:paraId="7A410644">
      <w:pPr>
        <w:pStyle w:val="1048"/>
        <w:suppressLineNumbers w:val="false"/>
        <w:pBdr/>
        <w:spacing w:line="300" w:lineRule="auto"/>
        <w:ind w:firstLine="0"/>
        <w:rPr/>
      </w:pPr>
      <w:r>
        <w:t xml:space="preserve">Primary notebook:</w:t>
      </w:r>
      <w:r/>
      <w:r/>
      <w:r/>
      <w:r/>
    </w:p>
    <w:p w14:paraId="0A2D4241">
      <w:pPr>
        <w:pStyle w:val="1048"/>
        <w:numPr>
          <w:ilvl w:val="0"/>
          <w:numId w:val="83"/>
        </w:numPr>
        <w:suppressLineNumbers w:val="false"/>
        <w:pBdr/>
        <w:spacing w:line="300" w:lineRule="auto"/>
        <w:ind/>
        <w:rPr/>
      </w:pPr>
      <w:r>
        <w:t xml:space="preserve">Prototyping_reformat/DatasetAnalysis/LIMUC/3_vlm_severity/vlm_zero_shot_mayo.ipynb</w:t>
      </w:r>
      <w:r/>
    </w:p>
    <w:p w14:paraId="2B5837E3">
      <w:pPr>
        <w:pStyle w:val="1048"/>
        <w:suppressLineNumbers w:val="false"/>
        <w:pBdr/>
        <w:spacing w:line="300" w:lineRule="auto"/>
        <w:ind w:firstLine="0"/>
        <w:rPr/>
      </w:pPr>
      <w:r>
        <w:t xml:space="preserve">Task framing:</w:t>
      </w:r>
      <w:r/>
      <w:r/>
      <w:r/>
      <w:r/>
    </w:p>
    <w:p w14:paraId="0A7115DC">
      <w:pPr>
        <w:pStyle w:val="1048"/>
        <w:numPr>
          <w:ilvl w:val="0"/>
          <w:numId w:val="84"/>
        </w:numPr>
        <w:suppressLineNumbers w:val="false"/>
        <w:pBdr/>
        <w:spacing w:line="300" w:lineRule="auto"/>
        <w:ind/>
        <w:rPr/>
      </w:pPr>
      <w:r>
        <w:t xml:space="preserve">fixed severity question prompt</w:t>
      </w:r>
      <w:r/>
    </w:p>
    <w:p w14:paraId="3D2DE6F0">
      <w:pPr>
        <w:pStyle w:val="1048"/>
        <w:numPr>
          <w:ilvl w:val="0"/>
          <w:numId w:val="84"/>
        </w:numPr>
        <w:suppressLineNumbers w:val="false"/>
        <w:pBdr/>
        <w:spacing w:line="300" w:lineRule="auto"/>
        <w:ind/>
        <w:rPr/>
      </w:pPr>
      <w:r>
        <w:t xml:space="preserve">constrained expected format (SCORE: X)</w:t>
      </w:r>
      <w:r/>
    </w:p>
    <w:p w14:paraId="1F3FBC0F" w14:textId="2ED9BEBE">
      <w:pPr>
        <w:pStyle w:val="1048"/>
        <w:numPr>
          <w:ilvl w:val="0"/>
          <w:numId w:val="84"/>
        </w:numPr>
        <w:suppressLineNumbers w:val="false"/>
        <w:pBdr/>
        <w:spacing w:line="300" w:lineRule="auto"/>
        <w:ind/>
        <w:rPr/>
      </w:pPr>
      <w:r>
        <w:t xml:space="preserve">score parser with invalid handling</w:t>
      </w:r>
      <w:r/>
      <w:r/>
      <w:r/>
    </w:p>
    <w:p w14:paraId="66607676">
      <w:pPr>
        <w:pStyle w:val="1048"/>
        <w:suppressLineNumbers w:val="false"/>
        <w:pBdr/>
        <w:spacing w:line="300" w:lineRule="auto"/>
        <w:ind w:firstLine="0" w:left="0"/>
        <w:rPr/>
      </w:pPr>
      <w:r/>
      <w:r/>
      <w:r/>
    </w:p>
    <w:p w14:paraId="60D0EFB6">
      <w:pPr>
        <w:pStyle w:val="1048"/>
        <w:suppressLineNumbers w:val="false"/>
        <w:pBdr/>
        <w:spacing w:line="300" w:lineRule="auto"/>
        <w:ind w:firstLine="0"/>
        <w:rPr>
          <w:b/>
          <w:bCs/>
        </w:rPr>
      </w:pPr>
      <w:r>
        <w:rPr>
          <w:b/>
          <w:bCs/>
        </w:rPr>
        <w:t xml:space="preserve">4.</w:t>
      </w:r>
      <w:r>
        <w:rPr>
          <w:b/>
          <w:bCs/>
          <w:lang w:val="en-US"/>
        </w:rPr>
        <w:t xml:space="preserve">3.4</w:t>
      </w:r>
      <w:r>
        <w:rPr>
          <w:b/>
          <w:bCs/>
        </w:rPr>
        <w:t xml:space="preserve"> </w:t>
      </w:r>
      <w:r>
        <w:rPr>
          <w:b/>
          <w:bCs/>
        </w:rPr>
        <w:t xml:space="preserve">Parameter-Efficient Generative Adaptation Layer</w:t>
      </w:r>
      <w:r>
        <w:rPr>
          <w:b/>
          <w:bCs/>
        </w:rPr>
      </w:r>
      <w:r>
        <w:rPr>
          <w:b/>
          <w:bCs/>
        </w:rPr>
      </w:r>
      <w:r>
        <w:rPr>
          <w:b/>
          <w:bCs/>
        </w:rPr>
      </w:r>
    </w:p>
    <w:p w14:paraId="7691FE80">
      <w:pPr>
        <w:pStyle w:val="1048"/>
        <w:suppressLineNumbers w:val="false"/>
        <w:pBdr/>
        <w:spacing w:line="300" w:lineRule="auto"/>
        <w:ind w:firstLine="0" w:left="0"/>
        <w:rPr/>
      </w:pPr>
      <w:r>
        <w:rPr>
          <w:highlight w:val="none"/>
        </w:rPr>
        <w:t xml:space="preserve">Primary notebook:</w:t>
      </w:r>
      <w:r/>
      <w:r>
        <w:rPr>
          <w:highlight w:val="none"/>
        </w:rPr>
      </w:r>
      <w:r/>
      <w:r>
        <w:rPr>
          <w:highlight w:val="none"/>
        </w:rPr>
      </w:r>
    </w:p>
    <w:p w14:paraId="1BC3E95C">
      <w:pPr>
        <w:pStyle w:val="1048"/>
        <w:numPr>
          <w:ilvl w:val="0"/>
          <w:numId w:val="85"/>
        </w:numPr>
        <w:suppressLineNumbers w:val="false"/>
        <w:pBdr/>
        <w:spacing w:line="300" w:lineRule="auto"/>
        <w:ind/>
        <w:rPr/>
      </w:pPr>
      <w:r>
        <w:rPr>
          <w:highlight w:val="none"/>
        </w:rPr>
        <w:t xml:space="preserve">Prototyping_reformat/DatasetAnalysis/LIMUC/3_vlm_severity/vlm_lora_finetune_mayo.ipynb</w:t>
      </w:r>
      <w:r/>
    </w:p>
    <w:p w14:paraId="5D3136B5">
      <w:pPr>
        <w:pStyle w:val="1048"/>
        <w:suppressLineNumbers w:val="false"/>
        <w:pBdr/>
        <w:spacing w:line="300" w:lineRule="auto"/>
        <w:ind w:firstLine="0" w:left="0"/>
        <w:rPr/>
      </w:pPr>
      <w:r>
        <w:rPr>
          <w:highlight w:val="none"/>
        </w:rPr>
        <w:t xml:space="preserve">Method:</w:t>
      </w:r>
      <w:r/>
      <w:r>
        <w:rPr>
          <w:highlight w:val="none"/>
        </w:rPr>
      </w:r>
      <w:r/>
      <w:r>
        <w:rPr>
          <w:highlight w:val="none"/>
        </w:rPr>
      </w:r>
    </w:p>
    <w:p w14:paraId="20A217FD">
      <w:pPr>
        <w:pStyle w:val="1048"/>
        <w:numPr>
          <w:ilvl w:val="0"/>
          <w:numId w:val="86"/>
        </w:numPr>
        <w:suppressLineNumbers w:val="false"/>
        <w:pBdr/>
        <w:spacing w:line="300" w:lineRule="auto"/>
        <w:ind/>
        <w:rPr/>
      </w:pPr>
      <w:r>
        <w:rPr>
          <w:highlight w:val="none"/>
        </w:rPr>
        <w:t xml:space="preserve">LoRA adaptation on vision-language generation stack</w:t>
      </w:r>
      <w:r/>
    </w:p>
    <w:p w14:paraId="2E83EB1A">
      <w:pPr>
        <w:pStyle w:val="1048"/>
        <w:numPr>
          <w:ilvl w:val="0"/>
          <w:numId w:val="86"/>
        </w:numPr>
        <w:suppressLineNumbers w:val="false"/>
        <w:pBdr/>
        <w:spacing w:line="300" w:lineRule="auto"/>
        <w:ind/>
        <w:rPr/>
      </w:pPr>
      <w:r>
        <w:rPr>
          <w:highlight w:val="none"/>
        </w:rPr>
        <w:t xml:space="preserve">supervised target format with explicit score token</w:t>
      </w:r>
      <w:r/>
    </w:p>
    <w:p w14:paraId="61C61ADF">
      <w:pPr>
        <w:pStyle w:val="1048"/>
        <w:suppressLineNumbers w:val="false"/>
        <w:pBdr/>
        <w:spacing w:line="300" w:lineRule="auto"/>
        <w:ind w:firstLine="0" w:left="0"/>
        <w:rPr/>
      </w:pPr>
      <w:r>
        <w:rPr>
          <w:highlight w:val="none"/>
        </w:rPr>
        <w:t xml:space="preserve">Dependency note:</w:t>
      </w:r>
      <w:r/>
      <w:r>
        <w:rPr>
          <w:highlight w:val="none"/>
        </w:rPr>
      </w:r>
      <w:r/>
      <w:r>
        <w:rPr>
          <w:highlight w:val="none"/>
        </w:rPr>
      </w:r>
    </w:p>
    <w:p w14:paraId="3DA65320">
      <w:pPr>
        <w:pStyle w:val="1048"/>
        <w:numPr>
          <w:ilvl w:val="0"/>
          <w:numId w:val="87"/>
        </w:numPr>
        <w:suppressLineNumbers w:val="false"/>
        <w:pBdr/>
        <w:spacing w:line="300" w:lineRule="auto"/>
        <w:ind/>
        <w:rPr/>
      </w:pPr>
      <w:r>
        <w:rPr>
          <w:highlight w:val="none"/>
        </w:rPr>
        <w:t xml:space="preserve">peft is required for this stage and can be installed into the active environment.</w:t>
      </w:r>
      <w:r/>
      <w:r>
        <w:rPr>
          <w:highlight w:val="none"/>
        </w:rPr>
      </w:r>
      <w:r>
        <w:rPr>
          <w:highlight w:val="none"/>
        </w:rPr>
      </w:r>
      <w:r/>
    </w:p>
    <w:p w14:paraId="1F8D71AB">
      <w:pPr>
        <w:pStyle w:val="1048"/>
        <w:suppressLineNumbers w:val="false"/>
        <w:pBdr/>
        <w:spacing w:line="300" w:lineRule="auto"/>
        <w:ind w:firstLine="0"/>
        <w:rPr/>
      </w:pPr>
      <w:r/>
      <w:r/>
      <w:r/>
    </w:p>
    <w:p w14:paraId="4F0E0D00">
      <w:pPr>
        <w:pStyle w:val="1048"/>
        <w:suppressLineNumbers w:val="false"/>
        <w:pBdr/>
        <w:spacing w:line="300" w:lineRule="auto"/>
        <w:ind w:firstLine="0"/>
        <w:rPr>
          <w:b/>
          <w:bCs/>
        </w:rPr>
      </w:pPr>
      <w:r>
        <w:rPr>
          <w:b/>
          <w:bCs/>
        </w:rPr>
        <w:t xml:space="preserve">4.3.5 Optional Retrieval-Support Layer</w:t>
      </w:r>
      <w:r>
        <w:rPr>
          <w:b/>
          <w:bCs/>
        </w:rPr>
      </w:r>
    </w:p>
    <w:p w14:paraId="65FFF86A">
      <w:pPr>
        <w:pStyle w:val="1048"/>
        <w:suppressLineNumbers w:val="false"/>
        <w:pBdr/>
        <w:spacing w:line="300" w:lineRule="auto"/>
        <w:ind w:firstLine="0"/>
        <w:rPr/>
      </w:pPr>
      <w:r>
        <w:t xml:space="preserve">If Chapter 4 includes a retrieval-backed extension (lightweight RAG-style prompt context), the local reference pattern is:</w:t>
      </w:r>
      <w:r/>
    </w:p>
    <w:p w14:paraId="28F94004">
      <w:pPr>
        <w:pStyle w:val="1048"/>
        <w:suppressLineNumbers w:val="false"/>
        <w:pBdr/>
        <w:spacing w:line="300" w:lineRule="auto"/>
        <w:ind w:firstLine="0"/>
        <w:rPr/>
      </w:pPr>
      <w:r/>
      <w:r/>
    </w:p>
    <w:p w14:paraId="03F8839D">
      <w:pPr>
        <w:pStyle w:val="1048"/>
        <w:numPr>
          <w:ilvl w:val="0"/>
          <w:numId w:val="88"/>
        </w:numPr>
        <w:suppressLineNumbers w:val="false"/>
        <w:pBdr/>
        <w:spacing w:line="300" w:lineRule="auto"/>
        <w:ind/>
        <w:rPr/>
      </w:pPr>
      <w:r>
        <w:t xml:space="preserve">Prototyping_reformat/DatasetAnalysis/Kvasir_VQA_x1/2_modeling/09_rag_blip2_eval/01_rag_blip2_eval.ipynb</w:t>
      </w:r>
      <w:r/>
    </w:p>
    <w:p w14:paraId="133923C3">
      <w:pPr>
        <w:pStyle w:val="1048"/>
        <w:suppressLineNumbers w:val="false"/>
        <w:pBdr/>
        <w:spacing w:line="300" w:lineRule="auto"/>
        <w:ind w:firstLine="0"/>
        <w:rPr/>
      </w:pPr>
      <w:r>
        <w:t xml:space="preserve">This should be reported as an extension path, not the primary severity model.</w:t>
      </w:r>
      <w:r/>
      <w:r/>
      <w:r/>
    </w:p>
    <w:p w14:paraId="2424F2A4">
      <w:pPr>
        <w:pStyle w:val="1048"/>
        <w:suppressLineNumbers w:val="false"/>
        <w:pBdr/>
        <w:spacing w:line="300" w:lineRule="auto"/>
        <w:ind/>
        <w:rPr/>
      </w:pPr>
      <w:r/>
      <w:r/>
      <w:r/>
    </w:p>
    <w:p w14:paraId="28CCEE42">
      <w:pPr>
        <w:pStyle w:val="1048"/>
        <w:suppressLineNumbers w:val="false"/>
        <w:pBdr/>
        <w:spacing w:line="300" w:lineRule="auto"/>
        <w:ind w:firstLine="0"/>
        <w:rPr>
          <w:b/>
          <w:bCs/>
        </w:rPr>
      </w:pPr>
      <w:r>
        <w:rPr>
          <w:b/>
          <w:bCs/>
        </w:rPr>
        <w:t xml:space="preserve">4.</w:t>
      </w:r>
      <w:r>
        <w:rPr>
          <w:b/>
          <w:bCs/>
          <w:lang w:val="en-US"/>
        </w:rPr>
        <w:t xml:space="preserve">4</w:t>
      </w:r>
      <w:r>
        <w:rPr>
          <w:b/>
          <w:bCs/>
        </w:rPr>
        <w:t xml:space="preserve"> </w:t>
      </w:r>
      <w:r>
        <w:rPr>
          <w:b/>
          <w:bCs/>
        </w:rPr>
        <w:t xml:space="preserve">Experimental Design</w:t>
      </w:r>
      <w:r>
        <w:rPr>
          <w:b/>
          <w:bCs/>
        </w:rPr>
      </w:r>
      <w:r>
        <w:rPr>
          <w:b/>
          <w:bCs/>
        </w:rPr>
      </w:r>
    </w:p>
    <w:p w14:paraId="54E06C5E">
      <w:pPr>
        <w:pStyle w:val="1048"/>
        <w:suppressLineNumbers w:val="false"/>
        <w:pBdr/>
        <w:spacing w:line="300" w:lineRule="auto"/>
        <w:ind w:firstLine="0"/>
        <w:rPr>
          <w:b/>
          <w:bCs/>
        </w:rPr>
      </w:pPr>
      <w:r>
        <w:rPr>
          <w:b/>
          <w:bCs/>
        </w:rPr>
        <w:t xml:space="preserve">4.4.1 Task Definition and Evaluation Lanes</w:t>
      </w:r>
      <w:r>
        <w:rPr>
          <w:b/>
          <w:bCs/>
        </w:rPr>
      </w:r>
    </w:p>
    <w:p w14:paraId="2C5EB9E2">
      <w:pPr>
        <w:pStyle w:val="1048"/>
        <w:suppressLineNumbers w:val="false"/>
        <w:pBdr/>
        <w:spacing w:line="300" w:lineRule="auto"/>
        <w:ind w:firstLine="0"/>
        <w:rPr/>
      </w:pPr>
      <w:r>
        <w:t xml:space="preserve">Input:</w:t>
      </w:r>
      <w:r/>
      <w:r/>
      <w:r/>
      <w:r/>
    </w:p>
    <w:p w14:paraId="5B290DA5">
      <w:pPr>
        <w:pStyle w:val="1048"/>
        <w:numPr>
          <w:ilvl w:val="0"/>
          <w:numId w:val="89"/>
        </w:numPr>
        <w:suppressLineNumbers w:val="false"/>
        <w:pBdr/>
        <w:spacing w:line="300" w:lineRule="auto"/>
        <w:ind/>
        <w:rPr/>
      </w:pPr>
      <w:r>
        <w:t xml:space="preserve">colonoscopy frame</w:t>
      </w:r>
      <w:r/>
    </w:p>
    <w:p w14:paraId="75FFEE16">
      <w:pPr>
        <w:pStyle w:val="1048"/>
        <w:numPr>
          <w:ilvl w:val="0"/>
          <w:numId w:val="89"/>
        </w:numPr>
        <w:suppressLineNumbers w:val="false"/>
        <w:pBdr/>
        <w:spacing w:line="300" w:lineRule="auto"/>
        <w:ind/>
        <w:rPr/>
      </w:pPr>
      <w:r>
        <w:t xml:space="preserve">fixed severity question prompt</w:t>
      </w:r>
      <w:r/>
    </w:p>
    <w:p w14:paraId="29A2140E">
      <w:pPr>
        <w:pStyle w:val="1048"/>
        <w:suppressLineNumbers w:val="false"/>
        <w:pBdr/>
        <w:spacing w:line="300" w:lineRule="auto"/>
        <w:ind w:firstLine="0"/>
        <w:rPr/>
      </w:pPr>
      <w:r>
        <w:t xml:space="preserve">Output:</w:t>
      </w:r>
      <w:r/>
      <w:r/>
      <w:r/>
      <w:r/>
    </w:p>
    <w:p w14:paraId="269044A2">
      <w:pPr>
        <w:pStyle w:val="1048"/>
        <w:numPr>
          <w:ilvl w:val="0"/>
          <w:numId w:val="90"/>
        </w:numPr>
        <w:suppressLineNumbers w:val="false"/>
        <w:pBdr/>
        <w:spacing w:line="300" w:lineRule="auto"/>
        <w:ind/>
        <w:rPr/>
      </w:pPr>
      <w:r>
        <w:t xml:space="preserve">Mayo score in {0,1,2,3}</w:t>
      </w:r>
      <w:r/>
    </w:p>
    <w:p w14:paraId="734CE317">
      <w:pPr>
        <w:pStyle w:val="1048"/>
        <w:suppressLineNumbers w:val="false"/>
        <w:pBdr/>
        <w:spacing w:line="300" w:lineRule="auto"/>
        <w:ind w:firstLine="0"/>
        <w:rPr/>
      </w:pPr>
      <w:r>
        <w:t xml:space="preserve">Optional output extension:</w:t>
      </w:r>
      <w:r/>
      <w:r/>
      <w:r/>
      <w:r/>
    </w:p>
    <w:p w14:paraId="00522204">
      <w:pPr>
        <w:pStyle w:val="1048"/>
        <w:numPr>
          <w:ilvl w:val="0"/>
          <w:numId w:val="91"/>
        </w:numPr>
        <w:suppressLineNumbers w:val="false"/>
        <w:pBdr/>
        <w:spacing w:line="300" w:lineRule="auto"/>
        <w:ind/>
        <w:rPr/>
      </w:pPr>
      <w:r>
        <w:t xml:space="preserve">short evidence phrase constrained to visual findings only</w:t>
      </w:r>
      <w:r/>
    </w:p>
    <w:p w14:paraId="48F01173">
      <w:pPr>
        <w:pStyle w:val="1048"/>
        <w:suppressLineNumbers w:val="false"/>
        <w:pBdr/>
        <w:spacing w:line="300" w:lineRule="auto"/>
        <w:ind w:firstLine="0"/>
        <w:rPr/>
      </w:pPr>
      <w:r>
        <w:t xml:space="preserve">Lane definitions used in Chapter 4:</w:t>
      </w:r>
      <w:r/>
      <w:r/>
      <w:r/>
      <w:r/>
    </w:p>
    <w:p w14:paraId="7C906B2F">
      <w:pPr>
        <w:pStyle w:val="1048"/>
        <w:numPr>
          <w:ilvl w:val="0"/>
          <w:numId w:val="92"/>
        </w:numPr>
        <w:suppressLineNumbers w:val="false"/>
        <w:pBdr/>
        <w:spacing w:line="300" w:lineRule="auto"/>
        <w:ind/>
        <w:rPr/>
      </w:pPr>
      <w:r>
        <w:t xml:space="preserve">mode1 (lora_mode1_train): free generation constrained by prompt format, then strict parser extraction of SCORE: &lt;0|1|2|3&gt;.</w:t>
      </w:r>
      <w:r/>
    </w:p>
    <w:p w14:paraId="470F1430">
      <w:pPr>
        <w:pStyle w:val="1048"/>
        <w:numPr>
          <w:ilvl w:val="0"/>
          <w:numId w:val="92"/>
        </w:numPr>
        <w:suppressLineNumbers w:val="false"/>
        <w:pBdr/>
        <w:spacing w:line="300" w:lineRule="auto"/>
        <w:ind/>
        <w:rPr/>
      </w:pPr>
      <w:r>
        <w:t xml:space="preserve">mode2 (lora_mode2_eval): score is chosen by candidate-label likelihood after the SCORE: prefix (sequence_logprob strategy), without relying on free-text parsing.</w:t>
      </w:r>
      <w:r/>
    </w:p>
    <w:p w14:paraId="1BF96F40">
      <w:pPr>
        <w:pStyle w:val="1048"/>
        <w:suppressLineNumbers w:val="false"/>
        <w:pBdr/>
        <w:spacing w:line="300" w:lineRule="auto"/>
        <w:ind w:firstLine="0"/>
        <w:rPr/>
      </w:pPr>
      <w:r>
        <w:t xml:space="preserve">mode1 is the primary generative lane; mode2 is retained as a controlled ablation.</w:t>
      </w:r>
      <w:r/>
    </w:p>
    <w:p w14:paraId="7149355B">
      <w:pPr>
        <w:pStyle w:val="1048"/>
        <w:suppressLineNumbers w:val="false"/>
        <w:pBdr/>
        <w:spacing w:line="300" w:lineRule="auto"/>
        <w:ind w:firstLine="0"/>
        <w:rPr/>
      </w:pPr>
      <w:r/>
      <w:r/>
    </w:p>
    <w:p w14:paraId="15BC33FE">
      <w:pPr>
        <w:pStyle w:val="1048"/>
        <w:suppressLineNumbers w:val="false"/>
        <w:pBdr/>
        <w:spacing w:line="300" w:lineRule="auto"/>
        <w:ind w:firstLine="0"/>
        <w:rPr>
          <w:b/>
          <w:bCs/>
        </w:rPr>
      </w:pPr>
      <w:r>
        <w:rPr>
          <w:b/>
          <w:bCs/>
        </w:rPr>
        <w:t xml:space="preserve">4.4.2 Metric Bundle</w:t>
      </w:r>
      <w:r>
        <w:rPr>
          <w:b/>
          <w:bCs/>
        </w:rPr>
      </w:r>
    </w:p>
    <w:p w14:paraId="0FDEF8D6">
      <w:pPr>
        <w:pStyle w:val="1048"/>
        <w:suppressLineNumbers w:val="false"/>
        <w:pBdr/>
        <w:spacing w:line="300" w:lineRule="auto"/>
        <w:ind w:firstLine="0"/>
        <w:rPr/>
      </w:pPr>
      <w:r>
        <w:t xml:space="preserve">Primary metrics:</w:t>
      </w:r>
      <w:r/>
      <w:r/>
      <w:r/>
      <w:r/>
    </w:p>
    <w:p w14:paraId="3596755B">
      <w:pPr>
        <w:pStyle w:val="1048"/>
        <w:numPr>
          <w:ilvl w:val="0"/>
          <w:numId w:val="93"/>
        </w:numPr>
        <w:suppressLineNumbers w:val="false"/>
        <w:pBdr/>
        <w:spacing w:line="240" w:lineRule="auto"/>
        <w:ind/>
        <w:rPr/>
      </w:pPr>
      <w:r>
        <w:t xml:space="preserve">Accuracy</w:t>
      </w:r>
      <w:r/>
    </w:p>
    <w:p w14:paraId="02EBB041">
      <w:pPr>
        <w:pStyle w:val="1048"/>
        <w:numPr>
          <w:ilvl w:val="0"/>
          <w:numId w:val="93"/>
        </w:numPr>
        <w:suppressLineNumbers w:val="false"/>
        <w:pBdr/>
        <w:spacing w:line="240" w:lineRule="auto"/>
        <w:ind/>
        <w:rPr/>
      </w:pPr>
      <w:r>
        <w:t xml:space="preserve">Macro-F1</w:t>
      </w:r>
      <w:r/>
    </w:p>
    <w:p w14:paraId="3F205C10">
      <w:pPr>
        <w:pStyle w:val="1048"/>
        <w:numPr>
          <w:ilvl w:val="0"/>
          <w:numId w:val="93"/>
        </w:numPr>
        <w:suppressLineNumbers w:val="false"/>
        <w:pBdr/>
        <w:spacing w:line="240" w:lineRule="auto"/>
        <w:ind/>
        <w:rPr/>
      </w:pPr>
      <w:r>
        <w:t xml:space="preserve">Balanced Accuracy</w:t>
      </w:r>
      <w:r/>
    </w:p>
    <w:p w14:paraId="16F84656">
      <w:pPr>
        <w:pStyle w:val="1048"/>
        <w:numPr>
          <w:ilvl w:val="0"/>
          <w:numId w:val="93"/>
        </w:numPr>
        <w:suppressLineNumbers w:val="false"/>
        <w:pBdr/>
        <w:spacing w:line="240" w:lineRule="auto"/>
        <w:ind/>
        <w:rPr/>
      </w:pPr>
      <w:r>
        <w:t xml:space="preserve">Quadratic Weighted Kappa (QWK)</w:t>
      </w:r>
      <w:r/>
    </w:p>
    <w:p w14:paraId="5F6D5BED">
      <w:pPr>
        <w:pStyle w:val="1048"/>
        <w:numPr>
          <w:ilvl w:val="0"/>
          <w:numId w:val="93"/>
        </w:numPr>
        <w:suppressLineNumbers w:val="false"/>
        <w:pBdr/>
        <w:spacing w:line="240" w:lineRule="auto"/>
        <w:ind/>
        <w:rPr/>
      </w:pPr>
      <w:r>
        <w:t xml:space="preserve">MAE / RMSE (ordinal distance)</w:t>
      </w:r>
      <w:r/>
    </w:p>
    <w:p w14:paraId="4AB36A06">
      <w:pPr>
        <w:pStyle w:val="1048"/>
        <w:suppressLineNumbers w:val="false"/>
        <w:pBdr/>
        <w:spacing w:line="300" w:lineRule="auto"/>
        <w:ind w:firstLine="0"/>
        <w:rPr/>
      </w:pPr>
      <w:r>
        <w:t xml:space="preserve">Supplementary metrics:</w:t>
      </w:r>
      <w:r/>
      <w:r/>
      <w:r/>
      <w:r/>
    </w:p>
    <w:p w14:paraId="611F1CAD">
      <w:pPr>
        <w:pStyle w:val="1048"/>
        <w:numPr>
          <w:ilvl w:val="0"/>
          <w:numId w:val="94"/>
        </w:numPr>
        <w:suppressLineNumbers w:val="false"/>
        <w:pBdr/>
        <w:spacing w:line="300" w:lineRule="auto"/>
        <w:ind/>
        <w:rPr/>
      </w:pPr>
      <w:r>
        <w:t xml:space="preserve">Per-class precision/recall/F1</w:t>
      </w:r>
      <w:r/>
    </w:p>
    <w:p w14:paraId="5EFB2385">
      <w:pPr>
        <w:pStyle w:val="1048"/>
        <w:numPr>
          <w:ilvl w:val="0"/>
          <w:numId w:val="94"/>
        </w:numPr>
        <w:suppressLineNumbers w:val="false"/>
        <w:pBdr/>
        <w:spacing w:line="300" w:lineRule="auto"/>
        <w:ind/>
        <w:rPr/>
      </w:pPr>
      <w:r>
        <w:t xml:space="preserve">Confusion matrix</w:t>
      </w:r>
      <w:r/>
    </w:p>
    <w:p w14:paraId="7FA02380">
      <w:pPr>
        <w:pStyle w:val="1048"/>
        <w:numPr>
          <w:ilvl w:val="0"/>
          <w:numId w:val="94"/>
        </w:numPr>
        <w:suppressLineNumbers w:val="false"/>
        <w:pBdr/>
        <w:spacing w:line="300" w:lineRule="auto"/>
        <w:ind/>
        <w:rPr/>
      </w:pPr>
      <w:r>
        <w:t xml:space="preserve">Parse/unknown rate for generative outputs</w:t>
      </w:r>
      <w:r/>
    </w:p>
    <w:p w14:paraId="676D568C">
      <w:pPr>
        <w:pStyle w:val="1048"/>
        <w:numPr>
          <w:ilvl w:val="0"/>
          <w:numId w:val="94"/>
        </w:numPr>
        <w:suppressLineNumbers w:val="false"/>
        <w:pBdr/>
        <w:spacing w:line="300" w:lineRule="auto"/>
        <w:ind/>
        <w:rPr/>
      </w:pPr>
      <w:r>
        <w:t xml:space="preserve">Remission-oriented slice (0-1 vs 2-3): sensitivity, specificity, F1</w:t>
      </w:r>
      <w:r/>
    </w:p>
    <w:p w14:paraId="6B5EF2E0">
      <w:pPr>
        <w:pStyle w:val="1048"/>
        <w:suppressLineNumbers w:val="false"/>
        <w:pBdr/>
        <w:spacing w:line="300" w:lineRule="auto"/>
        <w:ind w:firstLine="0"/>
        <w:rPr/>
      </w:pPr>
      <w:r>
        <w:rPr>
          <w:highlight w:val="none"/>
        </w:rPr>
      </w:r>
      <w:r>
        <w:rPr>
          <w:highlight w:val="none"/>
        </w:rPr>
      </w:r>
      <w:r>
        <w:rPr>
          <w:highlight w:val="none"/>
        </w:rPr>
      </w:r>
    </w:p>
    <w:p w14:paraId="06D5CA3C">
      <w:pPr>
        <w:pStyle w:val="1048"/>
        <w:suppressLineNumbers w:val="false"/>
        <w:pBdr/>
        <w:spacing w:line="300" w:lineRule="auto"/>
        <w:ind w:firstLine="0"/>
        <w:rPr>
          <w:b/>
          <w:bCs/>
          <w:highlight w:val="none"/>
        </w:rPr>
      </w:pPr>
      <w:r>
        <w:rPr>
          <w:b/>
          <w:bCs/>
        </w:rPr>
        <w:t xml:space="preserve">4.4.3 Statistical and Reliability Checks</w:t>
      </w:r>
      <w:r>
        <w:rPr>
          <w:b/>
          <w:bCs/>
        </w:rPr>
      </w:r>
    </w:p>
    <w:p w14:paraId="7D027339">
      <w:pPr>
        <w:pStyle w:val="1048"/>
        <w:numPr>
          <w:ilvl w:val="0"/>
          <w:numId w:val="95"/>
        </w:numPr>
        <w:suppressLineNumbers w:val="false"/>
        <w:pBdr/>
        <w:spacing w:line="300" w:lineRule="auto"/>
        <w:ind/>
        <w:rPr/>
      </w:pPr>
      <w:r>
        <w:t xml:space="preserve">Paired significance testing (McNemar where paired predictions are available)</w:t>
      </w:r>
      <w:r/>
    </w:p>
    <w:p w14:paraId="11C8DAD4">
      <w:pPr>
        <w:pStyle w:val="1048"/>
        <w:numPr>
          <w:ilvl w:val="0"/>
          <w:numId w:val="95"/>
        </w:numPr>
        <w:suppressLineNumbers w:val="false"/>
        <w:pBdr/>
        <w:spacing w:line="300" w:lineRule="auto"/>
        <w:ind/>
        <w:rPr/>
      </w:pPr>
      <w:r>
        <w:t xml:space="preserve">Confidence interval reporting for key metrics</w:t>
      </w:r>
      <w:r/>
    </w:p>
    <w:p w14:paraId="35E7AEB2">
      <w:pPr>
        <w:pStyle w:val="1048"/>
        <w:numPr>
          <w:ilvl w:val="0"/>
          <w:numId w:val="95"/>
        </w:numPr>
        <w:suppressLineNumbers w:val="false"/>
        <w:pBdr/>
        <w:spacing w:line="300" w:lineRule="auto"/>
        <w:ind/>
        <w:rPr/>
      </w:pPr>
      <w:r>
        <w:t xml:space="preserve">Error decomposition by class and clinical threshold behavior</w:t>
      </w:r>
      <w:r/>
    </w:p>
    <w:p w14:paraId="0D4D000E">
      <w:pPr>
        <w:pStyle w:val="1048"/>
        <w:suppressLineNumbers w:val="false"/>
        <w:pBdr/>
        <w:spacing w:line="300" w:lineRule="auto"/>
        <w:ind w:firstLine="0" w:left="709"/>
        <w:rPr/>
      </w:pPr>
      <w:r>
        <w:rPr>
          <w:highlight w:val="none"/>
        </w:rPr>
      </w:r>
      <w:r>
        <w:rPr>
          <w:highlight w:val="none"/>
        </w:rPr>
      </w:r>
      <w:r>
        <w:rPr>
          <w:highlight w:val="none"/>
        </w:rPr>
      </w:r>
    </w:p>
    <w:p w14:paraId="6974AB9A">
      <w:pPr>
        <w:pStyle w:val="1048"/>
        <w:suppressLineNumbers w:val="false"/>
        <w:pBdr/>
        <w:spacing w:line="300" w:lineRule="auto"/>
        <w:ind w:firstLine="0"/>
        <w:rPr>
          <w:b/>
          <w:bCs/>
        </w:rPr>
      </w:pPr>
      <w:r>
        <w:rPr>
          <w:b/>
          <w:bCs/>
        </w:rPr>
        <w:t xml:space="preserve">4.4.4 Frozen Training Configuration Summary</w:t>
      </w:r>
      <w:r>
        <w:rPr>
          <w:b/>
          <w:bCs/>
        </w:rPr>
      </w:r>
    </w:p>
    <w:p w14:paraId="401F9439">
      <w:pPr>
        <w:pStyle w:val="1048"/>
        <w:suppressLineNumbers w:val="false"/>
        <w:pBdr/>
        <w:spacing w:line="300" w:lineRule="auto"/>
        <w:ind w:firstLine="0"/>
        <w:rPr/>
      </w:pPr>
      <w:r>
        <w:t xml:space="preserve">Configuration values are frozen from:</w:t>
      </w:r>
      <w:r/>
      <w:r/>
      <w:r/>
      <w:r/>
    </w:p>
    <w:p w14:paraId="04453578">
      <w:pPr>
        <w:pStyle w:val="1048"/>
        <w:numPr>
          <w:ilvl w:val="0"/>
          <w:numId w:val="96"/>
        </w:numPr>
        <w:suppressLineNumbers w:val="false"/>
        <w:pBdr/>
        <w:spacing w:line="300" w:lineRule="auto"/>
        <w:ind/>
        <w:rPr/>
      </w:pPr>
      <w:r>
        <w:t xml:space="preserve">Prototyping_reformat/DatasetAnalysis/LIMUC/4_reporting/out/pass5_supervised_multiseed_report.json</w:t>
      </w:r>
      <w:r/>
    </w:p>
    <w:p w14:paraId="74299186">
      <w:pPr>
        <w:pStyle w:val="1048"/>
        <w:numPr>
          <w:ilvl w:val="0"/>
          <w:numId w:val="96"/>
        </w:numPr>
        <w:suppressLineNumbers w:val="false"/>
        <w:pBdr/>
        <w:spacing w:line="300" w:lineRule="auto"/>
        <w:ind/>
        <w:rPr/>
      </w:pPr>
      <w:r>
        <w:t xml:space="preserve">Prototyping_reformat/DatasetAnalysis/LIMUC/4_reporting/out/pass6_generative_multiseed_report.json</w:t>
      </w:r>
      <w:r/>
      <w:r/>
      <w:r/>
      <w:r/>
    </w:p>
    <w:p w14:paraId="7DED1B5B">
      <w:pPr>
        <w:pStyle w:val="1048"/>
        <w:suppressLineNumbers w:val="false"/>
        <w:pBdr/>
        <w:spacing w:line="300" w:lineRule="auto"/>
        <w:ind/>
        <w:rPr/>
      </w:pPr>
      <w:r/>
      <w:r/>
      <w:r/>
    </w:p>
    <w:tbl>
      <w:tblPr>
        <w:tblStyle w:val="1105"/>
        <w:tblW w:w="0" w:type="auto"/>
        <w:tblBorders/>
        <w:tblLayout w:type="fixed"/>
        <w:tblLook w:val="04A0" w:firstRow="1" w:lastRow="0" w:firstColumn="1" w:lastColumn="0" w:noHBand="0" w:noVBand="1"/>
      </w:tblPr>
      <w:tblGrid>
        <w:gridCol w:w="2027"/>
        <w:gridCol w:w="6613"/>
      </w:tblGrid>
      <w:tr>
        <w:trPr/>
        <w:tc>
          <w:tcPr>
            <w:tcBorders/>
            <w:tcW w:w="2027" w:type="dxa"/>
            <w:textDirection w:val="lrTb"/>
            <w:noWrap w:val="false"/>
          </w:tcPr>
          <w:p w14:paraId="0308304F">
            <w:pPr>
              <w:pBdr/>
              <w:spacing w:after="0" w:before="0" w:line="240"/>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p>
        </w:tc>
        <w:tc>
          <w:tcPr>
            <w:tcBorders/>
            <w:tcW w:w="6613" w:type="dxa"/>
            <w:textDirection w:val="lrTb"/>
            <w:noWrap w:val="false"/>
          </w:tcPr>
          <w:p w14:paraId="43B9CB13">
            <w:pPr>
              <w:pBdr/>
              <w:spacing w:after="0" w:before="0" w:line="240"/>
              <w:ind/>
              <w:rPr>
                <w:color w:val="000000" w:themeColor="text1"/>
              </w:rPr>
            </w:pPr>
            <w:r>
              <w:rPr>
                <w:rFonts w:ascii="Liberation Sans" w:hAnsi="Liberation Sans" w:eastAsia="Liberation Sans" w:cs="Liberation Sans"/>
                <w:b/>
                <w:color w:val="000000" w:themeColor="text1"/>
                <w:sz w:val="21"/>
              </w:rPr>
              <w:t xml:space="preserve">Core setup</w:t>
            </w:r>
            <w:r>
              <w:rPr>
                <w:color w:val="000000" w:themeColor="text1"/>
              </w:rPr>
            </w:r>
          </w:p>
        </w:tc>
      </w:tr>
      <w:tr>
        <w:trPr/>
        <w:tc>
          <w:tcPr>
            <w:tcBorders/>
            <w:tcW w:w="2027" w:type="dxa"/>
            <w:textDirection w:val="lrTb"/>
            <w:noWrap w:val="false"/>
          </w:tcPr>
          <w:p w14:paraId="7AA6E3F0">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p>
        </w:tc>
        <w:tc>
          <w:tcPr>
            <w:tcBorders/>
            <w:tcW w:w="6613" w:type="dxa"/>
            <w:textDirection w:val="lrTb"/>
            <w:noWrap w:val="false"/>
          </w:tcPr>
          <w:p w14:paraId="74681B9D">
            <w:pPr>
              <w:pBdr/>
              <w:spacing w:after="0" w:before="0" w:line="240"/>
              <w:ind/>
              <w:rPr>
                <w:color w:val="000000" w:themeColor="text1"/>
              </w:rPr>
            </w:pPr>
            <w:r>
              <w:rPr>
                <w:rFonts w:ascii="Liberation Sans" w:hAnsi="Liberation Sans" w:eastAsia="Liberation Sans" w:cs="Liberation Sans"/>
                <w:color w:val="000000" w:themeColor="text1"/>
                <w:sz w:val="21"/>
              </w:rPr>
              <w:t xml:space="preserve">ResNet50 fine-tune, seeds </w:t>
            </w:r>
            <w:r>
              <w:rPr>
                <w:rFonts w:ascii="Droid Sans Mono" w:hAnsi="Droid Sans Mono" w:eastAsia="Droid Sans Mono" w:cs="Droid Sans Mono"/>
                <w:color w:val="000000" w:themeColor="text1"/>
                <w:sz w:val="24"/>
                <w:highlight w:val="white"/>
              </w:rPr>
              <w:t xml:space="preserve">11/23/42</w:t>
            </w:r>
            <w:r>
              <w:rPr>
                <w:rFonts w:ascii="Liberation Sans" w:hAnsi="Liberation Sans" w:eastAsia="Liberation Sans" w:cs="Liberation Sans"/>
                <w:color w:val="000000" w:themeColor="text1"/>
                <w:sz w:val="21"/>
              </w:rPr>
              <w:t xml:space="preserve">, epochs </w:t>
            </w:r>
            <w:r>
              <w:rPr>
                <w:rFonts w:ascii="Droid Sans Mono" w:hAnsi="Droid Sans Mono" w:eastAsia="Droid Sans Mono" w:cs="Droid Sans Mono"/>
                <w:color w:val="000000" w:themeColor="text1"/>
                <w:sz w:val="24"/>
                <w:highlight w:val="white"/>
              </w:rPr>
              <w:t xml:space="preserve">15</w:t>
            </w:r>
            <w:r>
              <w:rPr>
                <w:rFonts w:ascii="Liberation Sans" w:hAnsi="Liberation Sans" w:eastAsia="Liberation Sans" w:cs="Liberation Sans"/>
                <w:color w:val="000000" w:themeColor="text1"/>
                <w:sz w:val="21"/>
              </w:rPr>
              <w:t xml:space="preserve">, batch size </w:t>
            </w:r>
            <w:r>
              <w:rPr>
                <w:rFonts w:ascii="Droid Sans Mono" w:hAnsi="Droid Sans Mono" w:eastAsia="Droid Sans Mono" w:cs="Droid Sans Mono"/>
                <w:color w:val="000000" w:themeColor="text1"/>
                <w:sz w:val="24"/>
                <w:highlight w:val="white"/>
              </w:rPr>
              <w:t xml:space="preserve">16</w:t>
            </w:r>
            <w:r>
              <w:rPr>
                <w:rFonts w:ascii="Liberation Sans" w:hAnsi="Liberation Sans" w:eastAsia="Liberation Sans" w:cs="Liberation Sans"/>
                <w:color w:val="000000" w:themeColor="text1"/>
                <w:sz w:val="21"/>
              </w:rPr>
              <w:t xml:space="preserve">, LR </w:t>
            </w:r>
            <w:r>
              <w:rPr>
                <w:rFonts w:ascii="Droid Sans Mono" w:hAnsi="Droid Sans Mono" w:eastAsia="Droid Sans Mono" w:cs="Droid Sans Mono"/>
                <w:color w:val="000000" w:themeColor="text1"/>
                <w:sz w:val="24"/>
                <w:highlight w:val="white"/>
              </w:rPr>
              <w:t xml:space="preserve">3e-4</w:t>
            </w:r>
            <w:r>
              <w:rPr>
                <w:rFonts w:ascii="Liberation Sans" w:hAnsi="Liberation Sans" w:eastAsia="Liberation Sans" w:cs="Liberation Sans"/>
                <w:color w:val="000000" w:themeColor="text1"/>
                <w:sz w:val="21"/>
              </w:rPr>
              <w:t xml:space="preserve">, weight decay </w:t>
            </w:r>
            <w:r>
              <w:rPr>
                <w:rFonts w:ascii="Droid Sans Mono" w:hAnsi="Droid Sans Mono" w:eastAsia="Droid Sans Mono" w:cs="Droid Sans Mono"/>
                <w:color w:val="000000" w:themeColor="text1"/>
                <w:sz w:val="24"/>
                <w:highlight w:val="white"/>
              </w:rPr>
              <w:t xml:space="preserve">1e-4</w:t>
            </w:r>
            <w:r>
              <w:rPr>
                <w:rFonts w:ascii="Liberation Sans" w:hAnsi="Liberation Sans" w:eastAsia="Liberation Sans" w:cs="Liberation Sans"/>
                <w:color w:val="000000" w:themeColor="text1"/>
                <w:sz w:val="21"/>
              </w:rPr>
              <w:t xml:space="preserve">.</w:t>
            </w:r>
            <w:r>
              <w:rPr>
                <w:color w:val="000000" w:themeColor="text1"/>
              </w:rPr>
            </w:r>
          </w:p>
        </w:tc>
      </w:tr>
      <w:tr>
        <w:trPr/>
        <w:tc>
          <w:tcPr>
            <w:tcBorders/>
            <w:tcW w:w="2027" w:type="dxa"/>
            <w:textDirection w:val="lrTb"/>
            <w:noWrap w:val="false"/>
          </w:tcPr>
          <w:p w14:paraId="1B14FBB8">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6 generative</w:t>
            </w:r>
            <w:r>
              <w:rPr>
                <w:color w:val="000000" w:themeColor="text1"/>
              </w:rPr>
            </w:r>
          </w:p>
        </w:tc>
        <w:tc>
          <w:tcPr>
            <w:tcBorders/>
            <w:tcW w:w="6613" w:type="dxa"/>
            <w:textDirection w:val="lrTb"/>
            <w:noWrap w:val="false"/>
          </w:tcPr>
          <w:p w14:paraId="031A1455">
            <w:pPr>
              <w:pBdr/>
              <w:spacing w:after="0" w:before="0" w:line="240"/>
              <w:ind/>
              <w:rPr>
                <w:color w:val="000000" w:themeColor="text1"/>
              </w:rPr>
            </w:pPr>
            <w:r>
              <w:rPr>
                <w:rFonts w:ascii="Liberation Sans" w:hAnsi="Liberation Sans" w:eastAsia="Liberation Sans" w:cs="Liberation Sans"/>
                <w:color w:val="000000" w:themeColor="text1"/>
                <w:sz w:val="21"/>
              </w:rPr>
              <w:t xml:space="preserve">BLIP2-Flan-T5-XL + LoRA, seeds </w:t>
            </w:r>
            <w:r>
              <w:rPr>
                <w:rFonts w:ascii="Droid Sans Mono" w:hAnsi="Droid Sans Mono" w:eastAsia="Droid Sans Mono" w:cs="Droid Sans Mono"/>
                <w:color w:val="000000" w:themeColor="text1"/>
                <w:sz w:val="24"/>
                <w:highlight w:val="white"/>
              </w:rPr>
              <w:t xml:space="preserve">11/23/77</w:t>
            </w:r>
            <w:r>
              <w:rPr>
                <w:rFonts w:ascii="Liberation Sans" w:hAnsi="Liberation Sans" w:eastAsia="Liberation Sans" w:cs="Liberation Sans"/>
                <w:color w:val="000000" w:themeColor="text1"/>
                <w:sz w:val="21"/>
              </w:rPr>
              <w:t xml:space="preserve">, epochs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batch size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grad accumulation </w:t>
            </w:r>
            <w:r>
              <w:rPr>
                <w:rFonts w:ascii="Droid Sans Mono" w:hAnsi="Droid Sans Mono" w:eastAsia="Droid Sans Mono" w:cs="Droid Sans Mono"/>
                <w:color w:val="000000" w:themeColor="text1"/>
                <w:sz w:val="24"/>
                <w:highlight w:val="white"/>
              </w:rPr>
              <w:t xml:space="preserve">4</w:t>
            </w:r>
            <w:r>
              <w:rPr>
                <w:rFonts w:ascii="Liberation Sans" w:hAnsi="Liberation Sans" w:eastAsia="Liberation Sans" w:cs="Liberation Sans"/>
                <w:color w:val="000000" w:themeColor="text1"/>
                <w:sz w:val="21"/>
              </w:rPr>
              <w:t xml:space="preserve">, LR </w:t>
            </w:r>
            <w:r>
              <w:rPr>
                <w:rFonts w:ascii="Droid Sans Mono" w:hAnsi="Droid Sans Mono" w:eastAsia="Droid Sans Mono" w:cs="Droid Sans Mono"/>
                <w:color w:val="000000" w:themeColor="text1"/>
                <w:sz w:val="24"/>
                <w:highlight w:val="white"/>
              </w:rPr>
              <w:t xml:space="preserve">5e-5</w:t>
            </w:r>
            <w:r>
              <w:rPr>
                <w:rFonts w:ascii="Liberation Sans" w:hAnsi="Liberation Sans" w:eastAsia="Liberation Sans" w:cs="Liberation Sans"/>
                <w:color w:val="000000" w:themeColor="text1"/>
                <w:sz w:val="21"/>
              </w:rPr>
              <w:t xml:space="preserve">, LoRA </w:t>
            </w:r>
            <w:r>
              <w:rPr>
                <w:rFonts w:ascii="Droid Sans Mono" w:hAnsi="Droid Sans Mono" w:eastAsia="Droid Sans Mono" w:cs="Droid Sans Mono"/>
                <w:color w:val="000000" w:themeColor="text1"/>
                <w:sz w:val="24"/>
                <w:highlight w:val="white"/>
              </w:rPr>
              <w:t xml:space="preserve">r=8</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alpha=16</w:t>
            </w:r>
            <w:r>
              <w:rPr>
                <w:rFonts w:ascii="Liberation Sans" w:hAnsi="Liberation Sans" w:eastAsia="Liberation Sans" w:cs="Liberation Sans"/>
                <w:color w:val="000000" w:themeColor="text1"/>
                <w:sz w:val="21"/>
              </w:rPr>
              <w:t xml:space="preserve">, dropout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balanced sampling, label-token-only objective.</w:t>
            </w:r>
            <w:r>
              <w:rPr>
                <w:color w:val="000000" w:themeColor="text1"/>
              </w:rPr>
            </w:r>
          </w:p>
        </w:tc>
      </w:tr>
    </w:tbl>
    <w:p w14:paraId="75306089">
      <w:pPr>
        <w:pStyle w:val="1048"/>
        <w:suppressLineNumbers w:val="false"/>
        <w:pBdr/>
        <w:spacing w:line="300" w:lineRule="auto"/>
        <w:ind w:firstLine="0"/>
        <w:rPr/>
      </w:pPr>
      <w:r/>
      <w:r/>
      <w:r/>
    </w:p>
    <w:p w14:paraId="0DFDE9F7">
      <w:pPr>
        <w:pStyle w:val="1048"/>
        <w:suppressLineNumbers w:val="false"/>
        <w:pBdr/>
        <w:spacing w:line="300" w:lineRule="auto"/>
        <w:ind w:firstLine="0"/>
        <w:rPr/>
      </w:pPr>
      <w:r/>
      <w:r/>
      <w:r/>
    </w:p>
    <w:p w14:paraId="2C650AC7">
      <w:pPr>
        <w:pStyle w:val="1048"/>
        <w:suppressLineNumbers w:val="false"/>
        <w:pBdr/>
        <w:spacing w:line="300" w:lineRule="auto"/>
        <w:ind w:firstLine="0"/>
        <w:rPr>
          <w:b/>
          <w:bCs/>
          <w:sz w:val="24"/>
          <w:szCs w:val="24"/>
        </w:rPr>
      </w:pPr>
      <w:r>
        <w:rPr>
          <w:b/>
          <w:bCs/>
          <w:sz w:val="24"/>
          <w:szCs w:val="24"/>
        </w:rPr>
        <w:t xml:space="preserve">4.5 Frozen Results and Claim Boundary (LIMUC)</w:t>
      </w:r>
      <w:r>
        <w:rPr>
          <w:b/>
          <w:bCs/>
          <w:sz w:val="24"/>
          <w:szCs w:val="24"/>
        </w:rPr>
      </w:r>
    </w:p>
    <w:p w14:paraId="5E1B51D4">
      <w:pPr>
        <w:pStyle w:val="1048"/>
        <w:suppressLineNumbers w:val="false"/>
        <w:pBdr/>
        <w:spacing w:line="300" w:lineRule="auto"/>
        <w:ind w:firstLine="0"/>
        <w:rPr>
          <w:b/>
          <w:bCs/>
        </w:rPr>
      </w:pPr>
      <w:r>
        <w:rPr>
          <w:b/>
          <w:bCs/>
        </w:rPr>
        <w:t xml:space="preserve">4.5.1 Primary KPI and Reporting Policy</w:t>
      </w:r>
      <w:r>
        <w:rPr>
          <w:b/>
          <w:bCs/>
        </w:rPr>
      </w:r>
    </w:p>
    <w:p w14:paraId="6D0A0053">
      <w:pPr>
        <w:pStyle w:val="1048"/>
        <w:suppressLineNumbers w:val="false"/>
        <w:pBdr/>
        <w:spacing w:line="300" w:lineRule="auto"/>
        <w:ind w:firstLine="0"/>
        <w:rPr/>
      </w:pPr>
      <w:r>
        <w:t xml:space="preserve">The primary optimization and reporting KPI is internal LIMUC mode1/test QWK. Accuracy, macro-F1, balanced accuracy, and parse rate are treated as secondary companion metrics. The chapter objective is reproducible comparative evaluation rather than hitting a</w:t>
      </w:r>
      <w:r>
        <w:t xml:space="preserve"> pre-specified numeric cutoff. External HyperKvasir UC proxy scores are reported as stress-test evidence only and are not used as the model-selection target.</w:t>
      </w:r>
      <w:r/>
    </w:p>
    <w:p w14:paraId="3F8EE519">
      <w:pPr>
        <w:pStyle w:val="1048"/>
        <w:suppressLineNumbers w:val="false"/>
        <w:pBdr/>
        <w:spacing w:line="300" w:lineRule="auto"/>
        <w:ind w:firstLine="0"/>
        <w:rPr/>
      </w:pPr>
      <w:r/>
      <w:r/>
    </w:p>
    <w:p w14:paraId="7539444F">
      <w:pPr>
        <w:pStyle w:val="1048"/>
        <w:suppressLineNumbers w:val="false"/>
        <w:pBdr/>
        <w:spacing w:line="300" w:lineRule="auto"/>
        <w:ind w:firstLine="0"/>
        <w:rPr>
          <w:b/>
          <w:bCs/>
        </w:rPr>
      </w:pPr>
      <w:r>
        <w:rPr>
          <w:b/>
          <w:bCs/>
        </w:rPr>
        <w:t xml:space="preserve">4.5.2 Internal Multi-Seed Results (Pass 5 vs Pass 6)</w:t>
      </w:r>
      <w:r>
        <w:rPr>
          <w:b/>
          <w:bCs/>
        </w:rPr>
      </w:r>
    </w:p>
    <w:p w14:paraId="3DFA85EE">
      <w:pPr>
        <w:pStyle w:val="1048"/>
        <w:suppressLineNumbers w:val="false"/>
        <w:pBdr/>
        <w:spacing w:line="300" w:lineRule="auto"/>
        <w:ind w:firstLine="0"/>
        <w:rPr/>
      </w:pPr>
      <w:r>
        <w:t xml:space="preserve">Source artifacts:</w:t>
      </w:r>
      <w:r/>
    </w:p>
    <w:p w14:paraId="5732073F">
      <w:pPr>
        <w:pStyle w:val="1048"/>
        <w:suppressLineNumbers w:val="false"/>
        <w:pBdr/>
        <w:spacing w:line="300" w:lineRule="auto"/>
        <w:ind w:firstLine="0"/>
        <w:rPr/>
      </w:pPr>
      <w:r/>
      <w:r/>
    </w:p>
    <w:p w14:paraId="43FF7452">
      <w:pPr>
        <w:pStyle w:val="1048"/>
        <w:numPr>
          <w:ilvl w:val="0"/>
          <w:numId w:val="97"/>
        </w:numPr>
        <w:suppressLineNumbers w:val="false"/>
        <w:pBdr/>
        <w:spacing w:line="300" w:lineRule="auto"/>
        <w:ind/>
        <w:rPr/>
      </w:pPr>
      <w:r>
        <w:t xml:space="preserve">Prototyping_reformat/DatasetAnalysis/LIMUC/4_reporting/out/pass5_supervised_metric_summary.csv</w:t>
      </w:r>
      <w:r/>
    </w:p>
    <w:p w14:paraId="20F9B068">
      <w:pPr>
        <w:pStyle w:val="1048"/>
        <w:numPr>
          <w:ilvl w:val="0"/>
          <w:numId w:val="97"/>
        </w:numPr>
        <w:suppressLineNumbers w:val="false"/>
        <w:pBdr/>
        <w:spacing w:line="300" w:lineRule="auto"/>
        <w:ind/>
        <w:rPr/>
      </w:pPr>
      <w:r>
        <w:t xml:space="preserve">Prototyping_reformat/DatasetAnalysis/LIMUC/4_reporting/out/pass5_supervised_multiseed_report.json</w:t>
      </w:r>
      <w:r/>
    </w:p>
    <w:p w14:paraId="51F4AD65">
      <w:pPr>
        <w:pStyle w:val="1048"/>
        <w:numPr>
          <w:ilvl w:val="0"/>
          <w:numId w:val="97"/>
        </w:numPr>
        <w:suppressLineNumbers w:val="false"/>
        <w:pBdr/>
        <w:spacing w:line="300" w:lineRule="auto"/>
        <w:ind/>
        <w:rPr/>
      </w:pPr>
      <w:r>
        <w:t xml:space="preserve">Prototyping_reformat/DatasetAnalysis/LIMUC/4_reporting/out/pass6_generative_metric_summary.csv</w:t>
      </w:r>
      <w:r/>
    </w:p>
    <w:p w14:paraId="432A8664">
      <w:pPr>
        <w:pStyle w:val="1048"/>
        <w:numPr>
          <w:ilvl w:val="0"/>
          <w:numId w:val="97"/>
        </w:numPr>
        <w:suppressLineNumbers w:val="false"/>
        <w:pBdr/>
        <w:spacing w:line="300" w:lineRule="auto"/>
        <w:ind/>
        <w:rPr/>
      </w:pPr>
      <w:r>
        <w:t xml:space="preserve">Prototyping_reformat/DatasetAnalysis/LIMUC/4_reporting/out/pass6_generative_multiseed_report.json</w:t>
      </w:r>
      <w:r/>
    </w:p>
    <w:p w14:paraId="126D98D5">
      <w:pPr>
        <w:pStyle w:val="1048"/>
        <w:numPr>
          <w:ilvl w:val="0"/>
          <w:numId w:val="97"/>
        </w:numPr>
        <w:suppressLineNumbers w:val="false"/>
        <w:pBdr/>
        <w:spacing w:line="300" w:lineRule="auto"/>
        <w:ind/>
        <w:rPr>
          <w:highlight w:val="none"/>
        </w:rPr>
      </w:pPr>
      <w:r>
        <w:t xml:space="preserve">Prototyping_reformat/DatasetAnalysis/LIMUC/4_reporting/out/pass6_generative_mode1_qc.csv</w:t>
      </w:r>
      <w:r/>
      <w:r/>
      <w:r/>
      <w:r/>
    </w:p>
    <w:p w14:paraId="392C0919">
      <w:pPr>
        <w:pStyle w:val="1048"/>
        <w:suppressLineNumbers w:val="false"/>
        <w:pBdr/>
        <w:spacing w:line="300" w:lineRule="auto"/>
        <w:ind w:firstLine="0"/>
        <w:rPr/>
      </w:pPr>
      <w:r/>
      <w:r/>
      <w:r/>
    </w:p>
    <w:p w14:paraId="2EB58270">
      <w:pPr>
        <w:pStyle w:val="1048"/>
        <w:suppressLineNumbers w:val="false"/>
        <w:pBdr/>
        <w:spacing w:line="300" w:lineRule="auto"/>
        <w:ind w:firstLine="0"/>
        <w:rPr/>
      </w:pPr>
      <w:r/>
      <w:r/>
      <w:r/>
    </w:p>
    <w:p w14:paraId="5DA9FD94">
      <w:pPr>
        <w:pStyle w:val="1048"/>
        <w:suppressLineNumbers w:val="false"/>
        <w:pBdr/>
        <w:spacing w:line="300" w:lineRule="auto"/>
        <w:ind w:firstLine="0"/>
        <w:rPr/>
      </w:pPr>
      <w:r/>
      <w:r/>
      <w:r/>
    </w:p>
    <w:p w14:paraId="52B14E43">
      <w:pPr>
        <w:pStyle w:val="1048"/>
        <w:suppressLineNumbers w:val="false"/>
        <w:pBdr/>
        <w:spacing w:line="300" w:lineRule="auto"/>
        <w:ind w:firstLine="0"/>
        <w:rPr/>
      </w:pPr>
      <w:r/>
      <w:r/>
      <w:r/>
    </w:p>
    <w:p w14:paraId="37617B70">
      <w:pPr>
        <w:pStyle w:val="1048"/>
        <w:suppressLineNumbers w:val="false"/>
        <w:pBdr/>
        <w:spacing w:line="300" w:lineRule="auto"/>
        <w:ind w:firstLine="0"/>
        <w:rPr/>
      </w:pPr>
      <w:r/>
      <w:r/>
      <w:r/>
    </w:p>
    <w:p w14:paraId="6343D20D">
      <w:pPr>
        <w:pStyle w:val="1048"/>
        <w:suppressLineNumbers w:val="false"/>
        <w:pBdr/>
        <w:spacing w:line="300" w:lineRule="auto"/>
        <w:ind w:firstLine="0"/>
        <w:rPr/>
      </w:pPr>
      <w:r/>
      <w:r/>
      <w:r/>
    </w:p>
    <w:p w14:paraId="36C667ED">
      <w:pPr>
        <w:pStyle w:val="1048"/>
        <w:suppressLineNumbers w:val="false"/>
        <w:pBdr/>
        <w:spacing w:line="300" w:lineRule="auto"/>
        <w:ind w:firstLine="0"/>
        <w:rPr/>
      </w:pPr>
      <w:r/>
      <w:r/>
    </w:p>
    <w:p w14:paraId="02894BBF">
      <w:pPr>
        <w:pStyle w:val="1048"/>
        <w:suppressLineNumbers w:val="false"/>
        <w:pBdr/>
        <w:spacing w:line="300" w:lineRule="auto"/>
        <w:ind w:firstLine="0"/>
        <w:rPr/>
      </w:pPr>
      <w:r/>
      <w:r/>
      <w:r/>
    </w:p>
    <w:tbl>
      <w:tblPr>
        <w:tblStyle w:val="1105"/>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651BC83F">
            <w:pPr>
              <w:pBdr/>
              <w:spacing w:after="0" w:before="0" w:line="240"/>
              <w:ind/>
              <w:rPr>
                <w:color w:val="000000" w:themeColor="text1"/>
                <w:sz w:val="16"/>
                <w:szCs w:val="16"/>
              </w:rPr>
            </w:pPr>
            <w:r>
              <w:rPr>
                <w:rFonts w:ascii="Liberation Sans" w:hAnsi="Liberation Sans" w:eastAsia="Liberation Sans" w:cs="Liberation Sans"/>
                <w:b/>
                <w:color w:val="000000" w:themeColor="text1"/>
                <w:sz w:val="16"/>
                <w:szCs w:val="16"/>
              </w:rPr>
              <w:t xml:space="preserve">Lane</w:t>
            </w:r>
            <w:r>
              <w:rPr>
                <w:color w:val="000000" w:themeColor="text1"/>
                <w:sz w:val="16"/>
                <w:szCs w:val="16"/>
              </w:rPr>
            </w:r>
          </w:p>
        </w:tc>
        <w:tc>
          <w:tcPr>
            <w:tcBorders/>
            <w:tcW w:w="1080" w:type="dxa"/>
            <w:textDirection w:val="lrTb"/>
            <w:noWrap w:val="false"/>
          </w:tcPr>
          <w:p w14:paraId="1ED4C46C">
            <w:pPr>
              <w:pBdr/>
              <w:spacing w:after="0" w:before="0" w:line="240"/>
              <w:ind/>
              <w:rPr>
                <w:color w:val="000000" w:themeColor="text1"/>
                <w:sz w:val="16"/>
                <w:szCs w:val="16"/>
              </w:rPr>
            </w:pPr>
            <w:r>
              <w:rPr>
                <w:rFonts w:ascii="Liberation Sans" w:hAnsi="Liberation Sans" w:eastAsia="Liberation Sans" w:cs="Liberation Sans"/>
                <w:b/>
                <w:color w:val="000000" w:themeColor="text1"/>
                <w:sz w:val="16"/>
                <w:szCs w:val="16"/>
              </w:rPr>
              <w:t xml:space="preserve">Seeds</w:t>
            </w:r>
            <w:r>
              <w:rPr>
                <w:color w:val="000000" w:themeColor="text1"/>
                <w:sz w:val="16"/>
                <w:szCs w:val="16"/>
              </w:rPr>
            </w:r>
          </w:p>
        </w:tc>
        <w:tc>
          <w:tcPr>
            <w:tcBorders/>
            <w:tcW w:w="1080" w:type="dxa"/>
            <w:textDirection w:val="lrTb"/>
            <w:noWrap w:val="false"/>
          </w:tcPr>
          <w:p w14:paraId="19244C1F">
            <w:pPr>
              <w:pBdr/>
              <w:spacing w:after="0" w:before="0" w:line="240"/>
              <w:ind/>
              <w:jc w:val="right"/>
              <w:rPr>
                <w:color w:val="000000" w:themeColor="text1"/>
                <w:sz w:val="16"/>
                <w:szCs w:val="16"/>
              </w:rPr>
            </w:pPr>
            <w:r>
              <w:rPr>
                <w:rFonts w:ascii="Liberation Sans" w:hAnsi="Liberation Sans" w:eastAsia="Liberation Sans" w:cs="Liberation Sans"/>
                <w:b/>
                <w:color w:val="000000" w:themeColor="text1"/>
                <w:sz w:val="16"/>
                <w:szCs w:val="16"/>
              </w:rPr>
              <w:t xml:space="preserve">Accuracy</w:t>
            </w:r>
            <w:r>
              <w:rPr>
                <w:color w:val="000000" w:themeColor="text1"/>
                <w:sz w:val="16"/>
                <w:szCs w:val="16"/>
              </w:rPr>
            </w:r>
          </w:p>
        </w:tc>
        <w:tc>
          <w:tcPr>
            <w:tcBorders/>
            <w:tcW w:w="1080" w:type="dxa"/>
            <w:textDirection w:val="lrTb"/>
            <w:noWrap w:val="false"/>
          </w:tcPr>
          <w:p w14:paraId="6276269A">
            <w:pPr>
              <w:pBdr/>
              <w:spacing w:after="0" w:before="0" w:line="240"/>
              <w:ind/>
              <w:jc w:val="right"/>
              <w:rPr>
                <w:color w:val="000000" w:themeColor="text1"/>
                <w:sz w:val="16"/>
                <w:szCs w:val="16"/>
              </w:rPr>
            </w:pPr>
            <w:r>
              <w:rPr>
                <w:rFonts w:ascii="Liberation Sans" w:hAnsi="Liberation Sans" w:eastAsia="Liberation Sans" w:cs="Liberation Sans"/>
                <w:b/>
                <w:color w:val="000000" w:themeColor="text1"/>
                <w:sz w:val="16"/>
                <w:szCs w:val="16"/>
              </w:rPr>
              <w:t xml:space="preserve">Macro-F1</w:t>
            </w:r>
            <w:r>
              <w:rPr>
                <w:color w:val="000000" w:themeColor="text1"/>
                <w:sz w:val="16"/>
                <w:szCs w:val="16"/>
              </w:rPr>
            </w:r>
          </w:p>
        </w:tc>
        <w:tc>
          <w:tcPr>
            <w:tcBorders/>
            <w:tcW w:w="1080" w:type="dxa"/>
            <w:textDirection w:val="lrTb"/>
            <w:noWrap w:val="false"/>
          </w:tcPr>
          <w:p w14:paraId="033E2B78">
            <w:pPr>
              <w:pBdr/>
              <w:spacing w:after="0" w:before="0" w:line="240"/>
              <w:ind/>
              <w:jc w:val="right"/>
              <w:rPr>
                <w:color w:val="000000" w:themeColor="text1"/>
                <w:sz w:val="16"/>
                <w:szCs w:val="16"/>
              </w:rPr>
            </w:pPr>
            <w:r>
              <w:rPr>
                <w:rFonts w:ascii="Liberation Sans" w:hAnsi="Liberation Sans" w:eastAsia="Liberation Sans" w:cs="Liberation Sans"/>
                <w:b/>
                <w:color w:val="000000" w:themeColor="text1"/>
                <w:sz w:val="16"/>
                <w:szCs w:val="16"/>
              </w:rPr>
              <w:t xml:space="preserve">Balanced accuracy</w:t>
            </w:r>
            <w:r>
              <w:rPr>
                <w:color w:val="000000" w:themeColor="text1"/>
                <w:sz w:val="16"/>
                <w:szCs w:val="16"/>
              </w:rPr>
            </w:r>
          </w:p>
        </w:tc>
        <w:tc>
          <w:tcPr>
            <w:tcBorders/>
            <w:tcW w:w="1080" w:type="dxa"/>
            <w:textDirection w:val="lrTb"/>
            <w:noWrap w:val="false"/>
          </w:tcPr>
          <w:p w14:paraId="3D6BDD0A">
            <w:pPr>
              <w:pBdr/>
              <w:spacing w:after="0" w:before="0" w:line="240"/>
              <w:ind/>
              <w:jc w:val="right"/>
              <w:rPr>
                <w:color w:val="000000" w:themeColor="text1"/>
                <w:sz w:val="16"/>
                <w:szCs w:val="16"/>
              </w:rPr>
            </w:pPr>
            <w:r>
              <w:rPr>
                <w:rFonts w:ascii="Liberation Sans" w:hAnsi="Liberation Sans" w:eastAsia="Liberation Sans" w:cs="Liberation Sans"/>
                <w:b/>
                <w:color w:val="000000" w:themeColor="text1"/>
                <w:sz w:val="16"/>
                <w:szCs w:val="16"/>
              </w:rPr>
              <w:t xml:space="preserve">QWK</w:t>
            </w:r>
            <w:r>
              <w:rPr>
                <w:color w:val="000000" w:themeColor="text1"/>
                <w:sz w:val="16"/>
                <w:szCs w:val="16"/>
              </w:rPr>
            </w:r>
          </w:p>
        </w:tc>
        <w:tc>
          <w:tcPr>
            <w:tcBorders/>
            <w:tcW w:w="1080" w:type="dxa"/>
            <w:textDirection w:val="lrTb"/>
            <w:noWrap w:val="false"/>
          </w:tcPr>
          <w:p w14:paraId="1B9062A4">
            <w:pPr>
              <w:pBdr/>
              <w:spacing w:after="0" w:before="0" w:line="240"/>
              <w:ind/>
              <w:rPr>
                <w:color w:val="000000" w:themeColor="text1"/>
                <w:sz w:val="16"/>
                <w:szCs w:val="16"/>
              </w:rPr>
            </w:pPr>
            <w:r>
              <w:rPr>
                <w:rFonts w:ascii="Liberation Sans" w:hAnsi="Liberation Sans" w:eastAsia="Liberation Sans" w:cs="Liberation Sans"/>
                <w:b/>
                <w:color w:val="000000" w:themeColor="text1"/>
                <w:sz w:val="16"/>
                <w:szCs w:val="16"/>
              </w:rPr>
              <w:t xml:space="preserve">95% CI (QWK)</w:t>
            </w:r>
            <w:r>
              <w:rPr>
                <w:color w:val="000000" w:themeColor="text1"/>
                <w:sz w:val="16"/>
                <w:szCs w:val="16"/>
              </w:rPr>
            </w:r>
          </w:p>
        </w:tc>
        <w:tc>
          <w:tcPr>
            <w:tcBorders/>
            <w:tcW w:w="1080" w:type="dxa"/>
            <w:textDirection w:val="lrTb"/>
            <w:noWrap w:val="false"/>
          </w:tcPr>
          <w:p w14:paraId="05EEEE9D">
            <w:pPr>
              <w:pBdr/>
              <w:spacing w:after="0" w:before="0" w:line="240"/>
              <w:ind/>
              <w:jc w:val="right"/>
              <w:rPr>
                <w:color w:val="000000" w:themeColor="text1"/>
                <w:sz w:val="16"/>
                <w:szCs w:val="16"/>
              </w:rPr>
            </w:pPr>
            <w:r>
              <w:rPr>
                <w:rFonts w:ascii="Liberation Sans" w:hAnsi="Liberation Sans" w:eastAsia="Liberation Sans" w:cs="Liberation Sans"/>
                <w:b/>
                <w:color w:val="000000" w:themeColor="text1"/>
                <w:sz w:val="16"/>
                <w:szCs w:val="16"/>
              </w:rPr>
              <w:t xml:space="preserve">Parse rate</w:t>
            </w:r>
            <w:r>
              <w:rPr>
                <w:color w:val="000000" w:themeColor="text1"/>
                <w:sz w:val="16"/>
                <w:szCs w:val="16"/>
              </w:rPr>
            </w:r>
          </w:p>
        </w:tc>
      </w:tr>
      <w:tr>
        <w:trPr/>
        <w:tc>
          <w:tcPr>
            <w:tcBorders/>
            <w:tcW w:w="1080" w:type="dxa"/>
            <w:textDirection w:val="lrTb"/>
            <w:noWrap w:val="false"/>
          </w:tcPr>
          <w:p w14:paraId="2547C480">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Pass 5 supervised</w:t>
            </w:r>
            <w:r>
              <w:rPr>
                <w:color w:val="000000" w:themeColor="text1"/>
                <w:sz w:val="16"/>
                <w:szCs w:val="16"/>
              </w:rPr>
            </w:r>
          </w:p>
        </w:tc>
        <w:tc>
          <w:tcPr>
            <w:tcBorders/>
            <w:tcW w:w="1080" w:type="dxa"/>
            <w:textDirection w:val="lrTb"/>
            <w:noWrap w:val="false"/>
          </w:tcPr>
          <w:p w14:paraId="236E4211">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11/23/42</w:t>
            </w:r>
            <w:r>
              <w:rPr>
                <w:color w:val="000000" w:themeColor="text1"/>
                <w:sz w:val="16"/>
                <w:szCs w:val="16"/>
              </w:rPr>
            </w:r>
          </w:p>
        </w:tc>
        <w:tc>
          <w:tcPr>
            <w:tcBorders/>
            <w:tcW w:w="1080" w:type="dxa"/>
            <w:textDirection w:val="lrTb"/>
            <w:noWrap w:val="false"/>
          </w:tcPr>
          <w:p w14:paraId="4CD6F5D9">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0.737643</w:t>
            </w:r>
            <w:r>
              <w:rPr>
                <w:color w:val="000000" w:themeColor="text1"/>
                <w:sz w:val="16"/>
                <w:szCs w:val="16"/>
              </w:rPr>
            </w:r>
          </w:p>
        </w:tc>
        <w:tc>
          <w:tcPr>
            <w:tcBorders/>
            <w:tcW w:w="1080" w:type="dxa"/>
            <w:textDirection w:val="lrTb"/>
            <w:noWrap w:val="false"/>
          </w:tcPr>
          <w:p w14:paraId="5645C4CF">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0.667330</w:t>
            </w:r>
            <w:r>
              <w:rPr>
                <w:color w:val="000000" w:themeColor="text1"/>
                <w:sz w:val="16"/>
                <w:szCs w:val="16"/>
              </w:rPr>
            </w:r>
          </w:p>
        </w:tc>
        <w:tc>
          <w:tcPr>
            <w:tcBorders/>
            <w:tcW w:w="1080" w:type="dxa"/>
            <w:textDirection w:val="lrTb"/>
            <w:noWrap w:val="false"/>
          </w:tcPr>
          <w:p w14:paraId="75F8FB36">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0.670907</w:t>
            </w:r>
            <w:r>
              <w:rPr>
                <w:color w:val="000000" w:themeColor="text1"/>
                <w:sz w:val="16"/>
                <w:szCs w:val="16"/>
              </w:rPr>
            </w:r>
          </w:p>
        </w:tc>
        <w:tc>
          <w:tcPr>
            <w:tcBorders/>
            <w:tcW w:w="1080" w:type="dxa"/>
            <w:textDirection w:val="lrTb"/>
            <w:noWrap w:val="false"/>
          </w:tcPr>
          <w:p w14:paraId="45358F26">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0.818649</w:t>
            </w:r>
            <w:r>
              <w:rPr>
                <w:color w:val="000000" w:themeColor="text1"/>
                <w:sz w:val="16"/>
                <w:szCs w:val="16"/>
              </w:rPr>
            </w:r>
          </w:p>
        </w:tc>
        <w:tc>
          <w:tcPr>
            <w:tcBorders/>
            <w:tcW w:w="1080" w:type="dxa"/>
            <w:textDirection w:val="lrTb"/>
            <w:noWrap w:val="false"/>
          </w:tcPr>
          <w:p w14:paraId="2CA0D175">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[0.807920, 0.830582]</w:t>
            </w:r>
            <w:r>
              <w:rPr>
                <w:color w:val="000000" w:themeColor="text1"/>
                <w:sz w:val="16"/>
                <w:szCs w:val="16"/>
              </w:rPr>
            </w:r>
          </w:p>
        </w:tc>
        <w:tc>
          <w:tcPr>
            <w:tcBorders/>
            <w:tcW w:w="1080" w:type="dxa"/>
            <w:textDirection w:val="lrTb"/>
            <w:noWrap w:val="false"/>
          </w:tcPr>
          <w:p w14:paraId="312E76CE">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w:t>
            </w:r>
            <w:r>
              <w:rPr>
                <w:color w:val="000000" w:themeColor="text1"/>
                <w:sz w:val="16"/>
                <w:szCs w:val="16"/>
              </w:rPr>
            </w:r>
          </w:p>
        </w:tc>
      </w:tr>
      <w:tr>
        <w:trPr/>
        <w:tc>
          <w:tcPr>
            <w:tcBorders/>
            <w:tcW w:w="1080" w:type="dxa"/>
            <w:textDirection w:val="lrTb"/>
            <w:noWrap w:val="false"/>
          </w:tcPr>
          <w:p w14:paraId="67B1FEA9">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Pass 6 </w:t>
            </w:r>
            <w:r>
              <w:rPr>
                <w:rFonts w:ascii="Droid Sans Mono" w:hAnsi="Droid Sans Mono" w:eastAsia="Droid Sans Mono" w:cs="Droid Sans Mono"/>
                <w:color w:val="000000" w:themeColor="text1"/>
                <w:sz w:val="16"/>
                <w:szCs w:val="16"/>
                <w:highlight w:val="white"/>
              </w:rPr>
              <w:t xml:space="preserve">lora_mode1_train</w:t>
            </w:r>
            <w:r>
              <w:rPr>
                <w:color w:val="000000" w:themeColor="text1"/>
                <w:sz w:val="16"/>
                <w:szCs w:val="16"/>
              </w:rPr>
            </w:r>
          </w:p>
        </w:tc>
        <w:tc>
          <w:tcPr>
            <w:tcBorders/>
            <w:tcW w:w="1080" w:type="dxa"/>
            <w:textDirection w:val="lrTb"/>
            <w:noWrap w:val="false"/>
          </w:tcPr>
          <w:p w14:paraId="452D5F2B">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11/23/77</w:t>
            </w:r>
            <w:r>
              <w:rPr>
                <w:color w:val="000000" w:themeColor="text1"/>
                <w:sz w:val="16"/>
                <w:szCs w:val="16"/>
              </w:rPr>
            </w:r>
          </w:p>
        </w:tc>
        <w:tc>
          <w:tcPr>
            <w:tcBorders/>
            <w:tcW w:w="1080" w:type="dxa"/>
            <w:textDirection w:val="lrTb"/>
            <w:noWrap w:val="false"/>
          </w:tcPr>
          <w:p w14:paraId="45EB2D50">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0.781930</w:t>
            </w:r>
            <w:r>
              <w:rPr>
                <w:color w:val="000000" w:themeColor="text1"/>
                <w:sz w:val="16"/>
                <w:szCs w:val="16"/>
              </w:rPr>
            </w:r>
          </w:p>
        </w:tc>
        <w:tc>
          <w:tcPr>
            <w:tcBorders/>
            <w:tcW w:w="1080" w:type="dxa"/>
            <w:textDirection w:val="lrTb"/>
            <w:noWrap w:val="false"/>
          </w:tcPr>
          <w:p w14:paraId="04ECA338">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0.727920</w:t>
            </w:r>
            <w:r>
              <w:rPr>
                <w:color w:val="000000" w:themeColor="text1"/>
                <w:sz w:val="16"/>
                <w:szCs w:val="16"/>
              </w:rPr>
            </w:r>
          </w:p>
        </w:tc>
        <w:tc>
          <w:tcPr>
            <w:tcBorders/>
            <w:tcW w:w="1080" w:type="dxa"/>
            <w:textDirection w:val="lrTb"/>
            <w:noWrap w:val="false"/>
          </w:tcPr>
          <w:p w14:paraId="3A6048BC">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0.736292</w:t>
            </w:r>
            <w:r>
              <w:rPr>
                <w:color w:val="000000" w:themeColor="text1"/>
                <w:sz w:val="16"/>
                <w:szCs w:val="16"/>
              </w:rPr>
            </w:r>
          </w:p>
        </w:tc>
        <w:tc>
          <w:tcPr>
            <w:tcBorders/>
            <w:tcW w:w="1080" w:type="dxa"/>
            <w:textDirection w:val="lrTb"/>
            <w:noWrap w:val="false"/>
          </w:tcPr>
          <w:p w14:paraId="666691B7">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0.863656</w:t>
            </w:r>
            <w:r>
              <w:rPr>
                <w:color w:val="000000" w:themeColor="text1"/>
                <w:sz w:val="16"/>
                <w:szCs w:val="16"/>
              </w:rPr>
            </w:r>
          </w:p>
        </w:tc>
        <w:tc>
          <w:tcPr>
            <w:tcBorders/>
            <w:tcW w:w="1080" w:type="dxa"/>
            <w:textDirection w:val="lrTb"/>
            <w:noWrap w:val="false"/>
          </w:tcPr>
          <w:p w14:paraId="2C0F9061">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[0.862382, 0.865836]</w:t>
            </w:r>
            <w:r>
              <w:rPr>
                <w:color w:val="000000" w:themeColor="text1"/>
                <w:sz w:val="16"/>
                <w:szCs w:val="16"/>
              </w:rPr>
            </w:r>
          </w:p>
        </w:tc>
        <w:tc>
          <w:tcPr>
            <w:tcBorders/>
            <w:tcW w:w="1080" w:type="dxa"/>
            <w:textDirection w:val="lrTb"/>
            <w:noWrap w:val="false"/>
          </w:tcPr>
          <w:p w14:paraId="41772A9C">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1.000000</w:t>
            </w:r>
            <w:r>
              <w:rPr>
                <w:color w:val="000000" w:themeColor="text1"/>
                <w:sz w:val="16"/>
                <w:szCs w:val="16"/>
              </w:rPr>
            </w:r>
          </w:p>
        </w:tc>
      </w:tr>
      <w:tr>
        <w:trPr/>
        <w:tc>
          <w:tcPr>
            <w:tcBorders/>
            <w:tcW w:w="1080" w:type="dxa"/>
            <w:textDirection w:val="lrTb"/>
            <w:noWrap w:val="false"/>
          </w:tcPr>
          <w:p w14:paraId="45ABD12C">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Pass 6 </w:t>
            </w:r>
            <w:r>
              <w:rPr>
                <w:rFonts w:ascii="Droid Sans Mono" w:hAnsi="Droid Sans Mono" w:eastAsia="Droid Sans Mono" w:cs="Droid Sans Mono"/>
                <w:color w:val="000000" w:themeColor="text1"/>
                <w:sz w:val="16"/>
                <w:szCs w:val="16"/>
                <w:highlight w:val="white"/>
              </w:rPr>
              <w:t xml:space="preserve">lora_mode2_eval</w:t>
            </w:r>
            <w:r>
              <w:rPr>
                <w:color w:val="000000" w:themeColor="text1"/>
                <w:sz w:val="16"/>
                <w:szCs w:val="16"/>
              </w:rPr>
            </w:r>
          </w:p>
        </w:tc>
        <w:tc>
          <w:tcPr>
            <w:tcBorders/>
            <w:tcW w:w="1080" w:type="dxa"/>
            <w:textDirection w:val="lrTb"/>
            <w:noWrap w:val="false"/>
          </w:tcPr>
          <w:p w14:paraId="0C93A78E">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11/23/77</w:t>
            </w:r>
            <w:r>
              <w:rPr>
                <w:color w:val="000000" w:themeColor="text1"/>
                <w:sz w:val="16"/>
                <w:szCs w:val="16"/>
              </w:rPr>
            </w:r>
          </w:p>
        </w:tc>
        <w:tc>
          <w:tcPr>
            <w:tcBorders/>
            <w:tcW w:w="1080" w:type="dxa"/>
            <w:textDirection w:val="lrTb"/>
            <w:noWrap w:val="false"/>
          </w:tcPr>
          <w:p w14:paraId="7D3072A7">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0.548636</w:t>
            </w:r>
            <w:r>
              <w:rPr>
                <w:color w:val="000000" w:themeColor="text1"/>
                <w:sz w:val="16"/>
                <w:szCs w:val="16"/>
              </w:rPr>
            </w:r>
          </w:p>
        </w:tc>
        <w:tc>
          <w:tcPr>
            <w:tcBorders/>
            <w:tcW w:w="1080" w:type="dxa"/>
            <w:textDirection w:val="lrTb"/>
            <w:noWrap w:val="false"/>
          </w:tcPr>
          <w:p w14:paraId="20180D71">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0.177135</w:t>
            </w:r>
            <w:r>
              <w:rPr>
                <w:color w:val="000000" w:themeColor="text1"/>
                <w:sz w:val="16"/>
                <w:szCs w:val="16"/>
              </w:rPr>
            </w:r>
          </w:p>
        </w:tc>
        <w:tc>
          <w:tcPr>
            <w:tcBorders/>
            <w:tcW w:w="1080" w:type="dxa"/>
            <w:textDirection w:val="lrTb"/>
            <w:noWrap w:val="false"/>
          </w:tcPr>
          <w:p w14:paraId="389F7507">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0.250000</w:t>
            </w:r>
            <w:r>
              <w:rPr>
                <w:color w:val="000000" w:themeColor="text1"/>
                <w:sz w:val="16"/>
                <w:szCs w:val="16"/>
              </w:rPr>
            </w:r>
          </w:p>
        </w:tc>
        <w:tc>
          <w:tcPr>
            <w:tcBorders/>
            <w:tcW w:w="1080" w:type="dxa"/>
            <w:textDirection w:val="lrTb"/>
            <w:noWrap w:val="false"/>
          </w:tcPr>
          <w:p w14:paraId="25F489FD">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0.000000</w:t>
            </w:r>
            <w:r>
              <w:rPr>
                <w:color w:val="000000" w:themeColor="text1"/>
                <w:sz w:val="16"/>
                <w:szCs w:val="16"/>
              </w:rPr>
            </w:r>
          </w:p>
        </w:tc>
        <w:tc>
          <w:tcPr>
            <w:tcBorders/>
            <w:tcW w:w="1080" w:type="dxa"/>
            <w:textDirection w:val="lrTb"/>
            <w:noWrap w:val="false"/>
          </w:tcPr>
          <w:p w14:paraId="45774161">
            <w:pPr>
              <w:pBdr/>
              <w:spacing w:after="0" w:before="0" w:line="240"/>
              <w:ind/>
              <w:rPr>
                <w:color w:val="000000" w:themeColor="text1"/>
                <w:sz w:val="16"/>
                <w:szCs w:val="16"/>
              </w:rPr>
            </w:pPr>
            <w:r>
              <w:rPr>
                <w:rFonts w:ascii="Liberation Sans" w:hAnsi="Liberation Sans" w:eastAsia="Liberation Sans" w:cs="Liberation Sans"/>
                <w:color w:val="000000" w:themeColor="text1"/>
                <w:sz w:val="16"/>
                <w:szCs w:val="16"/>
              </w:rPr>
              <w:t xml:space="preserve">[0.000000, 0.000000]</w:t>
            </w:r>
            <w:r>
              <w:rPr>
                <w:color w:val="000000" w:themeColor="text1"/>
                <w:sz w:val="16"/>
                <w:szCs w:val="16"/>
              </w:rPr>
            </w:r>
          </w:p>
        </w:tc>
        <w:tc>
          <w:tcPr>
            <w:tcBorders/>
            <w:tcW w:w="1080" w:type="dxa"/>
            <w:textDirection w:val="lrTb"/>
            <w:noWrap w:val="false"/>
          </w:tcPr>
          <w:p w14:paraId="2FCF15E1">
            <w:pPr>
              <w:pBdr/>
              <w:spacing w:after="0" w:before="0" w:line="240"/>
              <w:ind/>
              <w:jc w:val="right"/>
              <w:rPr>
                <w:color w:val="000000" w:themeColor="text1"/>
                <w:sz w:val="16"/>
                <w:szCs w:val="16"/>
              </w:rPr>
            </w:pPr>
            <w:r>
              <w:rPr>
                <w:rFonts w:ascii="Liberation Sans" w:hAnsi="Liberation Sans" w:eastAsia="Liberation Sans" w:cs="Liberation Sans"/>
                <w:color w:val="000000" w:themeColor="text1"/>
                <w:sz w:val="16"/>
                <w:szCs w:val="16"/>
              </w:rPr>
              <w:t xml:space="preserve">1.000000</w:t>
            </w:r>
            <w:r>
              <w:rPr>
                <w:color w:val="000000" w:themeColor="text1"/>
                <w:sz w:val="16"/>
                <w:szCs w:val="16"/>
              </w:rPr>
            </w:r>
          </w:p>
        </w:tc>
      </w:tr>
    </w:tbl>
    <w:p w14:paraId="6BD3B8AC">
      <w:pPr>
        <w:pStyle w:val="1048"/>
        <w:suppressLineNumbers w:val="false"/>
        <w:pBdr/>
        <w:spacing w:line="300" w:lineRule="auto"/>
        <w:ind w:firstLine="0"/>
        <w:rPr/>
      </w:pPr>
      <w:r>
        <w:rPr>
          <w:highlight w:val="none"/>
        </w:rPr>
      </w:r>
      <w:r>
        <w:rPr>
          <w:highlight w:val="none"/>
        </w:rPr>
      </w:r>
      <w:r>
        <w:rPr>
          <w:highlight w:val="none"/>
        </w:rPr>
      </w:r>
    </w:p>
    <w:p w14:paraId="5E22BD83">
      <w:pPr>
        <w:pStyle w:val="1048"/>
        <w:suppressLineNumbers w:val="false"/>
        <w:pBdr/>
        <w:spacing w:line="300" w:lineRule="auto"/>
        <w:ind w:firstLine="0"/>
        <w:rPr>
          <w:highlight w:val="none"/>
        </w:rPr>
      </w:pPr>
      <w:r/>
      <w:r/>
      <w:r>
        <w:t xml:space="preserve">Compared with the official Pass 5 baseline, the retained mode1 lane improves internal QWK by +0.045007 and macro-F1 by +0.060590. Mode2 remains a controlled negative-result lane. The mode1 QC table confirms stable non-degenerate convergence (3/3 seeds pass)</w:t>
      </w:r>
      <w:r>
        <w:t xml:space="preserve">.</w:t>
      </w:r>
      <w:r/>
      <w:r/>
      <w:r/>
      <w:r/>
      <w:r/>
      <w:r>
        <w:rPr>
          <w:highlight w:val="none"/>
        </w:rPr>
      </w:r>
    </w:p>
    <w:p w14:paraId="3157E15A">
      <w:pPr>
        <w:pStyle w:val="104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337624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226" name=""/>
                        <pic:cNvPicPr>
                          <a:picLocks noChangeAspect="1"/>
                        </pic:cNvPicPr>
                        <pic:nvPr/>
                      </pic:nvPicPr>
                      <pic:blipFill rotWithShape="1">
                        <a:blip r:embed="rId23"/>
                        <a:stretch/>
                      </pic:blipFill>
                      <pic:spPr bwMode="auto">
                        <a:xfrm>
                          <a:off x="0" y="0"/>
                          <a:ext cx="5486399" cy="3376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265.85pt;mso-wrap-distance-left:0.00pt;mso-wrap-distance-top:0.00pt;mso-wrap-distance-right:0.00pt;mso-wrap-distance-bottom:0.00pt;z-index:1;" stroked="false">
                <v:imagedata r:id="rId23" o:title=""/>
                <o:lock v:ext="edit" rotation="t"/>
              </v:shape>
            </w:pict>
          </mc:Fallback>
        </mc:AlternateContent>
      </w:r>
      <w:r>
        <w:rPr>
          <w:highlight w:val="none"/>
        </w:rPr>
      </w:r>
      <w:r/>
    </w:p>
    <w:p w14:paraId="4759FE2C">
      <w:pPr>
        <w:pStyle w:val="1048"/>
        <w:suppressLineNumbers w:val="false"/>
        <w:pBdr/>
        <w:spacing w:line="300" w:lineRule="auto"/>
        <w:ind w:firstLine="0"/>
        <w:rPr/>
      </w:pPr>
      <w:r/>
      <w:r/>
      <w:r/>
    </w:p>
    <w:p w14:paraId="4C1D0BE8">
      <w:pPr>
        <w:pStyle w:val="1048"/>
        <w:suppressLineNumbers w:val="false"/>
        <w:pBdr/>
        <w:spacing w:line="300" w:lineRule="auto"/>
        <w:ind w:firstLine="0"/>
        <w:rPr/>
      </w:pPr>
      <w:r>
        <w:rPr>
          <w:highlight w:val="none"/>
        </w:rPr>
        <w:t xml:space="preserve">Frozen internal KPI comparison using Pass 5 supervised and Pass 6 generative lane aggregates.</w:t>
      </w:r>
      <w:r/>
    </w:p>
    <w:p w14:paraId="7F1A6722">
      <w:pPr>
        <w:pStyle w:val="1048"/>
        <w:suppressLineNumbers w:val="false"/>
        <w:pBdr/>
        <w:spacing w:line="300" w:lineRule="auto"/>
        <w:ind w:firstLine="0"/>
        <w:rPr>
          <w:highlight w:val="none"/>
        </w:rPr>
      </w:pPr>
      <w:r>
        <w:rPr>
          <w:highlight w:val="none"/>
        </w:rPr>
      </w:r>
      <w:r/>
      <w:r>
        <w:rPr>
          <w:highlight w:val="none"/>
        </w:rPr>
        <mc:AlternateContent>
          <mc:Choice Requires="wpg">
            <w:drawing>
              <wp:inline xmlns:wp="http://schemas.openxmlformats.org/drawingml/2006/wordprocessingDrawing" distT="0" distB="0" distL="0" distR="0">
                <wp:extent cx="5486400" cy="154910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1062" name=""/>
                        <pic:cNvPicPr>
                          <a:picLocks noChangeAspect="1"/>
                        </pic:cNvPicPr>
                        <pic:nvPr/>
                      </pic:nvPicPr>
                      <pic:blipFill rotWithShape="1">
                        <a:blip r:embed="rId24"/>
                        <a:stretch/>
                      </pic:blipFill>
                      <pic:spPr bwMode="auto">
                        <a:xfrm>
                          <a:off x="0" y="0"/>
                          <a:ext cx="5486399" cy="154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121.98pt;mso-wrap-distance-left:0.00pt;mso-wrap-distance-top:0.00pt;mso-wrap-distance-right:0.00pt;mso-wrap-distance-bottom:0.00pt;z-index:1;" stroked="false">
                <v:imagedata r:id="rId24" o:title=""/>
                <o:lock v:ext="edit" rotation="t"/>
              </v:shape>
            </w:pict>
          </mc:Fallback>
        </mc:AlternateContent>
      </w:r>
      <w:r>
        <w:rPr>
          <w:highlight w:val="none"/>
        </w:rPr>
      </w:r>
      <w:r/>
    </w:p>
    <w:p w14:paraId="7DE6E1E5">
      <w:pPr>
        <w:pStyle w:val="1048"/>
        <w:suppressLineNumbers w:val="false"/>
        <w:pBdr/>
        <w:spacing w:line="300" w:lineRule="auto"/>
        <w:ind w:firstLine="0"/>
        <w:rPr/>
      </w:pPr>
      <w:r/>
      <w:r/>
      <w:r/>
    </w:p>
    <w:p w14:paraId="2EEFE541">
      <w:pPr>
        <w:pStyle w:val="1048"/>
        <w:suppressLineNumbers w:val="false"/>
        <w:pBdr/>
        <w:spacing w:line="300" w:lineRule="auto"/>
        <w:ind w:firstLine="0"/>
        <w:rPr/>
      </w:pPr>
      <w:r>
        <w:rPr>
          <w:highlight w:val="none"/>
        </w:rPr>
      </w:r>
      <w:r>
        <w:rPr>
          <w:highlight w:val="none"/>
        </w:rPr>
      </w:r>
      <w:r>
        <w:rPr>
          <w:highlight w:val="none"/>
        </w:rPr>
      </w:r>
    </w:p>
    <w:p w14:paraId="231563DE">
      <w:pPr>
        <w:pStyle w:val="1048"/>
        <w:suppressLineNumbers w:val="false"/>
        <w:pBdr/>
        <w:spacing w:line="300" w:lineRule="auto"/>
        <w:ind w:firstLine="0"/>
        <w:rPr/>
      </w:pPr>
      <w:r/>
      <w:r/>
      <w:r/>
    </w:p>
    <w:p w14:paraId="05E8D4F1">
      <w:pPr>
        <w:pStyle w:val="1048"/>
        <w:suppressLineNumbers w:val="false"/>
        <w:pBdr/>
        <w:spacing w:line="300" w:lineRule="auto"/>
        <w:ind w:firstLine="0"/>
        <w:rPr/>
      </w:pPr>
      <w:r/>
      <w:r/>
      <w:r/>
    </w:p>
    <w:p w14:paraId="1602B661">
      <w:pPr>
        <w:pStyle w:val="1048"/>
        <w:suppressLineNumbers w:val="false"/>
        <w:pBdr/>
        <w:spacing w:line="300" w:lineRule="auto"/>
        <w:ind w:firstLine="0"/>
        <w:rPr/>
      </w:pPr>
      <w:r/>
      <w:r/>
      <w:r/>
    </w:p>
    <w:p w14:paraId="653D551C">
      <w:pPr>
        <w:pStyle w:val="1048"/>
        <w:suppressLineNumbers w:val="false"/>
        <w:pBdr/>
        <w:spacing w:line="300" w:lineRule="auto"/>
        <w:ind w:firstLine="0"/>
        <w:rPr/>
      </w:pPr>
      <w:r>
        <w:rPr>
          <w:highlight w:val="none"/>
        </w:rPr>
      </w:r>
      <w:r>
        <w:rPr>
          <w:highlight w:val="none"/>
        </w:rPr>
      </w:r>
    </w:p>
    <w:p w14:paraId="75275F06" w14:textId="4DA30691">
      <w:pPr>
        <w:pStyle w:val="1056"/>
        <w:suppressLineNumbers w:val="false"/>
        <w:pBdr/>
        <w:spacing w:line="300" w:lineRule="auto"/>
        <w:ind/>
        <w:rPr/>
      </w:pPr>
      <w:r>
        <w:t xml:space="preserve">Bibliography</w:t>
      </w:r>
      <w:r/>
    </w:p>
    <w:p w14:paraId="4C6998FE" w14:textId="081DCD25">
      <w:pPr>
        <w:pStyle w:val="1094"/>
        <w:numPr>
          <w:ilvl w:val="0"/>
          <w:numId w:val="6"/>
        </w:numPr>
        <w:suppressLineNumbers w:val="false"/>
        <w:pBdr/>
        <w:spacing w:line="300" w:lineRule="auto"/>
        <w:ind/>
        <w:rPr/>
      </w:pPr>
      <w:r>
        <w:t xml:space="preserve">Sushant Gautam, Michael A. </w:t>
      </w:r>
      <w:r>
        <w:t xml:space="preserve">Riegler</w:t>
      </w:r>
      <w:r>
        <w:t xml:space="preserve">, and </w:t>
      </w:r>
      <w:r>
        <w:t xml:space="preserve">Pål</w:t>
      </w:r>
      <w:r>
        <w:t xml:space="preserve"> Halvorsen, “Kvasir‑VQA‑x1: A Multimodal Dataset for Medical Reasoning and Robust </w:t>
      </w:r>
      <w:r>
        <w:t xml:space="preserve">MedVQA</w:t>
      </w:r>
      <w:r>
        <w:t xml:space="preserve"> in Gastrointestinal Endoscopy,” arxiv.org (preprint, June 11, 2025), </w:t>
      </w:r>
      <w:hyperlink r:id="rId25" w:tooltip="https://ar5iv.labs.arxiv.org/html/2506.09958v1," w:history="1">
        <w:r>
          <w:rPr>
            <w:rStyle w:val="1063"/>
          </w:rPr>
          <w:t xml:space="preserve">https://ar5iv.labs.arxiv.org/html/2506.09958v1,</w:t>
        </w:r>
      </w:hyperlink>
      <w:r/>
      <w:r/>
    </w:p>
    <w:p w14:paraId="1A75517C" w14:textId="138EE953">
      <w:pPr>
        <w:pStyle w:val="1094"/>
        <w:numPr>
          <w:ilvl w:val="0"/>
          <w:numId w:val="6"/>
        </w:numPr>
        <w:suppressLineNumbers w:val="false"/>
        <w:pBdr/>
        <w:spacing w:line="300" w:lineRule="auto"/>
        <w:ind/>
        <w:rPr/>
      </w:pPr>
      <w:r>
        <w:t xml:space="preserve">Luo, </w:t>
      </w:r>
      <w:r>
        <w:t xml:space="preserve">Renqian</w:t>
      </w:r>
      <w:r>
        <w:t xml:space="preserve">, </w:t>
      </w:r>
      <w:r>
        <w:t xml:space="preserve">Liai</w:t>
      </w:r>
      <w:r>
        <w:t xml:space="preserve"> Sun, </w:t>
      </w:r>
      <w:r>
        <w:t xml:space="preserve">Yingce</w:t>
      </w:r>
      <w:r>
        <w:t xml:space="preserve"> Xia, Tao Qin, Sheng Zhang, </w:t>
      </w:r>
      <w:r>
        <w:t xml:space="preserve">Hoifung</w:t>
      </w:r>
      <w:r>
        <w:t xml:space="preserve"> Poon, and Tie-Yan Liu. “</w:t>
      </w:r>
      <w:r>
        <w:t xml:space="preserve">BioGPT</w:t>
      </w:r>
      <w:r>
        <w:t xml:space="preserve">: Generative Pre-Trained Transformer for Biomedical Text Generation and Mining.” arXiv.org, October 19, 2022. </w:t>
      </w:r>
      <w:hyperlink r:id="rId26" w:tooltip="https://arxiv.org/abs/2210.10341" w:history="1">
        <w:r>
          <w:rPr>
            <w:rStyle w:val="1063"/>
          </w:rPr>
          <w:t xml:space="preserve">https://arxiv.org/abs/2210.10341</w:t>
        </w:r>
      </w:hyperlink>
      <w:r>
        <w:t xml:space="preserve">.</w:t>
      </w:r>
      <w:r/>
    </w:p>
    <w:p w14:paraId="06AF7D8E" w14:textId="200C3C74">
      <w:pPr>
        <w:pStyle w:val="1094"/>
        <w:numPr>
          <w:ilvl w:val="0"/>
          <w:numId w:val="6"/>
        </w:numPr>
        <w:suppressLineNumbers w:val="false"/>
        <w:pBdr/>
        <w:spacing w:line="300" w:lineRule="auto"/>
        <w:ind/>
        <w:rPr/>
      </w:pPr>
      <w:r>
        <w:t xml:space="preserve">“Overview of </w:t>
      </w:r>
      <w:r>
        <w:t xml:space="preserve">ImageCLEFmedical</w:t>
      </w:r>
      <w:r>
        <w:t xml:space="preserve"> 2023 – Medical Visual Question Answering for Gastrointestinal Tract,” CEUR Workshop Proceedings, no. 3497, Paper 107 (n.d.), accessed July 18, 2025, </w:t>
      </w:r>
      <w:hyperlink r:id="rId27" w:tooltip="https://ceur-ws.org/Vol-3497/paper-107.pdf" w:history="1">
        <w:r>
          <w:rPr>
            <w:rStyle w:val="1063"/>
          </w:rPr>
          <w:t xml:space="preserve">https://ceur-ws.org/Vol-3497/paper-107.pdf</w:t>
        </w:r>
      </w:hyperlink>
      <w:r>
        <w:t xml:space="preserve">.</w:t>
      </w:r>
      <w:r/>
    </w:p>
    <w:p w14:paraId="2364B7D4" w14:textId="1E4C515E">
      <w:pPr>
        <w:pStyle w:val="1094"/>
        <w:numPr>
          <w:ilvl w:val="0"/>
          <w:numId w:val="6"/>
        </w:numPr>
        <w:suppressLineNumbers w:val="false"/>
        <w:pBdr/>
        <w:spacing w:line="300" w:lineRule="auto"/>
        <w:ind/>
        <w:rPr/>
      </w:pPr>
      <w:r>
        <w:t xml:space="preserve">“Diagnosis and Severity Assessment of Ulcerative Colitis Using Self Supervised Learning.” Accessed July 18, 2025. </w:t>
      </w:r>
      <w:hyperlink r:id="rId28" w:tooltip="https://arxiv.org/html/2412.07806v1" w:history="1">
        <w:r>
          <w:rPr>
            <w:rStyle w:val="1063"/>
          </w:rPr>
          <w:t xml:space="preserve">https://arxiv.org/html/2412.07806v1</w:t>
        </w:r>
      </w:hyperlink>
      <w:r>
        <w:t xml:space="preserve">.</w:t>
      </w:r>
      <w:r/>
    </w:p>
    <w:p w14:paraId="24B4B5F8" w14:textId="56950372">
      <w:pPr>
        <w:pStyle w:val="1094"/>
        <w:numPr>
          <w:ilvl w:val="0"/>
          <w:numId w:val="6"/>
        </w:numPr>
        <w:suppressLineNumbers w:val="false"/>
        <w:pBdr/>
        <w:spacing w:line="300" w:lineRule="auto"/>
        <w:ind/>
        <w:rPr/>
      </w:pPr>
      <w:r>
        <w:t xml:space="preserve">Gautam, </w:t>
      </w:r>
      <w:r>
        <w:t xml:space="preserve">Riegler</w:t>
      </w:r>
      <w:r>
        <w:t xml:space="preserve">, and Halvorsen, “Kvasir‑VQA‑x1,” [1]</w:t>
      </w:r>
      <w:r/>
    </w:p>
    <w:p w14:paraId="4711C624" w14:textId="1FB3E831">
      <w:pPr>
        <w:pStyle w:val="1094"/>
        <w:numPr>
          <w:ilvl w:val="0"/>
          <w:numId w:val="6"/>
        </w:numPr>
        <w:suppressLineNumbers w:val="false"/>
        <w:pBdr/>
        <w:spacing w:line="300" w:lineRule="auto"/>
        <w:ind/>
        <w:rPr/>
      </w:pPr>
      <w:r>
        <w:t xml:space="preserve">Lau, Jessie Y. C., James R. Glass, and H. Chen. "A Dataset and Exploration of Models for Understanding Radiology Reports via QA." </w:t>
      </w:r>
      <w:r>
        <w:rPr>
          <w:i/>
          <w:iCs/>
        </w:rPr>
        <w:t xml:space="preserve">Proceedings of NAACL-HLT</w:t>
      </w:r>
      <w:r>
        <w:t xml:space="preserve">, 2018. </w:t>
      </w:r>
      <w:hyperlink r:id="rId29" w:tooltip="https://aclanthology.org/N18-2094/" w:history="1">
        <w:r>
          <w:rPr>
            <w:rStyle w:val="1063"/>
          </w:rPr>
          <w:t xml:space="preserve">https://aclanthology.org/N18-2094/</w:t>
        </w:r>
      </w:hyperlink>
      <w:r/>
      <w:r/>
    </w:p>
    <w:p w14:paraId="02D11660" w14:textId="3BAB6BCC">
      <w:pPr>
        <w:pStyle w:val="1094"/>
        <w:numPr>
          <w:ilvl w:val="0"/>
          <w:numId w:val="6"/>
        </w:numPr>
        <w:suppressLineNumbers w:val="false"/>
        <w:pBdr/>
        <w:spacing w:line="300" w:lineRule="auto"/>
        <w:ind/>
        <w:rPr/>
      </w:pPr>
      <w:r>
        <w:t xml:space="preserve">Lau, J., </w:t>
      </w:r>
      <w:r>
        <w:t xml:space="preserve">Gayen</w:t>
      </w:r>
      <w:r>
        <w:t xml:space="preserve">, S., Ben Abacha, A. et al. A dataset of clinically generated visual questions and answers about radiology images. Sci Data 5, 180251 (2018). </w:t>
      </w:r>
      <w:hyperlink r:id="rId30" w:tooltip="https://doi.org/10.1038/sdata.2018.251" w:history="1">
        <w:r>
          <w:rPr>
            <w:rStyle w:val="1063"/>
          </w:rPr>
          <w:t xml:space="preserve">https://doi.org/10.1038/sdata.2018.251</w:t>
        </w:r>
      </w:hyperlink>
      <w:r/>
      <w:r/>
    </w:p>
    <w:p w14:paraId="24205EC2" w14:textId="1E5BDC8F">
      <w:pPr>
        <w:pStyle w:val="1094"/>
        <w:numPr>
          <w:ilvl w:val="0"/>
          <w:numId w:val="6"/>
        </w:numPr>
        <w:suppressLineNumbers w:val="false"/>
        <w:pBdr/>
        <w:spacing w:line="300" w:lineRule="auto"/>
        <w:ind/>
        <w:rPr/>
      </w:pPr>
      <w:r>
        <w:t xml:space="preserve">Dong, Wenjie, </w:t>
      </w:r>
      <w:r>
        <w:t xml:space="preserve">Shuhao</w:t>
      </w:r>
      <w:r>
        <w:t xml:space="preserve"> Shen, </w:t>
      </w:r>
      <w:r>
        <w:t xml:space="preserve">Yuqiang</w:t>
      </w:r>
      <w:r>
        <w:t xml:space="preserve"> Han, Tao Tan, Jian Wu, and </w:t>
      </w:r>
      <w:r>
        <w:t xml:space="preserve">Hongxia</w:t>
      </w:r>
      <w:r>
        <w:t xml:space="preserve"> Xu. 2025. “Generative Models in Medical Visual Question Answering: A Survey.” Applied Sciences 15, no. 6: 2983.</w:t>
      </w:r>
      <w:hyperlink r:id="rId31" w:tooltip="https://doi.org/10.3390/app15062983." w:history="1">
        <w:r>
          <w:rPr>
            <w:rStyle w:val="1063"/>
          </w:rPr>
          <w:t xml:space="preserve"> https://doi.org/10.3390/app15062983.</w:t>
        </w:r>
      </w:hyperlink>
      <w:r>
        <w:t xml:space="preserve">  </w:t>
      </w:r>
      <w:r/>
    </w:p>
    <w:p w14:paraId="1305DCC9" w14:textId="43B656C1">
      <w:pPr>
        <w:pStyle w:val="1094"/>
        <w:numPr>
          <w:ilvl w:val="0"/>
          <w:numId w:val="6"/>
        </w:numPr>
        <w:suppressLineNumbers w:val="false"/>
        <w:pBdr/>
        <w:spacing w:line="300" w:lineRule="auto"/>
        <w:ind/>
        <w:rPr/>
      </w:pPr>
      <w:r>
        <w:rPr>
          <w:b/>
          <w:bCs/>
        </w:rPr>
        <w:t xml:space="preserve">ImageCLEFmed</w:t>
      </w:r>
      <w:r>
        <w:rPr>
          <w:b/>
          <w:bCs/>
        </w:rPr>
        <w:t xml:space="preserve"> MEDVQA‑GI. 2023.</w:t>
      </w:r>
      <w:r>
        <w:t xml:space="preserve"> </w:t>
      </w:r>
      <w:r>
        <w:t xml:space="preserve">ImageCLEF</w:t>
      </w:r>
      <w:r>
        <w:t xml:space="preserve"> / </w:t>
      </w:r>
      <w:r>
        <w:t xml:space="preserve">LifeCLEF</w:t>
      </w:r>
      <w:r>
        <w:t xml:space="preserve"> – Multimedia Retrieval in CLEF. Accessed July 18, 2025. </w:t>
      </w:r>
      <w:hyperlink r:id="rId32" w:tooltip="https://www.imageclef.org/2023/medical/vqa" w:history="1">
        <w:r>
          <w:rPr>
            <w:rStyle w:val="1063"/>
          </w:rPr>
          <w:t xml:space="preserve">https://www.imageclef.org/2023/medical/vqa</w:t>
        </w:r>
      </w:hyperlink>
      <w:r>
        <w:t xml:space="preserve">.</w:t>
      </w:r>
      <w:r/>
    </w:p>
    <w:p w14:paraId="05357706" w14:textId="3BE32F30">
      <w:pPr>
        <w:pStyle w:val="1094"/>
        <w:numPr>
          <w:ilvl w:val="0"/>
          <w:numId w:val="6"/>
        </w:numPr>
        <w:suppressLineNumbers w:val="false"/>
        <w:pBdr/>
        <w:spacing w:line="300" w:lineRule="auto"/>
        <w:ind/>
        <w:rPr/>
      </w:pPr>
      <w:r>
        <w:t xml:space="preserve">Murino</w:t>
      </w:r>
      <w:r>
        <w:t xml:space="preserve">, Alberto, and Alessandro </w:t>
      </w:r>
      <w:r>
        <w:t xml:space="preserve">Rimondi</w:t>
      </w:r>
      <w:r>
        <w:t xml:space="preserve">. 2023. “Automated Artificial Intelligence Scoring Systems for the Endoscopic Assessment of Ulcerative Colitis: How Far Are We from Clinical Application?” Gastrointestinal Endoscopy 97 (2): 347–49. </w:t>
      </w:r>
      <w:hyperlink r:id="rId33" w:tooltip="https://doi.org/10.1016/j.gie.2022.10.010" w:history="1">
        <w:r>
          <w:rPr>
            <w:rStyle w:val="1063"/>
          </w:rPr>
          <w:t xml:space="preserve">https://doi.org/10.1016/j.gie.2022.10.010</w:t>
        </w:r>
      </w:hyperlink>
      <w:r>
        <w:t xml:space="preserve">.</w:t>
      </w:r>
      <w:r/>
    </w:p>
    <w:p w14:paraId="001C5BEA" w14:textId="0F1CFB0A">
      <w:pPr>
        <w:pStyle w:val="1094"/>
        <w:numPr>
          <w:ilvl w:val="0"/>
          <w:numId w:val="6"/>
        </w:numPr>
        <w:suppressLineNumbers w:val="false"/>
        <w:pBdr/>
        <w:spacing w:line="300" w:lineRule="auto"/>
        <w:ind/>
        <w:rPr/>
      </w:pPr>
      <w:r>
        <w:t xml:space="preserve">Mohammed, Sabah, and Jinan </w:t>
      </w:r>
      <w:r>
        <w:t xml:space="preserve">Fiaidhi</w:t>
      </w:r>
      <w:r>
        <w:t xml:space="preserve">. 2024. “Generative AI for Evidence‑Based Medicine: A PICO </w:t>
      </w:r>
      <w:r>
        <w:t xml:space="preserve">GenAI</w:t>
      </w:r>
      <w:r>
        <w:t xml:space="preserve"> for Synthesizing Clinical Case Reports.” In Proceedings of the IEEE International Conference on Communications (ICC 2024), June 9–13, 2024, Denver, CO, USA. </w:t>
      </w:r>
      <w:hyperlink r:id="rId34" w:tooltip="https://doi.org/10.1109/ICC51166.2024.10622271" w:history="1">
        <w:r>
          <w:rPr>
            <w:rStyle w:val="1063"/>
          </w:rPr>
          <w:t xml:space="preserve">https://doi.org/10.1109/ICC51166.2024.10622271</w:t>
        </w:r>
      </w:hyperlink>
      <w:r>
        <w:t xml:space="preserve">.</w:t>
      </w:r>
      <w:r/>
    </w:p>
    <w:p w14:paraId="0E26E233" w14:textId="689BAD14">
      <w:pPr>
        <w:pStyle w:val="1094"/>
        <w:numPr>
          <w:ilvl w:val="0"/>
          <w:numId w:val="6"/>
        </w:numPr>
        <w:suppressLineNumbers w:val="false"/>
        <w:pBdr/>
        <w:spacing w:line="300" w:lineRule="auto"/>
        <w:ind/>
        <w:rPr/>
      </w:pPr>
      <w:r>
        <w:t xml:space="preserve">Xu, </w:t>
      </w:r>
      <w:r>
        <w:t xml:space="preserve">Zihan</w:t>
      </w:r>
      <w:r>
        <w:t xml:space="preserve">, </w:t>
      </w:r>
      <w:r>
        <w:t xml:space="preserve">Haotian</w:t>
      </w:r>
      <w:r>
        <w:t xml:space="preserve"> Ma, </w:t>
      </w:r>
      <w:r>
        <w:t xml:space="preserve">Gongbo</w:t>
      </w:r>
      <w:r>
        <w:t xml:space="preserve"> Zhang, </w:t>
      </w:r>
      <w:r>
        <w:t xml:space="preserve">Yihao</w:t>
      </w:r>
      <w:r>
        <w:t xml:space="preserve"> Ding, </w:t>
      </w:r>
      <w:r>
        <w:t xml:space="preserve">Chunhua</w:t>
      </w:r>
      <w:r>
        <w:t xml:space="preserve"> Weng, and </w:t>
      </w:r>
      <w:r>
        <w:t xml:space="preserve">Yifan</w:t>
      </w:r>
      <w:r>
        <w:t xml:space="preserve"> Peng. 2025. “Natural Language Processing in Support of Evidence‑based Medicine: A Scoping Review.” </w:t>
      </w:r>
      <w:r>
        <w:rPr>
          <w:i/>
          <w:iCs/>
        </w:rPr>
        <w:t xml:space="preserve">arXiv</w:t>
      </w:r>
      <w:r>
        <w:t xml:space="preserve"> (Preprint), May 28, 2025. </w:t>
      </w:r>
      <w:hyperlink r:id="rId35" w:tooltip="https://arxiv.org/abs/2505.22280" w:history="1">
        <w:r>
          <w:rPr>
            <w:rStyle w:val="1063"/>
          </w:rPr>
          <w:t xml:space="preserve">https://arxiv.org/abs/2505.22280</w:t>
        </w:r>
      </w:hyperlink>
      <w:r>
        <w:t xml:space="preserve">.</w:t>
      </w:r>
      <w:r/>
    </w:p>
    <w:p w14:paraId="16D67E35" w14:textId="16625B2C">
      <w:pPr>
        <w:pStyle w:val="1094"/>
        <w:numPr>
          <w:ilvl w:val="0"/>
          <w:numId w:val="6"/>
        </w:numPr>
        <w:suppressLineNumbers w:val="false"/>
        <w:pBdr/>
        <w:spacing w:line="300" w:lineRule="auto"/>
        <w:ind/>
        <w:rPr/>
      </w:pPr>
      <w:r>
        <w:t xml:space="preserve">Dong, Wenjie, </w:t>
      </w:r>
      <w:r>
        <w:t xml:space="preserve">Shuhao</w:t>
      </w:r>
      <w:r>
        <w:t xml:space="preserve"> Shen, </w:t>
      </w:r>
      <w:r>
        <w:t xml:space="preserve">Yuqiang</w:t>
      </w:r>
      <w:r>
        <w:t xml:space="preserve"> Han, Tao Tan, Jian Wu, and Hongxia Xu. 2025. “Generative Models in Medical Visual Question Answering: A Survey.” Applied Sciences 15, no. 6: 2983. </w:t>
      </w:r>
      <w:hyperlink r:id="rId36" w:tooltip="https://doi.org/10.3390/app15062983" w:history="1">
        <w:r>
          <w:rPr>
            <w:rStyle w:val="1063"/>
          </w:rPr>
          <w:t xml:space="preserve">https://doi.org/10.3390/app15062983</w:t>
        </w:r>
      </w:hyperlink>
      <w:r>
        <w:t xml:space="preserve"> .</w:t>
      </w:r>
      <w:r/>
    </w:p>
    <w:p w14:paraId="104BCA38" w14:textId="632BAE7F">
      <w:pPr>
        <w:pStyle w:val="1094"/>
        <w:numPr>
          <w:ilvl w:val="0"/>
          <w:numId w:val="6"/>
        </w:numPr>
        <w:suppressLineNumbers w:val="false"/>
        <w:pBdr/>
        <w:spacing w:line="300" w:lineRule="auto"/>
        <w:ind/>
        <w:rPr/>
      </w:pPr>
      <w:r>
        <w:t xml:space="preserve">ImageCLEFmed</w:t>
      </w:r>
      <w:r>
        <w:t xml:space="preserve"> MEDVQA-GI. 2023. </w:t>
      </w:r>
      <w:r>
        <w:t xml:space="preserve">ImageCLEF</w:t>
      </w:r>
      <w:r>
        <w:t xml:space="preserve"> / </w:t>
      </w:r>
      <w:r>
        <w:t xml:space="preserve">LifeCLEF</w:t>
      </w:r>
      <w:r>
        <w:t xml:space="preserve"> – Multimedia Retrieval in CLEF. Accessed July 18, 2025. </w:t>
      </w:r>
      <w:r>
        <w:t xml:space="preserve">https://www.imageclef.org/2023/medical/vqa .</w:t>
      </w:r>
      <w:r>
        <w:t xml:space="preserve"> </w:t>
      </w:r>
      <w:r>
        <w:rPr>
          <w:lang w:val="en-CA"/>
        </w:rPr>
      </w:r>
      <w:r/>
    </w:p>
    <w:p w14:paraId="287D5114" w14:textId="5708FADC">
      <w:pPr>
        <w:pStyle w:val="1094"/>
        <w:numPr>
          <w:ilvl w:val="0"/>
          <w:numId w:val="6"/>
        </w:numPr>
        <w:suppressLineNumbers w:val="false"/>
        <w:pBdr/>
        <w:spacing w:line="300" w:lineRule="auto"/>
        <w:ind/>
        <w:rPr>
          <w:sz w:val="22"/>
          <w:szCs w:val="22"/>
        </w:rPr>
      </w:pPr>
      <w:r>
        <w:rPr>
          <w:lang w:val="en-CA"/>
        </w:rPr>
        <w:t xml:space="preserve">Murino, Alberto, and Alessandro </w:t>
      </w:r>
      <w:r>
        <w:rPr>
          <w:lang w:val="en-CA"/>
        </w:rPr>
        <w:t xml:space="preserve">Rimondi</w:t>
      </w:r>
      <w:r>
        <w:rPr>
          <w:lang w:val="en-CA"/>
        </w:rPr>
        <w:t xml:space="preserve">. 2023. “Automated Artificial Intelligence Scoring Systems for the Endoscopic Assessment of Ulcerative Colitis: How Far Are We from Clinical Application?” Gastrointestinal Endoscopy 97 (2): 347–49. </w:t>
      </w:r>
      <w:hyperlink r:id="rId37" w:tooltip="https://doi.org/10.1016/j.gie.2022.10.010" w:history="1">
        <w:r>
          <w:rPr>
            <w:rStyle w:val="1063"/>
            <w:lang w:val="en-CA"/>
          </w:rPr>
          <w:t xml:space="preserve">https://doi.org/10.1016/j.gie.2022.10.010</w:t>
        </w:r>
      </w:hyperlink>
      <w:r>
        <w:rPr>
          <w:lang w:val="en-CA"/>
        </w:rPr>
        <w:t xml:space="preserve">.</w:t>
      </w:r>
      <w:r>
        <w:rPr>
          <w:sz w:val="22"/>
          <w:szCs w:val="22"/>
        </w:rPr>
      </w:r>
      <w:r>
        <w:rPr>
          <w:sz w:val="22"/>
          <w:szCs w:val="22"/>
        </w:rPr>
      </w:r>
    </w:p>
    <w:p w14:paraId="1AA0F263" w14:textId="6362545A">
      <w:pPr>
        <w:pStyle w:val="1094"/>
        <w:numPr>
          <w:ilvl w:val="0"/>
          <w:numId w:val="6"/>
        </w:numPr>
        <w:suppressLineNumbers w:val="false"/>
        <w:pBdr/>
        <w:spacing w:line="300" w:lineRule="auto"/>
        <w:ind/>
        <w:rPr>
          <w:rFonts w:ascii="Arial" w:hAnsi="Arial" w:eastAsia="Arial" w:cs="Arial"/>
        </w:rPr>
      </w:pPr>
      <w:r>
        <w:rPr>
          <w:rFonts w:ascii="Arial" w:hAnsi="Arial" w:eastAsia="Arial" w:cs="Arial"/>
          <w:lang w:val="en-CA"/>
        </w:rPr>
        <w:t xml:space="preserve">Li, </w:t>
      </w:r>
      <w:r>
        <w:rPr>
          <w:rFonts w:ascii="Arial" w:hAnsi="Arial" w:eastAsia="Arial" w:cs="Arial"/>
          <w:lang w:val="en-CA"/>
        </w:rPr>
        <w:t xml:space="preserve">Ruibo</w:t>
      </w:r>
      <w:r>
        <w:rPr>
          <w:rFonts w:ascii="Arial" w:hAnsi="Arial" w:eastAsia="Arial" w:cs="Arial"/>
          <w:lang w:val="en-CA"/>
        </w:rPr>
        <w:t xml:space="preserve">, Lei Liu, Qianqian Xie, </w:t>
      </w:r>
      <w:r>
        <w:rPr>
          <w:rFonts w:ascii="Arial" w:hAnsi="Arial" w:eastAsia="Arial" w:cs="Arial"/>
          <w:lang w:val="en-CA"/>
        </w:rPr>
        <w:t xml:space="preserve">Hancheng</w:t>
      </w:r>
      <w:r>
        <w:rPr>
          <w:rFonts w:ascii="Arial" w:hAnsi="Arial" w:eastAsia="Arial" w:cs="Arial"/>
          <w:lang w:val="en-CA"/>
        </w:rPr>
        <w:t xml:space="preserve"> Ge, Yue Zhang, and Erik Cambria. 2025. “Towards Medical Visual Question Answering with Large Multimodal Models.” </w:t>
      </w:r>
      <w:r>
        <w:rPr>
          <w:rFonts w:ascii="Arial" w:hAnsi="Arial" w:eastAsia="Arial" w:cs="Arial"/>
          <w:i/>
          <w:iCs/>
          <w:lang w:val="en-CA"/>
        </w:rPr>
        <w:t xml:space="preserve">arXiv</w:t>
      </w:r>
      <w:r>
        <w:rPr>
          <w:rFonts w:ascii="Arial" w:hAnsi="Arial" w:eastAsia="Arial" w:cs="Arial"/>
          <w:lang w:val="en-CA"/>
        </w:rPr>
        <w:t xml:space="preserve">, January. </w:t>
      </w:r>
      <w:hyperlink r:id="rId38" w:tooltip="https://arxiv.org/html/2501.07109v1" w:history="1">
        <w:r>
          <w:rPr>
            <w:rStyle w:val="1063"/>
            <w:rFonts w:ascii="Arial" w:hAnsi="Arial" w:eastAsia="Arial" w:cs="Arial"/>
            <w:lang w:val="en-CA"/>
          </w:rPr>
          <w:t xml:space="preserve">https://arxiv.org/html/2501.07109v1</w:t>
        </w:r>
      </w:hyperlink>
      <w:r>
        <w:rPr>
          <w:rFonts w:ascii="Arial" w:hAnsi="Arial" w:eastAsia="Arial" w:cs="Arial"/>
          <w:lang w:val="en-CA"/>
        </w:rPr>
        <w:t xml:space="preserve">.</w:t>
      </w:r>
      <w:r>
        <w:rPr>
          <w:rFonts w:ascii="Arial" w:hAnsi="Arial" w:eastAsia="Arial" w:cs="Arial"/>
        </w:rPr>
      </w:r>
      <w:r>
        <w:rPr>
          <w:rFonts w:ascii="Arial" w:hAnsi="Arial" w:eastAsia="Arial" w:cs="Arial"/>
        </w:rPr>
      </w:r>
    </w:p>
    <w:p w14:paraId="2090D4BD" w14:textId="38D80908">
      <w:pPr>
        <w:pStyle w:val="1108"/>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lang w:val="en-CA"/>
        </w:rPr>
        <w:t xml:space="preserve">Xu, Biao, Yanyan Jiang, </w:t>
      </w:r>
      <w:r>
        <w:rPr>
          <w:rFonts w:ascii="Arial" w:hAnsi="Arial" w:eastAsia="Arial" w:cs="Arial"/>
          <w:lang w:val="en-CA"/>
        </w:rPr>
        <w:t xml:space="preserve">Xiangwen</w:t>
      </w:r>
      <w:r>
        <w:rPr>
          <w:rFonts w:ascii="Arial" w:hAnsi="Arial" w:eastAsia="Arial" w:cs="Arial"/>
          <w:lang w:val="en-CA"/>
        </w:rPr>
        <w:t xml:space="preserve"> Ma, and Chengwei Shao. 2022. “Deep Learning for Endoscopic Image Analysis: A Review of the Literature.” </w:t>
      </w:r>
      <w:r>
        <w:rPr>
          <w:rFonts w:ascii="Arial" w:hAnsi="Arial" w:eastAsia="Arial" w:cs="Arial"/>
          <w:i/>
          <w:iCs/>
          <w:lang w:val="en-CA"/>
        </w:rPr>
        <w:t xml:space="preserve">BMC Gastroenterology</w:t>
      </w:r>
      <w:r>
        <w:rPr>
          <w:rFonts w:ascii="Arial" w:hAnsi="Arial" w:eastAsia="Arial" w:cs="Arial"/>
          <w:lang w:val="en-CA"/>
        </w:rPr>
        <w:t xml:space="preserve"> 22 (1): 185. </w:t>
      </w:r>
      <w:hyperlink r:id="rId39" w:tooltip="https://bmcgastroenterol.biomedcentral.com/articles/10.1186/s12876-022-02157-5" w:history="1">
        <w:r>
          <w:rPr>
            <w:rStyle w:val="1063"/>
            <w:rFonts w:ascii="Arial" w:hAnsi="Arial" w:eastAsia="Arial" w:cs="Arial"/>
            <w:lang w:val="en-CA"/>
          </w:rPr>
          <w:t xml:space="preserve">https://bmcgastroenterol.biomedcentral.com/articles/10.1186/s12876-022-02157-5</w:t>
        </w:r>
      </w:hyperlink>
      <w:r>
        <w:rPr>
          <w:rFonts w:ascii="Arial" w:hAnsi="Arial" w:eastAsia="Arial" w:cs="Arial"/>
          <w:lang w:val="en-CA"/>
        </w:rPr>
        <w:t xml:space="preserve">.</w:t>
      </w:r>
      <w:r>
        <w:rPr>
          <w:rFonts w:ascii="Arial" w:hAnsi="Arial" w:eastAsia="Arial" w:cs="Arial"/>
          <w:sz w:val="22"/>
          <w:szCs w:val="22"/>
        </w:rPr>
      </w:r>
      <w:r>
        <w:rPr>
          <w:rFonts w:ascii="Arial" w:hAnsi="Arial" w:eastAsia="Arial" w:cs="Arial"/>
          <w:sz w:val="22"/>
          <w:szCs w:val="22"/>
        </w:rPr>
      </w:r>
    </w:p>
    <w:p w14:paraId="5D9B70F0" w14:textId="54282631">
      <w:pPr>
        <w:pStyle w:val="1108"/>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lang w:val="en-CA"/>
        </w:rPr>
        <w:t xml:space="preserve">Kafle, Kushal, </w:t>
      </w:r>
      <w:r>
        <w:rPr>
          <w:rFonts w:ascii="Arial" w:hAnsi="Arial" w:eastAsia="Arial" w:cs="Arial"/>
          <w:lang w:val="en-CA"/>
        </w:rPr>
        <w:t xml:space="preserve">Robik</w:t>
      </w:r>
      <w:r>
        <w:rPr>
          <w:rFonts w:ascii="Arial" w:hAnsi="Arial" w:eastAsia="Arial" w:cs="Arial"/>
          <w:lang w:val="en-CA"/>
        </w:rPr>
        <w:t xml:space="preserve"> Shrestha, and Christopher Kanan. 2021. “Answering Visual What-If Questions: From Actions to Predicted Scene Descriptions.” In </w:t>
      </w:r>
      <w:r>
        <w:rPr>
          <w:rFonts w:ascii="Arial" w:hAnsi="Arial" w:eastAsia="Arial" w:cs="Arial"/>
          <w:i/>
          <w:iCs/>
          <w:lang w:val="en-CA"/>
        </w:rPr>
        <w:t xml:space="preserve">Proceedings of the 59th Annual Meeting of the Association for Computational Linguistics (ACL)</w:t>
      </w:r>
      <w:r>
        <w:rPr>
          <w:rFonts w:ascii="Arial" w:hAnsi="Arial" w:eastAsia="Arial" w:cs="Arial"/>
          <w:lang w:val="en-CA"/>
        </w:rPr>
        <w:t xml:space="preserve">, 3388–96. </w:t>
      </w:r>
      <w:hyperlink r:id="rId40" w:tooltip="https://aclanthology.org/2021.acl-short.90/" w:history="1">
        <w:r>
          <w:rPr>
            <w:rStyle w:val="1063"/>
            <w:rFonts w:ascii="Arial" w:hAnsi="Arial" w:eastAsia="Arial" w:cs="Arial"/>
            <w:lang w:val="en-CA"/>
          </w:rPr>
          <w:t xml:space="preserve">https://aclanthology.org/2021.acl-short.90/</w:t>
        </w:r>
      </w:hyperlink>
      <w:r>
        <w:rPr>
          <w:rFonts w:ascii="Arial" w:hAnsi="Arial" w:eastAsia="Arial" w:cs="Arial"/>
          <w:lang w:val="en-CA"/>
        </w:rPr>
        <w:t xml:space="preserve">.</w:t>
      </w:r>
      <w:r>
        <w:rPr>
          <w:rFonts w:ascii="Arial" w:hAnsi="Arial" w:eastAsia="Arial" w:cs="Arial"/>
          <w:sz w:val="22"/>
          <w:szCs w:val="22"/>
        </w:rPr>
      </w:r>
      <w:r>
        <w:rPr>
          <w:rFonts w:ascii="Arial" w:hAnsi="Arial" w:eastAsia="Arial" w:cs="Arial"/>
          <w:sz w:val="22"/>
          <w:szCs w:val="22"/>
        </w:rPr>
      </w:r>
    </w:p>
    <w:p w14:paraId="1E4A31BF" w14:textId="3519DF10">
      <w:pPr>
        <w:pStyle w:val="1108"/>
        <w:numPr>
          <w:ilvl w:val="0"/>
          <w:numId w:val="6"/>
        </w:numPr>
        <w:suppressLineNumbers w:val="false"/>
        <w:pBdr/>
        <w:spacing w:after="240" w:afterAutospacing="0" w:before="240" w:beforeAutospacing="0" w:line="300" w:lineRule="auto"/>
        <w:ind/>
        <w:rPr/>
      </w:pPr>
      <w:r>
        <w:rPr>
          <w:lang w:val="en-CA"/>
        </w:rPr>
        <w:t xml:space="preserve">Li, </w:t>
      </w:r>
      <w:r>
        <w:rPr>
          <w:lang w:val="en-CA"/>
        </w:rPr>
        <w:t xml:space="preserve">Mingjie</w:t>
      </w:r>
      <w:r>
        <w:rPr>
          <w:lang w:val="en-CA"/>
        </w:rPr>
        <w:t xml:space="preserve">, Yan Xu, </w:t>
      </w:r>
      <w:r>
        <w:rPr>
          <w:lang w:val="en-CA"/>
        </w:rPr>
        <w:t xml:space="preserve">Chenglu</w:t>
      </w:r>
      <w:r>
        <w:rPr>
          <w:lang w:val="en-CA"/>
        </w:rPr>
        <w:t xml:space="preserve"> Zhu, and Lequan Yu. 2024. “SAELSIA: Segment Anything Enhanced Large-Scale In-Context Learning for Surgical Image Analysis.” </w:t>
      </w:r>
      <w:r>
        <w:rPr>
          <w:lang w:val="en-CA"/>
        </w:rPr>
        <w:t xml:space="preserve">arXiv</w:t>
      </w:r>
      <w:r>
        <w:rPr>
          <w:lang w:val="en-CA"/>
        </w:rPr>
        <w:t xml:space="preserve">, September. </w:t>
      </w:r>
      <w:hyperlink r:id="rId41" w:tooltip="https://arxiv.org/html/2409.01437v1" w:history="1">
        <w:r>
          <w:rPr>
            <w:rStyle w:val="1063"/>
            <w:lang w:val="en-CA"/>
          </w:rPr>
          <w:t xml:space="preserve">https://arxiv.org/html/2409.01437v1</w:t>
        </w:r>
      </w:hyperlink>
      <w:r>
        <w:rPr>
          <w:lang w:val="en-CA"/>
        </w:rPr>
        <w:t xml:space="preserve"> .</w:t>
      </w:r>
      <w:r>
        <w:rPr>
          <w:lang w:val="en-CA"/>
        </w:rPr>
      </w:r>
      <w:r/>
    </w:p>
    <w:p w14:paraId="11399034" w14:textId="15DF3548">
      <w:pPr>
        <w:pStyle w:val="1034"/>
        <w:suppressLineNumbers w:val="false"/>
        <w:pBdr/>
        <w:spacing w:after="240" w:afterAutospacing="0" w:before="240" w:beforeAutospacing="0" w:line="300" w:lineRule="auto"/>
        <w:ind/>
        <w:rPr>
          <w:sz w:val="22"/>
          <w:szCs w:val="22"/>
        </w:rPr>
      </w:pPr>
      <w:r>
        <w:rPr>
          <w:sz w:val="22"/>
          <w:szCs w:val="22"/>
          <w:lang w:val="en-CA"/>
        </w:rPr>
      </w:r>
      <w:r>
        <w:rPr>
          <w:sz w:val="22"/>
          <w:szCs w:val="22"/>
        </w:rPr>
      </w:r>
      <w:r>
        <w:rPr>
          <w:sz w:val="22"/>
          <w:szCs w:val="22"/>
        </w:rPr>
      </w:r>
    </w:p>
    <w:p w14:paraId="136263D8" w14:textId="1EA0E91D">
      <w:pPr>
        <w:pStyle w:val="1034"/>
        <w:suppressLineNumbers w:val="false"/>
        <w:pBdr/>
        <w:spacing w:after="240" w:afterAutospacing="0" w:before="240" w:beforeAutospacing="0" w:line="300" w:lineRule="auto"/>
        <w:ind/>
        <w:rPr>
          <w:sz w:val="22"/>
          <w:szCs w:val="22"/>
        </w:rPr>
      </w:pPr>
      <w:r>
        <w:rPr>
          <w:sz w:val="22"/>
          <w:szCs w:val="22"/>
          <w:lang w:val="en-CA"/>
        </w:rPr>
      </w:r>
      <w:r>
        <w:rPr>
          <w:sz w:val="22"/>
          <w:szCs w:val="22"/>
        </w:rPr>
      </w:r>
      <w:r>
        <w:rPr>
          <w:sz w:val="22"/>
          <w:szCs w:val="22"/>
        </w:rPr>
      </w:r>
    </w:p>
    <w:p w14:paraId="467FFF91" w14:textId="056D58E7">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Pogorelov</w:t>
      </w:r>
      <w:r>
        <w:rPr>
          <w:lang w:val="en-CA"/>
        </w:rPr>
        <w:t xml:space="preserve">, Konstantin, Kristin Ranheim Randel, Carsten </w:t>
      </w:r>
      <w:r>
        <w:rPr>
          <w:lang w:val="en-CA"/>
        </w:rPr>
        <w:t xml:space="preserve">Griwodz</w:t>
      </w:r>
      <w:r>
        <w:rPr>
          <w:lang w:val="en-CA"/>
        </w:rPr>
        <w:t xml:space="preserve">, Dag J</w:t>
      </w:r>
      <w:r>
        <w:rPr>
          <w:lang w:val="en-CA"/>
        </w:rPr>
        <w:t xml:space="preserve">ohansen, Concetto Spampinato, Thomas de Lange, and Michael Riegler. 2018. “Kvasir: A Multi-Class Image Dataset for Computer Aided Gastrointestinal Disease Detection.” In Proceedings of the 31st IEEE International Symposium on Computer-Based Medical Systems</w:t>
      </w:r>
      <w:r>
        <w:rPr>
          <w:lang w:val="en-CA"/>
        </w:rPr>
        <w:t xml:space="preserve"> </w:t>
      </w:r>
      <w:r>
        <w:rPr>
          <w:lang w:val="en-CA"/>
        </w:rPr>
        <w:t xml:space="preserve">(CBMS),</w:t>
      </w:r>
      <w:r>
        <w:rPr>
          <w:lang w:val="en-CA"/>
        </w:rPr>
        <w:t xml:space="preserve"> </w:t>
      </w:r>
      <w:r>
        <w:rPr>
          <w:lang w:val="en-CA"/>
        </w:rPr>
        <w:t xml:space="preserve">164–69.</w:t>
      </w:r>
      <w:r>
        <w:rPr>
          <w:sz w:val="22"/>
          <w:szCs w:val="22"/>
        </w:rPr>
      </w:r>
      <w:r>
        <w:rPr>
          <w:sz w:val="22"/>
          <w:szCs w:val="22"/>
        </w:rPr>
      </w:r>
    </w:p>
    <w:p w14:paraId="1BA51E03" w14:textId="192FBEC3">
      <w:pPr>
        <w:pStyle w:val="1108"/>
        <w:numPr>
          <w:ilvl w:val="0"/>
          <w:numId w:val="6"/>
        </w:numPr>
        <w:suppressLineNumbers w:val="false"/>
        <w:pBdr/>
        <w:spacing w:after="240" w:afterAutospacing="0" w:before="240" w:beforeAutospacing="0" w:line="300" w:lineRule="auto"/>
        <w:ind/>
        <w:rPr>
          <w:sz w:val="22"/>
          <w:szCs w:val="22"/>
        </w:rPr>
      </w:pPr>
      <w:r/>
      <w:hyperlink r:id="rId42" w:tooltip="https://web-backend.simula.no/sites/default/files/publications/files/cbms_2018_paper_163_preprint.pdf" w:history="1">
        <w:r>
          <w:rPr>
            <w:rStyle w:val="1063"/>
            <w:lang w:val="en-CA"/>
          </w:rPr>
          <w:t xml:space="preserve">https://web-backend.simula.no/sites/default/files/publications/files/cbms_2018_paper_163_preprint.pdf</w:t>
        </w:r>
      </w:hyperlink>
      <w:r>
        <w:rPr>
          <w:lang w:val="en-CA"/>
        </w:rPr>
        <w:t xml:space="preserve"> .</w:t>
      </w:r>
      <w:r>
        <w:rPr>
          <w:sz w:val="22"/>
          <w:szCs w:val="22"/>
        </w:rPr>
      </w:r>
      <w:r>
        <w:rPr>
          <w:sz w:val="22"/>
          <w:szCs w:val="22"/>
        </w:rPr>
      </w:r>
    </w:p>
    <w:p w14:paraId="3D24DBAC" w14:textId="22F93380">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Sornapudi</w:t>
      </w:r>
      <w:r>
        <w:rPr>
          <w:lang w:val="en-CA"/>
        </w:rPr>
        <w:t xml:space="preserve">, Suresh, Abhinav Vemuri, and Sundeep R. Madduri. 2021. “Automated Polyp Detection in Colonoscopy Videos Using Deep Learning and Image Processing.” Journal of </w:t>
      </w:r>
      <w:r>
        <w:rPr>
          <w:lang w:val="en-CA"/>
        </w:rPr>
        <w:t xml:space="preserve">Clinical and</w:t>
      </w:r>
      <w:r>
        <w:rPr>
          <w:lang w:val="en-CA"/>
        </w:rPr>
        <w:t xml:space="preserve"> Translational Research 7 (2): 208–15.</w:t>
      </w:r>
      <w:r>
        <w:rPr>
          <w:sz w:val="22"/>
          <w:szCs w:val="22"/>
        </w:rPr>
      </w:r>
      <w:r>
        <w:rPr>
          <w:sz w:val="22"/>
          <w:szCs w:val="22"/>
        </w:rPr>
      </w:r>
    </w:p>
    <w:p w14:paraId="22B3023D" w14:textId="420248E8">
      <w:pPr>
        <w:pStyle w:val="1108"/>
        <w:suppressLineNumbers w:val="false"/>
        <w:pBdr/>
        <w:spacing w:after="240" w:afterAutospacing="0" w:before="240" w:beforeAutospacing="0" w:line="300" w:lineRule="auto"/>
        <w:ind w:left="720"/>
        <w:rPr>
          <w:sz w:val="22"/>
          <w:szCs w:val="22"/>
        </w:rPr>
      </w:pPr>
      <w:r>
        <w:rPr>
          <w:lang w:val="en-CA"/>
        </w:rPr>
        <w:t xml:space="preserve"> </w:t>
      </w:r>
      <w:hyperlink r:id="rId43" w:tooltip="https://www.sciencedirect.com/science/article/pii/S2468900921000190" w:history="1">
        <w:r>
          <w:rPr>
            <w:rStyle w:val="1063"/>
            <w:lang w:val="en-CA"/>
          </w:rPr>
          <w:t xml:space="preserve">https://www.sciencedirect.com/science/article/pii/S2468900921000190</w:t>
        </w:r>
      </w:hyperlink>
      <w:r>
        <w:rPr>
          <w:lang w:val="en-CA"/>
        </w:rPr>
        <w:t xml:space="preserve"> .</w:t>
      </w:r>
      <w:r>
        <w:rPr>
          <w:sz w:val="22"/>
          <w:szCs w:val="22"/>
        </w:rPr>
      </w:r>
      <w:r>
        <w:rPr>
          <w:sz w:val="22"/>
          <w:szCs w:val="22"/>
        </w:rPr>
      </w:r>
    </w:p>
    <w:p w14:paraId="2768C2E9" w14:textId="7ACE667E">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Chen, Ziyu, Xiangyu Zhao, and Ying Ding. 2024. “SAELSIA: Surgical AI with Efficient Large-Scale In-Context Adaptation.” arXiv, October. </w:t>
      </w:r>
      <w:hyperlink r:id="rId44" w:tooltip="https://arxiv.org/html/2410.00536v1" w:history="1">
        <w:r>
          <w:rPr>
            <w:rStyle w:val="1063"/>
            <w:lang w:val="en-CA"/>
          </w:rPr>
          <w:t xml:space="preserve">https://arxiv.org/html/2410.00536v1</w:t>
        </w:r>
      </w:hyperlink>
      <w:r>
        <w:rPr>
          <w:lang w:val="en-CA"/>
        </w:rPr>
        <w:t xml:space="preserve"> .</w:t>
      </w:r>
      <w:r>
        <w:rPr>
          <w:sz w:val="22"/>
          <w:szCs w:val="22"/>
        </w:rPr>
      </w:r>
      <w:r>
        <w:rPr>
          <w:sz w:val="22"/>
          <w:szCs w:val="22"/>
        </w:rPr>
      </w:r>
    </w:p>
    <w:p w14:paraId="0106B12D" w14:textId="64EB79A3">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Pogorelov, Konstantin, Vajira Thambawita, Steven Hicks, David Jha, Thomas de Lange, Pål Halvorsen, and Michael Riegler. 2023. “Kvasir-VQA: A Dataset for Visual Question Answering in Gastrointestinal Endoscopy.” Scientific Data 10 (1): 508. </w:t>
      </w:r>
      <w:hyperlink r:id="rId45" w:tooltip="https://www.nature.com/articles/s41597-023-01981-y" w:history="1">
        <w:r>
          <w:rPr>
            <w:rStyle w:val="1063"/>
            <w:lang w:val="en-CA"/>
          </w:rPr>
          <w:t xml:space="preserve">https://www.nature.com/articles/s41597-023-01981-y</w:t>
        </w:r>
      </w:hyperlink>
      <w:r>
        <w:rPr>
          <w:lang w:val="en-CA"/>
        </w:rPr>
        <w:t xml:space="preserve"> .</w:t>
      </w:r>
      <w:r>
        <w:rPr>
          <w:sz w:val="22"/>
          <w:szCs w:val="22"/>
        </w:rPr>
      </w:r>
      <w:r>
        <w:rPr>
          <w:sz w:val="22"/>
          <w:szCs w:val="22"/>
        </w:rPr>
      </w:r>
    </w:p>
    <w:p w14:paraId="483F6C54" w14:textId="7A4194E0">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Bernal, Jorge, Javier Sánchez, Fernando Vilariño, Debora Gil, and Cristina Rodríguez. 2015. “WM-DOVA Maps for Accurate Polyp Highlighting in Colonoscopy: Validation vs. Saliency Maps from Physicians.” Computerized Medical Imaging and Graphics 43: 99–111. </w:t>
      </w:r>
      <w:hyperlink r:id="rId46" w:tooltip="https://pmc.ncbi.nlm.nih.gov/articles/PMC4265957/" w:history="1">
        <w:r>
          <w:rPr>
            <w:rStyle w:val="1063"/>
            <w:lang w:val="en-CA"/>
          </w:rPr>
          <w:t xml:space="preserve">https://pmc.ncbi.nlm.nih.gov/articles/PMC4265957/</w:t>
        </w:r>
      </w:hyperlink>
      <w:r>
        <w:rPr>
          <w:lang w:val="en-CA"/>
        </w:rPr>
        <w:t xml:space="preserve"> .</w:t>
      </w:r>
      <w:r>
        <w:rPr>
          <w:sz w:val="22"/>
          <w:szCs w:val="22"/>
        </w:rPr>
      </w:r>
      <w:r>
        <w:rPr>
          <w:sz w:val="22"/>
          <w:szCs w:val="22"/>
        </w:rPr>
      </w:r>
    </w:p>
    <w:p w14:paraId="554DC479" w14:textId="7ED784E8">
      <w:pPr>
        <w:pStyle w:val="1108"/>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sz w:val="22"/>
          <w:szCs w:val="22"/>
          <w:lang w:val="en-CA"/>
        </w:rPr>
      </w:r>
      <w:r>
        <w:rPr>
          <w:rFonts w:ascii="Arial" w:hAnsi="Arial" w:eastAsia="Arial" w:cs="Arial"/>
          <w:sz w:val="22"/>
          <w:szCs w:val="22"/>
        </w:rPr>
      </w:r>
      <w:r>
        <w:rPr>
          <w:rFonts w:ascii="Arial" w:hAnsi="Arial" w:eastAsia="Arial" w:cs="Arial"/>
          <w:sz w:val="22"/>
          <w:szCs w:val="22"/>
        </w:rPr>
      </w:r>
    </w:p>
    <w:p w14:paraId="134B5380" w14:textId="7698033F">
      <w:pPr>
        <w:pStyle w:val="1094"/>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094"/>
        <w:suppressLineNumbers w:val="false"/>
        <w:pBdr/>
        <w:spacing w:line="300" w:lineRule="auto"/>
        <w:ind/>
        <w:rPr/>
      </w:pPr>
      <w:r>
        <w:rPr>
          <w:lang w:val="en-US"/>
        </w:rPr>
      </w:r>
      <w:r>
        <w:rPr>
          <w:lang w:val="en-US"/>
        </w:rPr>
      </w:r>
      <w:r/>
    </w:p>
    <w:p w14:paraId="21B43741" w14:textId="6F08840B">
      <w:pPr>
        <w:pStyle w:val="1094"/>
        <w:suppressLineNumbers w:val="false"/>
        <w:pBdr/>
        <w:spacing w:line="300" w:lineRule="auto"/>
        <w:ind w:firstLine="0" w:left="0"/>
        <w:rPr/>
      </w:pPr>
      <w:r/>
      <w:r/>
    </w:p>
    <w:p w14:paraId="308E43FE" w14:textId="1686E186">
      <w:pPr>
        <w:pStyle w:val="1094"/>
        <w:suppressLineNumbers w:val="false"/>
        <w:pBdr/>
        <w:spacing w:line="300" w:lineRule="auto"/>
        <w:ind/>
        <w:rPr/>
      </w:pPr>
      <w:r/>
      <w:r/>
    </w:p>
    <w:p w14:paraId="776B7A88" w14:textId="36D30811">
      <w:pPr>
        <w:pStyle w:val="1094"/>
        <w:suppressLineNumbers w:val="false"/>
        <w:pBdr/>
        <w:spacing w:line="300" w:lineRule="auto"/>
        <w:ind/>
        <w:rPr/>
      </w:pPr>
      <w:r/>
      <w:r/>
    </w:p>
    <w:p w14:paraId="5532DE15" w14:textId="33829C7E">
      <w:pPr>
        <w:pStyle w:val="1094"/>
        <w:suppressLineNumbers w:val="false"/>
        <w:pBdr/>
        <w:spacing w:line="300" w:lineRule="auto"/>
        <w:ind/>
        <w:rPr/>
      </w:pPr>
      <w:r/>
      <w:r/>
    </w:p>
    <w:p w14:paraId="5D9E5F47" w14:textId="0842DE19">
      <w:pPr>
        <w:pStyle w:val="1094"/>
        <w:suppressLineNumbers w:val="false"/>
        <w:pBdr/>
        <w:spacing w:line="300" w:lineRule="auto"/>
        <w:ind/>
        <w:rPr/>
      </w:pPr>
      <w:r/>
      <w:r/>
    </w:p>
    <w:p w14:paraId="47235FB2" w14:textId="3FB9E21A">
      <w:pPr>
        <w:pStyle w:val="1094"/>
        <w:suppressLineNumbers w:val="false"/>
        <w:pBdr/>
        <w:spacing w:line="300" w:lineRule="auto"/>
        <w:ind/>
        <w:rPr/>
      </w:pPr>
      <w:r/>
      <w:r/>
    </w:p>
    <w:p w14:paraId="7AA27626" w14:textId="06AAD62B">
      <w:pPr>
        <w:pStyle w:val="1094"/>
        <w:suppressLineNumbers w:val="false"/>
        <w:pBdr/>
        <w:spacing w:line="300" w:lineRule="auto"/>
        <w:ind/>
        <w:rPr/>
      </w:pPr>
      <w:r/>
      <w:r/>
    </w:p>
    <w:p w14:paraId="4F492B30" w14:textId="7B03236C">
      <w:pPr>
        <w:pStyle w:val="1094"/>
        <w:suppressLineNumbers w:val="false"/>
        <w:pBdr/>
        <w:spacing w:line="300" w:lineRule="auto"/>
        <w:ind/>
        <w:rPr/>
      </w:pPr>
      <w:r/>
      <w:r/>
    </w:p>
    <w:p w14:paraId="0452A563" w14:textId="18D5A2A5">
      <w:pPr>
        <w:pStyle w:val="1094"/>
        <w:suppressLineNumbers w:val="false"/>
        <w:pBdr/>
        <w:spacing w:line="300" w:lineRule="auto"/>
        <w:ind/>
        <w:rPr/>
      </w:pPr>
      <w:r/>
      <w:r/>
    </w:p>
    <w:p w14:paraId="04D4A707" w14:textId="78C11C60">
      <w:pPr>
        <w:pStyle w:val="1094"/>
        <w:suppressLineNumbers w:val="false"/>
        <w:pBdr/>
        <w:spacing w:line="300" w:lineRule="auto"/>
        <w:ind/>
        <w:rPr/>
      </w:pPr>
      <w:r/>
      <w:r/>
    </w:p>
    <w:p w14:paraId="7C7937AE" w14:textId="7F3325A0">
      <w:pPr>
        <w:pStyle w:val="1094"/>
        <w:suppressLineNumbers w:val="false"/>
        <w:pBdr/>
        <w:spacing w:line="300" w:lineRule="auto"/>
        <w:ind/>
        <w:rPr/>
      </w:pPr>
      <w:r/>
      <w:r/>
    </w:p>
    <w:p w14:paraId="136C0608" w14:textId="2098A294">
      <w:pPr>
        <w:pStyle w:val="1094"/>
        <w:suppressLineNumbers w:val="false"/>
        <w:pBdr/>
        <w:spacing w:line="300" w:lineRule="auto"/>
        <w:ind/>
        <w:rPr/>
      </w:pPr>
      <w:r/>
      <w:r/>
    </w:p>
    <w:p w14:paraId="5373C01E" w14:textId="03A62521">
      <w:pPr>
        <w:pStyle w:val="1094"/>
        <w:suppressLineNumbers w:val="false"/>
        <w:pBdr/>
        <w:spacing w:line="300" w:lineRule="auto"/>
        <w:ind/>
        <w:rPr/>
      </w:pPr>
      <w:r/>
      <w:r/>
    </w:p>
    <w:p w14:paraId="2ABB7DEC" w14:textId="09A70241">
      <w:pPr>
        <w:pStyle w:val="1056"/>
        <w:suppressLineNumbers w:val="false"/>
        <w:pBdr/>
        <w:spacing w:line="300" w:lineRule="auto"/>
        <w:ind/>
        <w:rPr/>
      </w:pPr>
      <w:r/>
      <w:bookmarkStart w:id="13" w:name="_Toc66285142"/>
      <w:r>
        <w:t xml:space="preserve">Appendix A.</w:t>
      </w:r>
      <w:bookmarkEnd w:id="13"/>
      <w:r/>
      <w:r/>
    </w:p>
    <w:p w14:paraId="0E5E3A03" w14:textId="11231CB1">
      <w:pPr>
        <w:pStyle w:val="1048"/>
        <w:suppressLineNumbers w:val="false"/>
        <w:pBdr/>
        <w:spacing w:line="300" w:lineRule="auto"/>
        <w:ind/>
        <w:rPr/>
      </w:pPr>
      <w:r/>
      <w:r/>
    </w:p>
    <w:p w14:paraId="291F56D2" w14:textId="4A4253ED">
      <w:pPr>
        <w:suppressLineNumbers w:val="false"/>
        <w:pBdr/>
        <w:spacing w:line="300" w:lineRule="auto"/>
        <w:ind/>
        <w:jc w:val="center"/>
        <w:rPr/>
      </w:pPr>
      <w:r>
        <w:t xml:space="preserve">Bibliography</w:t>
      </w:r>
      <w:r/>
    </w:p>
    <w:p w14:paraId="532D13AD" w14:textId="77E7EA28">
      <w:pPr>
        <w:suppressLineNumbers w:val="false"/>
        <w:pBdr/>
        <w:spacing w:after="0" w:line="300" w:lineRule="auto"/>
        <w:ind w:hanging="720" w:left="720"/>
        <w:rPr/>
      </w:pPr>
      <w:r>
        <w:t xml:space="preserve">“Overview of </w:t>
      </w:r>
      <w:r>
        <w:t xml:space="preserve">ImageCLEFmedical</w:t>
      </w:r>
      <w:r>
        <w:t xml:space="preserve"> 2023 – Medical Visual Question Answering for Gastrointestinal Tract,” n.d. Accessed July 16, 2025.</w:t>
      </w:r>
      <w:r/>
    </w:p>
    <w:p w14:paraId="0B0EC2D6" w14:textId="4BD6AD0E">
      <w:pPr>
        <w:suppressLineNumbers w:val="false"/>
        <w:pBdr/>
        <w:spacing w:after="0" w:line="300" w:lineRule="auto"/>
        <w:ind w:hanging="720" w:left="720"/>
        <w:rPr/>
      </w:pPr>
      <w:r/>
      <w:r/>
    </w:p>
    <w:p w14:paraId="47100149" w14:textId="46032A44">
      <w:pPr>
        <w:suppressLineNumbers w:val="false"/>
        <w:pBdr/>
        <w:spacing w:line="300" w:lineRule="auto"/>
        <w:ind/>
        <w:jc w:val="center"/>
        <w:rPr/>
      </w:pPr>
      <w:r>
        <w:t xml:space="preserve">Bibliography</w:t>
      </w:r>
      <w:r/>
    </w:p>
    <w:p w14:paraId="0080B1A7" w14:textId="2FF5E79D">
      <w:pPr>
        <w:suppressLineNumbers w:val="false"/>
        <w:pBdr/>
        <w:spacing w:after="0" w:line="300" w:lineRule="auto"/>
        <w:ind w:hanging="720" w:left="720"/>
        <w:rPr/>
      </w:pPr>
      <w:r>
        <w:t xml:space="preserve">ar5iv. “Kvasir-VQA-X1: A Multimodal Dataset for Medical Reasoning and Robust </w:t>
      </w:r>
      <w:r>
        <w:t xml:space="preserve">MedVQA</w:t>
      </w:r>
      <w:r>
        <w:t xml:space="preserve"> in Gastrointestinal Endoscopy,” n.d. https://ar5iv.labs.arxiv.org/html/2506.09958v1.</w:t>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Lucida Grande">
    <w:panose1 w:val="05040102010807070707"/>
  </w:font>
  <w:font w:name="Cambria">
    <w:panose1 w:val="02040503050406030204"/>
  </w:font>
  <w:font w:name="Droid Sans Mono">
    <w:panose1 w:val="020B0609030804020204"/>
  </w:font>
  <w:font w:name="Segoe UI">
    <w:panose1 w:val="020B0502040504020204"/>
  </w:font>
  <w:font w:name="Verdana">
    <w:panose1 w:val="020B0502040504020204"/>
  </w:font>
  <w:font w:name="Calibri">
    <w:panose1 w:val="020F0502020204030204"/>
  </w:font>
  <w:font w:name="Times New Roman">
    <w:panose1 w:val="02020603050405020304"/>
  </w:font>
  <w:font w:name="Arial Narrow">
    <w:panose1 w:val="020B0606020202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066"/>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066"/>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06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035"/>
      <w:rPr>
        <w:rFonts w:hint="default"/>
      </w:rPr>
      <w:start w:val="1"/>
      <w:suff w:val="tab"/>
    </w:lvl>
    <w:lvl w:ilvl="1">
      <w:isLgl w:val="false"/>
      <w:lvlJc w:val="left"/>
      <w:lvlText w:val="%1.%2."/>
      <w:numFmt w:val="decimal"/>
      <w:pPr>
        <w:pBdr/>
        <w:spacing/>
        <w:ind w:firstLine="0" w:left="0"/>
      </w:pPr>
      <w:pStyle w:val="1036"/>
      <w:rPr>
        <w:rFonts w:hint="default"/>
      </w:rPr>
      <w:start w:val="1"/>
      <w:suff w:val="tab"/>
    </w:lvl>
    <w:lvl w:ilvl="2">
      <w:isLgl w:val="false"/>
      <w:lvlJc w:val="left"/>
      <w:lvlText w:val="%1.%2.%3."/>
      <w:numFmt w:val="decimal"/>
      <w:pPr>
        <w:pBdr/>
        <w:spacing/>
        <w:ind w:firstLine="0" w:left="0"/>
      </w:pPr>
      <w:pStyle w:val="1037"/>
      <w:rPr>
        <w:rFonts w:hint="default"/>
      </w:rPr>
      <w:start w:val="1"/>
      <w:suff w:val="tab"/>
    </w:lvl>
    <w:lvl w:ilvl="3">
      <w:isLgl w:val="false"/>
      <w:lvlJc w:val="left"/>
      <w:lvlText w:val=""/>
      <w:numFmt w:val="none"/>
      <w:pPr>
        <w:pBdr/>
        <w:spacing/>
        <w:ind w:firstLine="0" w:left="0"/>
      </w:pPr>
      <w:pStyle w:val="1038"/>
      <w:rPr>
        <w:rFonts w:hint="default"/>
      </w:rPr>
      <w:start w:val="1"/>
      <w:suff w:val="nothing"/>
    </w:lvl>
    <w:lvl w:ilvl="4">
      <w:isLgl w:val="false"/>
      <w:lvlJc w:val="left"/>
      <w:lvlText w:val=""/>
      <w:numFmt w:val="none"/>
      <w:pPr>
        <w:pBdr/>
        <w:spacing/>
        <w:ind w:firstLine="0" w:left="0"/>
      </w:pPr>
      <w:pStyle w:val="1039"/>
      <w:rPr>
        <w:rFonts w:hint="default"/>
      </w:rPr>
      <w:start w:val="1"/>
      <w:suff w:val="nothing"/>
    </w:lvl>
    <w:lvl w:ilvl="5">
      <w:isLgl w:val="false"/>
      <w:lvlJc w:val="left"/>
      <w:lvlText w:val=""/>
      <w:numFmt w:val="none"/>
      <w:pPr>
        <w:pBdr/>
        <w:spacing/>
        <w:ind w:firstLine="0" w:left="0"/>
      </w:pPr>
      <w:pStyle w:val="1040"/>
      <w:rPr>
        <w:rFonts w:hint="default"/>
      </w:rPr>
      <w:start w:val="1"/>
      <w:suff w:val="nothing"/>
    </w:lvl>
    <w:lvl w:ilvl="6">
      <w:isLgl w:val="false"/>
      <w:lvlJc w:val="left"/>
      <w:lvlText w:val=""/>
      <w:numFmt w:val="none"/>
      <w:pPr>
        <w:pBdr/>
        <w:spacing/>
        <w:ind w:firstLine="0" w:left="0"/>
      </w:pPr>
      <w:pStyle w:val="1041"/>
      <w:rPr>
        <w:rFonts w:hint="default"/>
      </w:rPr>
      <w:start w:val="1"/>
      <w:suff w:val="nothing"/>
    </w:lvl>
    <w:lvl w:ilvl="7">
      <w:isLgl w:val="false"/>
      <w:lvlJc w:val="left"/>
      <w:lvlText w:val=""/>
      <w:numFmt w:val="none"/>
      <w:pPr>
        <w:pBdr/>
        <w:spacing/>
        <w:ind w:firstLine="0" w:left="0"/>
      </w:pPr>
      <w:pStyle w:val="1042"/>
      <w:rPr>
        <w:rFonts w:hint="default"/>
      </w:rPr>
      <w:start w:val="1"/>
      <w:suff w:val="nothing"/>
    </w:lvl>
    <w:lvl w:ilvl="8">
      <w:isLgl w:val="false"/>
      <w:lvlJc w:val="left"/>
      <w:lvlText w:val=""/>
      <w:numFmt w:val="none"/>
      <w:pPr>
        <w:pBdr/>
        <w:spacing/>
        <w:ind w:firstLine="0" w:left="0"/>
      </w:pPr>
      <w:pStyle w:val="1043"/>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088"/>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346469E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4">
    <w:nsid w:val="18D921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5">
    <w:nsid w:val="0DD02F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65DCB3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3BE1A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766CF9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5427D9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6B68FD8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30CD915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7483FD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4D063B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140611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7CB902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17A38D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09FC2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74B036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66391B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1252B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0E0846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5EC9B0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45D676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614079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084CE6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344A36C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7">
    <w:name w:val="Table Grid Light"/>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1"/>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4"/>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5"/>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w:basedOn w:val="10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w:basedOn w:val="10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1"/>
    <w:basedOn w:val="10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2"/>
    <w:basedOn w:val="10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3"/>
    <w:basedOn w:val="10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4"/>
    <w:basedOn w:val="10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5"/>
    <w:basedOn w:val="10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6"/>
    <w:basedOn w:val="10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1"/>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2"/>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3"/>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Accent 4"/>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5"/>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6"/>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7">
    <w:name w:val="Grid Table 6 Colorful - Accent 1"/>
    <w:basedOn w:val="10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8">
    <w:name w:val="Grid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9">
    <w:name w:val="Grid Table 6 Colorful - Accent 3"/>
    <w:basedOn w:val="10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0">
    <w:name w:val="Grid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1">
    <w:name w:val="Grid Table 6 Colorful - Accent 5"/>
    <w:basedOn w:val="10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2">
    <w:name w:val="Grid Table 6 Colorful - Accent 6"/>
    <w:basedOn w:val="10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3">
    <w:name w:val="Grid Table 7 Colorful"/>
    <w:basedOn w:val="10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1"/>
    <w:basedOn w:val="10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5"/>
    <w:basedOn w:val="10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 Accent 6"/>
    <w:basedOn w:val="10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1"/>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2"/>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3"/>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4"/>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5"/>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 Accent 6"/>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w:basedOn w:val="10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1"/>
    <w:basedOn w:val="10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2"/>
    <w:basedOn w:val="10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3"/>
    <w:basedOn w:val="10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4"/>
    <w:basedOn w:val="10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5"/>
    <w:basedOn w:val="10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 Accent 6"/>
    <w:basedOn w:val="10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1"/>
    <w:basedOn w:val="10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3"/>
    <w:basedOn w:val="10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5"/>
    <w:basedOn w:val="10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 Accent 6"/>
    <w:basedOn w:val="10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1"/>
    <w:basedOn w:val="10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2"/>
    <w:basedOn w:val="10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3"/>
    <w:basedOn w:val="10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4"/>
    <w:basedOn w:val="10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5"/>
    <w:basedOn w:val="10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 Accent 6"/>
    <w:basedOn w:val="10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5 Dark"/>
    <w:basedOn w:val="10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1"/>
    <w:basedOn w:val="10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2"/>
    <w:basedOn w:val="10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3"/>
    <w:basedOn w:val="10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4"/>
    <w:basedOn w:val="10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5"/>
    <w:basedOn w:val="10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5 Dark - Accent 6"/>
    <w:basedOn w:val="10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5">
    <w:name w:val="List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1"/>
    <w:basedOn w:val="10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3"/>
    <w:basedOn w:val="10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5"/>
    <w:basedOn w:val="10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 Accent 6"/>
    <w:basedOn w:val="10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7 Colorful"/>
    <w:basedOn w:val="10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3">
    <w:name w:val="List Table 7 Colorful - Accent 1"/>
    <w:basedOn w:val="10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94">
    <w:name w:val="List Table 7 Colorful - Accent 2"/>
    <w:basedOn w:val="10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95">
    <w:name w:val="List Table 7 Colorful - Accent 3"/>
    <w:basedOn w:val="10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96">
    <w:name w:val="List Table 7 Colorful - Accent 4"/>
    <w:basedOn w:val="10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97">
    <w:name w:val="List Table 7 Colorful - Accent 5"/>
    <w:basedOn w:val="10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98">
    <w:name w:val="List Table 7 Colorful - Accent 6"/>
    <w:basedOn w:val="10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99">
    <w:name w:val="Lined - Accent"/>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1"/>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2"/>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3"/>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4"/>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5"/>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ned - Accent 6"/>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w:basedOn w:val="10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1"/>
    <w:basedOn w:val="10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2"/>
    <w:basedOn w:val="10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3"/>
    <w:basedOn w:val="10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4"/>
    <w:basedOn w:val="10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5"/>
    <w:basedOn w:val="10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amp; Lined - Accent 6"/>
    <w:basedOn w:val="10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w:basedOn w:val="10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0">
    <w:name w:val="Title"/>
    <w:basedOn w:val="1034"/>
    <w:next w:val="1034"/>
    <w:link w:val="1021"/>
    <w:uiPriority w:val="10"/>
    <w:qFormat/>
    <w:pPr>
      <w:pBdr/>
      <w:spacing w:after="80" w:line="240" w:lineRule="auto"/>
      <w:ind/>
      <w:contextualSpacing w:val="true"/>
    </w:pPr>
    <w:rPr>
      <w:rFonts w:ascii="Arial" w:hAnsi="Arial" w:eastAsia="Arial" w:cs="Arial"/>
      <w:spacing w:val="-10"/>
      <w:sz w:val="56"/>
      <w:szCs w:val="56"/>
    </w:rPr>
  </w:style>
  <w:style w:type="character" w:styleId="1021">
    <w:name w:val="Title Char"/>
    <w:basedOn w:val="1044"/>
    <w:link w:val="1020"/>
    <w:uiPriority w:val="10"/>
    <w:pPr>
      <w:pBdr/>
      <w:spacing/>
      <w:ind/>
    </w:pPr>
    <w:rPr>
      <w:rFonts w:ascii="Arial" w:hAnsi="Arial" w:eastAsia="Arial" w:cs="Arial"/>
      <w:spacing w:val="-10"/>
      <w:sz w:val="56"/>
      <w:szCs w:val="56"/>
    </w:rPr>
  </w:style>
  <w:style w:type="paragraph" w:styleId="1022">
    <w:name w:val="Subtitle"/>
    <w:basedOn w:val="1034"/>
    <w:next w:val="1034"/>
    <w:link w:val="1023"/>
    <w:uiPriority w:val="11"/>
    <w:qFormat/>
    <w:pPr>
      <w:numPr>
        <w:ilvl w:val="1"/>
      </w:numPr>
      <w:pBdr/>
      <w:spacing/>
      <w:ind/>
    </w:pPr>
    <w:rPr>
      <w:color w:val="595959" w:themeColor="text1" w:themeTint="A6"/>
      <w:spacing w:val="15"/>
      <w:sz w:val="28"/>
      <w:szCs w:val="28"/>
    </w:rPr>
  </w:style>
  <w:style w:type="character" w:styleId="1023">
    <w:name w:val="Subtitle Char"/>
    <w:basedOn w:val="1044"/>
    <w:link w:val="1022"/>
    <w:uiPriority w:val="11"/>
    <w:pPr>
      <w:pBdr/>
      <w:spacing/>
      <w:ind/>
    </w:pPr>
    <w:rPr>
      <w:color w:val="595959" w:themeColor="text1" w:themeTint="A6"/>
      <w:spacing w:val="15"/>
      <w:sz w:val="28"/>
      <w:szCs w:val="28"/>
    </w:rPr>
  </w:style>
  <w:style w:type="paragraph" w:styleId="1024">
    <w:name w:val="Quote"/>
    <w:basedOn w:val="1034"/>
    <w:next w:val="1034"/>
    <w:link w:val="1025"/>
    <w:uiPriority w:val="29"/>
    <w:qFormat/>
    <w:pPr>
      <w:pBdr/>
      <w:spacing w:before="160"/>
      <w:ind/>
      <w:jc w:val="center"/>
    </w:pPr>
    <w:rPr>
      <w:i/>
      <w:iCs/>
      <w:color w:val="404040" w:themeColor="text1" w:themeTint="BF"/>
    </w:rPr>
  </w:style>
  <w:style w:type="character" w:styleId="1025">
    <w:name w:val="Quote Char"/>
    <w:basedOn w:val="1044"/>
    <w:link w:val="1024"/>
    <w:uiPriority w:val="29"/>
    <w:pPr>
      <w:pBdr/>
      <w:spacing/>
      <w:ind/>
    </w:pPr>
    <w:rPr>
      <w:i/>
      <w:iCs/>
      <w:color w:val="404040" w:themeColor="text1" w:themeTint="BF"/>
    </w:rPr>
  </w:style>
  <w:style w:type="character" w:styleId="1026">
    <w:name w:val="Intense Emphasis"/>
    <w:basedOn w:val="1044"/>
    <w:uiPriority w:val="21"/>
    <w:qFormat/>
    <w:pPr>
      <w:pBdr/>
      <w:spacing/>
      <w:ind/>
    </w:pPr>
    <w:rPr>
      <w:i/>
      <w:iCs/>
      <w:color w:val="0f4761" w:themeColor="accent1" w:themeShade="BF"/>
    </w:rPr>
  </w:style>
  <w:style w:type="paragraph" w:styleId="1027">
    <w:name w:val="Intense Quote"/>
    <w:basedOn w:val="1034"/>
    <w:next w:val="1034"/>
    <w:link w:val="10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8">
    <w:name w:val="Intense Quote Char"/>
    <w:basedOn w:val="1044"/>
    <w:link w:val="1027"/>
    <w:uiPriority w:val="30"/>
    <w:pPr>
      <w:pBdr/>
      <w:spacing/>
      <w:ind/>
    </w:pPr>
    <w:rPr>
      <w:i/>
      <w:iCs/>
      <w:color w:val="0f4761" w:themeColor="accent1" w:themeShade="BF"/>
    </w:rPr>
  </w:style>
  <w:style w:type="character" w:styleId="1029">
    <w:name w:val="Intense Reference"/>
    <w:basedOn w:val="1044"/>
    <w:uiPriority w:val="32"/>
    <w:qFormat/>
    <w:pPr>
      <w:pBdr/>
      <w:spacing/>
      <w:ind/>
    </w:pPr>
    <w:rPr>
      <w:b/>
      <w:bCs/>
      <w:smallCaps/>
      <w:color w:val="0f4761" w:themeColor="accent1" w:themeShade="BF"/>
      <w:spacing w:val="5"/>
    </w:rPr>
  </w:style>
  <w:style w:type="paragraph" w:styleId="1030">
    <w:name w:val="No Spacing"/>
    <w:basedOn w:val="1034"/>
    <w:uiPriority w:val="1"/>
    <w:qFormat/>
    <w:pPr>
      <w:pBdr/>
      <w:spacing w:after="0" w:line="240" w:lineRule="auto"/>
      <w:ind/>
    </w:pPr>
  </w:style>
  <w:style w:type="character" w:styleId="1031">
    <w:name w:val="Subtle Emphasis"/>
    <w:basedOn w:val="1044"/>
    <w:uiPriority w:val="19"/>
    <w:qFormat/>
    <w:pPr>
      <w:pBdr/>
      <w:spacing/>
      <w:ind/>
    </w:pPr>
    <w:rPr>
      <w:i/>
      <w:iCs/>
      <w:color w:val="404040" w:themeColor="text1" w:themeTint="BF"/>
    </w:rPr>
  </w:style>
  <w:style w:type="character" w:styleId="1032">
    <w:name w:val="Subtle Reference"/>
    <w:basedOn w:val="1044"/>
    <w:uiPriority w:val="31"/>
    <w:qFormat/>
    <w:pPr>
      <w:pBdr/>
      <w:spacing/>
      <w:ind/>
    </w:pPr>
    <w:rPr>
      <w:smallCaps/>
      <w:color w:val="5a5a5a" w:themeColor="text1" w:themeTint="A5"/>
    </w:rPr>
  </w:style>
  <w:style w:type="character" w:styleId="1033">
    <w:name w:val="Book Title"/>
    <w:basedOn w:val="1044"/>
    <w:uiPriority w:val="33"/>
    <w:qFormat/>
    <w:pPr>
      <w:pBdr/>
      <w:spacing/>
      <w:ind/>
    </w:pPr>
    <w:rPr>
      <w:b/>
      <w:bCs/>
      <w:i/>
      <w:iCs/>
      <w:spacing w:val="5"/>
    </w:rPr>
  </w:style>
  <w:style w:type="paragraph" w:styleId="1034" w:default="1">
    <w:name w:val="Normal"/>
    <w:qFormat/>
    <w:pPr>
      <w:pBdr/>
      <w:spacing w:after="240" w:line="360" w:lineRule="auto"/>
      <w:ind/>
    </w:pPr>
    <w:rPr>
      <w:rFonts w:ascii="Arial" w:hAnsi="Arial"/>
    </w:rPr>
  </w:style>
  <w:style w:type="paragraph" w:styleId="1035">
    <w:name w:val="Heading 1"/>
    <w:basedOn w:val="1049"/>
    <w:next w:val="1048"/>
    <w:link w:val="1053"/>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036">
    <w:name w:val="Heading 2"/>
    <w:basedOn w:val="1047"/>
    <w:next w:val="1048"/>
    <w:link w:val="1054"/>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037">
    <w:name w:val="Heading 3"/>
    <w:basedOn w:val="1034"/>
    <w:next w:val="1048"/>
    <w:link w:val="1058"/>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038">
    <w:name w:val="Heading 4"/>
    <w:basedOn w:val="1034"/>
    <w:next w:val="1048"/>
    <w:link w:val="1068"/>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039">
    <w:name w:val="Heading 5"/>
    <w:basedOn w:val="1034"/>
    <w:next w:val="1048"/>
    <w:link w:val="1069"/>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040">
    <w:name w:val="Heading 6"/>
    <w:basedOn w:val="1034"/>
    <w:next w:val="1034"/>
    <w:link w:val="1074"/>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041">
    <w:name w:val="Heading 7"/>
    <w:basedOn w:val="1034"/>
    <w:next w:val="1034"/>
    <w:link w:val="1075"/>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042">
    <w:name w:val="Heading 8"/>
    <w:basedOn w:val="1034"/>
    <w:next w:val="1034"/>
    <w:link w:val="1076"/>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043">
    <w:name w:val="Heading 9"/>
    <w:basedOn w:val="1034"/>
    <w:next w:val="1034"/>
    <w:link w:val="1077"/>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044" w:default="1">
    <w:name w:val="Default Paragraph Font"/>
    <w:uiPriority w:val="1"/>
    <w:semiHidden/>
    <w:unhideWhenUsed/>
    <w:pPr>
      <w:pBdr/>
      <w:spacing/>
      <w:ind/>
    </w:pPr>
  </w:style>
  <w:style w:type="table" w:styleId="10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6" w:default="1">
    <w:name w:val="No List"/>
    <w:uiPriority w:val="99"/>
    <w:semiHidden/>
    <w:unhideWhenUsed/>
    <w:pPr>
      <w:pBdr/>
      <w:spacing/>
      <w:ind/>
    </w:pPr>
  </w:style>
  <w:style w:type="paragraph" w:styleId="1047" w:customStyle="1">
    <w:name w:val="1_Para_FlushLeft"/>
    <w:basedOn w:val="1034"/>
    <w:next w:val="1048"/>
    <w:qFormat/>
    <w:pPr>
      <w:pBdr/>
      <w:spacing w:before="120"/>
      <w:ind/>
    </w:pPr>
    <w:rPr>
      <w:lang w:val="en-CA"/>
    </w:rPr>
  </w:style>
  <w:style w:type="paragraph" w:styleId="1048" w:customStyle="1">
    <w:name w:val="1_Para"/>
    <w:basedOn w:val="1047"/>
    <w:qFormat/>
    <w:pPr>
      <w:pBdr/>
      <w:spacing/>
      <w:ind w:firstLine="720"/>
    </w:pPr>
  </w:style>
  <w:style w:type="paragraph" w:styleId="1049" w:customStyle="1">
    <w:name w:val="1_Para_HangingIndent"/>
    <w:basedOn w:val="1047"/>
    <w:next w:val="1048"/>
    <w:qFormat/>
    <w:pPr>
      <w:pBdr/>
      <w:spacing/>
      <w:ind w:hanging="720" w:left="720"/>
    </w:pPr>
  </w:style>
  <w:style w:type="paragraph" w:styleId="1050" w:customStyle="1">
    <w:name w:val="9_TitlePage_Title"/>
    <w:basedOn w:val="1034"/>
    <w:qFormat/>
    <w:pPr>
      <w:pBdr/>
      <w:spacing w:after="0" w:before="840"/>
      <w:ind/>
      <w:jc w:val="center"/>
    </w:pPr>
    <w:rPr>
      <w:b/>
      <w:sz w:val="34"/>
      <w:szCs w:val="34"/>
    </w:rPr>
  </w:style>
  <w:style w:type="character" w:styleId="1051">
    <w:name w:val="Emphasis"/>
    <w:basedOn w:val="1044"/>
    <w:uiPriority w:val="20"/>
    <w:qFormat/>
    <w:pPr>
      <w:pBdr/>
      <w:spacing/>
      <w:ind/>
    </w:pPr>
    <w:rPr>
      <w:i/>
      <w:iCs/>
    </w:rPr>
  </w:style>
  <w:style w:type="paragraph" w:styleId="1052" w:customStyle="1">
    <w:name w:val="9_TitlePage_Text"/>
    <w:basedOn w:val="1034"/>
    <w:next w:val="1048"/>
    <w:qFormat/>
    <w:pPr>
      <w:pBdr/>
      <w:spacing w:after="360" w:before="360"/>
      <w:ind/>
      <w:jc w:val="center"/>
    </w:pPr>
    <w:rPr>
      <w:sz w:val="24"/>
    </w:rPr>
  </w:style>
  <w:style w:type="character" w:styleId="1053" w:customStyle="1">
    <w:name w:val="Heading 1 Char"/>
    <w:basedOn w:val="1044"/>
    <w:link w:val="1035"/>
    <w:uiPriority w:val="9"/>
    <w:pPr>
      <w:pBdr/>
      <w:spacing/>
      <w:ind/>
    </w:pPr>
    <w:rPr>
      <w:rFonts w:ascii="Arial" w:hAnsi="Arial" w:eastAsiaTheme="majorEastAsia" w:cstheme="majorBidi"/>
      <w:b/>
      <w:color w:val="000000" w:themeColor="text1"/>
      <w:sz w:val="34"/>
      <w:szCs w:val="32"/>
      <w:lang w:val="en-CA"/>
    </w:rPr>
  </w:style>
  <w:style w:type="character" w:styleId="1054" w:customStyle="1">
    <w:name w:val="Heading 2 Char"/>
    <w:basedOn w:val="1044"/>
    <w:link w:val="1036"/>
    <w:uiPriority w:val="9"/>
    <w:pPr>
      <w:pBdr/>
      <w:spacing/>
      <w:ind/>
    </w:pPr>
    <w:rPr>
      <w:rFonts w:ascii="Arial" w:hAnsi="Arial" w:eastAsiaTheme="majorEastAsia" w:cstheme="majorBidi"/>
      <w:b/>
      <w:color w:val="000000" w:themeColor="text1"/>
      <w:sz w:val="30"/>
      <w:szCs w:val="26"/>
      <w:lang w:val="en-CA"/>
    </w:rPr>
  </w:style>
  <w:style w:type="paragraph" w:styleId="1055" w:customStyle="1">
    <w:name w:val="Heading 1_Preliminary"/>
    <w:basedOn w:val="1036"/>
    <w:next w:val="1048"/>
    <w:qFormat/>
    <w:pPr>
      <w:pageBreakBefore w:val="true"/>
      <w:numPr>
        <w:ilvl w:val="0"/>
        <w:numId w:val="0"/>
      </w:numPr>
      <w:pBdr/>
      <w:spacing w:before="120"/>
      <w:ind/>
    </w:pPr>
  </w:style>
  <w:style w:type="paragraph" w:styleId="1056" w:customStyle="1">
    <w:name w:val="Heading 1_NoNumber"/>
    <w:basedOn w:val="1047"/>
    <w:next w:val="1048"/>
    <w:qFormat/>
    <w:pPr>
      <w:pageBreakBefore w:val="true"/>
      <w:pBdr/>
      <w:spacing w:after="480" w:line="240" w:lineRule="auto"/>
      <w:ind/>
      <w:outlineLvl w:val="0"/>
    </w:pPr>
    <w:rPr>
      <w:b/>
      <w:sz w:val="34"/>
    </w:rPr>
  </w:style>
  <w:style w:type="paragraph" w:styleId="1057" w:customStyle="1">
    <w:name w:val="Heading 2_NoNumber"/>
    <w:basedOn w:val="1036"/>
    <w:next w:val="1048"/>
    <w:qFormat/>
    <w:pPr>
      <w:numPr>
        <w:ilvl w:val="0"/>
        <w:numId w:val="0"/>
      </w:numPr>
      <w:pBdr/>
      <w:spacing/>
      <w:ind/>
    </w:pPr>
  </w:style>
  <w:style w:type="character" w:styleId="1058" w:customStyle="1">
    <w:name w:val="Heading 3 Char"/>
    <w:basedOn w:val="1044"/>
    <w:link w:val="1037"/>
    <w:uiPriority w:val="9"/>
    <w:pPr>
      <w:pBdr/>
      <w:spacing/>
      <w:ind/>
    </w:pPr>
    <w:rPr>
      <w:rFonts w:ascii="Arial" w:hAnsi="Arial" w:eastAsiaTheme="majorEastAsia" w:cstheme="majorBidi"/>
      <w:b/>
      <w:color w:val="000000" w:themeColor="text1"/>
      <w:sz w:val="26"/>
      <w:szCs w:val="24"/>
      <w:lang w:val="en-CA"/>
    </w:rPr>
  </w:style>
  <w:style w:type="paragraph" w:styleId="1059" w:customStyle="1">
    <w:name w:val="Heading 3_NoNumber"/>
    <w:basedOn w:val="1037"/>
    <w:next w:val="1048"/>
    <w:qFormat/>
    <w:pPr>
      <w:numPr>
        <w:ilvl w:val="0"/>
        <w:numId w:val="0"/>
      </w:numPr>
      <w:pBdr/>
      <w:spacing/>
      <w:ind/>
    </w:pPr>
  </w:style>
  <w:style w:type="paragraph" w:styleId="1060">
    <w:name w:val="toc 2"/>
    <w:basedOn w:val="1034"/>
    <w:next w:val="1034"/>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061">
    <w:name w:val="toc 1"/>
    <w:basedOn w:val="1034"/>
    <w:next w:val="1034"/>
    <w:uiPriority w:val="39"/>
    <w:unhideWhenUsed/>
    <w:qFormat/>
    <w:pPr>
      <w:pBdr/>
      <w:tabs>
        <w:tab w:val="right" w:leader="dot" w:pos="8630"/>
      </w:tabs>
      <w:spacing w:after="0" w:before="240" w:line="240" w:lineRule="auto"/>
      <w:ind w:hanging="605" w:left="605"/>
    </w:pPr>
    <w:rPr>
      <w:b/>
      <w:bCs/>
      <w:szCs w:val="24"/>
    </w:rPr>
  </w:style>
  <w:style w:type="paragraph" w:styleId="1062">
    <w:name w:val="toc 3"/>
    <w:basedOn w:val="1034"/>
    <w:next w:val="1034"/>
    <w:uiPriority w:val="39"/>
    <w:unhideWhenUsed/>
    <w:qFormat/>
    <w:pPr>
      <w:pBdr/>
      <w:spacing w:after="0" w:before="40" w:line="240" w:lineRule="auto"/>
      <w:ind w:hanging="835" w:left="1440"/>
    </w:pPr>
    <w:rPr>
      <w:szCs w:val="20"/>
    </w:rPr>
  </w:style>
  <w:style w:type="character" w:styleId="1063">
    <w:name w:val="Hyperlink"/>
    <w:basedOn w:val="1044"/>
    <w:uiPriority w:val="99"/>
    <w:unhideWhenUsed/>
    <w:pPr>
      <w:pBdr/>
      <w:spacing/>
      <w:ind/>
    </w:pPr>
    <w:rPr>
      <w:color w:val="0563c1" w:themeColor="hyperlink"/>
      <w:u w:val="single"/>
    </w:rPr>
  </w:style>
  <w:style w:type="paragraph" w:styleId="1064">
    <w:name w:val="Header"/>
    <w:basedOn w:val="1034"/>
    <w:link w:val="1065"/>
    <w:uiPriority w:val="99"/>
    <w:unhideWhenUsed/>
    <w:pPr>
      <w:pBdr/>
      <w:tabs>
        <w:tab w:val="center" w:leader="none" w:pos="4680"/>
        <w:tab w:val="right" w:leader="none" w:pos="9360"/>
      </w:tabs>
      <w:spacing w:after="0" w:line="240" w:lineRule="auto"/>
      <w:ind/>
    </w:pPr>
  </w:style>
  <w:style w:type="character" w:styleId="1065" w:customStyle="1">
    <w:name w:val="Header Char"/>
    <w:basedOn w:val="1044"/>
    <w:link w:val="1064"/>
    <w:uiPriority w:val="99"/>
    <w:pPr>
      <w:pBdr/>
      <w:spacing/>
      <w:ind/>
    </w:pPr>
    <w:rPr>
      <w:rFonts w:ascii="Arial" w:hAnsi="Arial"/>
    </w:rPr>
  </w:style>
  <w:style w:type="paragraph" w:styleId="1066">
    <w:name w:val="Footer"/>
    <w:basedOn w:val="1034"/>
    <w:link w:val="1067"/>
    <w:uiPriority w:val="99"/>
    <w:unhideWhenUsed/>
    <w:pPr>
      <w:pBdr/>
      <w:tabs>
        <w:tab w:val="center" w:leader="none" w:pos="4680"/>
        <w:tab w:val="right" w:leader="none" w:pos="9360"/>
      </w:tabs>
      <w:spacing w:after="0" w:line="240" w:lineRule="auto"/>
      <w:ind/>
    </w:pPr>
  </w:style>
  <w:style w:type="character" w:styleId="1067" w:customStyle="1">
    <w:name w:val="Footer Char"/>
    <w:basedOn w:val="1044"/>
    <w:link w:val="1066"/>
    <w:uiPriority w:val="99"/>
    <w:pPr>
      <w:pBdr/>
      <w:spacing/>
      <w:ind/>
    </w:pPr>
    <w:rPr>
      <w:rFonts w:ascii="Arial" w:hAnsi="Arial"/>
    </w:rPr>
  </w:style>
  <w:style w:type="character" w:styleId="1068" w:customStyle="1">
    <w:name w:val="Heading 4 Char"/>
    <w:basedOn w:val="1044"/>
    <w:link w:val="1038"/>
    <w:uiPriority w:val="9"/>
    <w:pPr>
      <w:pBdr/>
      <w:spacing/>
      <w:ind/>
    </w:pPr>
    <w:rPr>
      <w:rFonts w:ascii="Arial" w:hAnsi="Arial" w:eastAsiaTheme="majorEastAsia" w:cstheme="majorBidi"/>
      <w:b/>
      <w:i/>
      <w:iCs/>
      <w:color w:val="000000" w:themeColor="text1"/>
      <w:sz w:val="24"/>
    </w:rPr>
  </w:style>
  <w:style w:type="character" w:styleId="1069" w:customStyle="1">
    <w:name w:val="Heading 5 Char"/>
    <w:basedOn w:val="1044"/>
    <w:link w:val="1039"/>
    <w:uiPriority w:val="9"/>
    <w:pPr>
      <w:pBdr/>
      <w:spacing/>
      <w:ind/>
    </w:pPr>
    <w:rPr>
      <w:rFonts w:ascii="Arial" w:hAnsi="Arial" w:eastAsiaTheme="majorEastAsia" w:cstheme="majorBidi"/>
      <w:b/>
      <w:color w:val="000000" w:themeColor="text1"/>
    </w:rPr>
  </w:style>
  <w:style w:type="paragraph" w:styleId="1070">
    <w:name w:val="toc 4"/>
    <w:basedOn w:val="1034"/>
    <w:next w:val="1034"/>
    <w:uiPriority w:val="39"/>
    <w:unhideWhenUsed/>
    <w:pPr>
      <w:pBdr/>
      <w:tabs>
        <w:tab w:val="right" w:leader="dot" w:pos="8630"/>
      </w:tabs>
      <w:spacing w:after="0" w:before="40" w:line="240" w:lineRule="auto"/>
      <w:ind w:hanging="288" w:left="1728"/>
    </w:pPr>
    <w:rPr>
      <w:sz w:val="20"/>
      <w:szCs w:val="20"/>
    </w:rPr>
  </w:style>
  <w:style w:type="paragraph" w:styleId="1071" w:customStyle="1">
    <w:name w:val="3_Figure_NoCaptionOrNote"/>
    <w:basedOn w:val="1034"/>
    <w:next w:val="1048"/>
    <w:qFormat/>
    <w:pPr>
      <w:pBdr/>
      <w:spacing w:after="480" w:before="120" w:line="240" w:lineRule="auto"/>
      <w:ind/>
      <w:jc w:val="center"/>
    </w:pPr>
  </w:style>
  <w:style w:type="paragraph" w:styleId="1072" w:customStyle="1">
    <w:name w:val="3_CaptionAbove"/>
    <w:basedOn w:val="1034"/>
    <w:qFormat/>
    <w:pPr>
      <w:keepNext w:val="true"/>
      <w:keepLines w:val="true"/>
      <w:pBdr/>
      <w:spacing w:after="120" w:before="240" w:line="240" w:lineRule="auto"/>
      <w:ind w:hanging="1440" w:left="1440"/>
    </w:pPr>
    <w:rPr>
      <w:b/>
    </w:rPr>
  </w:style>
  <w:style w:type="paragraph" w:styleId="1073">
    <w:name w:val="table of figures"/>
    <w:basedOn w:val="1034"/>
    <w:next w:val="1034"/>
    <w:uiPriority w:val="99"/>
    <w:unhideWhenUsed/>
    <w:pPr>
      <w:pBdr/>
      <w:spacing w:after="0" w:before="80" w:line="240" w:lineRule="auto"/>
      <w:ind w:hanging="1440" w:left="1440"/>
    </w:pPr>
  </w:style>
  <w:style w:type="character" w:styleId="1074" w:customStyle="1">
    <w:name w:val="Heading 6 Char"/>
    <w:basedOn w:val="1044"/>
    <w:link w:val="1040"/>
    <w:uiPriority w:val="9"/>
    <w:semiHidden/>
    <w:pPr>
      <w:pBdr/>
      <w:spacing/>
      <w:ind/>
    </w:pPr>
    <w:rPr>
      <w:rFonts w:asciiTheme="majorHAnsi" w:hAnsiTheme="majorHAnsi" w:eastAsiaTheme="majorEastAsia" w:cstheme="majorBidi"/>
      <w:color w:val="1f4d78" w:themeColor="accent1" w:themeShade="7F"/>
    </w:rPr>
  </w:style>
  <w:style w:type="character" w:styleId="1075" w:customStyle="1">
    <w:name w:val="Heading 7 Char"/>
    <w:basedOn w:val="1044"/>
    <w:link w:val="1041"/>
    <w:uiPriority w:val="9"/>
    <w:semiHidden/>
    <w:pPr>
      <w:pBdr/>
      <w:spacing/>
      <w:ind/>
    </w:pPr>
    <w:rPr>
      <w:rFonts w:asciiTheme="majorHAnsi" w:hAnsiTheme="majorHAnsi" w:eastAsiaTheme="majorEastAsia" w:cstheme="majorBidi"/>
      <w:i/>
      <w:iCs/>
      <w:color w:val="1f4d78" w:themeColor="accent1" w:themeShade="7F"/>
    </w:rPr>
  </w:style>
  <w:style w:type="character" w:styleId="1076" w:customStyle="1">
    <w:name w:val="Heading 8 Char"/>
    <w:basedOn w:val="1044"/>
    <w:link w:val="1042"/>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77" w:customStyle="1">
    <w:name w:val="Heading 9 Char"/>
    <w:basedOn w:val="1044"/>
    <w:link w:val="1043"/>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78" w:customStyle="1">
    <w:name w:val="2_BlockQuote"/>
    <w:basedOn w:val="1034"/>
    <w:next w:val="1048"/>
    <w:qFormat/>
    <w:pPr>
      <w:pBdr/>
      <w:spacing w:before="40" w:line="240" w:lineRule="auto"/>
      <w:ind w:right="720" w:left="720"/>
      <w:jc w:val="both"/>
    </w:pPr>
  </w:style>
  <w:style w:type="paragraph" w:styleId="1079" w:customStyle="1">
    <w:name w:val="3_CaptionBelow"/>
    <w:basedOn w:val="1072"/>
    <w:next w:val="1048"/>
    <w:qFormat/>
    <w:pPr>
      <w:keepNext w:val="false"/>
      <w:pBdr/>
      <w:spacing w:after="360" w:before="120"/>
      <w:ind/>
    </w:pPr>
  </w:style>
  <w:style w:type="paragraph" w:styleId="1080" w:customStyle="1">
    <w:name w:val="3_TableData"/>
    <w:basedOn w:val="1034"/>
    <w:qFormat/>
    <w:pPr>
      <w:keepLines w:val="true"/>
      <w:pBdr/>
      <w:spacing w:after="20" w:before="20" w:line="240" w:lineRule="auto"/>
      <w:ind/>
    </w:pPr>
    <w:rPr>
      <w:rFonts w:ascii="Arial Narrow" w:hAnsi="Arial Narrow"/>
    </w:rPr>
  </w:style>
  <w:style w:type="paragraph" w:styleId="1081" w:customStyle="1">
    <w:name w:val="1_Para_NoSpace"/>
    <w:basedOn w:val="1047"/>
    <w:next w:val="1048"/>
    <w:qFormat/>
    <w:pPr>
      <w:pBdr/>
      <w:spacing w:after="40" w:line="240" w:lineRule="auto"/>
      <w:ind/>
    </w:pPr>
    <w:rPr>
      <w:rFonts w:eastAsia="Calibri" w:cs="Arial"/>
    </w:rPr>
  </w:style>
  <w:style w:type="paragraph" w:styleId="1082" w:customStyle="1">
    <w:name w:val="3_TableHeading_Column"/>
    <w:basedOn w:val="1080"/>
    <w:qFormat/>
    <w:pPr>
      <w:pBdr/>
      <w:spacing w:after="80" w:before="80"/>
      <w:ind/>
    </w:pPr>
    <w:rPr>
      <w:b/>
    </w:rPr>
  </w:style>
  <w:style w:type="paragraph" w:styleId="1083" w:customStyle="1">
    <w:name w:val="2_ParticipantQuote"/>
    <w:basedOn w:val="1078"/>
    <w:qFormat/>
    <w:pPr>
      <w:pBdr/>
      <w:spacing/>
      <w:ind/>
    </w:pPr>
    <w:rPr>
      <w:rFonts w:ascii="Verdana" w:hAnsi="Verdana"/>
      <w:iCs/>
      <w:color w:val="000000" w:themeColor="text1"/>
      <w:sz w:val="20"/>
    </w:rPr>
  </w:style>
  <w:style w:type="paragraph" w:styleId="1084" w:customStyle="1">
    <w:name w:val="2_QuestionAnswer"/>
    <w:basedOn w:val="1078"/>
    <w:next w:val="1048"/>
    <w:qFormat/>
    <w:pPr>
      <w:pBdr/>
      <w:spacing/>
      <w:ind w:hanging="864" w:left="1584"/>
    </w:pPr>
    <w:rPr>
      <w:rFonts w:ascii="Verdana" w:hAnsi="Verdana"/>
      <w:sz w:val="20"/>
    </w:rPr>
  </w:style>
  <w:style w:type="paragraph" w:styleId="1085" w:customStyle="1">
    <w:name w:val="3_Figure"/>
    <w:basedOn w:val="1071"/>
    <w:next w:val="1079"/>
    <w:qFormat/>
    <w:pPr>
      <w:keepNext w:val="true"/>
      <w:keepLines w:val="true"/>
      <w:pBdr/>
      <w:spacing w:after="0"/>
      <w:ind/>
    </w:pPr>
  </w:style>
  <w:style w:type="paragraph" w:styleId="1086" w:customStyle="1">
    <w:name w:val="2_Epigraph"/>
    <w:basedOn w:val="1078"/>
    <w:qFormat/>
    <w:pPr>
      <w:pBdr/>
      <w:spacing/>
      <w:ind/>
      <w:jc w:val="left"/>
    </w:pPr>
    <w:rPr>
      <w:i/>
    </w:rPr>
  </w:style>
  <w:style w:type="paragraph" w:styleId="1087" w:customStyle="1">
    <w:name w:val="2_List_ManualNumbering"/>
    <w:basedOn w:val="1034"/>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088" w:customStyle="1">
    <w:name w:val="2_Bullet"/>
    <w:basedOn w:val="1034"/>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089" w:customStyle="1">
    <w:name w:val="2_Poem"/>
    <w:basedOn w:val="1034"/>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090" w:customStyle="1">
    <w:name w:val="3_CaptionBelow_withNote"/>
    <w:basedOn w:val="1079"/>
    <w:next w:val="1093"/>
    <w:qFormat/>
    <w:pPr>
      <w:keepNext w:val="true"/>
      <w:pBdr/>
      <w:spacing w:after="0"/>
      <w:ind/>
    </w:pPr>
  </w:style>
  <w:style w:type="paragraph" w:styleId="1091" w:customStyle="1">
    <w:name w:val="3_TableData_Centre"/>
    <w:basedOn w:val="1080"/>
    <w:qFormat/>
    <w:pPr>
      <w:pBdr/>
      <w:spacing/>
      <w:ind/>
      <w:jc w:val="center"/>
    </w:pPr>
  </w:style>
  <w:style w:type="paragraph" w:styleId="1092" w:customStyle="1">
    <w:name w:val="3_TableData_Right"/>
    <w:basedOn w:val="1080"/>
    <w:qFormat/>
    <w:pPr>
      <w:pBdr/>
      <w:spacing/>
      <w:ind/>
      <w:jc w:val="right"/>
    </w:pPr>
  </w:style>
  <w:style w:type="paragraph" w:styleId="1093" w:customStyle="1">
    <w:name w:val="3_FigureNote"/>
    <w:basedOn w:val="1034"/>
    <w:next w:val="1048"/>
    <w:qFormat/>
    <w:pPr>
      <w:pBdr/>
      <w:spacing w:after="360" w:line="240" w:lineRule="auto"/>
      <w:ind/>
    </w:pPr>
    <w:rPr>
      <w:sz w:val="20"/>
    </w:rPr>
  </w:style>
  <w:style w:type="paragraph" w:styleId="1094" w:customStyle="1">
    <w:name w:val="5_Ref"/>
    <w:basedOn w:val="1034"/>
    <w:uiPriority w:val="99"/>
    <w:pPr>
      <w:keepLines w:val="true"/>
      <w:pBdr/>
      <w:spacing w:after="120" w:before="300" w:line="240" w:lineRule="auto"/>
      <w:ind w:hanging="720" w:left="720"/>
    </w:pPr>
    <w:rPr>
      <w:rFonts w:eastAsia="Calibri" w:cs="Arial"/>
      <w:lang w:val="en-CA"/>
    </w:rPr>
  </w:style>
  <w:style w:type="paragraph" w:styleId="1095" w:customStyle="1">
    <w:name w:val="3_TableNote"/>
    <w:basedOn w:val="1034"/>
    <w:qFormat/>
    <w:pPr>
      <w:pBdr/>
      <w:spacing w:after="360" w:before="40" w:line="240" w:lineRule="auto"/>
      <w:ind/>
    </w:pPr>
    <w:rPr>
      <w:rFonts w:ascii="Arial Narrow" w:hAnsi="Arial Narrow"/>
      <w:sz w:val="20"/>
    </w:rPr>
  </w:style>
  <w:style w:type="paragraph" w:styleId="1096" w:customStyle="1">
    <w:name w:val="5_Ref_AmerAntiq_Author"/>
    <w:basedOn w:val="1034"/>
    <w:next w:val="1097"/>
    <w:qFormat/>
    <w:pPr>
      <w:keepNext w:val="true"/>
      <w:keepLines w:val="true"/>
      <w:pBdr/>
      <w:spacing w:after="0" w:before="300" w:line="240" w:lineRule="auto"/>
      <w:ind/>
    </w:pPr>
    <w:rPr>
      <w:rFonts w:eastAsia="Calibri" w:cs="Arial"/>
      <w:lang w:val="en-CA"/>
    </w:rPr>
  </w:style>
  <w:style w:type="paragraph" w:styleId="1097" w:customStyle="1">
    <w:name w:val="5_Ref_AmerAntiq_Work"/>
    <w:basedOn w:val="1096"/>
    <w:qFormat/>
    <w:pPr>
      <w:keepNext w:val="false"/>
      <w:pBdr/>
      <w:tabs>
        <w:tab w:val="left" w:leader="none" w:pos="1080"/>
      </w:tabs>
      <w:spacing w:before="0"/>
      <w:ind w:hanging="360" w:left="720"/>
    </w:pPr>
  </w:style>
  <w:style w:type="character" w:styleId="1098">
    <w:name w:val="annotation reference"/>
    <w:basedOn w:val="1044"/>
    <w:uiPriority w:val="99"/>
    <w:semiHidden/>
    <w:unhideWhenUsed/>
    <w:pPr>
      <w:pBdr/>
      <w:spacing/>
      <w:ind/>
    </w:pPr>
    <w:rPr>
      <w:sz w:val="16"/>
      <w:szCs w:val="16"/>
    </w:rPr>
  </w:style>
  <w:style w:type="paragraph" w:styleId="1099">
    <w:name w:val="annotation text"/>
    <w:basedOn w:val="1034"/>
    <w:link w:val="1100"/>
    <w:uiPriority w:val="99"/>
    <w:semiHidden/>
    <w:unhideWhenUsed/>
    <w:pPr>
      <w:pBdr/>
      <w:spacing w:line="240" w:lineRule="auto"/>
      <w:ind/>
    </w:pPr>
    <w:rPr>
      <w:sz w:val="20"/>
      <w:szCs w:val="20"/>
    </w:rPr>
  </w:style>
  <w:style w:type="character" w:styleId="1100" w:customStyle="1">
    <w:name w:val="Comment Text Char"/>
    <w:basedOn w:val="1044"/>
    <w:link w:val="1099"/>
    <w:uiPriority w:val="99"/>
    <w:semiHidden/>
    <w:pPr>
      <w:pBdr/>
      <w:spacing/>
      <w:ind/>
    </w:pPr>
    <w:rPr>
      <w:rFonts w:ascii="Arial" w:hAnsi="Arial"/>
      <w:sz w:val="20"/>
      <w:szCs w:val="20"/>
    </w:rPr>
  </w:style>
  <w:style w:type="paragraph" w:styleId="1101">
    <w:name w:val="annotation subject"/>
    <w:basedOn w:val="1099"/>
    <w:next w:val="1099"/>
    <w:link w:val="1102"/>
    <w:uiPriority w:val="99"/>
    <w:semiHidden/>
    <w:unhideWhenUsed/>
    <w:pPr>
      <w:pBdr/>
      <w:spacing/>
      <w:ind/>
    </w:pPr>
    <w:rPr>
      <w:b/>
      <w:bCs/>
    </w:rPr>
  </w:style>
  <w:style w:type="character" w:styleId="1102" w:customStyle="1">
    <w:name w:val="Comment Subject Char"/>
    <w:basedOn w:val="1100"/>
    <w:link w:val="1101"/>
    <w:uiPriority w:val="99"/>
    <w:semiHidden/>
    <w:pPr>
      <w:pBdr/>
      <w:spacing/>
      <w:ind/>
    </w:pPr>
    <w:rPr>
      <w:rFonts w:ascii="Arial" w:hAnsi="Arial"/>
      <w:b/>
      <w:bCs/>
      <w:sz w:val="20"/>
      <w:szCs w:val="20"/>
    </w:rPr>
  </w:style>
  <w:style w:type="paragraph" w:styleId="1103">
    <w:name w:val="Balloon Text"/>
    <w:basedOn w:val="1034"/>
    <w:link w:val="1104"/>
    <w:uiPriority w:val="99"/>
    <w:semiHidden/>
    <w:unhideWhenUsed/>
    <w:pPr>
      <w:pBdr/>
      <w:spacing w:after="0" w:line="240" w:lineRule="auto"/>
      <w:ind/>
    </w:pPr>
    <w:rPr>
      <w:rFonts w:ascii="Segoe UI" w:hAnsi="Segoe UI" w:cs="Segoe UI"/>
      <w:sz w:val="18"/>
      <w:szCs w:val="18"/>
    </w:rPr>
  </w:style>
  <w:style w:type="character" w:styleId="1104" w:customStyle="1">
    <w:name w:val="Balloon Text Char"/>
    <w:basedOn w:val="1044"/>
    <w:link w:val="1103"/>
    <w:uiPriority w:val="99"/>
    <w:semiHidden/>
    <w:pPr>
      <w:pBdr/>
      <w:spacing/>
      <w:ind/>
    </w:pPr>
    <w:rPr>
      <w:rFonts w:ascii="Segoe UI" w:hAnsi="Segoe UI" w:cs="Segoe UI"/>
      <w:sz w:val="18"/>
      <w:szCs w:val="18"/>
    </w:rPr>
  </w:style>
  <w:style w:type="table" w:styleId="1105">
    <w:name w:val="Table Grid"/>
    <w:basedOn w:val="104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6">
    <w:name w:val="Caption"/>
    <w:basedOn w:val="1034"/>
    <w:next w:val="1034"/>
    <w:uiPriority w:val="35"/>
    <w:unhideWhenUsed/>
    <w:qFormat/>
    <w:pPr>
      <w:pBdr/>
      <w:spacing w:after="200" w:line="240" w:lineRule="auto"/>
      <w:ind/>
    </w:pPr>
    <w:rPr>
      <w:i/>
      <w:iCs/>
      <w:color w:val="44546a" w:themeColor="text2"/>
      <w:sz w:val="18"/>
      <w:szCs w:val="18"/>
    </w:rPr>
  </w:style>
  <w:style w:type="numbering" w:styleId="1107" w:customStyle="1">
    <w:name w:val="No List1"/>
    <w:next w:val="1046"/>
    <w:uiPriority w:val="99"/>
    <w:semiHidden/>
    <w:unhideWhenUsed/>
    <w:pPr>
      <w:pBdr/>
      <w:spacing/>
      <w:ind/>
    </w:pPr>
  </w:style>
  <w:style w:type="paragraph" w:styleId="1108">
    <w:name w:val="List Paragraph"/>
    <w:basedOn w:val="1034"/>
    <w:uiPriority w:val="34"/>
    <w:qFormat/>
    <w:pPr>
      <w:pBdr/>
      <w:spacing w:after="100" w:before="100" w:line="240" w:lineRule="auto"/>
      <w:ind w:left="720"/>
      <w:contextualSpacing w:val="true"/>
      <w:jc w:val="both"/>
    </w:pPr>
    <w:rPr>
      <w:rFonts w:ascii="Calibri" w:hAnsi="Calibri"/>
    </w:rPr>
  </w:style>
  <w:style w:type="paragraph" w:styleId="1109" w:customStyle="1">
    <w:name w:val="Default"/>
    <w:pPr>
      <w:pBdr/>
      <w:spacing w:after="0" w:before="100" w:line="240" w:lineRule="auto"/>
      <w:ind/>
      <w:jc w:val="both"/>
    </w:pPr>
    <w:rPr>
      <w:rFonts w:ascii="Arial" w:hAnsi="Arial" w:cs="Arial"/>
      <w:color w:val="000000"/>
      <w:sz w:val="24"/>
      <w:szCs w:val="24"/>
    </w:rPr>
  </w:style>
  <w:style w:type="paragraph" w:styleId="1110">
    <w:name w:val="Normal (Web)"/>
    <w:basedOn w:val="1034"/>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11">
    <w:name w:val="Placeholder Text"/>
    <w:basedOn w:val="1044"/>
    <w:uiPriority w:val="99"/>
    <w:semiHidden/>
    <w:pPr>
      <w:pBdr/>
      <w:spacing/>
      <w:ind/>
    </w:pPr>
    <w:rPr>
      <w:color w:val="808080"/>
    </w:rPr>
  </w:style>
  <w:style w:type="paragraph" w:styleId="1112">
    <w:name w:val="TOC Heading"/>
    <w:basedOn w:val="1035"/>
    <w:next w:val="1034"/>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13" w:customStyle="1">
    <w:name w:val="FollowedHyperlink1"/>
    <w:basedOn w:val="1044"/>
    <w:uiPriority w:val="99"/>
    <w:semiHidden/>
    <w:unhideWhenUsed/>
    <w:pPr>
      <w:pBdr/>
      <w:spacing/>
      <w:ind/>
    </w:pPr>
    <w:rPr>
      <w:color w:val="800080"/>
      <w:u w:val="single"/>
    </w:rPr>
  </w:style>
  <w:style w:type="paragraph" w:styleId="1114">
    <w:name w:val="endnote text"/>
    <w:basedOn w:val="1034"/>
    <w:link w:val="1115"/>
    <w:uiPriority w:val="99"/>
    <w:unhideWhenUsed/>
    <w:pPr>
      <w:pBdr/>
      <w:spacing w:after="0" w:before="100" w:line="240" w:lineRule="auto"/>
      <w:ind/>
      <w:jc w:val="both"/>
    </w:pPr>
    <w:rPr>
      <w:rFonts w:ascii="Calibri" w:hAnsi="Calibri"/>
      <w:sz w:val="20"/>
      <w:szCs w:val="20"/>
    </w:rPr>
  </w:style>
  <w:style w:type="character" w:styleId="1115" w:customStyle="1">
    <w:name w:val="Endnote Text Char"/>
    <w:basedOn w:val="1044"/>
    <w:link w:val="1114"/>
    <w:uiPriority w:val="99"/>
    <w:pPr>
      <w:pBdr/>
      <w:spacing/>
      <w:ind/>
    </w:pPr>
    <w:rPr>
      <w:rFonts w:ascii="Calibri" w:hAnsi="Calibri"/>
      <w:sz w:val="20"/>
      <w:szCs w:val="20"/>
    </w:rPr>
  </w:style>
  <w:style w:type="character" w:styleId="1116">
    <w:name w:val="endnote reference"/>
    <w:basedOn w:val="1044"/>
    <w:uiPriority w:val="99"/>
    <w:semiHidden/>
    <w:unhideWhenUsed/>
    <w:pPr>
      <w:pBdr/>
      <w:spacing/>
      <w:ind/>
    </w:pPr>
    <w:rPr>
      <w:vertAlign w:val="superscript"/>
    </w:rPr>
  </w:style>
  <w:style w:type="paragraph" w:styleId="1117">
    <w:name w:val="footnote text"/>
    <w:basedOn w:val="1034"/>
    <w:link w:val="1118"/>
    <w:uiPriority w:val="99"/>
    <w:unhideWhenUsed/>
    <w:pPr>
      <w:pBdr/>
      <w:spacing w:after="0" w:before="100" w:line="240" w:lineRule="auto"/>
      <w:ind/>
    </w:pPr>
    <w:rPr>
      <w:sz w:val="20"/>
      <w:szCs w:val="20"/>
    </w:rPr>
  </w:style>
  <w:style w:type="character" w:styleId="1118" w:customStyle="1">
    <w:name w:val="Footnote Text Char"/>
    <w:basedOn w:val="1044"/>
    <w:link w:val="1117"/>
    <w:uiPriority w:val="99"/>
    <w:pPr>
      <w:pBdr/>
      <w:spacing/>
      <w:ind/>
    </w:pPr>
    <w:rPr>
      <w:rFonts w:ascii="Arial" w:hAnsi="Arial"/>
      <w:sz w:val="20"/>
      <w:szCs w:val="20"/>
    </w:rPr>
  </w:style>
  <w:style w:type="character" w:styleId="1119">
    <w:name w:val="footnote reference"/>
    <w:basedOn w:val="1044"/>
    <w:uiPriority w:val="99"/>
    <w:semiHidden/>
    <w:unhideWhenUsed/>
    <w:pPr>
      <w:pBdr/>
      <w:spacing/>
      <w:ind/>
    </w:pPr>
    <w:rPr>
      <w:vertAlign w:val="superscript"/>
    </w:rPr>
  </w:style>
  <w:style w:type="character" w:styleId="1120">
    <w:name w:val="Strong"/>
    <w:basedOn w:val="1044"/>
    <w:uiPriority w:val="22"/>
    <w:qFormat/>
    <w:pPr>
      <w:pBdr/>
      <w:spacing/>
      <w:ind/>
    </w:pPr>
    <w:rPr>
      <w:b/>
      <w:bCs/>
      <w:sz w:val="24"/>
      <w:szCs w:val="24"/>
      <w:vertAlign w:val="baseline"/>
    </w:rPr>
  </w:style>
  <w:style w:type="character" w:styleId="1121">
    <w:name w:val="FollowedHyperlink"/>
    <w:basedOn w:val="1044"/>
    <w:uiPriority w:val="99"/>
    <w:semiHidden/>
    <w:unhideWhenUsed/>
    <w:pPr>
      <w:pBdr/>
      <w:spacing/>
      <w:ind/>
    </w:pPr>
    <w:rPr>
      <w:color w:val="954f72" w:themeColor="followedHyperlink"/>
      <w:u w:val="single"/>
    </w:rPr>
  </w:style>
  <w:style w:type="paragraph" w:styleId="1122">
    <w:name w:val="Body Text 2"/>
    <w:basedOn w:val="1034"/>
    <w:link w:val="1123"/>
    <w:uiPriority w:val="99"/>
    <w:unhideWhenUsed/>
    <w:pPr>
      <w:pBdr/>
      <w:spacing w:after="120" w:line="480" w:lineRule="auto"/>
      <w:ind/>
    </w:pPr>
  </w:style>
  <w:style w:type="character" w:styleId="1123" w:customStyle="1">
    <w:name w:val="Body Text 2 Char"/>
    <w:basedOn w:val="1044"/>
    <w:link w:val="1122"/>
    <w:uiPriority w:val="99"/>
    <w:pPr>
      <w:pBdr/>
      <w:spacing/>
      <w:ind/>
    </w:pPr>
    <w:rPr>
      <w:rFonts w:ascii="Arial" w:hAnsi="Arial"/>
    </w:rPr>
  </w:style>
  <w:style w:type="paragraph" w:styleId="1124">
    <w:name w:val="toc 5"/>
    <w:basedOn w:val="1034"/>
    <w:next w:val="1034"/>
    <w:uiPriority w:val="39"/>
    <w:unhideWhenUsed/>
    <w:pPr>
      <w:pBdr/>
      <w:spacing w:after="0" w:before="40" w:line="240" w:lineRule="auto"/>
      <w:ind w:left="662"/>
    </w:pPr>
    <w:rPr>
      <w:szCs w:val="20"/>
    </w:rPr>
  </w:style>
  <w:style w:type="paragraph" w:styleId="1125">
    <w:name w:val="toc 6"/>
    <w:basedOn w:val="1034"/>
    <w:next w:val="1034"/>
    <w:uiPriority w:val="39"/>
    <w:unhideWhenUsed/>
    <w:pPr>
      <w:pBdr/>
      <w:spacing w:after="0"/>
      <w:ind w:left="880"/>
    </w:pPr>
    <w:rPr>
      <w:rFonts w:asciiTheme="minorHAnsi" w:hAnsiTheme="minorHAnsi"/>
      <w:sz w:val="20"/>
      <w:szCs w:val="20"/>
    </w:rPr>
  </w:style>
  <w:style w:type="paragraph" w:styleId="1126">
    <w:name w:val="toc 7"/>
    <w:basedOn w:val="1034"/>
    <w:next w:val="1034"/>
    <w:uiPriority w:val="39"/>
    <w:unhideWhenUsed/>
    <w:pPr>
      <w:pBdr/>
      <w:spacing w:after="0"/>
      <w:ind w:left="1100"/>
    </w:pPr>
    <w:rPr>
      <w:rFonts w:asciiTheme="minorHAnsi" w:hAnsiTheme="minorHAnsi"/>
      <w:sz w:val="20"/>
      <w:szCs w:val="20"/>
    </w:rPr>
  </w:style>
  <w:style w:type="paragraph" w:styleId="1127">
    <w:name w:val="toc 8"/>
    <w:basedOn w:val="1034"/>
    <w:next w:val="1034"/>
    <w:uiPriority w:val="39"/>
    <w:unhideWhenUsed/>
    <w:pPr>
      <w:pBdr/>
      <w:spacing w:after="0"/>
      <w:ind w:left="1320"/>
    </w:pPr>
    <w:rPr>
      <w:rFonts w:asciiTheme="minorHAnsi" w:hAnsiTheme="minorHAnsi"/>
      <w:sz w:val="20"/>
      <w:szCs w:val="20"/>
    </w:rPr>
  </w:style>
  <w:style w:type="paragraph" w:styleId="1128">
    <w:name w:val="toc 9"/>
    <w:basedOn w:val="1034"/>
    <w:next w:val="1034"/>
    <w:uiPriority w:val="39"/>
    <w:unhideWhenUsed/>
    <w:pPr>
      <w:pBdr/>
      <w:spacing w:after="0"/>
      <w:ind w:left="1540"/>
    </w:pPr>
    <w:rPr>
      <w:rFonts w:asciiTheme="minorHAnsi" w:hAnsiTheme="minorHAnsi"/>
      <w:sz w:val="20"/>
      <w:szCs w:val="20"/>
    </w:rPr>
  </w:style>
  <w:style w:type="paragraph" w:styleId="1129" w:customStyle="1">
    <w:name w:val="Reference"/>
    <w:basedOn w:val="1130"/>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130">
    <w:name w:val="Body Text"/>
    <w:basedOn w:val="1034"/>
    <w:link w:val="1131"/>
    <w:uiPriority w:val="99"/>
    <w:semiHidden/>
    <w:unhideWhenUsed/>
    <w:pPr>
      <w:pBdr/>
      <w:spacing w:after="120"/>
      <w:ind/>
    </w:pPr>
  </w:style>
  <w:style w:type="character" w:styleId="1131" w:customStyle="1">
    <w:name w:val="Body Text Char"/>
    <w:basedOn w:val="1044"/>
    <w:link w:val="1130"/>
    <w:uiPriority w:val="99"/>
    <w:semiHidden/>
    <w:pPr>
      <w:pBdr/>
      <w:spacing/>
      <w:ind/>
    </w:pPr>
    <w:rPr>
      <w:rFonts w:ascii="Arial" w:hAnsi="Arial"/>
    </w:rPr>
  </w:style>
  <w:style w:type="paragraph" w:styleId="1132">
    <w:name w:val="Document Map"/>
    <w:basedOn w:val="1034"/>
    <w:link w:val="1133"/>
    <w:uiPriority w:val="99"/>
    <w:semiHidden/>
    <w:unhideWhenUsed/>
    <w:pPr>
      <w:pBdr/>
      <w:spacing w:after="0" w:line="240" w:lineRule="auto"/>
      <w:ind/>
    </w:pPr>
    <w:rPr>
      <w:rFonts w:ascii="Lucida Grande" w:hAnsi="Lucida Grande" w:cs="Lucida Grande"/>
      <w:sz w:val="24"/>
      <w:szCs w:val="24"/>
    </w:rPr>
  </w:style>
  <w:style w:type="character" w:styleId="1133" w:customStyle="1">
    <w:name w:val="Document Map Char"/>
    <w:basedOn w:val="1044"/>
    <w:link w:val="1132"/>
    <w:uiPriority w:val="99"/>
    <w:semiHidden/>
    <w:pPr>
      <w:pBdr/>
      <w:spacing/>
      <w:ind/>
    </w:pPr>
    <w:rPr>
      <w:rFonts w:ascii="Lucida Grande" w:hAnsi="Lucida Grande" w:cs="Lucida Grande"/>
      <w:sz w:val="24"/>
      <w:szCs w:val="24"/>
    </w:rPr>
  </w:style>
  <w:style w:type="table" w:styleId="1134">
    <w:name w:val="Grid Table 4 Accent 1"/>
    <w:basedOn w:val="1045"/>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Plain Table 3"/>
    <w:basedOn w:val="1045"/>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Plain Table 2"/>
    <w:basedOn w:val="1045"/>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ar5iv.labs.arxiv.org/html/2506.09958v1," TargetMode="External"/><Relationship Id="rId26" Type="http://schemas.openxmlformats.org/officeDocument/2006/relationships/hyperlink" Target="https://arxiv.org/abs/2210.10341" TargetMode="External"/><Relationship Id="rId27" Type="http://schemas.openxmlformats.org/officeDocument/2006/relationships/hyperlink" Target="https://ceur-ws.org/Vol-3497/paper-107.pdf" TargetMode="External"/><Relationship Id="rId28" Type="http://schemas.openxmlformats.org/officeDocument/2006/relationships/hyperlink" Target="https://arxiv.org/html/2412.07806v1" TargetMode="External"/><Relationship Id="rId29" Type="http://schemas.openxmlformats.org/officeDocument/2006/relationships/hyperlink" Target="https://aclanthology.org/N18-2094/" TargetMode="External"/><Relationship Id="rId30" Type="http://schemas.openxmlformats.org/officeDocument/2006/relationships/hyperlink" Target="https://doi.org/10.1038/sdata.2018.251" TargetMode="External"/><Relationship Id="rId31" Type="http://schemas.openxmlformats.org/officeDocument/2006/relationships/hyperlink" Target="https://doi.org/10.3390/app15062983." TargetMode="External"/><Relationship Id="rId32" Type="http://schemas.openxmlformats.org/officeDocument/2006/relationships/hyperlink" Target="https://www.imageclef.org/2023/medical/vqa" TargetMode="External"/><Relationship Id="rId33" Type="http://schemas.openxmlformats.org/officeDocument/2006/relationships/hyperlink" Target="https://doi.org/10.1016/j.gie.2022.10.010" TargetMode="External"/><Relationship Id="rId34" Type="http://schemas.openxmlformats.org/officeDocument/2006/relationships/hyperlink" Target="https://doi.org/10.1109/ICC51166.2024.10622271" TargetMode="External"/><Relationship Id="rId35" Type="http://schemas.openxmlformats.org/officeDocument/2006/relationships/hyperlink" Target="https://arxiv.org/abs/2505.22280" TargetMode="External"/><Relationship Id="rId36" Type="http://schemas.openxmlformats.org/officeDocument/2006/relationships/hyperlink" Target="https://doi.org/10.3390/app15062983" TargetMode="External"/><Relationship Id="rId37" Type="http://schemas.openxmlformats.org/officeDocument/2006/relationships/hyperlink" Target="https://doi.org/10.1016/j.gie.2022.10.010" TargetMode="External"/><Relationship Id="rId38" Type="http://schemas.openxmlformats.org/officeDocument/2006/relationships/hyperlink" Target="https://arxiv.org/html/2501.07109v1" TargetMode="External"/><Relationship Id="rId39" Type="http://schemas.openxmlformats.org/officeDocument/2006/relationships/hyperlink" Target="https://bmcgastroenterol.biomedcentral.com/articles/10.1186/s12876-022-02157-5" TargetMode="External"/><Relationship Id="rId40" Type="http://schemas.openxmlformats.org/officeDocument/2006/relationships/hyperlink" Target="https://aclanthology.org/2021.acl-short.90/" TargetMode="External"/><Relationship Id="rId41" Type="http://schemas.openxmlformats.org/officeDocument/2006/relationships/hyperlink" Target="https://arxiv.org/html/2409.01437v1" TargetMode="External"/><Relationship Id="rId42" Type="http://schemas.openxmlformats.org/officeDocument/2006/relationships/hyperlink" Target="https://web-backend.simula.no/sites/default/files/publications/files/cbms_2018_paper_163_preprint.pdf" TargetMode="External"/><Relationship Id="rId43" Type="http://schemas.openxmlformats.org/officeDocument/2006/relationships/hyperlink" Target="https://www.sciencedirect.com/science/article/pii/S2468900921000190" TargetMode="External"/><Relationship Id="rId44" Type="http://schemas.openxmlformats.org/officeDocument/2006/relationships/hyperlink" Target="https://arxiv.org/html/2410.00536v1" TargetMode="External"/><Relationship Id="rId45" Type="http://schemas.openxmlformats.org/officeDocument/2006/relationships/hyperlink" Target="https://www.nature.com/articles/s41597-023-01981-y" TargetMode="External"/><Relationship Id="rId46" Type="http://schemas.openxmlformats.org/officeDocument/2006/relationships/hyperlink" Target="https://pmc.ncbi.nlm.nih.gov/articles/PMC426595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8</cp:revision>
  <dcterms:modified xsi:type="dcterms:W3CDTF">2026-03-06T21:59:51Z</dcterms:modified>
</cp:coreProperties>
</file>