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CA5883" w14:textId="412F20B9">
      <w:pPr>
        <w:pStyle w:val="1058"/>
        <w:suppressLineNumbers w:val="false"/>
        <w:pBdr/>
        <w:spacing w:line="300" w:lineRule="auto"/>
        <w:ind/>
        <w:rPr/>
      </w:pPr>
      <w:r>
        <w:t xml:space="preserve">                                                                                                                                                                        </w:t>
      </w:r>
      <w:r>
        <w:t xml:space="preserve">Generative AI Based on Medical Visual Question Answering (VQA) Techniques</w:t>
      </w:r>
      <w:r/>
    </w:p>
    <w:p w14:paraId="13CB27D0" w14:textId="50B9AC34">
      <w:pPr>
        <w:pStyle w:val="1060"/>
        <w:suppressLineNumbers w:val="false"/>
        <w:pBdr/>
        <w:spacing w:line="300" w:lineRule="auto"/>
        <w:ind/>
        <w:rPr>
          <w:b/>
        </w:rPr>
      </w:pPr>
      <w:r>
        <w:rPr>
          <w:b/>
          <w:bCs/>
        </w:rPr>
        <w:t xml:space="preserve">by</w:t>
      </w:r>
      <w:r>
        <w:br/>
      </w:r>
      <w:r>
        <w:rPr>
          <w:b/>
          <w:bCs/>
        </w:rPr>
        <w:t xml:space="preserve">[</w:t>
      </w:r>
      <w:r>
        <w:rPr>
          <w:b/>
          <w:bCs/>
        </w:rPr>
        <w:t xml:space="preserve">Sarthak Kaushik</w:t>
      </w:r>
      <w:r>
        <w:rPr>
          <w:b/>
          <w:bCs/>
        </w:rPr>
        <w:t xml:space="preserve">]</w:t>
      </w:r>
      <w:r>
        <w:rPr>
          <w:b/>
        </w:rPr>
      </w:r>
      <w:r>
        <w:rPr>
          <w:b/>
        </w:rPr>
      </w:r>
    </w:p>
    <w:p w14:paraId="333A2FAA" w14:textId="50D887F3">
      <w:pPr>
        <w:pStyle w:val="1060"/>
        <w:suppressLineNumbers w:val="false"/>
        <w:pBdr/>
        <w:spacing w:line="300" w:lineRule="auto"/>
        <w:ind/>
        <w:rPr/>
      </w:pPr>
      <w:r>
        <w:t xml:space="preserve">Thesis</w:t>
      </w:r>
      <w:r>
        <w:t xml:space="preserve"> </w:t>
      </w:r>
      <w:r>
        <w:t xml:space="preserve">Submitted in Partial Fulfillment of the</w:t>
      </w:r>
      <w:r>
        <w:br/>
      </w:r>
      <w:r>
        <w:t xml:space="preserve">Requirements for the Degree of</w:t>
      </w:r>
      <w:r>
        <w:br/>
      </w:r>
      <w:r>
        <w:t xml:space="preserve">Master of</w:t>
      </w:r>
      <w:r>
        <w:t xml:space="preserve"> Computer Science</w:t>
      </w:r>
      <w:r/>
    </w:p>
    <w:p w14:paraId="5A436014" w14:textId="2AE8244C">
      <w:pPr>
        <w:pStyle w:val="1060"/>
        <w:suppressLineNumbers w:val="false"/>
        <w:pBdr/>
        <w:spacing w:line="300" w:lineRule="auto"/>
        <w:ind/>
        <w:rPr/>
      </w:pPr>
      <w:r>
        <w:t xml:space="preserve">i</w:t>
      </w:r>
      <w:r>
        <w:t xml:space="preserve">n the</w:t>
      </w:r>
      <w:r>
        <w:br/>
      </w:r>
      <w:r>
        <w:t xml:space="preserve">[</w:t>
      </w:r>
      <w:r>
        <w:t xml:space="preserve">Department of</w:t>
      </w:r>
      <w:r>
        <w:t xml:space="preserve"> Computer Science</w:t>
      </w:r>
      <w:r>
        <w:t xml:space="preserve">]</w:t>
      </w:r>
      <w:r>
        <w:br/>
      </w:r>
      <w:r>
        <w:t xml:space="preserve">[</w:t>
      </w:r>
      <w:r>
        <w:t xml:space="preserve">Faculty o</w:t>
      </w:r>
      <w:r>
        <w:t xml:space="preserve">f Computer Science</w:t>
      </w:r>
      <w:r>
        <w:t xml:space="preserve">]</w:t>
      </w:r>
      <w:r/>
    </w:p>
    <w:p w14:paraId="65C9B881" w14:textId="77777777">
      <w:pPr>
        <w:pStyle w:val="1060"/>
        <w:suppressLineNumbers w:val="false"/>
        <w:pBdr/>
        <w:spacing w:line="300" w:lineRule="auto"/>
        <w:ind/>
        <w:rPr/>
      </w:pPr>
      <w:r/>
      <w:r/>
    </w:p>
    <w:p w14:paraId="06B81385" w14:textId="16F92474">
      <w:pPr>
        <w:pStyle w:val="1060"/>
        <w:suppressLineNumbers w:val="false"/>
        <w:pBdr/>
        <w:spacing w:line="300" w:lineRule="auto"/>
        <w:ind/>
        <w:rPr/>
      </w:pPr>
      <w:r>
        <w:rPr>
          <w:rFonts w:cs="Arial"/>
        </w:rPr>
        <w:t xml:space="preserve">©</w:t>
      </w:r>
      <w:r>
        <w:t xml:space="preserve"> </w:t>
      </w:r>
      <w:r>
        <w:t xml:space="preserve">[</w:t>
      </w:r>
      <w:r>
        <w:t xml:space="preserve">Sarthak Kaushik</w:t>
      </w:r>
      <w:r>
        <w:t xml:space="preserve">]</w:t>
      </w:r>
      <w:r>
        <w:t xml:space="preserve"> </w:t>
      </w:r>
      <w:r>
        <w:t xml:space="preserve">2025</w:t>
      </w:r>
      <w:r>
        <w:br/>
      </w:r>
      <w:r>
        <w:t xml:space="preserve">LAKEHEAD</w:t>
      </w:r>
      <w:r>
        <w:t xml:space="preserve"> </w:t>
      </w:r>
      <w:r>
        <w:t xml:space="preserve">UNIVERSITY</w:t>
      </w:r>
      <w:r>
        <w:br/>
      </w:r>
      <w:r>
        <w:t xml:space="preserve">[</w:t>
      </w:r>
      <w:r>
        <w:t xml:space="preserve">April 2026</w:t>
      </w:r>
      <w:r>
        <w:t xml:space="preserve">]</w:t>
      </w:r>
      <w:r/>
    </w:p>
    <w:p w14:paraId="2DBEFD46" w14:textId="77777777">
      <w:pPr>
        <w:pStyle w:val="1060"/>
        <w:suppressLineNumbers w:val="false"/>
        <w:pBdr/>
        <w:spacing w:line="300" w:lineRule="auto"/>
        <w:ind/>
        <w:rPr/>
      </w:pPr>
      <w:r/>
      <w:r/>
    </w:p>
    <w:p w14:paraId="38105075" w14:textId="77777777">
      <w:pPr>
        <w:pStyle w:val="1055"/>
        <w:suppressLineNumbers w:val="false"/>
        <w:pBdr/>
        <w:spacing w:line="300" w:lineRule="auto"/>
        <w:ind/>
        <w:jc w:val="center"/>
        <w:rPr/>
      </w:pPr>
      <w:r/>
      <w:r/>
    </w:p>
    <w:p w14:paraId="1307437E" w14:textId="36D59F4F">
      <w:pPr>
        <w:pStyle w:val="1060"/>
        <w:suppressLineNumbers w:val="false"/>
        <w:pBdr/>
        <w:spacing w:line="300" w:lineRule="auto"/>
        <w:ind/>
        <w:rPr>
          <w:sz w:val="20"/>
          <w:szCs w:val="20"/>
        </w:rPr>
      </w:pPr>
      <w:r>
        <w:rPr>
          <w:sz w:val="20"/>
          <w:szCs w:val="20"/>
        </w:rPr>
        <w:t xml:space="preserve">Copyright in this work is held by the author. Please ensure that any reproduction </w:t>
      </w:r>
      <w:r>
        <w:br/>
      </w:r>
      <w:r>
        <w:rPr>
          <w:sz w:val="20"/>
          <w:szCs w:val="20"/>
        </w:rPr>
        <w:t xml:space="preserve">or re-use is done in accordance with the relevant national copyright legislation.</w:t>
      </w:r>
      <w:r>
        <w:rPr>
          <w:sz w:val="20"/>
          <w:szCs w:val="20"/>
        </w:rPr>
      </w:r>
      <w:r>
        <w:rPr>
          <w:sz w:val="20"/>
          <w:szCs w:val="20"/>
        </w:rPr>
      </w:r>
    </w:p>
    <w:p w14:paraId="228480A5" w14:textId="77777777">
      <w:pPr>
        <w:pStyle w:val="1063"/>
        <w:suppressLineNumbers w:val="false"/>
        <w:pBdr/>
        <w:spacing w:line="300" w:lineRule="auto"/>
        <w:ind/>
        <w:rPr/>
      </w:pPr>
      <w:r/>
      <w:bookmarkStart w:id="0" w:name="_Toc66285129"/>
      <w:r>
        <w:t xml:space="preserve">Declaration of Committee</w:t>
      </w:r>
      <w:bookmarkEnd w:id="0"/>
      <w:r/>
      <w:r/>
    </w:p>
    <w:tbl>
      <w:tblPr>
        <w:tblStyle w:val="1113"/>
        <w:tblW w:w="0" w:type="auto"/>
        <w:tblCellMar>
          <w:left w:w="115" w:type="dxa"/>
          <w:top w:w="29" w:type="dxa"/>
          <w:right w:w="115" w:type="dxa"/>
          <w:bottom w:w="29"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96"/>
        <w:gridCol w:w="866"/>
        <w:gridCol w:w="4578"/>
      </w:tblGrid>
      <w:tr>
        <w:trPr/>
        <w:tc>
          <w:tcPr>
            <w:tcBorders/>
            <w:tcW w:w="3196" w:type="dxa"/>
            <w:textDirection w:val="lrTb"/>
            <w:noWrap w:val="false"/>
          </w:tcPr>
          <w:p w14:paraId="5048088A" w14:textId="77777777">
            <w:pPr>
              <w:pStyle w:val="1089"/>
              <w:suppressLineNumbers w:val="false"/>
              <w:pBdr/>
              <w:spacing w:line="300" w:lineRule="auto"/>
              <w:ind/>
              <w:rPr>
                <w:b/>
              </w:rPr>
            </w:pPr>
            <w:r>
              <w:rPr>
                <w:b/>
              </w:rPr>
              <w:t xml:space="preserve">Name:</w:t>
            </w:r>
            <w:r>
              <w:rPr>
                <w:b/>
              </w:rPr>
            </w:r>
            <w:r>
              <w:rPr>
                <w:b/>
              </w:rPr>
            </w:r>
          </w:p>
        </w:tc>
        <w:tc>
          <w:tcPr>
            <w:gridSpan w:val="2"/>
            <w:tcBorders/>
            <w:tcW w:w="5444" w:type="dxa"/>
            <w:textDirection w:val="lrTb"/>
            <w:noWrap w:val="false"/>
          </w:tcPr>
          <w:p w14:paraId="767C84B9" w14:textId="511737C0">
            <w:pPr>
              <w:pStyle w:val="1089"/>
              <w:suppressLineNumbers w:val="false"/>
              <w:pBdr/>
              <w:spacing w:line="300" w:lineRule="auto"/>
              <w:ind/>
              <w:rPr>
                <w:b/>
                <w:bCs/>
              </w:rPr>
            </w:pPr>
            <w:r>
              <w:rPr>
                <w:b/>
                <w:bCs/>
              </w:rPr>
              <w:t xml:space="preserve">Sarthak Kaushi</w:t>
            </w:r>
            <w:r>
              <w:rPr>
                <w:b/>
                <w:bCs/>
              </w:rPr>
              <w:t xml:space="preserve">k</w:t>
            </w:r>
            <w:r>
              <w:rPr>
                <w:b/>
                <w:bCs/>
              </w:rPr>
            </w:r>
            <w:r>
              <w:rPr>
                <w:b/>
                <w:bCs/>
              </w:rPr>
            </w:r>
          </w:p>
        </w:tc>
      </w:tr>
      <w:tr>
        <w:trPr/>
        <w:tc>
          <w:tcPr>
            <w:tcBorders/>
            <w:tcW w:w="3196" w:type="dxa"/>
            <w:textDirection w:val="lrTb"/>
            <w:noWrap w:val="false"/>
          </w:tcPr>
          <w:p w14:paraId="762AE02A" w14:textId="77777777">
            <w:pPr>
              <w:pStyle w:val="1089"/>
              <w:suppressLineNumbers w:val="false"/>
              <w:pBdr/>
              <w:spacing w:line="300" w:lineRule="auto"/>
              <w:ind/>
              <w:rPr>
                <w:b/>
              </w:rPr>
            </w:pPr>
            <w:r>
              <w:rPr>
                <w:b/>
              </w:rPr>
              <w:t xml:space="preserve">Degree:</w:t>
            </w:r>
            <w:r>
              <w:rPr>
                <w:b/>
              </w:rPr>
            </w:r>
            <w:r>
              <w:rPr>
                <w:b/>
              </w:rPr>
            </w:r>
          </w:p>
        </w:tc>
        <w:tc>
          <w:tcPr>
            <w:gridSpan w:val="2"/>
            <w:tcBorders/>
            <w:tcW w:w="5444" w:type="dxa"/>
            <w:textDirection w:val="lrTb"/>
            <w:noWrap w:val="false"/>
          </w:tcPr>
          <w:p w14:paraId="65E69B80" w14:textId="7A01887E">
            <w:pPr>
              <w:pStyle w:val="1089"/>
              <w:suppressLineNumbers w:val="false"/>
              <w:pBdr/>
              <w:spacing w:line="300" w:lineRule="auto"/>
              <w:ind/>
              <w:rPr>
                <w:b/>
              </w:rPr>
            </w:pPr>
            <w:r>
              <w:rPr>
                <w:b/>
              </w:rPr>
              <w:t xml:space="preserve">Master of </w:t>
            </w:r>
            <w:r>
              <w:rPr>
                <w:b/>
              </w:rPr>
              <w:t xml:space="preserve">Computer Science</w:t>
            </w:r>
            <w:r>
              <w:rPr>
                <w:b/>
              </w:rPr>
            </w:r>
            <w:r>
              <w:rPr>
                <w:b/>
              </w:rPr>
            </w:r>
          </w:p>
        </w:tc>
      </w:tr>
      <w:tr>
        <w:trPr/>
        <w:tc>
          <w:tcPr>
            <w:tcBorders/>
            <w:tcW w:w="3196" w:type="dxa"/>
            <w:textDirection w:val="lrTb"/>
            <w:noWrap w:val="false"/>
          </w:tcPr>
          <w:p w14:paraId="1F00EF8E" w14:textId="5A1F1E5D">
            <w:pPr>
              <w:pStyle w:val="1089"/>
              <w:suppressLineNumbers w:val="false"/>
              <w:pBdr/>
              <w:spacing w:line="300" w:lineRule="auto"/>
              <w:ind/>
              <w:rPr>
                <w:b/>
              </w:rPr>
            </w:pPr>
            <w:r>
              <w:rPr>
                <w:b/>
              </w:rPr>
              <w:t xml:space="preserve">Title:</w:t>
            </w:r>
            <w:r>
              <w:rPr>
                <w:b/>
              </w:rPr>
            </w:r>
            <w:r>
              <w:rPr>
                <w:b/>
              </w:rPr>
            </w:r>
          </w:p>
        </w:tc>
        <w:tc>
          <w:tcPr>
            <w:gridSpan w:val="2"/>
            <w:tcBorders/>
            <w:tcW w:w="5444" w:type="dxa"/>
            <w:textDirection w:val="lrTb"/>
            <w:noWrap w:val="false"/>
          </w:tcPr>
          <w:p w14:paraId="01F2DD80" w14:textId="5F9C1390">
            <w:pPr>
              <w:pStyle w:val="1089"/>
              <w:suppressLineNumbers w:val="false"/>
              <w:pBdr/>
              <w:spacing w:line="300" w:lineRule="auto"/>
              <w:ind/>
              <w:rPr>
                <w:b/>
                <w:bCs/>
              </w:rPr>
            </w:pPr>
            <w:r>
              <w:rPr>
                <w:b/>
                <w:bCs/>
              </w:rPr>
              <w:t xml:space="preserve">Generative AI Based on Medical Visual Question Answering (VQA) Techniques</w:t>
            </w:r>
            <w:r>
              <w:rPr>
                <w:b/>
                <w:bCs/>
              </w:rPr>
            </w:r>
            <w:r>
              <w:rPr>
                <w:b/>
                <w:bCs/>
              </w:rPr>
            </w:r>
          </w:p>
        </w:tc>
      </w:tr>
      <w:tr>
        <w:trPr/>
        <w:tc>
          <w:tcPr>
            <w:tcBorders/>
            <w:tcW w:w="3196" w:type="dxa"/>
            <w:textDirection w:val="lrTb"/>
            <w:noWrap w:val="false"/>
          </w:tcPr>
          <w:p w14:paraId="6A335CEA" w14:textId="77777777">
            <w:pPr>
              <w:pStyle w:val="1089"/>
              <w:suppressLineNumbers w:val="false"/>
              <w:pBdr/>
              <w:spacing w:line="300" w:lineRule="auto"/>
              <w:ind/>
              <w:rPr>
                <w:b/>
              </w:rPr>
            </w:pPr>
            <w:r>
              <w:rPr>
                <w:b/>
              </w:rPr>
              <w:t xml:space="preserve">Committee:</w:t>
            </w:r>
            <w:r>
              <w:rPr>
                <w:b/>
              </w:rPr>
            </w:r>
            <w:r>
              <w:rPr>
                <w:b/>
              </w:rPr>
            </w:r>
          </w:p>
        </w:tc>
        <w:tc>
          <w:tcPr>
            <w:tcBorders/>
            <w:tcW w:w="866" w:type="dxa"/>
            <w:textDirection w:val="lrTb"/>
            <w:noWrap w:val="false"/>
          </w:tcPr>
          <w:p w14:paraId="4F8062AF" w14:textId="77777777">
            <w:pPr>
              <w:pStyle w:val="1089"/>
              <w:suppressLineNumbers w:val="false"/>
              <w:pBdr/>
              <w:spacing w:line="300" w:lineRule="auto"/>
              <w:ind/>
              <w:rPr>
                <w:b/>
              </w:rPr>
            </w:pPr>
            <w:r>
              <w:rPr>
                <w:b/>
              </w:rPr>
              <w:t xml:space="preserve">Chair:</w:t>
            </w:r>
            <w:r>
              <w:rPr>
                <w:b/>
              </w:rPr>
            </w:r>
            <w:r>
              <w:rPr>
                <w:b/>
              </w:rPr>
            </w:r>
          </w:p>
        </w:tc>
        <w:tc>
          <w:tcPr>
            <w:tcBorders/>
            <w:tcW w:w="4578" w:type="dxa"/>
            <w:textDirection w:val="lrTb"/>
            <w:noWrap w:val="false"/>
          </w:tcPr>
          <w:p w14:paraId="67A7F9A6" w14:textId="7F5B3135">
            <w:pPr>
              <w:pStyle w:val="1089"/>
              <w:suppressLineNumbers w:val="false"/>
              <w:pBdr/>
              <w:spacing w:line="300" w:lineRule="auto"/>
              <w:ind/>
              <w:rPr/>
            </w:pPr>
            <w:r>
              <w:rPr>
                <w:b/>
                <w:bCs/>
              </w:rPr>
              <w:t xml:space="preserve">[</w:t>
            </w:r>
            <w:r>
              <w:rPr>
                <w:b/>
                <w:bCs/>
              </w:rPr>
              <w:t xml:space="preserve">Dr. Sabah </w:t>
            </w:r>
            <w:r>
              <w:rPr>
                <w:b/>
                <w:bCs/>
              </w:rPr>
              <w:t xml:space="preserve">Mohammed]</w:t>
            </w:r>
            <w:r/>
          </w:p>
          <w:p w14:paraId="0B56C013" w14:textId="7CD78399">
            <w:pPr>
              <w:pStyle w:val="1089"/>
              <w:suppressLineNumbers w:val="false"/>
              <w:pBdr/>
              <w:spacing w:line="300" w:lineRule="auto"/>
              <w:ind/>
              <w:rPr/>
            </w:pPr>
            <w:r>
              <w:t xml:space="preserve">Supervisor</w:t>
            </w:r>
            <w:r>
              <w:br/>
            </w:r>
            <w:r>
              <w:t xml:space="preserve">[</w:t>
            </w:r>
            <w:r>
              <w:t xml:space="preserve">Chair, Department of Computer Science</w:t>
            </w:r>
            <w:r>
              <w:t xml:space="preserve">]</w:t>
            </w:r>
            <w:r/>
          </w:p>
        </w:tc>
      </w:tr>
      <w:tr>
        <w:trPr/>
        <w:tc>
          <w:tcPr>
            <w:tcBorders/>
            <w:tcW w:w="3196" w:type="dxa"/>
            <w:textDirection w:val="lrTb"/>
            <w:noWrap w:val="false"/>
          </w:tcPr>
          <w:p w14:paraId="717CF5DF" w14:textId="77777777">
            <w:pPr>
              <w:pStyle w:val="1089"/>
              <w:suppressLineNumbers w:val="false"/>
              <w:pBdr/>
              <w:spacing w:line="300" w:lineRule="auto"/>
              <w:ind/>
              <w:rPr>
                <w:b/>
              </w:rPr>
            </w:pPr>
            <w:r>
              <w:rPr>
                <w:b/>
              </w:rPr>
            </w:r>
            <w:r>
              <w:rPr>
                <w:b/>
              </w:rPr>
            </w:r>
            <w:r>
              <w:rPr>
                <w:b/>
              </w:rPr>
            </w:r>
          </w:p>
        </w:tc>
        <w:tc>
          <w:tcPr>
            <w:gridSpan w:val="2"/>
            <w:tcBorders/>
            <w:tcW w:w="5444" w:type="dxa"/>
            <w:textDirection w:val="lrTb"/>
            <w:noWrap w:val="false"/>
          </w:tcPr>
          <w:p w14:paraId="61F17128" w14:textId="43A49BD2">
            <w:pPr>
              <w:pStyle w:val="1089"/>
              <w:suppressLineNumbers w:val="false"/>
              <w:pBdr/>
              <w:spacing w:line="300" w:lineRule="auto"/>
              <w:ind/>
              <w:rPr/>
            </w:pPr>
            <w:r>
              <w:rPr>
                <w:b/>
                <w:bCs/>
              </w:rPr>
              <w:t xml:space="preserve">[</w:t>
            </w:r>
            <w:r>
              <w:rPr>
                <w:b/>
                <w:bCs/>
              </w:rPr>
              <w:t xml:space="preserve">Dr. Jinan </w:t>
            </w:r>
            <w:r>
              <w:rPr>
                <w:b/>
                <w:bCs/>
              </w:rPr>
              <w:t xml:space="preserve">Fiaidhi</w:t>
            </w:r>
            <w:r>
              <w:rPr>
                <w:b/>
                <w:bCs/>
              </w:rPr>
              <w:t xml:space="preserve">]</w:t>
            </w:r>
            <w:r>
              <w:br/>
            </w:r>
            <w:r>
              <w:t xml:space="preserve">Supervisor</w:t>
            </w:r>
            <w:r>
              <w:br/>
            </w:r>
            <w:r>
              <w:t xml:space="preserve">[</w:t>
            </w:r>
            <w:r>
              <w:t xml:space="preserve">Full Professor</w:t>
            </w:r>
            <w:r>
              <w:t xml:space="preserve">, </w:t>
            </w:r>
            <w:r>
              <w:t xml:space="preserve">Department of Computer Science</w:t>
            </w:r>
            <w:r>
              <w:t xml:space="preserve">]</w:t>
            </w:r>
            <w:r/>
          </w:p>
        </w:tc>
      </w:tr>
      <w:tr>
        <w:trPr/>
        <w:tc>
          <w:tcPr>
            <w:tcBorders/>
            <w:tcW w:w="3196" w:type="dxa"/>
            <w:textDirection w:val="lrTb"/>
            <w:noWrap w:val="false"/>
          </w:tcPr>
          <w:p w14:paraId="295F3AC7" w14:textId="77777777">
            <w:pPr>
              <w:pStyle w:val="1089"/>
              <w:suppressLineNumbers w:val="false"/>
              <w:pBdr/>
              <w:spacing w:line="300" w:lineRule="auto"/>
              <w:ind/>
              <w:rPr>
                <w:b/>
              </w:rPr>
            </w:pPr>
            <w:r>
              <w:rPr>
                <w:b/>
              </w:rPr>
            </w:r>
            <w:r>
              <w:rPr>
                <w:b/>
              </w:rPr>
            </w:r>
            <w:r>
              <w:rPr>
                <w:b/>
              </w:rPr>
            </w:r>
          </w:p>
        </w:tc>
        <w:tc>
          <w:tcPr>
            <w:gridSpan w:val="2"/>
            <w:tcBorders/>
            <w:tcW w:w="5444" w:type="dxa"/>
            <w:textDirection w:val="lrTb"/>
            <w:noWrap w:val="false"/>
          </w:tcPr>
          <w:p w14:paraId="455EB2AB" w14:textId="2DE30CCD">
            <w:pPr>
              <w:pStyle w:val="1089"/>
              <w:suppressLineNumbers w:val="false"/>
              <w:pBdr/>
              <w:spacing w:line="300" w:lineRule="auto"/>
              <w:ind/>
              <w:rPr>
                <w:b/>
                <w:bCs/>
              </w:rPr>
            </w:pPr>
            <w:r>
              <w:rPr>
                <w:b/>
                <w:bCs/>
              </w:rPr>
            </w:r>
            <w:r>
              <w:rPr>
                <w:b/>
                <w:bCs/>
              </w:rPr>
            </w:r>
            <w:r>
              <w:rPr>
                <w:b/>
                <w:bCs/>
              </w:rPr>
            </w:r>
          </w:p>
        </w:tc>
      </w:tr>
    </w:tbl>
    <w:p w14:paraId="5CDFA64C" w14:textId="77777777">
      <w:pPr>
        <w:pStyle w:val="1055"/>
        <w:suppressLineNumbers w:val="false"/>
        <w:pBdr/>
        <w:spacing w:line="300" w:lineRule="auto"/>
        <w:ind/>
        <w:rPr/>
      </w:pPr>
      <w:r/>
      <w:r/>
    </w:p>
    <w:p w14:paraId="737AF15A" w14:textId="4E89F67E">
      <w:pPr>
        <w:pStyle w:val="1063"/>
        <w:suppressLineNumbers w:val="false"/>
        <w:pBdr/>
        <w:spacing w:line="300" w:lineRule="auto"/>
        <w:ind/>
        <w:rPr/>
      </w:pPr>
      <w:r/>
      <w:bookmarkStart w:id="1" w:name="_Toc66285130"/>
      <w:r>
        <w:t xml:space="preserve">Ethics Statement</w:t>
      </w:r>
      <w:bookmarkEnd w:id="1"/>
      <w:r/>
      <w:r/>
    </w:p>
    <w:p w14:paraId="1DC20FB9" w14:textId="5A59ED0F">
      <w:pPr>
        <w:pStyle w:val="1079"/>
        <w:suppressLineNumbers w:val="false"/>
        <w:pBdr/>
        <w:spacing w:line="300" w:lineRule="auto"/>
        <w:ind/>
        <w:jc w:val="left"/>
        <w:rPr/>
      </w:pPr>
      <w:r/>
      <w:r/>
    </w:p>
    <w:p w14:paraId="27BA7813" w14:textId="77777777">
      <w:pPr>
        <w:pStyle w:val="1063"/>
        <w:suppressLineNumbers w:val="false"/>
        <w:pBdr/>
        <w:spacing w:line="300" w:lineRule="auto"/>
        <w:ind/>
        <w:rPr/>
      </w:pPr>
      <w:r/>
      <w:bookmarkStart w:id="2" w:name="_Toc66285131"/>
      <w:r>
        <w:t xml:space="preserve">Abstract</w:t>
      </w:r>
      <w:bookmarkEnd w:id="2"/>
      <w:r/>
      <w:r/>
    </w:p>
    <w:p w14:paraId="1A7AE1EC">
      <w:pPr>
        <w:suppressLineNumbers w:val="false"/>
        <w:pBdr/>
        <w:spacing w:after="100" w:afterAutospacing="1" w:before="100" w:beforeAutospacing="1" w:line="300" w:lineRule="auto"/>
        <w:ind/>
        <w:rPr/>
      </w:pPr>
      <w:r>
        <w:rPr>
          <w:rFonts w:eastAsia="Times New Roman" w:cs="Arial"/>
          <w:lang w:val="en-IN" w:eastAsia="en-IN"/>
        </w:rPr>
        <w:t xml:space="preserve">M</w:t>
      </w:r>
      <w:r>
        <w:rPr>
          <w:rFonts w:eastAsia="Times New Roman" w:cs="Arial"/>
          <w:lang w:val="en-IN" w:eastAsia="en-IN"/>
        </w:rPr>
        <w:t xml:space="preserve">edical Visual Question Answering (MedVQA) promises a more useful interface for clinical AI than standalone classifiers because it allows clinicians to query images directly in natural language. In gastrointestinal (GI) endoscopy, this capability is especia</w:t>
      </w:r>
      <w:r>
        <w:rPr>
          <w:rFonts w:eastAsia="Times New Roman" w:cs="Arial"/>
          <w:lang w:val="en-IN" w:eastAsia="en-IN"/>
        </w:rPr>
        <w:t xml:space="preserve">l</w:t>
      </w:r>
      <w:r>
        <w:rPr>
          <w:rFonts w:eastAsia="Times New Roman" w:cs="Arial"/>
          <w:lang w:val="en-IN" w:eastAsia="en-IN"/>
        </w:rPr>
        <w:t xml:space="preserve">ly relevant for high-volume, high-variability workflows such as ulcerative colitis severity grading, polyp assessment, and procedure documentation. However, practical MedVQA remains limited by dataset bias, long-tail label imbalance, weak lexical grounding</w:t>
      </w:r>
      <w:r>
        <w:rPr>
          <w:rFonts w:eastAsia="Times New Roman" w:cs="Arial"/>
          <w:lang w:val="en-IN" w:eastAsia="en-IN"/>
        </w:rPr>
        <w:t xml:space="preserve"> in free-text generation, and inconsistent clinical faithfulness across question types.</w:t>
      </w:r>
      <w:r>
        <w:rPr>
          <w:rFonts w:eastAsia="Times New Roman" w:cs="Arial"/>
          <w:lang w:val="en-IN" w:eastAsia="en-IN"/>
        </w:rPr>
      </w:r>
      <w:r/>
    </w:p>
    <w:p w14:paraId="4CA5C5B0">
      <w:pPr>
        <w:suppressLineNumbers w:val="false"/>
        <w:pBdr/>
        <w:spacing w:after="100" w:afterAutospacing="1" w:before="100" w:beforeAutospacing="1" w:line="300" w:lineRule="auto"/>
        <w:ind/>
        <w:rPr/>
      </w:pPr>
      <w:r>
        <w:rPr>
          <w:rFonts w:eastAsia="Times New Roman" w:cs="Arial"/>
          <w:lang w:val="en-IN" w:eastAsia="en-IN"/>
        </w:rPr>
        <w:t xml:space="preserve">T</w:t>
      </w:r>
      <w:r>
        <w:rPr>
          <w:rFonts w:eastAsia="Times New Roman" w:cs="Arial"/>
          <w:lang w:val="en-IN" w:eastAsia="en-IN"/>
        </w:rPr>
        <w:t xml:space="preserve">his dissertation investigates these limitations and develops a clinically oriented VQA framework for colonoscopy. The work is grounded in multi-dataset experimentation across HyperKvasir, Kvasir-VQA, Kvasir-VQA-x1, ImageCLEF MEDVQA-GI 2023, and LIMUC, cove</w:t>
      </w:r>
      <w:r>
        <w:rPr>
          <w:rFonts w:eastAsia="Times New Roman" w:cs="Arial"/>
          <w:lang w:val="en-IN" w:eastAsia="en-IN"/>
        </w:rPr>
        <w:t xml:space="preserve">r</w:t>
      </w:r>
      <w:r>
        <w:rPr>
          <w:rFonts w:eastAsia="Times New Roman" w:cs="Arial"/>
          <w:lang w:val="en-IN" w:eastAsia="en-IN"/>
        </w:rPr>
        <w:t xml:space="preserve">ing both closed-set and generative settings. Repository benchmarks show a clear pattern: supervised or constrained models remain substantially stronger than raw zero-shot VLMs on current GI tasks. In our saved runs, ViLT reaches 0.9089 accuracy on ImageCLE</w:t>
      </w:r>
      <w:r>
        <w:rPr>
          <w:rFonts w:eastAsia="Times New Roman" w:cs="Arial"/>
          <w:lang w:val="en-IN" w:eastAsia="en-IN"/>
        </w:rPr>
        <w:t xml:space="preserve">F</w:t>
      </w:r>
      <w:r>
        <w:rPr>
          <w:rFonts w:eastAsia="Times New Roman" w:cs="Arial"/>
          <w:lang w:val="en-IN" w:eastAsia="en-IN"/>
        </w:rPr>
        <w:t xml:space="preserve"> MEDVQA-GI validation, while Qwen2.5-VL zero-shot raw outputs collapse to 0.0007 accuracy before lexical projection. On HyperKvasir, fine-tuned ResNet50 reaches 0.8789 test accuracy, while BLIP2 zero-shot projected labels remain low (0.0638). On LIMUC seve</w:t>
      </w:r>
      <w:r>
        <w:rPr>
          <w:rFonts w:eastAsia="Times New Roman" w:cs="Arial"/>
          <w:lang w:val="en-IN" w:eastAsia="en-IN"/>
        </w:rPr>
        <w:t xml:space="preserve">rity grading, fine-tuned ResNet50 attains 0.7539 accuracy, macro-F1 0.6829, and QWK 0.8351, with persistent minority-class difficulty.</w:t>
      </w:r>
      <w:r>
        <w:rPr>
          <w:rFonts w:eastAsia="Times New Roman" w:cs="Arial"/>
          <w:lang w:val="en-IN" w:eastAsia="en-IN"/>
        </w:rPr>
      </w:r>
      <w:r/>
    </w:p>
    <w:p w14:paraId="78E5AD53">
      <w:pPr>
        <w:suppressLineNumbers w:val="false"/>
        <w:pBdr/>
        <w:spacing w:after="100" w:afterAutospacing="1" w:before="100" w:beforeAutospacing="1" w:line="300" w:lineRule="auto"/>
        <w:ind/>
        <w:rPr/>
      </w:pPr>
      <w:r>
        <w:rPr>
          <w:rFonts w:eastAsia="Times New Roman" w:cs="Arial"/>
          <w:lang w:val="en-IN" w:eastAsia="en-IN"/>
        </w:rPr>
        <w:t xml:space="preserve">T</w:t>
      </w:r>
      <w:r>
        <w:rPr>
          <w:rFonts w:eastAsia="Times New Roman" w:cs="Arial"/>
          <w:lang w:val="en-IN" w:eastAsia="en-IN"/>
        </w:rPr>
        <w:t xml:space="preserve">hese findings motivate the thesis direction: move from score-only pipelines toward clinically grounded, evidence-aware multimodal reasoning that combines (1) robust visual recognition, (2) question-aware answer generation, and (3) retrieval-supported justi</w:t>
      </w:r>
      <w:r>
        <w:rPr>
          <w:rFonts w:eastAsia="Times New Roman" w:cs="Arial"/>
          <w:lang w:val="en-IN" w:eastAsia="en-IN"/>
        </w:rPr>
        <w:t xml:space="preserve">f</w:t>
      </w:r>
      <w:r>
        <w:rPr>
          <w:rFonts w:eastAsia="Times New Roman" w:cs="Arial"/>
          <w:lang w:val="en-IN" w:eastAsia="en-IN"/>
        </w:rPr>
        <w:t xml:space="preserve">ication for higher-risk decisions. The dissertation contributes a structured research agenda, scenario-driven evaluation design, and an implementation pathway for integrating VQA with retrieval-augmented generation (RAG) in GI decision support. The long-te</w:t>
      </w:r>
      <w:r>
        <w:rPr>
          <w:rFonts w:eastAsia="Times New Roman" w:cs="Arial"/>
          <w:lang w:val="en-IN" w:eastAsia="en-IN"/>
        </w:rPr>
        <w:t xml:space="preserve">rm objective is an assistant that does not only classify findings, but can explain, qualify uncertainty, and align outputs with clinician workflow and evidence-based care.</w:t>
      </w:r>
      <w:r>
        <w:rPr>
          <w:rFonts w:eastAsia="Times New Roman" w:cs="Arial"/>
          <w:lang w:val="en-IN" w:eastAsia="en-IN"/>
        </w:rPr>
      </w:r>
      <w:r/>
    </w:p>
    <w:p w14:paraId="60A59B6A" w14:textId="77777777">
      <w:pPr>
        <w:suppressLineNumbers w:val="false"/>
        <w:pBdr/>
        <w:spacing w:after="100" w:afterAutospacing="1" w:before="100" w:beforeAutospacing="1" w:line="300" w:lineRule="auto"/>
        <w:ind/>
        <w:rPr>
          <w:rFonts w:eastAsia="Times New Roman" w:cs="Arial"/>
        </w:rPr>
      </w:pPr>
      <w:r>
        <w:rPr>
          <w:rFonts w:eastAsia="Times New Roman" w:cs="Arial"/>
          <w:lang w:val="en-IN" w:eastAsia="en-IN"/>
        </w:rPr>
        <w:t xml:space="preserve">Keywords: medical visual question answering, gastrointestinal endoscopy, colonoscopy, ulcerative colitis, vision-language models, retrieval-augmented generation, clinical decision support</w:t>
      </w:r>
      <w:r>
        <w:rPr>
          <w:rFonts w:eastAsia="Times New Roman" w:cs="Arial"/>
        </w:rPr>
      </w:r>
      <w:r>
        <w:rPr>
          <w:rFonts w:eastAsia="Times New Roman" w:cs="Arial"/>
        </w:rPr>
      </w:r>
    </w:p>
    <w:p w14:paraId="279134F9" w14:textId="77777777">
      <w:pPr>
        <w:pStyle w:val="1063"/>
        <w:suppressLineNumbers w:val="false"/>
        <w:pBdr/>
        <w:spacing w:line="300" w:lineRule="auto"/>
        <w:ind/>
        <w:rPr>
          <w:color w:val="auto"/>
        </w:rPr>
      </w:pPr>
      <w:r>
        <w:rPr>
          <w:color w:val="auto"/>
        </w:rPr>
        <w:t xml:space="preserve">Dedication</w:t>
      </w:r>
      <w:r>
        <w:rPr>
          <w:color w:val="auto"/>
        </w:rPr>
      </w:r>
      <w:r>
        <w:rPr>
          <w:color w:val="auto"/>
        </w:rPr>
      </w:r>
    </w:p>
    <w:p w14:paraId="2F5AEE33" w14:textId="77777777">
      <w:pPr>
        <w:pStyle w:val="1063"/>
        <w:suppressLineNumbers w:val="false"/>
        <w:pBdr/>
        <w:spacing w:line="300" w:lineRule="auto"/>
        <w:ind/>
        <w:rPr/>
      </w:pPr>
      <w:r/>
      <w:bookmarkStart w:id="4" w:name="_Toc66285133"/>
      <w:r>
        <w:t xml:space="preserve">Acknowledgements</w:t>
      </w:r>
      <w:bookmarkEnd w:id="4"/>
      <w:r/>
      <w:r/>
    </w:p>
    <w:p w14:paraId="5E728AC9" w14:textId="65820004">
      <w:pPr>
        <w:pStyle w:val="1056"/>
        <w:suppressLineNumbers w:val="false"/>
        <w:pBdr/>
        <w:spacing w:line="300" w:lineRule="auto"/>
        <w:ind/>
        <w:rPr/>
      </w:pPr>
      <w:r>
        <w:t xml:space="preserve">This is an optional page. </w:t>
      </w:r>
      <w:r>
        <w:t xml:space="preserve">Use</w:t>
      </w:r>
      <w:r>
        <w:t xml:space="preserve"> your choice of paragraph style</w:t>
      </w:r>
      <w:r>
        <w:t xml:space="preserve"> for text on this page (</w:t>
      </w:r>
      <w:r>
        <w:rPr>
          <w:b/>
        </w:rPr>
        <w:t xml:space="preserve">1_Para</w:t>
      </w:r>
      <w:r>
        <w:t xml:space="preserve"> shown here).</w:t>
      </w:r>
      <w:r/>
    </w:p>
    <w:p w14:paraId="6B431FCD" w14:textId="77777777">
      <w:pPr>
        <w:pStyle w:val="1063"/>
        <w:suppressLineNumbers w:val="false"/>
        <w:pBdr/>
        <w:tabs>
          <w:tab w:val="left" w:leader="none" w:pos="1170"/>
        </w:tabs>
        <w:spacing w:line="300" w:lineRule="auto"/>
        <w:ind/>
        <w:rPr/>
      </w:pPr>
      <w:r/>
      <w:bookmarkStart w:id="5" w:name="_Toc66285134"/>
      <w:r>
        <w:t xml:space="preserve">Table of Contents</w:t>
      </w:r>
      <w:bookmarkEnd w:id="5"/>
      <w:r/>
      <w:r/>
    </w:p>
    <w:p w14:paraId="70615491">
      <w:pPr>
        <w:pStyle w:val="1068"/>
        <w:suppressLineNumbers w:val="false"/>
        <w:pBdr/>
        <w:spacing w:line="300" w:lineRule="auto"/>
        <w:ind/>
        <w:rPr>
          <w:rFonts w:ascii="Arial" w:hAnsi="Arial" w:cs="Arial"/>
        </w:rPr>
      </w:pPr>
      <w:r>
        <w:rPr>
          <w:rFonts w:ascii="Arial" w:hAnsi="Arial" w:eastAsia="Arial" w:cs="Arial"/>
          <w:sz w:val="20"/>
        </w:rPr>
        <w:fldChar w:fldCharType="begin"/>
      </w:r>
      <w:r>
        <w:rPr>
          <w:rFonts w:ascii="Arial" w:hAnsi="Arial" w:eastAsia="Arial" w:cs="Arial"/>
          <w:sz w:val="20"/>
        </w:rPr>
        <w:instrText xml:space="preserve"> TOC \o "1-4" \h \z \u </w:instrText>
      </w:r>
      <w:r>
        <w:rPr>
          <w:rFonts w:ascii="Arial" w:hAnsi="Arial" w:eastAsia="Arial" w:cs="Arial"/>
          <w:sz w:val="20"/>
        </w:rPr>
        <w:fldChar w:fldCharType="separate"/>
      </w:r>
      <w:r>
        <w:rPr>
          <w:rFonts w:ascii="Arial" w:hAnsi="Arial" w:eastAsia="Arial" w:cs="Arial" w:eastAsiaTheme="minorEastAsia"/>
          <w:bCs w:val="0"/>
          <w:szCs w:val="22"/>
        </w:rPr>
        <w:t xml:space="preserve">Declaration of Committee ................................................................................................ ii</w:t>
      </w:r>
      <w:r>
        <w:rPr>
          <w:rFonts w:ascii="Arial" w:hAnsi="Arial" w:cs="Arial"/>
        </w:rPr>
      </w:r>
      <w:r>
        <w:rPr>
          <w:rFonts w:ascii="Arial" w:hAnsi="Arial" w:cs="Arial"/>
        </w:rPr>
      </w:r>
    </w:p>
    <w:p w14:paraId="75A7DF95">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Ethics Statement ............................................................................................................. iii</w:t>
      </w:r>
      <w:r>
        <w:rPr>
          <w:rFonts w:ascii="Arial" w:hAnsi="Arial" w:cs="Arial"/>
        </w:rPr>
      </w:r>
      <w:r>
        <w:rPr>
          <w:rFonts w:ascii="Arial" w:hAnsi="Arial" w:cs="Arial"/>
        </w:rPr>
      </w:r>
    </w:p>
    <w:p w14:paraId="2353674D">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Abstract ........................................................................................................................... iv</w:t>
      </w:r>
      <w:r>
        <w:rPr>
          <w:rFonts w:ascii="Arial" w:hAnsi="Arial" w:cs="Arial"/>
        </w:rPr>
      </w:r>
      <w:r>
        <w:rPr>
          <w:rFonts w:ascii="Arial" w:hAnsi="Arial" w:cs="Arial"/>
        </w:rPr>
      </w:r>
    </w:p>
    <w:p w14:paraId="11501C8F">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Dedication ........................................................................................................................ v</w:t>
      </w:r>
      <w:r>
        <w:rPr>
          <w:rFonts w:ascii="Arial" w:hAnsi="Arial" w:cs="Arial"/>
        </w:rPr>
      </w:r>
      <w:r>
        <w:rPr>
          <w:rFonts w:ascii="Arial" w:hAnsi="Arial" w:cs="Arial"/>
        </w:rPr>
      </w:r>
    </w:p>
    <w:p w14:paraId="249DB12D">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Acknowledgments ........................................................................................................... vi</w:t>
      </w:r>
      <w:r>
        <w:rPr>
          <w:rFonts w:ascii="Arial" w:hAnsi="Arial" w:cs="Arial"/>
        </w:rPr>
      </w:r>
      <w:r>
        <w:rPr>
          <w:rFonts w:ascii="Arial" w:hAnsi="Arial" w:cs="Arial"/>
        </w:rPr>
      </w:r>
    </w:p>
    <w:p w14:paraId="471ECEE5">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Table of Contents ........................................................................................................... vii</w:t>
      </w:r>
      <w:r>
        <w:rPr>
          <w:rFonts w:ascii="Arial" w:hAnsi="Arial" w:cs="Arial"/>
        </w:rPr>
      </w:r>
      <w:r>
        <w:rPr>
          <w:rFonts w:ascii="Arial" w:hAnsi="Arial" w:cs="Arial"/>
        </w:rPr>
      </w:r>
    </w:p>
    <w:p w14:paraId="3F93BBB8">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List of Tables ................................................................................................................. viii</w:t>
      </w:r>
      <w:r>
        <w:rPr>
          <w:rFonts w:ascii="Arial" w:hAnsi="Arial" w:cs="Arial"/>
        </w:rPr>
      </w:r>
      <w:r>
        <w:rPr>
          <w:rFonts w:ascii="Arial" w:hAnsi="Arial" w:cs="Arial"/>
        </w:rPr>
      </w:r>
    </w:p>
    <w:p w14:paraId="41EB7F72">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List of Figures ................................................................................................................. ix</w:t>
      </w:r>
      <w:r>
        <w:rPr>
          <w:rFonts w:ascii="Arial" w:hAnsi="Arial" w:cs="Arial"/>
        </w:rPr>
      </w:r>
      <w:r>
        <w:rPr>
          <w:rFonts w:ascii="Arial" w:hAnsi="Arial" w:cs="Arial"/>
        </w:rPr>
      </w:r>
    </w:p>
    <w:p w14:paraId="500CAE5C">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List of Acronyms .............................................................................................................. x</w:t>
      </w:r>
      <w:r>
        <w:rPr>
          <w:rFonts w:ascii="Arial" w:hAnsi="Arial" w:cs="Arial"/>
        </w:rPr>
      </w:r>
      <w:r>
        <w:rPr>
          <w:rFonts w:ascii="Arial" w:hAnsi="Arial" w:cs="Arial"/>
        </w:rPr>
      </w:r>
    </w:p>
    <w:p w14:paraId="43BB55A4">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Glossary .......................................................................................................................... xi</w:t>
      </w:r>
      <w:r>
        <w:rPr>
          <w:rFonts w:ascii="Arial" w:hAnsi="Arial" w:cs="Arial"/>
        </w:rPr>
      </w:r>
      <w:r>
        <w:rPr>
          <w:rFonts w:ascii="Arial" w:hAnsi="Arial" w:cs="Arial"/>
        </w:rPr>
      </w:r>
    </w:p>
    <w:p w14:paraId="47388DA9">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Preface/Executive Summary/Image ............................................................................... xii</w:t>
      </w:r>
      <w:r>
        <w:rPr>
          <w:rFonts w:ascii="Arial" w:hAnsi="Arial" w:cs="Arial"/>
        </w:rPr>
      </w:r>
      <w:r>
        <w:rPr>
          <w:rFonts w:ascii="Arial" w:hAnsi="Arial" w:cs="Arial"/>
        </w:rPr>
      </w:r>
    </w:p>
    <w:p w14:paraId="2BD86F5E">
      <w:pPr>
        <w:pStyle w:val="1068"/>
        <w:suppressLineNumbers w:val="false"/>
        <w:pBdr/>
        <w:spacing w:line="300" w:lineRule="auto"/>
        <w:ind/>
        <w:rPr>
          <w:rFonts w:ascii="Arial" w:hAnsi="Arial" w:cs="Arial"/>
        </w:rPr>
      </w:pPr>
      <w:r>
        <w:rPr>
          <w:rFonts w:ascii="Arial" w:hAnsi="Arial" w:eastAsia="Arial" w:cs="Arial" w:eastAsiaTheme="minorEastAsia"/>
          <w:b/>
          <w:bCs/>
          <w:szCs w:val="22"/>
        </w:rPr>
        <w:t xml:space="preserve">Chapter 1. Introduction</w:t>
      </w:r>
      <w:r>
        <w:rPr>
          <w:rFonts w:ascii="Arial" w:hAnsi="Arial" w:eastAsia="Arial" w:cs="Arial" w:eastAsiaTheme="minorEastAsia"/>
          <w:bCs w:val="0"/>
          <w:szCs w:val="22"/>
        </w:rPr>
        <w:t xml:space="preserve"> ................................................................................................. 1</w:t>
      </w:r>
      <w:r>
        <w:rPr>
          <w:rFonts w:ascii="Arial" w:hAnsi="Arial" w:cs="Arial"/>
        </w:rPr>
      </w:r>
      <w:r>
        <w:rPr>
          <w:rFonts w:ascii="Arial" w:hAnsi="Arial" w:cs="Arial"/>
        </w:rPr>
      </w:r>
    </w:p>
    <w:p w14:paraId="218FB89A">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- 1.1 Background and Motivation ..................................................................................... 2</w:t>
      </w:r>
      <w:r>
        <w:rPr>
          <w:rFonts w:ascii="Arial" w:hAnsi="Arial" w:cs="Arial"/>
        </w:rPr>
      </w:r>
      <w:r>
        <w:rPr>
          <w:rFonts w:ascii="Arial" w:hAnsi="Arial" w:cs="Arial"/>
        </w:rPr>
      </w:r>
    </w:p>
    <w:p w14:paraId="06004D18">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- 1.2 Why GI Endoscopy and Colonoscopy ..................................................................... 4</w:t>
      </w:r>
      <w:r>
        <w:rPr>
          <w:rFonts w:ascii="Arial" w:hAnsi="Arial" w:cs="Arial"/>
        </w:rPr>
      </w:r>
      <w:r>
        <w:rPr>
          <w:rFonts w:ascii="Arial" w:hAnsi="Arial" w:cs="Arial"/>
        </w:rPr>
      </w:r>
    </w:p>
    <w:p w14:paraId="300F052F">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- 1.3 Clinical Motivation: Ulcerative Colitis Severity as a Flagship Use Case ................. 5</w:t>
      </w:r>
      <w:r>
        <w:rPr>
          <w:rFonts w:ascii="Arial" w:hAnsi="Arial" w:cs="Arial"/>
        </w:rPr>
      </w:r>
      <w:r>
        <w:rPr>
          <w:rFonts w:ascii="Arial" w:hAnsi="Arial" w:cs="Arial"/>
        </w:rPr>
      </w:r>
    </w:p>
    <w:p w14:paraId="204C482C">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- 1.4 Problem Statement ................................................................................................. 7</w:t>
      </w:r>
      <w:r>
        <w:rPr>
          <w:rFonts w:ascii="Arial" w:hAnsi="Arial" w:cs="Arial"/>
        </w:rPr>
      </w:r>
      <w:r>
        <w:rPr>
          <w:rFonts w:ascii="Arial" w:hAnsi="Arial" w:cs="Arial"/>
        </w:rPr>
      </w:r>
    </w:p>
    <w:p w14:paraId="788E3ED1">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- 1.5 Aim and Objectives ................................................................................................. 9</w:t>
      </w:r>
      <w:r>
        <w:rPr>
          <w:rFonts w:ascii="Arial" w:hAnsi="Arial" w:cs="Arial"/>
        </w:rPr>
      </w:r>
      <w:r>
        <w:rPr>
          <w:rFonts w:ascii="Arial" w:hAnsi="Arial" w:cs="Arial"/>
        </w:rPr>
      </w:r>
    </w:p>
    <w:p w14:paraId="4716553F">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- 1.6 Research Questions .............................................................................................. 10</w:t>
      </w:r>
      <w:r>
        <w:rPr>
          <w:rFonts w:ascii="Arial" w:hAnsi="Arial" w:cs="Arial"/>
        </w:rPr>
      </w:r>
      <w:r>
        <w:rPr>
          <w:rFonts w:ascii="Arial" w:hAnsi="Arial" w:cs="Arial"/>
        </w:rPr>
      </w:r>
    </w:p>
    <w:p w14:paraId="3B338609">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- 1.7 Scope, Assumptions, and Delimitations ................................................................ 11</w:t>
      </w:r>
      <w:r>
        <w:rPr>
          <w:rFonts w:ascii="Arial" w:hAnsi="Arial" w:cs="Arial"/>
        </w:rPr>
      </w:r>
      <w:r>
        <w:rPr>
          <w:rFonts w:ascii="Arial" w:hAnsi="Arial" w:cs="Arial"/>
        </w:rPr>
      </w:r>
    </w:p>
    <w:p w14:paraId="16E1E2D5">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- 1.8 Scenario-Driven Framing ...................................................................................... 13</w:t>
      </w:r>
      <w:r>
        <w:rPr>
          <w:rFonts w:ascii="Arial" w:hAnsi="Arial" w:cs="Arial"/>
        </w:rPr>
      </w:r>
      <w:r>
        <w:rPr>
          <w:rFonts w:ascii="Arial" w:hAnsi="Arial" w:cs="Arial"/>
        </w:rPr>
      </w:r>
    </w:p>
    <w:p w14:paraId="719F77B8">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- 1.9 Conceptual Framework and System Flow ............................................................ 14</w:t>
      </w:r>
      <w:r>
        <w:rPr>
          <w:rFonts w:ascii="Arial" w:hAnsi="Arial" w:cs="Arial"/>
        </w:rPr>
      </w:r>
      <w:r>
        <w:rPr>
          <w:rFonts w:ascii="Arial" w:hAnsi="Arial" w:cs="Arial"/>
        </w:rPr>
      </w:r>
    </w:p>
    <w:p w14:paraId="14F739E7">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- 1.10 Contributions Claimed in This Dissertation ......................................................... 16</w:t>
      </w:r>
      <w:r>
        <w:rPr>
          <w:rFonts w:ascii="Arial" w:hAnsi="Arial" w:cs="Arial"/>
        </w:rPr>
      </w:r>
      <w:r>
        <w:rPr>
          <w:rFonts w:ascii="Arial" w:hAnsi="Arial" w:cs="Arial"/>
        </w:rPr>
      </w:r>
    </w:p>
    <w:p w14:paraId="1DF772F1">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- 1.11 Chapter-by-Chapter Summary ............................................................................ 16</w:t>
      </w:r>
      <w:r>
        <w:rPr>
          <w:rFonts w:ascii="Arial" w:hAnsi="Arial" w:cs="Arial"/>
        </w:rPr>
      </w:r>
      <w:r>
        <w:rPr>
          <w:rFonts w:ascii="Arial" w:hAnsi="Arial" w:cs="Arial"/>
        </w:rPr>
      </w:r>
    </w:p>
    <w:p w14:paraId="4AA05F10">
      <w:pPr>
        <w:pStyle w:val="1068"/>
        <w:suppressLineNumbers w:val="false"/>
        <w:pBdr/>
        <w:spacing w:line="300" w:lineRule="auto"/>
        <w:ind/>
        <w:rPr>
          <w:rFonts w:ascii="Arial" w:hAnsi="Arial" w:cs="Arial"/>
        </w:rPr>
      </w:pPr>
      <w:r>
        <w:rPr>
          <w:rFonts w:ascii="Arial" w:hAnsi="Arial" w:eastAsia="Arial" w:cs="Arial" w:eastAsiaTheme="minorEastAsia"/>
          <w:b/>
          <w:bCs/>
          <w:szCs w:val="22"/>
        </w:rPr>
        <w:t xml:space="preserve">Chapter 2. Survey of VQA in Medicine with Application to Colonoscopy</w:t>
      </w:r>
      <w:r>
        <w:rPr>
          <w:rFonts w:ascii="Arial" w:hAnsi="Arial" w:eastAsia="Arial" w:cs="Arial" w:eastAsiaTheme="minorEastAsia"/>
          <w:bCs w:val="0"/>
          <w:szCs w:val="22"/>
        </w:rPr>
        <w:t xml:space="preserve">.............. 18</w:t>
      </w:r>
      <w:r>
        <w:rPr>
          <w:rFonts w:ascii="Arial" w:hAnsi="Arial" w:cs="Arial"/>
        </w:rPr>
      </w:r>
      <w:r>
        <w:rPr>
          <w:rFonts w:ascii="Arial" w:hAnsi="Arial" w:cs="Arial"/>
        </w:rPr>
      </w:r>
    </w:p>
    <w:p w14:paraId="612ED5E9">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- 2.1 Introduction ........................................................................................................... 19</w:t>
      </w:r>
      <w:r>
        <w:rPr>
          <w:rFonts w:ascii="Arial" w:hAnsi="Arial" w:cs="Arial"/>
        </w:rPr>
      </w:r>
      <w:r>
        <w:rPr>
          <w:rFonts w:ascii="Arial" w:hAnsi="Arial" w:cs="Arial"/>
        </w:rPr>
      </w:r>
    </w:p>
    <w:p w14:paraId="7BD900A0">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- 2.2 Scoping Review Design ........................................................................................ 20</w:t>
      </w:r>
      <w:r>
        <w:rPr>
          <w:rFonts w:ascii="Arial" w:hAnsi="Arial" w:cs="Arial"/>
        </w:rPr>
      </w:r>
      <w:r>
        <w:rPr>
          <w:rFonts w:ascii="Arial" w:hAnsi="Arial" w:cs="Arial"/>
        </w:rPr>
      </w:r>
    </w:p>
    <w:p w14:paraId="1B30B803">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- 2.3 Evolution of VQA Methods: From General AI to Clinical MedVQA ....................... 22</w:t>
      </w:r>
      <w:r>
        <w:rPr>
          <w:rFonts w:ascii="Arial" w:hAnsi="Arial" w:cs="Arial"/>
        </w:rPr>
      </w:r>
      <w:r>
        <w:rPr>
          <w:rFonts w:ascii="Arial" w:hAnsi="Arial" w:cs="Arial"/>
        </w:rPr>
      </w:r>
    </w:p>
    <w:p w14:paraId="79F3D432">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- 2.4 Dataset and Benchmark Landscape ..................................................................... 23</w:t>
      </w:r>
      <w:r>
        <w:rPr>
          <w:rFonts w:ascii="Arial" w:hAnsi="Arial" w:cs="Arial"/>
        </w:rPr>
      </w:r>
      <w:r>
        <w:rPr>
          <w:rFonts w:ascii="Arial" w:hAnsi="Arial" w:cs="Arial"/>
        </w:rPr>
      </w:r>
    </w:p>
    <w:p w14:paraId="2DD2889E">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- 2.5 Survey of Technique Families ............................................................................... 25</w:t>
      </w:r>
      <w:r>
        <w:rPr>
          <w:rFonts w:ascii="Arial" w:hAnsi="Arial" w:cs="Arial"/>
        </w:rPr>
      </w:r>
      <w:r>
        <w:rPr>
          <w:rFonts w:ascii="Arial" w:hAnsi="Arial" w:cs="Arial"/>
        </w:rPr>
      </w:r>
    </w:p>
    <w:p w14:paraId="64990361">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- 2.6 Evaluation Practices in the Literature .................................................................... 28</w:t>
      </w:r>
      <w:r>
        <w:rPr>
          <w:rFonts w:ascii="Arial" w:hAnsi="Arial" w:cs="Arial"/>
        </w:rPr>
      </w:r>
      <w:r>
        <w:rPr>
          <w:rFonts w:ascii="Arial" w:hAnsi="Arial" w:cs="Arial"/>
        </w:rPr>
      </w:r>
    </w:p>
    <w:p w14:paraId="3DBA77E9">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- 2.7 Scenario-Oriented Technique Suitability for Colonoscopy .................................... 31</w:t>
      </w:r>
      <w:r>
        <w:rPr>
          <w:rFonts w:ascii="Arial" w:hAnsi="Arial" w:cs="Arial"/>
        </w:rPr>
      </w:r>
      <w:r>
        <w:rPr>
          <w:rFonts w:ascii="Arial" w:hAnsi="Arial" w:cs="Arial"/>
        </w:rPr>
      </w:r>
    </w:p>
    <w:p w14:paraId="4CC8FE2B">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- 2.8 2024-2026 Trends in MedVQA Research ............................................................. 31</w:t>
      </w:r>
      <w:r>
        <w:rPr>
          <w:rFonts w:ascii="Arial" w:hAnsi="Arial" w:cs="Arial"/>
        </w:rPr>
      </w:r>
      <w:r>
        <w:rPr>
          <w:rFonts w:ascii="Arial" w:hAnsi="Arial" w:cs="Arial"/>
        </w:rPr>
      </w:r>
    </w:p>
    <w:p w14:paraId="63DFC225">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- 2.9 Evidence Triangulation with Repository Results ................................................... 32</w:t>
      </w:r>
      <w:r>
        <w:rPr>
          <w:rFonts w:ascii="Arial" w:hAnsi="Arial" w:cs="Arial"/>
        </w:rPr>
      </w:r>
      <w:r>
        <w:rPr>
          <w:rFonts w:ascii="Arial" w:hAnsi="Arial" w:cs="Arial"/>
        </w:rPr>
      </w:r>
    </w:p>
    <w:p w14:paraId="4604A9D2">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- 2.10 Key Gaps and Open Problems ............................................................................ 33</w:t>
      </w:r>
      <w:r>
        <w:rPr>
          <w:rFonts w:ascii="Arial" w:hAnsi="Arial" w:cs="Arial"/>
        </w:rPr>
      </w:r>
      <w:r>
        <w:rPr>
          <w:rFonts w:ascii="Arial" w:hAnsi="Arial" w:cs="Arial"/>
        </w:rPr>
      </w:r>
    </w:p>
    <w:p w14:paraId="443497C3">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- 2.11 Chapter Summary and Transition ........................................................................ 34</w:t>
      </w:r>
      <w:r>
        <w:rPr>
          <w:rFonts w:ascii="Arial" w:hAnsi="Arial" w:cs="Arial"/>
        </w:rPr>
      </w:r>
      <w:r>
        <w:rPr>
          <w:rFonts w:ascii="Arial" w:hAnsi="Arial" w:cs="Arial"/>
        </w:rPr>
      </w:r>
    </w:p>
    <w:p w14:paraId="35526A9B">
      <w:pPr>
        <w:pStyle w:val="1068"/>
        <w:suppressLineNumbers w:val="false"/>
        <w:pBdr/>
        <w:spacing w:line="300" w:lineRule="auto"/>
        <w:ind/>
        <w:rPr>
          <w:rFonts w:ascii="Arial" w:hAnsi="Arial" w:cs="Arial"/>
        </w:rPr>
      </w:pPr>
      <w:r>
        <w:rPr>
          <w:rFonts w:ascii="Arial" w:hAnsi="Arial" w:eastAsia="Arial" w:cs="Arial" w:eastAsiaTheme="minorEastAsia"/>
          <w:b/>
          <w:bCs/>
          <w:szCs w:val="22"/>
        </w:rPr>
        <w:t xml:space="preserve">Chapter 3. Investigating Existing VQA Techniques Across GI-Endoscopy       Datasets</w:t>
      </w:r>
      <w:r>
        <w:rPr>
          <w:rFonts w:ascii="Arial" w:hAnsi="Arial" w:eastAsia="Arial" w:cs="Arial" w:eastAsiaTheme="minorEastAsia"/>
          <w:bCs w:val="0"/>
          <w:szCs w:val="22"/>
        </w:rPr>
        <w:t xml:space="preserve"> ...............................................................................................................35</w:t>
      </w:r>
      <w:r>
        <w:rPr>
          <w:rFonts w:ascii="Arial" w:hAnsi="Arial" w:cs="Arial"/>
        </w:rPr>
      </w:r>
      <w:r>
        <w:rPr>
          <w:rFonts w:ascii="Arial" w:hAnsi="Arial" w:cs="Arial"/>
        </w:rPr>
      </w:r>
    </w:p>
    <w:p w14:paraId="06E3111E">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- 3.1 Chapter Overview and Evaluation Goal ................................................................ 35</w:t>
      </w:r>
      <w:r>
        <w:rPr>
          <w:rFonts w:ascii="Arial" w:hAnsi="Arial" w:cs="Arial"/>
        </w:rPr>
      </w:r>
      <w:r>
        <w:rPr>
          <w:rFonts w:ascii="Arial" w:hAnsi="Arial" w:cs="Arial"/>
        </w:rPr>
      </w:r>
    </w:p>
    <w:p w14:paraId="3E9C691A">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- 3.2 Experimental Scenarios and Data Regimes .......................................................... 38</w:t>
      </w:r>
      <w:r>
        <w:rPr>
          <w:rFonts w:ascii="Arial" w:hAnsi="Arial" w:cs="Arial"/>
        </w:rPr>
      </w:r>
      <w:r>
        <w:rPr>
          <w:rFonts w:ascii="Arial" w:hAnsi="Arial" w:cs="Arial"/>
        </w:rPr>
      </w:r>
    </w:p>
    <w:p w14:paraId="0F4B176E">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- 3.3 Evaluation Metrics and Statistical Protocol ............................................................ 44</w:t>
      </w:r>
      <w:r>
        <w:rPr>
          <w:rFonts w:ascii="Arial" w:hAnsi="Arial" w:cs="Arial"/>
        </w:rPr>
      </w:r>
      <w:r>
        <w:rPr>
          <w:rFonts w:ascii="Arial" w:hAnsi="Arial" w:cs="Arial"/>
        </w:rPr>
      </w:r>
    </w:p>
    <w:p w14:paraId="19249B51">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- 3.4 Baseline and Existing-Model Results .................................................................... 50</w:t>
      </w:r>
      <w:r>
        <w:rPr>
          <w:rFonts w:ascii="Arial" w:hAnsi="Arial" w:cs="Arial"/>
        </w:rPr>
      </w:r>
      <w:r>
        <w:rPr>
          <w:rFonts w:ascii="Arial" w:hAnsi="Arial" w:cs="Arial"/>
        </w:rPr>
      </w:r>
    </w:p>
    <w:p w14:paraId="538B0E2E">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- 3.5 Cross-Dataset Synthesis and Findings ................................................................. 62</w:t>
      </w:r>
      <w:r>
        <w:rPr>
          <w:rFonts w:ascii="Arial" w:hAnsi="Arial" w:cs="Arial"/>
        </w:rPr>
      </w:r>
      <w:r>
        <w:rPr>
          <w:rFonts w:ascii="Arial" w:hAnsi="Arial" w:cs="Arial"/>
        </w:rPr>
      </w:r>
    </w:p>
    <w:p w14:paraId="54755D64">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- 3.6 Position After Chapter 3 ........................................................................................ 65</w:t>
      </w:r>
      <w:r>
        <w:rPr>
          <w:rFonts w:ascii="Arial" w:hAnsi="Arial" w:cs="Arial"/>
        </w:rPr>
      </w:r>
      <w:r>
        <w:rPr>
          <w:rFonts w:ascii="Arial" w:hAnsi="Arial" w:cs="Arial"/>
        </w:rPr>
      </w:r>
    </w:p>
    <w:p w14:paraId="53FF13A8">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- 3.7 Artifact Manifest for Figures and Tables ................................................................ 65</w:t>
      </w:r>
      <w:r>
        <w:rPr>
          <w:rFonts w:ascii="Arial" w:hAnsi="Arial" w:cs="Arial"/>
        </w:rPr>
      </w:r>
      <w:r>
        <w:rPr>
          <w:rFonts w:ascii="Arial" w:hAnsi="Arial" w:cs="Arial"/>
        </w:rPr>
      </w:r>
    </w:p>
    <w:p w14:paraId="6F6A5ED1">
      <w:pPr>
        <w:pStyle w:val="1068"/>
        <w:suppressLineNumbers w:val="false"/>
        <w:pBdr/>
        <w:spacing w:line="300" w:lineRule="auto"/>
        <w:ind/>
        <w:rPr>
          <w:rFonts w:ascii="Arial" w:hAnsi="Arial" w:cs="Arial"/>
        </w:rPr>
      </w:pPr>
      <w:r>
        <w:rPr>
          <w:rFonts w:ascii="Arial" w:hAnsi="Arial" w:eastAsia="Arial" w:cs="Arial" w:eastAsiaTheme="minorEastAsia"/>
          <w:bCs w:val="0"/>
          <w:szCs w:val="22"/>
        </w:rPr>
        <w:t xml:space="preserve">- 3.8 Figures and Tables Checklist ................................................................................ 65</w:t>
      </w:r>
      <w:r>
        <w:rPr>
          <w:rFonts w:ascii="Arial" w:hAnsi="Arial" w:cs="Arial"/>
        </w:rPr>
      </w:r>
      <w:r>
        <w:rPr>
          <w:rFonts w:ascii="Arial" w:hAnsi="Arial" w:cs="Arial"/>
        </w:rPr>
      </w:r>
    </w:p>
    <w:p w14:paraId="13EF3C93">
      <w:pPr>
        <w:pStyle w:val="1068"/>
        <w:suppressLineNumbers w:val="false"/>
        <w:pBdr/>
        <w:spacing w:line="300" w:lineRule="auto"/>
        <w:ind/>
        <w:rPr>
          <w:rFonts w:ascii="Arial" w:hAnsi="Arial" w:cs="Arial"/>
        </w:rPr>
      </w:pPr>
      <w:r>
        <w:rPr>
          <w:rFonts w:ascii="Arial" w:hAnsi="Arial" w:eastAsia="Arial" w:cs="Arial" w:eastAsiaTheme="minorEastAsia"/>
          <w:b/>
          <w:bCs/>
          <w:szCs w:val="22"/>
        </w:rPr>
        <w:t xml:space="preserve">References </w:t>
      </w:r>
      <w:r>
        <w:rPr>
          <w:rFonts w:ascii="Arial" w:hAnsi="Arial" w:eastAsia="Arial" w:cs="Arial" w:eastAsiaTheme="minorEastAsia"/>
          <w:bCs w:val="0"/>
          <w:szCs w:val="22"/>
        </w:rPr>
        <w:t xml:space="preserve">................................................................................................................... </w:t>
      </w:r>
      <w:r>
        <w:rPr>
          <w:rFonts w:ascii="Arial" w:hAnsi="Arial" w:cs="Arial"/>
        </w:rPr>
      </w:r>
      <w:r>
        <w:rPr>
          <w:rFonts w:ascii="Arial" w:hAnsi="Arial" w:cs="Arial"/>
        </w:rPr>
      </w:r>
    </w:p>
    <w:p w14:paraId="14B2237F">
      <w:pPr>
        <w:pBdr/>
        <w:spacing/>
        <w:ind/>
        <w:rPr/>
      </w:pPr>
      <w:r>
        <w:rPr>
          <w:rFonts w:asciiTheme="minorHAnsi" w:hAnsiTheme="minorHAnsi" w:eastAsiaTheme="minorEastAsia"/>
          <w:bCs w:val="0"/>
          <w:szCs w:val="22"/>
        </w:rPr>
      </w:r>
      <w:r>
        <w:rPr>
          <w:rFonts w:asciiTheme="minorHAnsi" w:hAnsiTheme="minorHAnsi" w:eastAsiaTheme="minorEastAsia"/>
          <w:bCs w:val="0"/>
          <w:szCs w:val="22"/>
        </w:rPr>
      </w:r>
      <w:r/>
    </w:p>
    <w:p w14:paraId="09CC846E">
      <w:pPr>
        <w:pStyle w:val="1068"/>
        <w:suppressLineNumbers w:val="false"/>
        <w:pBdr/>
        <w:spacing w:line="300" w:lineRule="auto"/>
        <w:ind/>
        <w:rPr>
          <w:rFonts w:asciiTheme="minorHAnsi" w:hAnsiTheme="minorHAnsi" w:eastAsiaTheme="minorEastAsia"/>
        </w:rPr>
      </w:pPr>
      <w:r>
        <w:rPr>
          <w:rFonts w:asciiTheme="minorHAnsi" w:hAnsiTheme="minorHAnsi" w:eastAsiaTheme="minorEastAsia"/>
          <w:bCs w:val="0"/>
          <w:szCs w:val="22"/>
        </w:rPr>
      </w:r>
      <w:r>
        <w:rPr>
          <w:rFonts w:asciiTheme="minorHAnsi" w:hAnsiTheme="minorHAnsi" w:eastAsiaTheme="minorEastAsia"/>
        </w:rPr>
      </w:r>
      <w:r>
        <w:rPr>
          <w:rFonts w:asciiTheme="minorHAnsi" w:hAnsiTheme="minorHAnsi" w:eastAsiaTheme="minorEastAsia"/>
        </w:rPr>
      </w:r>
    </w:p>
    <w:p w14:paraId="20F8E0D7" w14:textId="77777777">
      <w:pPr>
        <w:pStyle w:val="1063"/>
        <w:suppressLineNumbers w:val="false"/>
        <w:pBdr/>
        <w:spacing w:line="300" w:lineRule="auto"/>
        <w:ind/>
        <w:rPr/>
      </w:pPr>
      <w:r/>
      <w:bookmarkStart w:id="6" w:name="_Toc66285135"/>
      <w:r>
        <w:t xml:space="preserve">List of Tables</w:t>
      </w:r>
      <w:bookmarkEnd w:id="6"/>
      <w:r/>
      <w:r/>
    </w:p>
    <w:p w14:paraId="67B0D2B1" w14:textId="18DB8D31">
      <w:pPr>
        <w:pStyle w:val="1056"/>
        <w:suppressLineNumbers w:val="false"/>
        <w:pBdr/>
        <w:spacing w:line="300" w:lineRule="auto"/>
        <w:ind/>
        <w:rPr/>
      </w:pPr>
      <w:r>
        <w:rPr>
          <w:lang w:val="en-US"/>
        </w:rPr>
        <w:fldChar w:fldCharType="begin"/>
      </w:r>
      <w:r>
        <w:instrText xml:space="preserve"> TOC \c "Table" </w:instrText>
      </w:r>
      <w:r>
        <w:rPr>
          <w:lang w:val="en-US"/>
        </w:rPr>
        <w:fldChar w:fldCharType="separate"/>
      </w:r>
      <w:r>
        <w:rPr>
          <w:b/>
          <w:bCs/>
          <w:lang w:val="en-US"/>
        </w:rPr>
        <w:t xml:space="preserve">No table of figures entries found.</w:t>
      </w:r>
      <w:r>
        <w:fldChar w:fldCharType="end"/>
      </w:r>
      <w:r/>
    </w:p>
    <w:p w14:paraId="200A737F" w14:textId="601E7AB1">
      <w:pPr>
        <w:pStyle w:val="1055"/>
        <w:suppressLineNumbers w:val="false"/>
        <w:pBdr/>
        <w:spacing w:line="300" w:lineRule="auto"/>
        <w:ind/>
        <w:rPr>
          <w:highlight w:val="yellow"/>
        </w:rPr>
      </w:pPr>
      <w:r>
        <w:rPr>
          <w:highlight w:val="yellow"/>
        </w:rPr>
        <w:t xml:space="preserve">Use References&gt;Insert Caption to create caption labels and numbers. Right-click on the text above and select Update Field to update this list. See the Thesis Template Instructions for information on creating tables, figures, and captions.</w:t>
      </w:r>
      <w:r>
        <w:rPr>
          <w:highlight w:val="yellow"/>
        </w:rPr>
      </w:r>
      <w:r>
        <w:rPr>
          <w:highlight w:val="yellow"/>
        </w:rPr>
      </w:r>
    </w:p>
    <w:p w14:paraId="15B5B926" w14:textId="77777777">
      <w:pPr>
        <w:pStyle w:val="1055"/>
        <w:suppressLineNumbers w:val="false"/>
        <w:pBdr/>
        <w:spacing w:line="300" w:lineRule="auto"/>
        <w:ind/>
        <w:rPr>
          <w:highlight w:val="yellow"/>
        </w:rPr>
      </w:pPr>
      <w:r>
        <w:rPr>
          <w:highlight w:val="yellow"/>
        </w:rPr>
        <w:t xml:space="preserve">Remember to delete this note before submission. </w:t>
      </w:r>
      <w:r>
        <w:rPr>
          <w:highlight w:val="yellow"/>
        </w:rPr>
      </w:r>
      <w:r>
        <w:rPr>
          <w:highlight w:val="yellow"/>
        </w:rPr>
      </w:r>
    </w:p>
    <w:p w14:paraId="5B6E05D4" w14:textId="778C94E2">
      <w:pPr>
        <w:pStyle w:val="1055"/>
        <w:suppressLineNumbers w:val="false"/>
        <w:pBdr/>
        <w:spacing w:line="300" w:lineRule="auto"/>
        <w:ind/>
        <w:rPr/>
      </w:pPr>
      <w:r>
        <w:rPr>
          <w:highlight w:val="yellow"/>
        </w:rPr>
        <w:t xml:space="preserve">If there are no tables in the document, remove this page.</w:t>
      </w:r>
      <w:r/>
    </w:p>
    <w:p w14:paraId="058FCE8F" w14:textId="77777777">
      <w:pPr>
        <w:pStyle w:val="1063"/>
        <w:suppressLineNumbers w:val="false"/>
        <w:pBdr/>
        <w:spacing w:line="300" w:lineRule="auto"/>
        <w:ind/>
        <w:rPr/>
      </w:pPr>
      <w:r/>
      <w:bookmarkStart w:id="7" w:name="_Toc66285136"/>
      <w:r>
        <w:t xml:space="preserve">List of Figures</w:t>
      </w:r>
      <w:bookmarkEnd w:id="7"/>
      <w:r/>
      <w:r/>
    </w:p>
    <w:p w14:paraId="449CDAE5" w14:textId="77777777">
      <w:pPr>
        <w:pStyle w:val="1056"/>
        <w:suppressLineNumbers w:val="false"/>
        <w:pBdr/>
        <w:spacing w:line="300" w:lineRule="auto"/>
        <w:ind/>
        <w:rPr/>
      </w:pPr>
      <w:r/>
      <w:r/>
    </w:p>
    <w:p w14:paraId="43EE6F4B" w14:textId="77777777">
      <w:pPr>
        <w:pStyle w:val="1063"/>
        <w:suppressLineNumbers w:val="false"/>
        <w:pBdr/>
        <w:spacing w:line="300" w:lineRule="auto"/>
        <w:ind/>
        <w:rPr/>
      </w:pPr>
      <w:r/>
      <w:bookmarkStart w:id="8" w:name="_Toc66285137"/>
      <w:r>
        <w:t xml:space="preserve">List of Acronyms</w:t>
      </w:r>
      <w:bookmarkEnd w:id="8"/>
      <w:r/>
      <w:r/>
    </w:p>
    <w:tbl>
      <w:tblPr>
        <w:tblStyle w:val="111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trPr/>
        <w:tc>
          <w:tcPr>
            <w:tcBorders/>
            <w:tcW w:w="1800" w:type="dxa"/>
            <w:textDirection w:val="lrTb"/>
            <w:noWrap w:val="false"/>
          </w:tcPr>
          <w:p w14:paraId="17DF34DE" w14:textId="77777777">
            <w:pPr>
              <w:pStyle w:val="1089"/>
              <w:suppressLineNumbers w:val="false"/>
              <w:pBdr/>
              <w:spacing w:line="300" w:lineRule="auto"/>
              <w:ind/>
              <w:rPr/>
            </w:pPr>
            <w:r/>
            <w:r/>
          </w:p>
        </w:tc>
        <w:tc>
          <w:tcPr>
            <w:tcBorders/>
            <w:tcW w:w="6830" w:type="dxa"/>
            <w:textDirection w:val="lrTb"/>
            <w:noWrap w:val="false"/>
          </w:tcPr>
          <w:p w14:paraId="68FBECE8" w14:textId="77777777">
            <w:pPr>
              <w:pStyle w:val="1089"/>
              <w:suppressLineNumbers w:val="false"/>
              <w:pBdr/>
              <w:spacing w:line="300" w:lineRule="auto"/>
              <w:ind/>
              <w:rPr/>
            </w:pPr>
            <w:r/>
            <w:r/>
          </w:p>
        </w:tc>
      </w:tr>
      <w:tr>
        <w:trPr/>
        <w:tc>
          <w:tcPr>
            <w:tcBorders/>
            <w:tcW w:w="1800" w:type="dxa"/>
            <w:textDirection w:val="lrTb"/>
            <w:noWrap w:val="false"/>
          </w:tcPr>
          <w:p w14:paraId="0E94A983" w14:textId="77777777">
            <w:pPr>
              <w:pStyle w:val="1089"/>
              <w:suppressLineNumbers w:val="false"/>
              <w:pBdr/>
              <w:spacing w:line="300" w:lineRule="auto"/>
              <w:ind/>
              <w:rPr/>
            </w:pPr>
            <w:r/>
            <w:r/>
          </w:p>
        </w:tc>
        <w:tc>
          <w:tcPr>
            <w:tcBorders/>
            <w:tcW w:w="6830" w:type="dxa"/>
            <w:textDirection w:val="lrTb"/>
            <w:noWrap w:val="false"/>
          </w:tcPr>
          <w:p w14:paraId="7837B5A4" w14:textId="77777777">
            <w:pPr>
              <w:pStyle w:val="1089"/>
              <w:suppressLineNumbers w:val="false"/>
              <w:pBdr/>
              <w:spacing w:line="300" w:lineRule="auto"/>
              <w:ind/>
              <w:rPr/>
            </w:pPr>
            <w:r/>
            <w:r/>
          </w:p>
        </w:tc>
      </w:tr>
    </w:tbl>
    <w:p w14:paraId="1B68C9C0" w14:textId="77777777">
      <w:pPr>
        <w:pStyle w:val="1056"/>
        <w:suppressLineNumbers w:val="false"/>
        <w:pBdr/>
        <w:spacing w:line="300" w:lineRule="auto"/>
        <w:ind/>
        <w:rPr/>
      </w:pPr>
      <w:r/>
      <w:r/>
    </w:p>
    <w:p w14:paraId="1E1089D8" w14:textId="77777777">
      <w:pPr>
        <w:pStyle w:val="1063"/>
        <w:suppressLineNumbers w:val="false"/>
        <w:pBdr/>
        <w:spacing w:line="300" w:lineRule="auto"/>
        <w:ind/>
        <w:rPr/>
      </w:pPr>
      <w:r/>
      <w:bookmarkStart w:id="9" w:name="_Toc66285138"/>
      <w:r>
        <w:t xml:space="preserve">Glossary</w:t>
      </w:r>
      <w:bookmarkEnd w:id="9"/>
      <w:r/>
      <w:r/>
    </w:p>
    <w:tbl>
      <w:tblPr>
        <w:tblStyle w:val="111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trPr/>
        <w:tc>
          <w:tcPr>
            <w:tcBorders/>
            <w:tcW w:w="2785" w:type="dxa"/>
            <w:textDirection w:val="lrTb"/>
            <w:noWrap w:val="false"/>
          </w:tcPr>
          <w:p w14:paraId="7B84D4B1" w14:textId="0FF2DCF6">
            <w:pPr>
              <w:pStyle w:val="1089"/>
              <w:suppressLineNumbers w:val="false"/>
              <w:pBdr/>
              <w:spacing w:line="300" w:lineRule="auto"/>
              <w:ind/>
              <w:rPr/>
            </w:pPr>
            <w:r>
              <w:t xml:space="preserve">Thesis</w:t>
            </w:r>
            <w:r/>
          </w:p>
        </w:tc>
        <w:tc>
          <w:tcPr>
            <w:tcBorders/>
            <w:tcW w:w="5845" w:type="dxa"/>
            <w:textDirection w:val="lrTb"/>
            <w:noWrap w:val="false"/>
          </w:tcPr>
          <w:p w14:paraId="31E09778" w14:textId="5949C699">
            <w:pPr>
              <w:pStyle w:val="1089"/>
              <w:suppressLineNumbers w:val="false"/>
              <w:pBdr/>
              <w:spacing w:line="300" w:lineRule="auto"/>
              <w:ind/>
              <w:rPr/>
            </w:pPr>
            <w:r>
              <w:t xml:space="preserve">An ext</w:t>
            </w:r>
            <w:r>
              <w:t xml:space="preserve">ended research paper that is </w:t>
            </w:r>
            <w:r>
              <w:t xml:space="preserve">part of the final exam process for a graduate degree</w:t>
            </w:r>
            <w:r>
              <w:t xml:space="preserve">. The document may also be classified as a project or collection of extended essays.</w:t>
            </w:r>
            <w:r/>
          </w:p>
        </w:tc>
      </w:tr>
      <w:tr>
        <w:trPr/>
        <w:tc>
          <w:tcPr>
            <w:tcBorders/>
            <w:tcW w:w="2785" w:type="dxa"/>
            <w:textDirection w:val="lrTb"/>
            <w:noWrap w:val="false"/>
          </w:tcPr>
          <w:p w14:paraId="2637183F" w14:textId="30F5D137">
            <w:pPr>
              <w:pStyle w:val="1089"/>
              <w:suppressLineNumbers w:val="false"/>
              <w:pBdr/>
              <w:spacing w:line="300" w:lineRule="auto"/>
              <w:ind/>
              <w:rPr/>
            </w:pPr>
            <w:r>
              <w:t xml:space="preserve">Glossary </w:t>
            </w:r>
            <w:r/>
          </w:p>
        </w:tc>
        <w:tc>
          <w:tcPr>
            <w:tcBorders/>
            <w:tcW w:w="5845" w:type="dxa"/>
            <w:textDirection w:val="lrTb"/>
            <w:noWrap w:val="false"/>
          </w:tcPr>
          <w:p w14:paraId="2AA9EB33" w14:textId="07F6246E">
            <w:pPr>
              <w:pStyle w:val="1089"/>
              <w:suppressLineNumbers w:val="false"/>
              <w:pBdr/>
              <w:spacing w:line="300" w:lineRule="auto"/>
              <w:ind/>
              <w:rPr/>
            </w:pPr>
            <w:r>
              <w:t xml:space="preserve">An alphabetical list of key terms</w:t>
            </w:r>
            <w:r/>
          </w:p>
        </w:tc>
      </w:tr>
      <w:tr>
        <w:trPr/>
        <w:tc>
          <w:tcPr>
            <w:tcBorders/>
            <w:tcW w:w="2785" w:type="dxa"/>
            <w:textDirection w:val="lrTb"/>
            <w:noWrap w:val="false"/>
          </w:tcPr>
          <w:p w14:paraId="41BC213F" w14:textId="272B530A">
            <w:pPr>
              <w:pStyle w:val="1089"/>
              <w:suppressLineNumbers w:val="false"/>
              <w:pBdr/>
              <w:spacing w:line="300" w:lineRule="auto"/>
              <w:ind/>
              <w:rPr/>
            </w:pPr>
            <w:r/>
            <w:r/>
          </w:p>
        </w:tc>
        <w:tc>
          <w:tcPr>
            <w:tcBorders/>
            <w:tcW w:w="5845" w:type="dxa"/>
            <w:textDirection w:val="lrTb"/>
            <w:noWrap w:val="false"/>
          </w:tcPr>
          <w:p w14:paraId="69543990" w14:textId="767E8DEF">
            <w:pPr>
              <w:pStyle w:val="1089"/>
              <w:suppressLineNumbers w:val="false"/>
              <w:pBdr/>
              <w:spacing w:line="300" w:lineRule="auto"/>
              <w:ind/>
              <w:rPr/>
            </w:pPr>
            <w:r>
              <w:t xml:space="preserve">This is an optional page and can be removed if not used.</w:t>
            </w:r>
            <w:r/>
          </w:p>
        </w:tc>
      </w:tr>
      <w:tr>
        <w:trPr/>
        <w:tc>
          <w:tcPr>
            <w:tcBorders/>
            <w:tcW w:w="2785" w:type="dxa"/>
            <w:textDirection w:val="lrTb"/>
            <w:noWrap w:val="false"/>
          </w:tcPr>
          <w:p w14:paraId="4845FFFB" w14:textId="77777777">
            <w:pPr>
              <w:pStyle w:val="1089"/>
              <w:suppressLineNumbers w:val="false"/>
              <w:pBdr/>
              <w:spacing w:line="300" w:lineRule="auto"/>
              <w:ind/>
              <w:rPr/>
            </w:pPr>
            <w:r/>
            <w:r/>
          </w:p>
        </w:tc>
        <w:tc>
          <w:tcPr>
            <w:tcBorders/>
            <w:tcW w:w="5845" w:type="dxa"/>
            <w:textDirection w:val="lrTb"/>
            <w:noWrap w:val="false"/>
          </w:tcPr>
          <w:p w14:paraId="407A178D" w14:textId="701805AE">
            <w:pPr>
              <w:pStyle w:val="1089"/>
              <w:suppressLineNumbers w:val="false"/>
              <w:pBdr/>
              <w:spacing w:line="300" w:lineRule="auto"/>
              <w:ind/>
              <w:rPr/>
            </w:pPr>
            <w:r>
              <w:t xml:space="preserve">Use one table row for each item to allow sorting using Word’s table tools.</w:t>
            </w:r>
            <w:r/>
          </w:p>
        </w:tc>
      </w:tr>
      <w:tr>
        <w:trPr/>
        <w:tc>
          <w:tcPr>
            <w:tcBorders/>
            <w:tcW w:w="2785" w:type="dxa"/>
            <w:textDirection w:val="lrTb"/>
            <w:noWrap w:val="false"/>
          </w:tcPr>
          <w:p w14:paraId="6C4FC331" w14:textId="77777777">
            <w:pPr>
              <w:pStyle w:val="1089"/>
              <w:suppressLineNumbers w:val="false"/>
              <w:pBdr/>
              <w:spacing w:line="300" w:lineRule="auto"/>
              <w:ind/>
              <w:rPr/>
            </w:pPr>
            <w:r/>
            <w:r/>
          </w:p>
        </w:tc>
        <w:tc>
          <w:tcPr>
            <w:tcBorders/>
            <w:tcW w:w="5845" w:type="dxa"/>
            <w:textDirection w:val="lrTb"/>
            <w:noWrap w:val="false"/>
          </w:tcPr>
          <w:p w14:paraId="4B001707" w14:textId="54A0309B">
            <w:pPr>
              <w:pStyle w:val="1089"/>
              <w:suppressLineNumbers w:val="false"/>
              <w:pBdr/>
              <w:spacing w:line="300" w:lineRule="auto"/>
              <w:ind/>
              <w:rPr/>
            </w:pPr>
            <w:r>
              <w:t xml:space="preserve">Apply the style </w:t>
            </w:r>
            <w:r>
              <w:rPr>
                <w:b/>
              </w:rPr>
              <w:t xml:space="preserve">1_Para_NoSpace</w:t>
            </w:r>
            <w:r>
              <w:t xml:space="preserve"> </w:t>
            </w:r>
            <w:r>
              <w:t xml:space="preserve">to table rows as shown here.</w:t>
            </w:r>
            <w:r/>
          </w:p>
        </w:tc>
      </w:tr>
      <w:tr>
        <w:trPr/>
        <w:tc>
          <w:tcPr>
            <w:tcBorders/>
            <w:tcW w:w="2785" w:type="dxa"/>
            <w:textDirection w:val="lrTb"/>
            <w:noWrap w:val="false"/>
          </w:tcPr>
          <w:p w14:paraId="1A6AB485" w14:textId="77777777">
            <w:pPr>
              <w:pStyle w:val="1089"/>
              <w:suppressLineNumbers w:val="false"/>
              <w:pBdr/>
              <w:spacing w:line="300" w:lineRule="auto"/>
              <w:ind/>
              <w:rPr/>
            </w:pPr>
            <w:r/>
            <w:r/>
          </w:p>
        </w:tc>
        <w:tc>
          <w:tcPr>
            <w:tcBorders/>
            <w:tcW w:w="5845" w:type="dxa"/>
            <w:textDirection w:val="lrTb"/>
            <w:noWrap w:val="false"/>
          </w:tcPr>
          <w:p w14:paraId="0A9C17A1" w14:textId="77777777">
            <w:pPr>
              <w:pStyle w:val="1089"/>
              <w:suppressLineNumbers w:val="false"/>
              <w:pBdr/>
              <w:spacing w:line="300" w:lineRule="auto"/>
              <w:ind/>
              <w:rPr/>
            </w:pPr>
            <w:r/>
            <w:r/>
          </w:p>
        </w:tc>
      </w:tr>
    </w:tbl>
    <w:p w14:paraId="2D862DD5" w14:textId="43C6734B">
      <w:pPr>
        <w:pStyle w:val="1063"/>
        <w:suppressLineNumbers w:val="false"/>
        <w:pBdr/>
        <w:spacing w:line="300" w:lineRule="auto"/>
        <w:ind/>
        <w:rPr/>
      </w:pPr>
      <w:r/>
      <w:bookmarkStart w:id="10" w:name="_Toc66285139"/>
      <w:r>
        <w:t xml:space="preserve">Preface/Executive Summary/Image</w:t>
      </w:r>
      <w:bookmarkEnd w:id="10"/>
      <w:r/>
      <w:r/>
    </w:p>
    <w:p w14:paraId="1333C2D7" w14:textId="080E1499">
      <w:pPr>
        <w:pStyle w:val="1056"/>
        <w:suppressLineNumbers w:val="false"/>
        <w:pBdr/>
        <w:spacing w:line="300" w:lineRule="auto"/>
        <w:ind/>
        <w:rPr/>
      </w:pPr>
      <w:r>
        <w:t xml:space="preserve">This page can be used for a Preface, Executive Summary, or introductory image. This is an optional page and can be deleted if not used.</w:t>
      </w:r>
      <w:r>
        <w:t xml:space="preserve"> </w:t>
      </w:r>
      <w:r/>
    </w:p>
    <w:p w14:paraId="73A47AF6" w14:textId="41F305FC">
      <w:pPr>
        <w:pStyle w:val="1056"/>
        <w:suppressLineNumbers w:val="false"/>
        <w:pBdr/>
        <w:spacing w:line="300" w:lineRule="auto"/>
        <w:ind/>
        <w:rPr/>
      </w:pPr>
      <w:r>
        <w:t xml:space="preserve">To hide the heading at the top of this page – e.g., if using an introductory image – select the text and change the text colour to white.</w:t>
      </w:r>
      <w:r/>
    </w:p>
    <w:p w14:paraId="754C8CCF" w14:textId="055E589D">
      <w:pPr>
        <w:pStyle w:val="1056"/>
        <w:suppressLineNumbers w:val="false"/>
        <w:pBdr/>
        <w:spacing w:line="300" w:lineRule="auto"/>
        <w:ind/>
        <w:rPr/>
      </w:pPr>
      <w:r>
        <w:rPr>
          <w:highlight w:val="yellow"/>
        </w:rPr>
        <w:t xml:space="preserve">D</w:t>
      </w:r>
      <w:r>
        <w:rPr>
          <w:highlight w:val="yellow"/>
        </w:rPr>
        <w:t xml:space="preserve">o not</w:t>
      </w:r>
      <w:r>
        <w:rPr>
          <w:highlight w:val="yellow"/>
        </w:rPr>
        <w:t xml:space="preserve"> delete the </w:t>
      </w:r>
      <w:r>
        <w:rPr>
          <w:highlight w:val="yellow"/>
        </w:rPr>
        <w:t xml:space="preserve">section break</w:t>
      </w:r>
      <w:r>
        <w:rPr>
          <w:highlight w:val="yellow"/>
        </w:rPr>
        <w:t xml:space="preserve"> that follows this paragraph.</w:t>
      </w:r>
      <w:r>
        <w:rPr>
          <w:highlight w:val="yellow"/>
        </w:rPr>
        <w:t xml:space="preserve"> If the section break is not visible, turn on non-printing characters using the </w:t>
      </w:r>
      <w:r>
        <w:rPr>
          <w:highlight w:val="yellow"/>
        </w:rPr>
        <w:t xml:space="preserve">Show/Hide icon (</w:t>
      </w:r>
      <w:r>
        <w:rPr>
          <w:rFonts w:cs="Arial"/>
          <w:highlight w:val="yellow"/>
        </w:rPr>
        <w:t xml:space="preserve">¶</w:t>
      </w:r>
      <w:r>
        <w:rPr>
          <w:highlight w:val="yellow"/>
        </w:rPr>
        <w:t xml:space="preserve">) on the Home ribbon.</w:t>
      </w:r>
      <w:bookmarkStart w:id="11" w:name="_GoBack"/>
      <w:r/>
      <w:bookmarkEnd w:id="11"/>
      <w:r/>
      <w:r/>
    </w:p>
    <w:p w14:paraId="0F990FC3" w14:textId="77777777">
      <w:pPr>
        <w:pStyle w:val="1056"/>
        <w:suppressLineNumbers w:val="false"/>
        <w:pBdr/>
        <w:spacing w:line="300" w:lineRule="auto"/>
        <w:ind/>
        <w:rPr/>
      </w:pPr>
      <w:r/>
      <w:r/>
    </w:p>
    <w:p w14:paraId="7DFE54F9" w14:textId="77777777">
      <w:pPr>
        <w:pStyle w:val="1056"/>
        <w:suppressLineNumbers w:val="false"/>
        <w:pBdr/>
        <w:spacing w:line="300" w:lineRule="auto"/>
        <w:ind/>
        <w:rPr/>
        <w:sectPr>
          <w:headerReference w:type="default" r:id="rId9"/>
          <w:footerReference w:type="default" r:id="rId10"/>
          <w:footnotePr/>
          <w:endnotePr/>
          <w:type w:val="nextPage"/>
          <w:pgSz w:h="15840" w:orient="portrait" w:w="12240"/>
          <w:pgMar w:top="1440" w:right="1800" w:bottom="1440" w:left="1800" w:header="720" w:footer="720" w:gutter="0"/>
          <w:pgNumType w:fmt="lowerRoman"/>
          <w:cols w:num="1" w:sep="0" w:space="720" w:equalWidth="1"/>
          <w:titlePg/>
        </w:sectPr>
      </w:pPr>
      <w:r/>
      <w:r/>
    </w:p>
    <w:p w14:paraId="480507BE" w14:textId="462E815D">
      <w:pPr>
        <w:pStyle w:val="1043"/>
        <w:suppressLineNumbers w:val="false"/>
        <w:pBdr/>
        <w:spacing w:line="300" w:lineRule="auto"/>
        <w:ind/>
        <w:rPr/>
      </w:pPr>
      <w:r>
        <w:br/>
      </w:r>
      <w:r>
        <w:br/>
      </w:r>
      <w:bookmarkStart w:id="12" w:name="_Toc66285140"/>
      <w:r>
        <w:t xml:space="preserve">Introduction</w:t>
      </w:r>
      <w:bookmarkEnd w:id="12"/>
      <w:r/>
      <w:r/>
    </w:p>
    <w:p w14:paraId="5998F02E">
      <w:pPr>
        <w:pStyle w:val="1056"/>
        <w:pBdr/>
        <w:spacing/>
        <w:ind w:firstLine="0"/>
        <w:rPr>
          <w:b/>
          <w:bCs/>
          <w:sz w:val="28"/>
          <w:szCs w:val="28"/>
        </w:rPr>
      </w:pPr>
      <w:r>
        <w:rPr>
          <w:b/>
          <w:bCs/>
          <w:sz w:val="28"/>
          <w:szCs w:val="28"/>
        </w:rPr>
        <w:t xml:space="preserve">1.0 Chapter 1 Overview</w:t>
      </w:r>
      <w:r>
        <w:rPr>
          <w:b/>
          <w:bCs/>
          <w:sz w:val="28"/>
          <w:szCs w:val="28"/>
        </w:rPr>
      </w:r>
      <w:r>
        <w:rPr>
          <w:b/>
          <w:bCs/>
          <w:sz w:val="28"/>
          <w:szCs w:val="28"/>
        </w:rPr>
      </w:r>
    </w:p>
    <w:p w14:paraId="023B684F">
      <w:pPr>
        <w:pStyle w:val="1056"/>
        <w:suppressLineNumbers w:val="false"/>
        <w:pBdr/>
        <w:spacing w:after="240" w:before="120" w:line="300" w:lineRule="auto"/>
        <w:ind w:firstLine="0"/>
        <w:rPr/>
      </w:pPr>
      <w:r>
        <w:t xml:space="preserve">C</w:t>
      </w:r>
      <w:r>
        <w:t xml:space="preserve">hapter 1 defines the full research foundation of this dissertation and clarifies why GI-endoscopy MedVQA must be evaluated beyond aggregate benchmark scores. The chapter first establishes the clinical motivation for question-driven AI support in colonoscop</w:t>
      </w:r>
      <w:r>
        <w:t xml:space="preserve">y</w:t>
      </w:r>
      <w:r>
        <w:t xml:space="preserve">, then formalizes the central methodological gap: current systems can produce strong average performance while still failing on clinically high-risk, imbalanced, or format-sensitive cases. It then translates this gap into a concrete research program by sta</w:t>
      </w:r>
      <w:r>
        <w:t xml:space="preserve">t</w:t>
      </w:r>
      <w:r>
        <w:t xml:space="preserve">ing the thesis aim, objectives, research questions, and working hypotheses. In addition, Chapter 1 sets the operational boundaries of the work, including what is in scope, what is explicitly out of scope, and how PICO-oriented evidence mapping is used as a</w:t>
      </w:r>
      <w:r>
        <w:t xml:space="preserve"> controlled extension pathway rather than a replacement for visual reliability. Finally, the chapter introduces the scenario-driven framing, conceptual pipeline, and risk-control logic that guide all subsequent experiments and interpretations.</w:t>
      </w:r>
      <w:r/>
    </w:p>
    <w:p w14:paraId="6ED7D3D8">
      <w:pPr>
        <w:pStyle w:val="1056"/>
        <w:suppressLineNumbers w:val="false"/>
        <w:pBdr/>
        <w:spacing w:after="240" w:before="120" w:line="300" w:lineRule="auto"/>
        <w:ind w:firstLine="0"/>
        <w:rPr/>
      </w:pPr>
      <w:r>
        <w:t xml:space="preserve">At a glance, this chapter:</w:t>
      </w:r>
      <w:r/>
    </w:p>
    <w:p w14:paraId="4CA84745">
      <w:pPr>
        <w:pStyle w:val="1056"/>
        <w:suppressLineNumbers w:val="false"/>
        <w:pBdr/>
        <w:spacing w:after="240" w:before="120" w:line="120" w:lineRule="auto"/>
        <w:ind w:firstLine="0"/>
        <w:rPr/>
      </w:pPr>
      <w:r>
        <w:t xml:space="preserve">1. Establishes background and motivation for MedVQA in GI endoscopy.</w:t>
      </w:r>
      <w:r/>
    </w:p>
    <w:p w14:paraId="14ACB86D">
      <w:pPr>
        <w:pStyle w:val="1056"/>
        <w:suppressLineNumbers w:val="false"/>
        <w:pBdr/>
        <w:spacing w:after="240" w:before="120" w:line="120" w:lineRule="auto"/>
        <w:ind w:firstLine="0"/>
        <w:rPr/>
      </w:pPr>
      <w:r>
        <w:t xml:space="preserve">2. Defines the reliability and translational gap the dissertation addresses.</w:t>
      </w:r>
      <w:r/>
    </w:p>
    <w:p w14:paraId="6C1DB768">
      <w:pPr>
        <w:pStyle w:val="1056"/>
        <w:suppressLineNumbers w:val="false"/>
        <w:pBdr/>
        <w:spacing w:after="240" w:before="120" w:line="120" w:lineRule="auto"/>
        <w:ind w:firstLine="0"/>
        <w:rPr/>
      </w:pPr>
      <w:r>
        <w:t xml:space="preserve">3. Formalizes aim, objectives, and research questions with evaluation mapping.</w:t>
      </w:r>
      <w:r/>
    </w:p>
    <w:p w14:paraId="35CAC59A">
      <w:pPr>
        <w:pStyle w:val="1056"/>
        <w:suppressLineNumbers w:val="false"/>
        <w:pBdr/>
        <w:spacing w:after="240" w:before="120" w:line="120" w:lineRule="auto"/>
        <w:ind w:firstLine="0"/>
        <w:rPr/>
      </w:pPr>
      <w:r>
        <w:t xml:space="preserve">4. Specifies scope, assumptions, and governance constraints for defensible claims.</w:t>
      </w:r>
      <w:r/>
    </w:p>
    <w:p w14:paraId="509D5112">
      <w:pPr>
        <w:pStyle w:val="1056"/>
        <w:suppressLineNumbers w:val="false"/>
        <w:pBdr/>
        <w:spacing w:after="240" w:before="120" w:line="120" w:lineRule="auto"/>
        <w:ind w:firstLine="0"/>
        <w:rPr/>
      </w:pPr>
      <w:r>
        <w:t xml:space="preserve">5. Provides the conceptual and chapter-level roadmap used in Chapters 2 and 3.</w:t>
      </w:r>
      <w:r/>
    </w:p>
    <w:p w14:paraId="5F5E1B7B">
      <w:pPr>
        <w:pStyle w:val="1056"/>
        <w:suppressLineNumbers w:val="false"/>
        <w:pBdr/>
        <w:spacing w:after="240" w:before="120" w:line="300" w:lineRule="auto"/>
        <w:ind w:firstLine="0"/>
        <w:rPr/>
      </w:pPr>
      <w:r>
        <w:t xml:space="preserve">The next chapter converts this foundation into a structured scoping review that identifies the most relevant model families, benchmarks, and open gaps for GI-oriented evaluation.</w:t>
      </w:r>
      <w:r/>
    </w:p>
    <w:p w14:paraId="11E1564F">
      <w:pPr>
        <w:pStyle w:val="1056"/>
        <w:pBdr/>
        <w:spacing/>
        <w:ind w:firstLine="0"/>
        <w:rPr/>
      </w:pPr>
      <w:r/>
      <w:r/>
    </w:p>
    <w:p w14:paraId="1960384C" w14:textId="1BF67330">
      <w:pPr>
        <w:pStyle w:val="1056"/>
        <w:suppressLineNumbers w:val="false"/>
        <w:pBdr/>
        <w:spacing w:line="300" w:lineRule="auto"/>
        <w:ind w:firstLine="0"/>
        <w:rPr>
          <w:b/>
          <w:bCs/>
          <w:sz w:val="28"/>
          <w:szCs w:val="28"/>
        </w:rPr>
      </w:pPr>
      <w:r>
        <w:rPr>
          <w:b/>
          <w:bCs/>
          <w:sz w:val="28"/>
          <w:szCs w:val="28"/>
          <w:lang w:val="en-US"/>
        </w:rPr>
        <w:t xml:space="preserve">1.1 </w:t>
      </w:r>
      <w:r>
        <w:rPr>
          <w:b/>
          <w:bCs/>
          <w:sz w:val="28"/>
          <w:szCs w:val="28"/>
        </w:rPr>
        <w:t xml:space="preserve">Background</w:t>
      </w:r>
      <w:r>
        <w:rPr>
          <w:b/>
          <w:bCs/>
          <w:sz w:val="28"/>
          <w:szCs w:val="28"/>
          <w:lang w:val="en-US"/>
        </w:rPr>
        <w:t xml:space="preserve"> &amp; Motivation</w:t>
      </w:r>
      <w:r>
        <w:rPr>
          <w:b/>
          <w:bCs/>
          <w:sz w:val="28"/>
          <w:szCs w:val="28"/>
        </w:rPr>
      </w:r>
      <w:r>
        <w:rPr>
          <w:b/>
          <w:bCs/>
          <w:sz w:val="28"/>
          <w:szCs w:val="28"/>
        </w:rPr>
      </w:r>
    </w:p>
    <w:p w14:paraId="22F4C05B">
      <w:pPr>
        <w:pStyle w:val="1056"/>
        <w:suppressLineNumbers w:val="false"/>
        <w:pBdr/>
        <w:spacing w:line="300" w:lineRule="auto"/>
        <w:ind/>
        <w:rPr>
          <w:highlight w:val="none"/>
        </w:rPr>
      </w:pPr>
      <w:r>
        <w:t xml:space="preserve">M</w:t>
      </w:r>
      <w:r>
        <w:t xml:space="preserve">edical Visual Question Answering (MedVQA) is an interdisciplinary field that integrates computer vision (CV), natural language processing (NLP), and clinical medicine. It aims to build artificial intelligence systems that can interpret medical images and a</w:t>
      </w:r>
      <w:r>
        <w:t xml:space="preserve">n</w:t>
      </w:r>
      <w:r>
        <w:t xml:space="preserve">swer clinically relevant questions expressed in natural language. In contrast to conventional image classification systems that return only categorical predictions, MedVQA is designed to support question-driven interaction. This interaction model is closel</w:t>
      </w:r>
      <w:r>
        <w:t xml:space="preserve">y aligned with how clinicians reason in practice, where interpretation is typically guided by targeted questions rather than isolated labels.</w:t>
      </w:r>
      <w:r>
        <w:rPr>
          <w:highlight w:val="none"/>
        </w:rPr>
      </w:r>
      <w:r>
        <w:rPr>
          <w:highlight w:val="none"/>
        </w:rPr>
      </w:r>
    </w:p>
    <w:p w14:paraId="46A201E7">
      <w:pPr>
        <w:pStyle w:val="1056"/>
        <w:suppressLineNumbers w:val="false"/>
        <w:pBdr/>
        <w:spacing w:line="300" w:lineRule="auto"/>
        <w:ind/>
        <w:rPr/>
      </w:pPr>
      <w:r>
        <w:t xml:space="preserve">M</w:t>
      </w:r>
      <w:r>
        <w:t xml:space="preserve">edVQA offers substantial potential for clinical decision support. Its expected benefits include improved diagnostic consistency, reduced physician workload, and wider access to specialist-level interpretation in telemedicine and resource-constrained settin</w:t>
      </w:r>
      <w:r>
        <w:t xml:space="preserve">gs. The long-term objective is not to replace clinical judgment, but to provide an intelligent and transparent assistant that can complement clinical reasoning within existing workflows.</w:t>
      </w:r>
      <w:r/>
    </w:p>
    <w:p w14:paraId="2B68F821">
      <w:pPr>
        <w:pStyle w:val="1056"/>
        <w:suppressLineNumbers w:val="false"/>
        <w:pBdr/>
        <w:spacing w:line="300" w:lineRule="auto"/>
        <w:ind/>
        <w:rPr/>
      </w:pPr>
      <w:r>
        <w:t xml:space="preserve">U</w:t>
      </w:r>
      <w:r>
        <w:t xml:space="preserve">nlike general-domain VQA, MedVQA faces domain-specific constraints. Medical images often include subtle, overlapping, or low-contrast findings that require specialized interpretation. Clinical questions frequently require multi-step reasoning, in which vis</w:t>
      </w:r>
      <w:r>
        <w:t xml:space="preserve">ual evidence must be combined with biomedical context and task intent. These characteristics make MedVQA both a technically demanding multimodal task and a clinically sensitive reliability challenge.</w:t>
      </w:r>
      <w:r/>
    </w:p>
    <w:p w14:paraId="3F05320D">
      <w:pPr>
        <w:pStyle w:val="1056"/>
        <w:suppressLineNumbers w:val="false"/>
        <w:pBdr/>
        <w:spacing w:line="300" w:lineRule="auto"/>
        <w:ind/>
        <w:rPr/>
      </w:pPr>
      <w:r>
        <w:t xml:space="preserve">T</w:t>
      </w:r>
      <w:r>
        <w:t xml:space="preserve">he technical foundation of MedVQA combines CV-based image representation with NLP-based question understanding and answer synthesis. Early systems were predominantly discriminative, using an image encoder, a question encoder, a fusion module, and a fixed a</w:t>
      </w:r>
      <w:r>
        <w:t xml:space="preserve">n</w:t>
      </w:r>
      <w:r>
        <w:t xml:space="preserve">swer set. These systems performed adequately on constrained tasks but showed limited flexibility for nuanced and open-ended clinical questions [1], [2], [3]. Recent work has shifted toward transformer-based multimodal architectures and generative response </w:t>
      </w:r>
      <w:r>
        <w:t xml:space="preserve">m</w:t>
      </w:r>
      <w:r>
        <w:t xml:space="preserve">odels, supported by large-scale vision-language pretraining [4], [5] and contemporary MedVQA surveys of large multimodal model behavior [8], [9]. In parallel, biomedical language models such as BioBERT and BioGPT have improved domain-specific language unde</w:t>
      </w:r>
      <w:r>
        <w:t xml:space="preserve">rstanding and generation [6], [7].</w:t>
      </w:r>
      <w:r/>
    </w:p>
    <w:p w14:paraId="6B8C6098">
      <w:pPr>
        <w:pStyle w:val="1056"/>
        <w:suppressLineNumbers w:val="false"/>
        <w:pBdr/>
        <w:spacing w:line="300" w:lineRule="auto"/>
        <w:ind w:firstLine="0"/>
        <w:rPr/>
      </w:pPr>
      <w:r>
        <w:t xml:space="preserve">Despite this progress, the gap between benchmark performance and reliable clinical utility remains significant. Three persistent tensions define the present landscape:</w:t>
      </w:r>
      <w:r/>
    </w:p>
    <w:p w14:paraId="7461EE90">
      <w:pPr>
        <w:pStyle w:val="1056"/>
        <w:suppressLineNumbers w:val="false"/>
        <w:pBdr/>
        <w:spacing w:line="300" w:lineRule="auto"/>
        <w:ind w:firstLine="0"/>
        <w:rPr/>
      </w:pPr>
      <w:r>
        <w:rPr>
          <w:b/>
          <w:bCs/>
        </w:rPr>
        <w:t xml:space="preserve">Expressiveness versus reliability</w:t>
      </w:r>
      <w:r>
        <w:t xml:space="preserve">: Generative models can produce richer answers, but may exhibit lexical drift, weak grounding, or hallucinated content.</w:t>
      </w:r>
      <w:r/>
    </w:p>
    <w:p w14:paraId="70982DA6">
      <w:pPr>
        <w:pStyle w:val="1056"/>
        <w:suppressLineNumbers w:val="false"/>
        <w:pBdr/>
        <w:spacing w:line="300" w:lineRule="auto"/>
        <w:ind w:firstLine="0"/>
        <w:rPr/>
      </w:pPr>
      <w:r>
        <w:rPr>
          <w:b/>
          <w:bCs/>
        </w:rPr>
        <w:t xml:space="preserve">Aggregate performance versus clinical robustness</w:t>
      </w:r>
      <w:r>
        <w:t xml:space="preserve">: High overall accuracy can conceal clinically critical failures in minority classes.</w:t>
      </w:r>
      <w:r/>
    </w:p>
    <w:p w14:paraId="583EDBB9">
      <w:pPr>
        <w:pStyle w:val="1056"/>
        <w:suppressLineNumbers w:val="false"/>
        <w:pBdr/>
        <w:spacing w:line="300" w:lineRule="auto"/>
        <w:ind w:firstLine="0"/>
        <w:rPr/>
      </w:pPr>
      <w:r>
        <w:rPr>
          <w:b/>
          <w:bCs/>
        </w:rPr>
        <w:t xml:space="preserve">General multimodal capability versus medical domain specificity</w:t>
      </w:r>
      <w:r>
        <w:t xml:space="preserve">: Zero-shot transfer from general VLMs often underperforms in specialized clinical settings.</w:t>
      </w:r>
      <w:r/>
    </w:p>
    <w:p w14:paraId="5093C8F0">
      <w:pPr>
        <w:pStyle w:val="1056"/>
        <w:suppressLineNumbers w:val="false"/>
        <w:pBdr/>
        <w:spacing w:line="300" w:lineRule="auto"/>
        <w:ind w:firstLine="0"/>
        <w:rPr>
          <w:highlight w:val="none"/>
        </w:rPr>
      </w:pPr>
      <w:r>
        <w:t xml:space="preserve">This dissertation is motivated by these tensions and investigates them in the context of gastrointestinal endoscopy, with a specific focus on colonoscopy-oriented MedVQA.</w:t>
      </w:r>
      <w:r>
        <w:rPr>
          <w:highlight w:val="none"/>
        </w:rPr>
      </w:r>
      <w:r>
        <w:rPr>
          <w:highlight w:val="none"/>
        </w:rPr>
      </w:r>
    </w:p>
    <w:p w14:paraId="0351C390">
      <w:pPr>
        <w:pStyle w:val="1056"/>
        <w:suppressLineNumbers w:val="false"/>
        <w:pBdr/>
        <w:spacing w:line="300" w:lineRule="auto"/>
        <w:ind w:firstLine="0"/>
        <w:rPr>
          <w:b/>
          <w:bCs/>
        </w:rPr>
      </w:pPr>
      <w:r>
        <w:rPr>
          <w:b/>
          <w:bCs/>
        </w:rPr>
        <w:t xml:space="preserve">1.1.1 From Fixed-Answer Systems to Generative Multimodal Models</w:t>
      </w:r>
      <w:r>
        <w:rPr>
          <w:b/>
          <w:bCs/>
        </w:rPr>
      </w:r>
      <w:r>
        <w:rPr>
          <w:b/>
          <w:bCs/>
        </w:rPr>
      </w:r>
    </w:p>
    <w:p w14:paraId="0CBD08B1">
      <w:pPr>
        <w:pStyle w:val="1056"/>
        <w:suppressLineNumbers w:val="false"/>
        <w:pBdr/>
        <w:spacing w:line="300" w:lineRule="auto"/>
        <w:ind w:firstLine="720"/>
        <w:rPr/>
      </w:pPr>
      <w:r>
        <w:t xml:space="preserve">T</w:t>
      </w:r>
      <w:r>
        <w:t xml:space="preserve">he historical evolution of MedVQA provides an important context for this thesis. In early systems, answer generation was operationally equivalent to label selection. This formulation enabled straightforward optimization and evaluation, but it constrained c</w:t>
      </w:r>
      <w:r>
        <w:t xml:space="preserve">linically meaningful expression. Complex questions were often reduced to coarse categorical outputs, limiting interpretability and reducing practical value for clinicians.</w:t>
      </w:r>
      <w:r/>
    </w:p>
    <w:p w14:paraId="36C7FAFB">
      <w:pPr>
        <w:pStyle w:val="1056"/>
        <w:suppressLineNumbers w:val="false"/>
        <w:pBdr/>
        <w:spacing w:line="300" w:lineRule="auto"/>
        <w:ind w:firstLine="720"/>
        <w:rPr/>
      </w:pPr>
      <w:r>
        <w:t xml:space="preserve">T</w:t>
      </w:r>
      <w:r>
        <w:t xml:space="preserve">ransformer-era multimodal models improved cross-modal alignment and enabled free-text response generation. This transition addressed important limitations of earlier systems, particularly weak question-image interaction and restricted output vocabulary. Ho</w:t>
      </w:r>
      <w:r>
        <w:t xml:space="preserve">w</w:t>
      </w:r>
      <w:r>
        <w:t xml:space="preserve">ever, it also introduced new risks. In clinical settings, a fluent answer that is weakly grounded in image evidence may be more problematic than a constrained but verifiable answer. Consequently, model expressiveness must be balanced with grounding, calibr</w:t>
      </w:r>
      <w:r>
        <w:t xml:space="preserve">ation, and error control.</w:t>
      </w:r>
      <w:r/>
    </w:p>
    <w:p w14:paraId="5AE4DE3D">
      <w:pPr>
        <w:pStyle w:val="1056"/>
        <w:suppressLineNumbers w:val="false"/>
        <w:pBdr/>
        <w:spacing w:line="300" w:lineRule="auto"/>
        <w:ind w:firstLine="720"/>
        <w:rPr/>
      </w:pPr>
      <w:r>
        <w:t xml:space="preserve">A</w:t>
      </w:r>
      <w:r>
        <w:t xml:space="preserve">nother major shift has occurred at the evaluation level. Instead of reporting performance within a single benchmark only, recent studies increasingly examine cross-dataset behavior and robustness to distributional changes. This is particularly relevant in </w:t>
      </w:r>
      <w:r>
        <w:t xml:space="preserve">GI endoscopy, where data heterogeneity in question templates, answer conventions, and visual characteristics can be substantial.</w:t>
      </w:r>
      <w:r/>
    </w:p>
    <w:p w14:paraId="4A828679">
      <w:pPr>
        <w:pStyle w:val="1056"/>
        <w:suppressLineNumbers w:val="false"/>
        <w:pBdr/>
        <w:spacing w:line="300" w:lineRule="auto"/>
        <w:ind w:firstLine="0"/>
        <w:rPr>
          <w:b/>
          <w:bCs/>
        </w:rPr>
      </w:pPr>
      <w:r>
        <w:rPr>
          <w:b/>
          <w:bCs/>
        </w:rPr>
        <w:t xml:space="preserve">1.1.2 Limitations of Aggregate Benchmark Scores in Clinical AI</w:t>
      </w:r>
      <w:r>
        <w:rPr>
          <w:b/>
          <w:bCs/>
        </w:rPr>
      </w:r>
      <w:r>
        <w:rPr>
          <w:b/>
          <w:bCs/>
        </w:rPr>
      </w:r>
    </w:p>
    <w:p w14:paraId="0A88D7D9">
      <w:pPr>
        <w:pStyle w:val="1056"/>
        <w:suppressLineNumbers w:val="false"/>
        <w:pBdr/>
        <w:spacing w:line="300" w:lineRule="auto"/>
        <w:ind w:firstLine="720"/>
        <w:rPr/>
      </w:pPr>
      <w:r>
        <w:t xml:space="preserve">B</w:t>
      </w:r>
      <w:r>
        <w:t xml:space="preserve">enchmark metrics remain necessary, but they are not sufficient for clinical validation. A model can achieve high overall accuracy while failing on rare yet clinically consequential categories. Weighted scores may obscure failures in underrepresented classe</w:t>
      </w:r>
      <w:r>
        <w:t xml:space="preserve">s, and single-point metrics may not capture the clinical implications of specific error types.</w:t>
      </w:r>
      <w:r/>
    </w:p>
    <w:p w14:paraId="4A441F6B">
      <w:pPr>
        <w:pStyle w:val="1056"/>
        <w:suppressLineNumbers w:val="false"/>
        <w:pBdr/>
        <w:spacing w:line="300" w:lineRule="auto"/>
        <w:ind w:firstLine="720"/>
        <w:rPr/>
      </w:pPr>
      <w:r>
        <w:t xml:space="preserve">F</w:t>
      </w:r>
      <w:r>
        <w:t xml:space="preserve">or severity-oriented tasks, ordinal relationships are also important. Confusing adjacent grades is not equivalent to missing severe disease altogether. Therefore, evaluation design in clinical MedVQA should include classwise metrics, imbalance-aware metric</w:t>
      </w:r>
      <w:r>
        <w:t xml:space="preserve">s, ordinally sensitive metrics, and scenario-level acceptance logic.</w:t>
      </w:r>
      <w:r/>
    </w:p>
    <w:p w14:paraId="422F1720">
      <w:pPr>
        <w:pStyle w:val="1056"/>
        <w:suppressLineNumbers w:val="false"/>
        <w:pBdr/>
        <w:spacing w:line="300" w:lineRule="auto"/>
        <w:ind w:firstLine="720"/>
        <w:rPr/>
      </w:pPr>
      <w:r>
        <w:t xml:space="preserve">T</w:t>
      </w:r>
      <w:r>
        <w:t xml:space="preserve">his dissertation adopts that broader evaluation view from Chapter 1 onward. In addition, answer format itself is treated as an evaluable design choice. For certain use cases, label-only output may be sufficient; for others, clinicians may require rationale</w:t>
      </w:r>
      <w:r>
        <w:t xml:space="preserve">, confidence estimates, or evidence pointers. A reliable clinical assistant must be assessed on both predictive accuracy and output usability.</w:t>
      </w:r>
      <w:r/>
    </w:p>
    <w:p w14:paraId="7DC3B329">
      <w:pPr>
        <w:pStyle w:val="1056"/>
        <w:suppressLineNumbers w:val="false"/>
        <w:pBdr/>
        <w:spacing w:line="300" w:lineRule="auto"/>
        <w:ind w:firstLine="0"/>
        <w:rPr>
          <w:b/>
          <w:bCs/>
          <w:sz w:val="28"/>
          <w:szCs w:val="28"/>
        </w:rPr>
      </w:pPr>
      <w:r>
        <w:rPr>
          <w:b/>
          <w:bCs/>
          <w:sz w:val="28"/>
          <w:szCs w:val="28"/>
        </w:rPr>
        <w:t xml:space="preserve">1.2 Why GI Endoscopy and Colonoscopy</w:t>
      </w:r>
      <w:r>
        <w:rPr>
          <w:b/>
          <w:bCs/>
          <w:sz w:val="28"/>
          <w:szCs w:val="28"/>
        </w:rPr>
      </w:r>
      <w:r>
        <w:rPr>
          <w:b/>
          <w:bCs/>
          <w:sz w:val="28"/>
          <w:szCs w:val="28"/>
        </w:rPr>
      </w:r>
    </w:p>
    <w:p w14:paraId="2238219F">
      <w:pPr>
        <w:pStyle w:val="1056"/>
        <w:suppressLineNumbers w:val="false"/>
        <w:pBdr/>
        <w:spacing w:line="300" w:lineRule="auto"/>
        <w:ind w:firstLine="0"/>
        <w:rPr/>
      </w:pPr>
      <w:r>
        <w:t xml:space="preserve">Gastrointestinal (GI) endoscopy is a strategically important target for MedVQA from both clinical and methodological perspectives.</w:t>
      </w:r>
      <w:r/>
    </w:p>
    <w:p w14:paraId="34E4FC19">
      <w:pPr>
        <w:pStyle w:val="1056"/>
        <w:suppressLineNumbers w:val="false"/>
        <w:pBdr/>
        <w:spacing w:line="300" w:lineRule="auto"/>
        <w:ind w:firstLine="0"/>
        <w:rPr/>
      </w:pPr>
      <w:r>
        <w:t xml:space="preserve">C</w:t>
      </w:r>
      <w:r>
        <w:t xml:space="preserve">linically, colonoscopy supports screening, diagnosis, and follow-up across multiple disease contexts, including colorectal neoplasia and inflammatory bowel disease. Endoscopic interpretation directly affects treatment escalation, surveillance decisions, an</w:t>
      </w:r>
      <w:r>
        <w:t xml:space="preserve">d procedural reporting. In routine practice, clinicians frequently pose focused questions such as:</w:t>
      </w:r>
      <w:r/>
    </w:p>
    <w:p w14:paraId="721F4E92">
      <w:pPr>
        <w:pStyle w:val="1056"/>
        <w:numPr>
          <w:ilvl w:val="0"/>
          <w:numId w:val="11"/>
        </w:numPr>
        <w:suppressLineNumbers w:val="false"/>
        <w:pBdr/>
        <w:spacing w:line="120" w:lineRule="auto"/>
        <w:ind/>
        <w:rPr/>
      </w:pPr>
      <w:r>
        <w:t xml:space="preserve">Is an abnormality present?</w:t>
      </w:r>
      <w:r/>
    </w:p>
    <w:p w14:paraId="60356D3B">
      <w:pPr>
        <w:pStyle w:val="1056"/>
        <w:numPr>
          <w:ilvl w:val="0"/>
          <w:numId w:val="11"/>
        </w:numPr>
        <w:suppressLineNumbers w:val="false"/>
        <w:pBdr/>
        <w:spacing w:line="120" w:lineRule="auto"/>
        <w:ind/>
        <w:rPr/>
      </w:pPr>
      <w:r>
        <w:t xml:space="preserve">How many findings are visible?</w:t>
      </w:r>
      <w:r/>
    </w:p>
    <w:p w14:paraId="34D6544D">
      <w:pPr>
        <w:pStyle w:val="1056"/>
        <w:numPr>
          <w:ilvl w:val="0"/>
          <w:numId w:val="11"/>
        </w:numPr>
        <w:suppressLineNumbers w:val="false"/>
        <w:pBdr/>
        <w:spacing w:line="120" w:lineRule="auto"/>
        <w:ind/>
        <w:rPr/>
      </w:pPr>
      <w:r>
        <w:t xml:space="preserve">Where is the lesion located?</w:t>
      </w:r>
      <w:r/>
    </w:p>
    <w:p w14:paraId="3BB894DE">
      <w:pPr>
        <w:pStyle w:val="1056"/>
        <w:numPr>
          <w:ilvl w:val="0"/>
          <w:numId w:val="11"/>
        </w:numPr>
        <w:suppressLineNumbers w:val="false"/>
        <w:pBdr/>
        <w:spacing w:line="120" w:lineRule="auto"/>
        <w:ind/>
        <w:rPr/>
      </w:pPr>
      <w:r>
        <w:t xml:space="preserve">What type or morphology is observed?</w:t>
      </w:r>
      <w:r/>
    </w:p>
    <w:p w14:paraId="151B2E34">
      <w:pPr>
        <w:pStyle w:val="1056"/>
        <w:numPr>
          <w:ilvl w:val="0"/>
          <w:numId w:val="11"/>
        </w:numPr>
        <w:suppressLineNumbers w:val="false"/>
        <w:pBdr/>
        <w:spacing w:line="120" w:lineRule="auto"/>
        <w:ind/>
        <w:rPr/>
      </w:pPr>
      <w:r>
        <w:t xml:space="preserve">What is the likely severity of inflammation?</w:t>
      </w:r>
      <w:r/>
    </w:p>
    <w:p w14:paraId="2E00C101">
      <w:pPr>
        <w:pStyle w:val="1056"/>
        <w:suppressLineNumbers w:val="false"/>
        <w:pBdr/>
        <w:spacing w:line="300" w:lineRule="auto"/>
        <w:ind w:firstLine="0"/>
        <w:rPr/>
      </w:pPr>
      <w:r>
        <w:t xml:space="preserve">These question types map naturally to MedVQA task families and are suitable for systematic evaluation.</w:t>
      </w:r>
      <w:r/>
    </w:p>
    <w:p w14:paraId="47040743">
      <w:pPr>
        <w:pStyle w:val="1056"/>
        <w:suppressLineNumbers w:val="false"/>
        <w:pBdr/>
        <w:spacing w:line="300" w:lineRule="auto"/>
        <w:ind w:firstLine="720"/>
        <w:rPr/>
      </w:pPr>
      <w:r>
        <w:t xml:space="preserve">F</w:t>
      </w:r>
      <w:r>
        <w:t xml:space="preserve">rom a technical perspective, GI endoscopy is challenging. Image quality can vary due to motion blur, specular reflections, debris, variable bowel preparation, and viewpoint variation. Question-answer distributions can be highly imbalanced, with clinically </w:t>
      </w:r>
      <w:r>
        <w:t xml:space="preserve">important severe classes often underrepresented. Consequently, colonoscopy MedVQA provides a realistic and stringent setting for evaluating reliability under domain shift and class imbalance.</w:t>
      </w:r>
      <w:r/>
    </w:p>
    <w:p w14:paraId="3E7DDF47">
      <w:pPr>
        <w:pStyle w:val="1056"/>
        <w:suppressLineNumbers w:val="false"/>
        <w:pBdr/>
        <w:spacing w:line="300" w:lineRule="auto"/>
        <w:ind w:firstLine="0"/>
        <w:rPr/>
      </w:pPr>
      <w:r>
        <w:t xml:space="preserve">Recent dataset development makes this thesis direction feasible:</w:t>
      </w:r>
      <w:r/>
    </w:p>
    <w:p w14:paraId="734AA1D9">
      <w:pPr>
        <w:pStyle w:val="1056"/>
        <w:numPr>
          <w:ilvl w:val="0"/>
          <w:numId w:val="12"/>
        </w:numPr>
        <w:suppressLineNumbers w:val="false"/>
        <w:pBdr/>
        <w:spacing w:after="240" w:before="120" w:line="300" w:lineRule="auto"/>
        <w:ind/>
        <w:rPr/>
      </w:pPr>
      <w:r>
        <w:t xml:space="preserve">Kvasir-VQA introduced GI-focused visual question answering at scale (58,849 QA pairs over 6,500 images) [12], [19].</w:t>
      </w:r>
      <w:r/>
    </w:p>
    <w:p w14:paraId="49416A30">
      <w:pPr>
        <w:pStyle w:val="1056"/>
        <w:numPr>
          <w:ilvl w:val="0"/>
          <w:numId w:val="12"/>
        </w:numPr>
        <w:suppressLineNumbers w:val="false"/>
        <w:pBdr/>
        <w:spacing w:after="240" w:before="120" w:line="300" w:lineRule="auto"/>
        <w:ind/>
        <w:rPr/>
      </w:pPr>
      <w:r>
        <w:t xml:space="preserve">Kvasir-VQA-x1 expanded complexity and scale (159,549 QA pairs) and introduced transformed/robustness-oriented settings [13].</w:t>
      </w:r>
      <w:r/>
    </w:p>
    <w:p w14:paraId="43E406F3">
      <w:pPr>
        <w:pStyle w:val="1056"/>
        <w:numPr>
          <w:ilvl w:val="0"/>
          <w:numId w:val="12"/>
        </w:numPr>
        <w:suppressLineNumbers w:val="false"/>
        <w:pBdr/>
        <w:spacing w:after="240" w:before="120" w:line="300" w:lineRule="auto"/>
        <w:ind/>
        <w:rPr/>
      </w:pPr>
      <w:r>
        <w:t xml:space="preserve">ImageCLEF MEDVQA-GI provided shared benchmarking tracks for GI VQA [10], [11].</w:t>
      </w:r>
      <w:r/>
    </w:p>
    <w:p w14:paraId="5132C9B7">
      <w:pPr>
        <w:pStyle w:val="1056"/>
        <w:numPr>
          <w:ilvl w:val="0"/>
          <w:numId w:val="12"/>
        </w:numPr>
        <w:suppressLineNumbers w:val="false"/>
        <w:pBdr/>
        <w:spacing w:after="240" w:before="120" w:line="300" w:lineRule="auto"/>
        <w:ind/>
        <w:rPr/>
      </w:pPr>
      <w:r>
        <w:t xml:space="preserve">HyperKvasir and LIMUC provide broader GI visual context and severity-oriented subsets [15], [18].</w:t>
      </w:r>
      <w:r>
        <w:rPr>
          <w:highlight w:val="none"/>
        </w:rPr>
      </w:r>
      <w:r/>
    </w:p>
    <w:p w14:paraId="1C29015A">
      <w:pPr>
        <w:pStyle w:val="1056"/>
        <w:suppressLineNumbers w:val="false"/>
        <w:pBdr/>
        <w:spacing w:line="300" w:lineRule="auto"/>
        <w:ind w:firstLine="0"/>
        <w:rPr>
          <w:highlight w:val="none"/>
        </w:rPr>
      </w:pPr>
      <w:r>
        <w:t xml:space="preserve">These resources enable reproducible analysis, but they do not remove the central challenge: building systems that remain reliable not only on common benchmark patterns, but also on clinically high-risk cases.</w:t>
      </w:r>
      <w:r>
        <w:rPr>
          <w:highlight w:val="none"/>
        </w:rPr>
      </w:r>
      <w:r>
        <w:rPr>
          <w:highlight w:val="none"/>
        </w:rPr>
      </w:r>
    </w:p>
    <w:p w14:paraId="5ACADD6D">
      <w:pPr>
        <w:pStyle w:val="1056"/>
        <w:suppressLineNumbers w:val="false"/>
        <w:pBdr/>
        <w:spacing w:line="300" w:lineRule="auto"/>
        <w:ind w:firstLine="0"/>
        <w:rPr>
          <w:b/>
          <w:bCs/>
          <w:highlight w:val="none"/>
        </w:rPr>
      </w:pPr>
      <w:r>
        <w:rPr>
          <w:b/>
          <w:bCs/>
          <w:highlight w:val="none"/>
          <w:lang w:val="en-US"/>
        </w:rPr>
        <w:t xml:space="preserve">1.2.1 </w:t>
      </w:r>
      <w:r>
        <w:rPr>
          <w:b/>
          <w:bCs/>
          <w:highlight w:val="none"/>
        </w:rPr>
        <w:t xml:space="preserve">Colonoscopy Question Families and Their Decision Roles</w:t>
      </w:r>
      <w:r>
        <w:rPr>
          <w:b/>
          <w:bCs/>
          <w:highlight w:val="none"/>
        </w:rPr>
      </w:r>
      <w:r>
        <w:rPr>
          <w:b/>
          <w:bCs/>
          <w:highlight w:val="none"/>
        </w:rPr>
      </w:r>
    </w:p>
    <w:p w14:paraId="2440C9D2">
      <w:pPr>
        <w:pStyle w:val="1056"/>
        <w:suppressLineNumbers w:val="false"/>
        <w:pBdr/>
        <w:spacing w:line="300" w:lineRule="auto"/>
        <w:ind w:firstLine="0"/>
        <w:rPr>
          <w:highlight w:val="none"/>
        </w:rPr>
      </w:pPr>
      <w:r>
        <w:rPr>
          <w:highlight w:val="none"/>
        </w:rPr>
      </w:r>
      <w:r>
        <w:rPr>
          <w:highlight w:val="none"/>
        </w:rPr>
        <w:t xml:space="preserve">To ensure methodological clarity, this thesis maps question families to their clinical decision roles.</w:t>
      </w:r>
      <w:r>
        <w:rPr>
          <w:highlight w:val="none"/>
        </w:rPr>
      </w:r>
      <w:r>
        <w:rPr>
          <w:highlight w:val="none"/>
        </w:rP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9006CF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Question family</w:t>
            </w:r>
            <w:r>
              <w:rPr>
                <w:color w:val="000000" w:themeColor="text1"/>
              </w:rPr>
            </w:r>
            <w:r>
              <w:rPr>
                <w:color w:val="000000" w:themeColor="text1"/>
              </w:rPr>
            </w:r>
          </w:p>
        </w:tc>
        <w:tc>
          <w:tcPr>
            <w:tcBorders/>
            <w:tcW w:w="2160" w:type="dxa"/>
            <w:textDirection w:val="lrTb"/>
            <w:noWrap w:val="false"/>
          </w:tcPr>
          <w:p w14:paraId="73864AC6">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Example</w:t>
            </w:r>
            <w:r>
              <w:rPr>
                <w:color w:val="000000" w:themeColor="text1"/>
              </w:rPr>
            </w:r>
            <w:r>
              <w:rPr>
                <w:color w:val="000000" w:themeColor="text1"/>
              </w:rPr>
            </w:r>
          </w:p>
        </w:tc>
        <w:tc>
          <w:tcPr>
            <w:tcBorders/>
            <w:tcW w:w="2160" w:type="dxa"/>
            <w:textDirection w:val="lrTb"/>
            <w:noWrap w:val="false"/>
          </w:tcPr>
          <w:p w14:paraId="7CBA547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Dominant challenge</w:t>
            </w:r>
            <w:r>
              <w:rPr>
                <w:color w:val="000000" w:themeColor="text1"/>
              </w:rPr>
            </w:r>
            <w:r>
              <w:rPr>
                <w:color w:val="000000" w:themeColor="text1"/>
              </w:rPr>
            </w:r>
          </w:p>
        </w:tc>
        <w:tc>
          <w:tcPr>
            <w:tcBorders/>
            <w:tcW w:w="2160" w:type="dxa"/>
            <w:textDirection w:val="lrTb"/>
            <w:noWrap w:val="false"/>
          </w:tcPr>
          <w:p w14:paraId="259194B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Decision role</w:t>
            </w:r>
            <w:r>
              <w:rPr>
                <w:color w:val="000000" w:themeColor="text1"/>
              </w:rPr>
            </w:r>
            <w:r>
              <w:rPr>
                <w:color w:val="000000" w:themeColor="text1"/>
              </w:rPr>
            </w:r>
          </w:p>
        </w:tc>
      </w:tr>
      <w:tr>
        <w:trPr/>
        <w:tc>
          <w:tcPr>
            <w:tcBorders/>
            <w:tcW w:w="2160" w:type="dxa"/>
            <w:textDirection w:val="lrTb"/>
            <w:noWrap w:val="false"/>
          </w:tcPr>
          <w:p w14:paraId="1509979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Presence</w:t>
            </w:r>
            <w:r>
              <w:rPr>
                <w:color w:val="000000" w:themeColor="text1"/>
              </w:rPr>
            </w:r>
            <w:r>
              <w:rPr>
                <w:color w:val="000000" w:themeColor="text1"/>
              </w:rPr>
            </w:r>
          </w:p>
        </w:tc>
        <w:tc>
          <w:tcPr>
            <w:tcBorders/>
            <w:tcW w:w="2160" w:type="dxa"/>
            <w:textDirection w:val="lrTb"/>
            <w:noWrap w:val="false"/>
          </w:tcPr>
          <w:p w14:paraId="4DCA3DC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there active bleeding?"</w:t>
            </w:r>
            <w:r>
              <w:rPr>
                <w:color w:val="000000" w:themeColor="text1"/>
              </w:rPr>
            </w:r>
            <w:r>
              <w:rPr>
                <w:color w:val="000000" w:themeColor="text1"/>
              </w:rPr>
            </w:r>
          </w:p>
        </w:tc>
        <w:tc>
          <w:tcPr>
            <w:tcBorders/>
            <w:tcW w:w="2160" w:type="dxa"/>
            <w:textDirection w:val="lrTb"/>
            <w:noWrap w:val="false"/>
          </w:tcPr>
          <w:p w14:paraId="64628A5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False-negative control</w:t>
            </w:r>
            <w:r>
              <w:rPr>
                <w:color w:val="000000" w:themeColor="text1"/>
              </w:rPr>
            </w:r>
            <w:r>
              <w:rPr>
                <w:color w:val="000000" w:themeColor="text1"/>
              </w:rPr>
            </w:r>
          </w:p>
        </w:tc>
        <w:tc>
          <w:tcPr>
            <w:tcBorders/>
            <w:tcW w:w="2160" w:type="dxa"/>
            <w:textDirection w:val="lrTb"/>
            <w:noWrap w:val="false"/>
          </w:tcPr>
          <w:p w14:paraId="71AFA43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Immediate risk awareness</w:t>
            </w:r>
            <w:r>
              <w:rPr>
                <w:color w:val="000000" w:themeColor="text1"/>
              </w:rPr>
            </w:r>
            <w:r>
              <w:rPr>
                <w:color w:val="000000" w:themeColor="text1"/>
              </w:rPr>
            </w:r>
          </w:p>
        </w:tc>
      </w:tr>
      <w:tr>
        <w:trPr/>
        <w:tc>
          <w:tcPr>
            <w:tcBorders/>
            <w:tcW w:w="2160" w:type="dxa"/>
            <w:textDirection w:val="lrTb"/>
            <w:noWrap w:val="false"/>
          </w:tcPr>
          <w:p w14:paraId="227DB3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w:t>
            </w:r>
            <w:r>
              <w:rPr>
                <w:color w:val="000000" w:themeColor="text1"/>
              </w:rPr>
            </w:r>
            <w:r>
              <w:rPr>
                <w:color w:val="000000" w:themeColor="text1"/>
              </w:rPr>
            </w:r>
          </w:p>
        </w:tc>
        <w:tc>
          <w:tcPr>
            <w:tcBorders/>
            <w:tcW w:w="2160" w:type="dxa"/>
            <w:textDirection w:val="lrTb"/>
            <w:noWrap w:val="false"/>
          </w:tcPr>
          <w:p w14:paraId="323627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are visible?"</w:t>
            </w:r>
            <w:r>
              <w:rPr>
                <w:color w:val="000000" w:themeColor="text1"/>
              </w:rPr>
            </w:r>
            <w:r>
              <w:rPr>
                <w:color w:val="000000" w:themeColor="text1"/>
              </w:rPr>
            </w:r>
          </w:p>
        </w:tc>
        <w:tc>
          <w:tcPr>
            <w:tcBorders/>
            <w:tcW w:w="2160" w:type="dxa"/>
            <w:textDirection w:val="lrTb"/>
            <w:noWrap w:val="false"/>
          </w:tcPr>
          <w:p w14:paraId="4059F80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Counting under occlusion and partial views</w:t>
            </w:r>
            <w:r>
              <w:rPr>
                <w:color w:val="000000" w:themeColor="text1"/>
              </w:rPr>
            </w:r>
            <w:r>
              <w:rPr>
                <w:color w:val="000000" w:themeColor="text1"/>
              </w:rPr>
            </w:r>
          </w:p>
        </w:tc>
        <w:tc>
          <w:tcPr>
            <w:tcBorders/>
            <w:tcW w:w="2160" w:type="dxa"/>
            <w:textDirection w:val="lrTb"/>
            <w:noWrap w:val="false"/>
          </w:tcPr>
          <w:p w14:paraId="745BEDE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Completeness and burden estimation</w:t>
            </w:r>
            <w:r>
              <w:rPr>
                <w:color w:val="000000" w:themeColor="text1"/>
              </w:rPr>
            </w:r>
            <w:r>
              <w:rPr>
                <w:color w:val="000000" w:themeColor="text1"/>
              </w:rPr>
            </w:r>
          </w:p>
        </w:tc>
      </w:tr>
      <w:tr>
        <w:trPr/>
        <w:tc>
          <w:tcPr>
            <w:tcBorders/>
            <w:tcW w:w="2160" w:type="dxa"/>
            <w:textDirection w:val="lrTb"/>
            <w:noWrap w:val="false"/>
          </w:tcPr>
          <w:p w14:paraId="09869B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Location</w:t>
            </w:r>
            <w:r>
              <w:rPr>
                <w:color w:val="000000" w:themeColor="text1"/>
              </w:rPr>
            </w:r>
            <w:r>
              <w:rPr>
                <w:color w:val="000000" w:themeColor="text1"/>
              </w:rPr>
            </w:r>
          </w:p>
        </w:tc>
        <w:tc>
          <w:tcPr>
            <w:tcBorders/>
            <w:tcW w:w="2160" w:type="dxa"/>
            <w:textDirection w:val="lrTb"/>
            <w:noWrap w:val="false"/>
          </w:tcPr>
          <w:p w14:paraId="442DA1A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"Where is the lesion?"</w:t>
            </w:r>
            <w:r>
              <w:rPr>
                <w:color w:val="000000" w:themeColor="text1"/>
              </w:rPr>
            </w:r>
            <w:r>
              <w:rPr>
                <w:color w:val="000000" w:themeColor="text1"/>
              </w:rPr>
            </w:r>
          </w:p>
        </w:tc>
        <w:tc>
          <w:tcPr>
            <w:tcBorders/>
            <w:tcW w:w="2160" w:type="dxa"/>
            <w:textDirection w:val="lrTb"/>
            <w:noWrap w:val="false"/>
          </w:tcPr>
          <w:p w14:paraId="26FFC47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Spatial grounding consistency</w:t>
            </w:r>
            <w:r>
              <w:rPr>
                <w:color w:val="000000" w:themeColor="text1"/>
              </w:rPr>
            </w:r>
            <w:r>
              <w:rPr>
                <w:color w:val="000000" w:themeColor="text1"/>
              </w:rPr>
            </w:r>
          </w:p>
        </w:tc>
        <w:tc>
          <w:tcPr>
            <w:tcBorders/>
            <w:tcW w:w="2160" w:type="dxa"/>
            <w:textDirection w:val="lrTb"/>
            <w:noWrap w:val="false"/>
          </w:tcPr>
          <w:p w14:paraId="5AD6A5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precision and reporting</w:t>
            </w:r>
            <w:r>
              <w:rPr>
                <w:color w:val="000000" w:themeColor="text1"/>
              </w:rPr>
            </w:r>
            <w:r>
              <w:rPr>
                <w:color w:val="000000" w:themeColor="text1"/>
              </w:rPr>
            </w:r>
          </w:p>
        </w:tc>
      </w:tr>
      <w:tr>
        <w:trPr/>
        <w:tc>
          <w:tcPr>
            <w:tcBorders/>
            <w:tcW w:w="2160" w:type="dxa"/>
            <w:textDirection w:val="lrTb"/>
            <w:noWrap w:val="false"/>
          </w:tcPr>
          <w:p w14:paraId="1382E74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Type/Attribute</w:t>
            </w:r>
            <w:r>
              <w:rPr>
                <w:color w:val="000000" w:themeColor="text1"/>
              </w:rPr>
            </w:r>
            <w:r>
              <w:rPr>
                <w:color w:val="000000" w:themeColor="text1"/>
              </w:rPr>
            </w:r>
          </w:p>
        </w:tc>
        <w:tc>
          <w:tcPr>
            <w:tcBorders/>
            <w:tcW w:w="2160" w:type="dxa"/>
            <w:textDirection w:val="lrTb"/>
            <w:noWrap w:val="false"/>
          </w:tcPr>
          <w:p w14:paraId="242835B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polyp morphology is present?"</w:t>
            </w:r>
            <w:r>
              <w:rPr>
                <w:color w:val="000000" w:themeColor="text1"/>
              </w:rPr>
            </w:r>
            <w:r>
              <w:rPr>
                <w:color w:val="000000" w:themeColor="text1"/>
              </w:rPr>
            </w:r>
          </w:p>
        </w:tc>
        <w:tc>
          <w:tcPr>
            <w:tcBorders/>
            <w:tcW w:w="2160" w:type="dxa"/>
            <w:textDirection w:val="lrTb"/>
            <w:noWrap w:val="false"/>
          </w:tcPr>
          <w:p w14:paraId="1D56669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Fine-grained differentiation</w:t>
            </w:r>
            <w:r>
              <w:rPr>
                <w:color w:val="000000" w:themeColor="text1"/>
              </w:rPr>
            </w:r>
            <w:r>
              <w:rPr>
                <w:color w:val="000000" w:themeColor="text1"/>
              </w:rPr>
            </w:r>
          </w:p>
        </w:tc>
        <w:tc>
          <w:tcPr>
            <w:tcBorders/>
            <w:tcW w:w="2160" w:type="dxa"/>
            <w:textDirection w:val="lrTb"/>
            <w:noWrap w:val="false"/>
          </w:tcPr>
          <w:p w14:paraId="5ABB4EB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Risk stratification and follow-up planning</w:t>
            </w:r>
            <w:r>
              <w:rPr>
                <w:color w:val="000000" w:themeColor="text1"/>
              </w:rPr>
            </w:r>
            <w:r>
              <w:rPr>
                <w:color w:val="000000" w:themeColor="text1"/>
              </w:rPr>
            </w:r>
          </w:p>
        </w:tc>
      </w:tr>
      <w:tr>
        <w:trPr/>
        <w:tc>
          <w:tcPr>
            <w:tcBorders/>
            <w:tcW w:w="2160" w:type="dxa"/>
            <w:textDirection w:val="lrTb"/>
            <w:noWrap w:val="false"/>
          </w:tcPr>
          <w:p w14:paraId="1587B7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w:t>
            </w:r>
            <w:r>
              <w:rPr>
                <w:color w:val="000000" w:themeColor="text1"/>
              </w:rPr>
            </w:r>
            <w:r>
              <w:rPr>
                <w:color w:val="000000" w:themeColor="text1"/>
              </w:rPr>
            </w:r>
          </w:p>
        </w:tc>
        <w:tc>
          <w:tcPr>
            <w:tcBorders/>
            <w:tcW w:w="2160" w:type="dxa"/>
            <w:textDirection w:val="lrTb"/>
            <w:noWrap w:val="false"/>
          </w:tcPr>
          <w:p w14:paraId="74C101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score?"</w:t>
            </w:r>
            <w:r>
              <w:rPr>
                <w:color w:val="000000" w:themeColor="text1"/>
              </w:rPr>
            </w:r>
            <w:r>
              <w:rPr>
                <w:color w:val="000000" w:themeColor="text1"/>
              </w:rPr>
            </w:r>
          </w:p>
        </w:tc>
        <w:tc>
          <w:tcPr>
            <w:tcBorders/>
            <w:tcW w:w="2160" w:type="dxa"/>
            <w:textDirection w:val="lrTb"/>
            <w:noWrap w:val="false"/>
          </w:tcPr>
          <w:p w14:paraId="3EED6D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robustness under imbalance</w:t>
            </w:r>
            <w:r>
              <w:rPr>
                <w:color w:val="000000" w:themeColor="text1"/>
              </w:rPr>
            </w:r>
            <w:r>
              <w:rPr>
                <w:color w:val="000000" w:themeColor="text1"/>
              </w:rPr>
            </w:r>
          </w:p>
        </w:tc>
        <w:tc>
          <w:tcPr>
            <w:tcBorders/>
            <w:tcW w:w="2160" w:type="dxa"/>
            <w:textDirection w:val="lrTb"/>
            <w:noWrap w:val="false"/>
          </w:tcPr>
          <w:p w14:paraId="0B936F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planning and monitoring</w:t>
            </w:r>
            <w:r>
              <w:rPr>
                <w:color w:val="000000" w:themeColor="text1"/>
              </w:rPr>
            </w:r>
            <w:r>
              <w:rPr>
                <w:color w:val="000000" w:themeColor="text1"/>
              </w:rPr>
            </w:r>
          </w:p>
        </w:tc>
      </w:tr>
    </w:tbl>
    <w:p w14:paraId="5E097008">
      <w:pPr>
        <w:pStyle w:val="1056"/>
        <w:suppressLineNumbers w:val="false"/>
        <w:pBdr/>
        <w:spacing w:line="300" w:lineRule="auto"/>
        <w:ind w:firstLine="0"/>
        <w:rPr>
          <w:highlight w:val="none"/>
        </w:rPr>
      </w:pPr>
      <w:r>
        <w:rPr>
          <w:highlight w:val="none"/>
        </w:rPr>
      </w:r>
      <w:r>
        <w:rPr>
          <w:highlight w:val="none"/>
        </w:rPr>
        <w:tab/>
        <w:tab/>
        <w:tab/>
        <w:tab/>
        <w:tab/>
      </w:r>
      <w:r>
        <w:rPr>
          <w:highlight w:val="none"/>
          <w:lang w:val="en-US"/>
        </w:rPr>
        <w:t xml:space="preserve">Table 1.1</w:t>
      </w:r>
      <w:r>
        <w:rPr>
          <w:highlight w:val="none"/>
        </w:rPr>
      </w:r>
      <w:r>
        <w:rPr>
          <w:highlight w:val="none"/>
        </w:rPr>
      </w:r>
    </w:p>
    <w:p w14:paraId="7A5A1A66">
      <w:pPr>
        <w:pStyle w:val="1056"/>
        <w:suppressLineNumbers w:val="false"/>
        <w:pBdr/>
        <w:spacing w:line="300" w:lineRule="auto"/>
        <w:ind w:firstLine="0"/>
        <w:rPr>
          <w:b/>
          <w:bCs/>
        </w:rPr>
      </w:pPr>
      <w:r>
        <w:rPr>
          <w:b/>
          <w:bCs/>
          <w:highlight w:val="none"/>
          <w:lang w:val="en-US"/>
        </w:rPr>
        <w:t xml:space="preserve">1.2.2 Operational Constraints </w:t>
      </w:r>
      <w:r>
        <w:rPr>
          <w:b/>
          <w:bCs/>
          <w:highlight w:val="none"/>
          <w:lang w:val="en-US"/>
        </w:rPr>
        <w:t xml:space="preserve">in </w:t>
      </w:r>
      <w:r>
        <w:rPr>
          <w:b/>
          <w:bCs/>
          <w:highlight w:val="none"/>
          <w:lang w:val="en-US"/>
        </w:rPr>
        <w:t xml:space="preserve">Realistic Deployment</w:t>
      </w:r>
      <w:r>
        <w:rPr>
          <w:b/>
          <w:bCs/>
        </w:rPr>
      </w:r>
      <w:r>
        <w:rPr>
          <w:b/>
          <w:bCs/>
        </w:rPr>
      </w:r>
    </w:p>
    <w:p w14:paraId="65032ABB">
      <w:pPr>
        <w:pStyle w:val="1056"/>
        <w:suppressLineNumbers w:val="false"/>
        <w:pBdr/>
        <w:spacing w:line="300" w:lineRule="auto"/>
        <w:ind w:firstLine="720"/>
        <w:rPr/>
      </w:pPr>
      <w:r>
        <w:rPr>
          <w:highlight w:val="none"/>
          <w:lang w:val="en-US"/>
        </w:rPr>
        <w:t xml:space="preserve">E</w:t>
      </w:r>
      <w:r>
        <w:rPr>
          <w:highlight w:val="none"/>
          <w:lang w:val="en-US"/>
        </w:rPr>
        <w:t xml:space="preserve">ven in pre-deployment research, model design should anticipate operational constraints. These include variable image quality, limited severe-class labels, institutional differences in reporting language, and the need for predictable failure behavior. A cli</w:t>
      </w:r>
      <w:r>
        <w:rPr>
          <w:highlight w:val="none"/>
          <w:lang w:val="en-US"/>
        </w:rPr>
        <w:t xml:space="preserve">nically acceptable system is not one that never fails; it is one that fails in ways that are detectable, bounded, and actionable.</w:t>
      </w:r>
      <w:r>
        <w:rPr>
          <w:highlight w:val="none"/>
          <w:lang w:val="en-US"/>
        </w:rPr>
      </w:r>
      <w:r/>
    </w:p>
    <w:p w14:paraId="42DDEE77">
      <w:pPr>
        <w:pStyle w:val="1056"/>
        <w:suppressLineNumbers w:val="false"/>
        <w:pBdr/>
        <w:spacing w:line="300" w:lineRule="auto"/>
        <w:ind w:firstLine="720"/>
        <w:rPr/>
      </w:pPr>
      <w:r>
        <w:rPr>
          <w:highlight w:val="none"/>
          <w:lang w:val="en-US"/>
        </w:rPr>
        <w:t xml:space="preserve">T</w:t>
      </w:r>
      <w:r>
        <w:rPr>
          <w:highlight w:val="none"/>
          <w:lang w:val="en-US"/>
        </w:rPr>
        <w:t xml:space="preserve">hese constraints motivate a conditional architecture. Closed-set pathways are often preferable where deterministic label control is required. Generative pathways can be used for explanation-oriented outputs under explicit safeguards. Retrieval-backed reaso</w:t>
      </w:r>
      <w:r>
        <w:rPr>
          <w:highlight w:val="none"/>
          <w:lang w:val="en-US"/>
        </w:rPr>
        <w:t xml:space="preserve">ning should be introduced selectively for questions that require evidence beyond direct visual interpretation.</w:t>
      </w:r>
      <w:r>
        <w:rPr>
          <w:highlight w:val="none"/>
          <w:lang w:val="en-US"/>
        </w:rPr>
      </w:r>
      <w:r/>
    </w:p>
    <w:p w14:paraId="0F1D191C">
      <w:pPr>
        <w:pStyle w:val="1056"/>
        <w:suppressLineNumbers w:val="false"/>
        <w:pBdr/>
        <w:spacing w:line="300" w:lineRule="auto"/>
        <w:ind w:firstLine="0"/>
        <w:rPr>
          <w:b/>
          <w:bCs/>
          <w:sz w:val="28"/>
          <w:szCs w:val="28"/>
        </w:rPr>
      </w:pPr>
      <w:r>
        <w:rPr>
          <w:b/>
          <w:bCs/>
          <w:sz w:val="28"/>
          <w:szCs w:val="28"/>
        </w:rPr>
        <w:t xml:space="preserve">1.3 Clinical Motivation: Ulcerative Colitis Severity as a Flagship Use Case</w:t>
      </w:r>
      <w:r>
        <w:rPr>
          <w:b/>
          <w:bCs/>
          <w:sz w:val="28"/>
          <w:szCs w:val="28"/>
        </w:rPr>
      </w:r>
      <w:r>
        <w:rPr>
          <w:b/>
          <w:bCs/>
          <w:sz w:val="28"/>
          <w:szCs w:val="28"/>
        </w:rPr>
      </w:r>
    </w:p>
    <w:p w14:paraId="06169318">
      <w:pPr>
        <w:pStyle w:val="1056"/>
        <w:suppressLineNumbers w:val="false"/>
        <w:pBdr/>
        <w:spacing w:line="300" w:lineRule="auto"/>
        <w:ind w:firstLine="720"/>
        <w:rPr/>
      </w:pPr>
      <w:r>
        <w:t xml:space="preserve">U</w:t>
      </w:r>
      <w:r>
        <w:t xml:space="preserve">lcerative colitis (UC) severity assessment is a high-value use case for MedVQA in colonoscopy. Endoscopic severity strongly influences treatment decisions and disease monitoring strategies. In clinical practice, severity is commonly represented by standard</w:t>
      </w:r>
      <w:r>
        <w:t xml:space="preserve">ized scales such as the Mayo Endoscopic Subscore (0-3) and UCEIS (0-8, often mapped to ordinal severity categories). These scales are clinically meaningful, but grading can be difficult in borderline or low-quality frames.</w:t>
      </w:r>
      <w:r/>
    </w:p>
    <w:p w14:paraId="1DF99556">
      <w:pPr>
        <w:pStyle w:val="1056"/>
        <w:suppressLineNumbers w:val="false"/>
        <w:pBdr/>
        <w:spacing w:line="300" w:lineRule="auto"/>
        <w:ind w:firstLine="720"/>
        <w:rPr/>
      </w:pPr>
      <w:r>
        <w:t xml:space="preserve">U</w:t>
      </w:r>
      <w:r>
        <w:t xml:space="preserve">C severity automation is not a new problem. Prior deep learning systems have already shown clinically meaningful performance for endoscopic severity scoring under specialist comparison settings [25], [26], [27], [28]. Related GI quality-grading work with v</w:t>
      </w:r>
      <w:r>
        <w:t xml:space="preserve">i</w:t>
      </w:r>
      <w:r>
        <w:t xml:space="preserve">sion-language models further supports the feasibility of multimodal assistance in endoscopy workflows [17]. These studies establish strong prior art for AI-based severity grading in UC and clarify that the key challenge is no longer "can AI score disease a</w:t>
      </w:r>
      <w:r>
        <w:t xml:space="preserve">t all?" but "can an interactive system remain reliable, grounded, and clinically usable when moved beyond fixed-score outputs?" [14], [16].</w:t>
      </w:r>
      <w:r/>
    </w:p>
    <w:p w14:paraId="24D22E3B">
      <w:pPr>
        <w:pStyle w:val="1056"/>
        <w:suppressLineNumbers w:val="false"/>
        <w:pBdr/>
        <w:spacing w:line="300" w:lineRule="auto"/>
        <w:ind w:firstLine="720"/>
        <w:rPr/>
      </w:pPr>
      <w:r>
        <w:t xml:space="preserve">T</w:t>
      </w:r>
      <w:r>
        <w:t xml:space="preserve">his dissertation therefore does not claim to be the first AI system for UC severity scoring. Its novelty is the integration of (1) GI-oriented MedVQA interaction, (2) risk-aware reliability controls, and (3) evidence-aware extensions for management-style q</w:t>
      </w:r>
      <w:r>
        <w:t xml:space="preserve">uestions. From a MedVQA perspective, UC severity remains methodologically informative because it combines:</w:t>
      </w:r>
      <w:r/>
    </w:p>
    <w:p w14:paraId="68C45EFB">
      <w:pPr>
        <w:pStyle w:val="1056"/>
        <w:numPr>
          <w:ilvl w:val="0"/>
          <w:numId w:val="13"/>
        </w:numPr>
        <w:suppressLineNumbers w:val="false"/>
        <w:pBdr/>
        <w:spacing w:after="240" w:before="120" w:line="120" w:lineRule="auto"/>
        <w:ind/>
        <w:rPr/>
      </w:pPr>
      <w:r>
        <w:t xml:space="preserve">Fine-grained visual discrimination.</w:t>
      </w:r>
      <w:r/>
    </w:p>
    <w:p w14:paraId="202FB3F2">
      <w:pPr>
        <w:pStyle w:val="1056"/>
        <w:numPr>
          <w:ilvl w:val="0"/>
          <w:numId w:val="13"/>
        </w:numPr>
        <w:suppressLineNumbers w:val="false"/>
        <w:pBdr/>
        <w:spacing w:after="240" w:before="120" w:line="120" w:lineRule="auto"/>
        <w:ind/>
        <w:rPr/>
      </w:pPr>
      <w:r>
        <w:t xml:space="preserve">Ordinal class structure.</w:t>
      </w:r>
      <w:r/>
    </w:p>
    <w:p w14:paraId="3563D1FB">
      <w:pPr>
        <w:pStyle w:val="1056"/>
        <w:numPr>
          <w:ilvl w:val="0"/>
          <w:numId w:val="13"/>
        </w:numPr>
        <w:suppressLineNumbers w:val="false"/>
        <w:pBdr/>
        <w:spacing w:after="240" w:before="120" w:line="120" w:lineRule="auto"/>
        <w:ind/>
        <w:rPr/>
      </w:pPr>
      <w:r>
        <w:t xml:space="preserve">Asymmetric clinical cost of errors.</w:t>
      </w:r>
      <w:r/>
    </w:p>
    <w:p w14:paraId="3017EE4A">
      <w:pPr>
        <w:pStyle w:val="1056"/>
        <w:numPr>
          <w:ilvl w:val="0"/>
          <w:numId w:val="13"/>
        </w:numPr>
        <w:suppressLineNumbers w:val="false"/>
        <w:pBdr/>
        <w:spacing w:after="240" w:before="120" w:line="120" w:lineRule="auto"/>
        <w:ind/>
        <w:rPr/>
      </w:pPr>
      <w:r>
        <w:t xml:space="preserve">Potential demand for explanation and uncertainty communication.</w:t>
      </w:r>
      <w:r/>
    </w:p>
    <w:p w14:paraId="2237DF4E">
      <w:pPr>
        <w:pStyle w:val="1056"/>
        <w:suppressLineNumbers w:val="false"/>
        <w:pBdr/>
        <w:spacing w:line="300" w:lineRule="auto"/>
        <w:ind w:firstLine="0"/>
        <w:rPr>
          <w:highlight w:val="none"/>
        </w:rPr>
      </w:pPr>
      <w:r>
        <w:t xml:space="preserve">A</w:t>
      </w:r>
      <w:r>
        <w:t xml:space="preserve"> standard classifier can output a severity label, but a MedVQA interface can additionally provide rationale-oriented responses and controlled follow-up interaction. This thesis adopts that broader perspective while preserving strict emphasis on visual grou</w:t>
      </w:r>
      <w:r>
        <w:t xml:space="preserve">nding.</w:t>
      </w:r>
      <w:r>
        <w:rPr>
          <w:highlight w:val="none"/>
        </w:rPr>
      </w:r>
      <w:r>
        <w:rPr>
          <w:highlight w:val="none"/>
        </w:rPr>
      </w:r>
    </w:p>
    <w:p w14:paraId="753C8B71">
      <w:pPr>
        <w:pStyle w:val="1056"/>
        <w:suppressLineNumbers w:val="false"/>
        <w:pBdr/>
        <w:spacing w:line="300" w:lineRule="auto"/>
        <w:ind w:firstLine="0"/>
        <w:rPr/>
      </w:pPr>
      <w:r>
        <w:rPr>
          <w:highlight w:val="none"/>
        </w:rPr>
      </w:r>
      <w:r>
        <w:rPr>
          <w:highlight w:val="none"/>
        </w:rPr>
      </w:r>
      <w:r/>
    </w:p>
    <w:p w14:paraId="2B89AE6B">
      <w:pPr>
        <w:pStyle w:val="1056"/>
        <w:suppressLineNumbers w:val="false"/>
        <w:pBdr/>
        <w:spacing w:line="300" w:lineRule="auto"/>
        <w:ind w:firstLine="0"/>
        <w:rPr>
          <w:b/>
          <w:bCs/>
        </w:rPr>
      </w:pPr>
      <w:r>
        <w:rPr>
          <w:b/>
          <w:bCs/>
        </w:rPr>
        <w:t xml:space="preserve">1.3.1 Workflow-Oriented Motivation</w:t>
      </w:r>
      <w:r>
        <w:rPr>
          <w:b/>
          <w:bCs/>
        </w:rPr>
      </w:r>
      <w:r>
        <w:rPr>
          <w:b/>
          <w:bCs/>
        </w:rPr>
      </w:r>
    </w:p>
    <w:p w14:paraId="48E249BE">
      <w:pPr>
        <w:pStyle w:val="1056"/>
        <w:suppressLineNumbers w:val="false"/>
        <w:pBdr/>
        <w:spacing w:line="300" w:lineRule="auto"/>
        <w:ind w:firstLine="0"/>
        <w:rPr/>
      </w:pPr>
      <w:r>
        <w:t xml:space="preserve">In practical clinical terms, the decision path is closer to:</w:t>
      </w:r>
      <w:r/>
    </w:p>
    <w:p w14:paraId="4EEF4013">
      <w:pPr>
        <w:pStyle w:val="1056"/>
        <w:suppressLineNumbers w:val="false"/>
        <w:pBdr/>
        <w:spacing w:line="300" w:lineRule="auto"/>
        <w:ind w:firstLine="0"/>
        <w:rPr/>
      </w:pPr>
      <w:r>
        <w:t xml:space="preserve">Endoscopy frame(s)</w:t>
      </w:r>
      <w:r/>
    </w:p>
    <w:p w14:paraId="38C0B0F3">
      <w:pPr>
        <w:pStyle w:val="1056"/>
        <w:suppressLineNumbers w:val="false"/>
        <w:pBdr/>
        <w:spacing w:after="240" w:before="120" w:line="120" w:lineRule="auto"/>
        <w:ind w:firstLine="0"/>
        <w:rPr/>
      </w:pPr>
      <w:r>
        <w:rPr>
          <w:lang w:val="en-US"/>
        </w:rPr>
        <w:t xml:space="preserve">1.</w:t>
      </w:r>
      <w:r>
        <w:t xml:space="preserve"> clinician question</w:t>
      </w:r>
      <w:r/>
    </w:p>
    <w:p w14:paraId="1A02D1D8">
      <w:pPr>
        <w:pStyle w:val="1056"/>
        <w:suppressLineNumbers w:val="false"/>
        <w:pBdr/>
        <w:spacing w:after="240" w:before="120" w:line="120" w:lineRule="auto"/>
        <w:ind w:firstLine="0"/>
        <w:rPr/>
      </w:pPr>
      <w:r>
        <w:rPr>
          <w:lang w:val="en-US"/>
        </w:rPr>
        <w:t xml:space="preserve">2.</w:t>
      </w:r>
      <w:r>
        <w:t xml:space="preserve"> visual-grounded answer</w:t>
      </w:r>
      <w:r/>
    </w:p>
    <w:p w14:paraId="409262C4">
      <w:pPr>
        <w:pStyle w:val="1056"/>
        <w:suppressLineNumbers w:val="false"/>
        <w:pBdr/>
        <w:spacing w:after="240" w:before="120" w:line="120" w:lineRule="auto"/>
        <w:ind w:firstLine="0"/>
        <w:rPr/>
      </w:pPr>
      <w:r>
        <w:rPr>
          <w:lang w:val="en-US"/>
        </w:rPr>
        <w:t xml:space="preserve">3.</w:t>
      </w:r>
      <w:r>
        <w:t xml:space="preserve"> confidence and uncertainty signal</w:t>
      </w:r>
      <w:r/>
    </w:p>
    <w:p w14:paraId="162ECB99">
      <w:pPr>
        <w:pStyle w:val="1056"/>
        <w:suppressLineNumbers w:val="false"/>
        <w:pBdr/>
        <w:spacing w:after="240" w:before="120" w:line="120" w:lineRule="auto"/>
        <w:ind w:firstLine="0"/>
        <w:rPr/>
      </w:pPr>
      <w:r>
        <w:rPr>
          <w:lang w:val="en-US"/>
        </w:rPr>
        <w:t xml:space="preserve">4.</w:t>
      </w:r>
      <w:r>
        <w:t xml:space="preserve"> optional evidence-linked follow-up</w:t>
      </w:r>
      <w:r/>
    </w:p>
    <w:p w14:paraId="043EADB2">
      <w:pPr>
        <w:pStyle w:val="1056"/>
        <w:suppressLineNumbers w:val="false"/>
        <w:pBdr/>
        <w:spacing w:line="300" w:lineRule="auto"/>
        <w:ind w:firstLine="0"/>
        <w:rPr/>
      </w:pPr>
      <w:r>
        <w:t xml:space="preserve">This abstraction motivates the thesis design: MedVQA is treated simultaneously as a perception task, a language task, and a workflow integration task.</w:t>
      </w:r>
      <w:r/>
    </w:p>
    <w:p w14:paraId="152369DF">
      <w:pPr>
        <w:pStyle w:val="1056"/>
        <w:suppressLineNumbers w:val="false"/>
        <w:pBdr/>
        <w:spacing w:line="300" w:lineRule="auto"/>
        <w:ind w:firstLine="0"/>
        <w:rPr>
          <w:b/>
          <w:bCs/>
        </w:rPr>
      </w:pPr>
      <w:r>
        <w:rPr>
          <w:b/>
          <w:bCs/>
        </w:rPr>
        <w:t xml:space="preserve">1.3.2 Why UC Severity Is a High-Value Testbed for Chapter 1</w:t>
      </w:r>
      <w:r>
        <w:rPr>
          <w:b/>
          <w:bCs/>
        </w:rPr>
      </w:r>
      <w:r>
        <w:rPr>
          <w:b/>
          <w:bCs/>
        </w:rPr>
      </w:r>
    </w:p>
    <w:p w14:paraId="3190C939">
      <w:pPr>
        <w:pStyle w:val="1056"/>
        <w:suppressLineNumbers w:val="false"/>
        <w:pBdr/>
        <w:spacing w:line="300" w:lineRule="auto"/>
        <w:ind w:firstLine="0"/>
        <w:rPr/>
      </w:pPr>
      <w:r>
        <w:t xml:space="preserve">U</w:t>
      </w:r>
      <w:r>
        <w:t xml:space="preserve">C severity is used as a flagship testbed in Chapter 1 because it concentrates multiple difficult properties in one clinically relevant problem: subtle visual distinctions, class imbalance, ordinal grading, and high consequence of severe under-calling. If a</w:t>
      </w:r>
      <w:r>
        <w:t xml:space="preserve"> system is not reliable in this setting, its suitability for broader GI decision support is limited.</w:t>
      </w:r>
      <w:r/>
    </w:p>
    <w:p w14:paraId="5A3B7F78">
      <w:pPr>
        <w:pStyle w:val="1056"/>
        <w:suppressLineNumbers w:val="false"/>
        <w:pBdr/>
        <w:spacing w:line="300" w:lineRule="auto"/>
        <w:ind w:firstLine="0"/>
        <w:rPr/>
      </w:pPr>
      <w:r>
        <w:t xml:space="preserve">A</w:t>
      </w:r>
      <w:r>
        <w:t xml:space="preserve">t the same time, UC severity remains experimentally tractable using currently available datasets and persisted repository artifacts. This combination of clinical significance and methodological tractability makes it an appropriate anchor for the dissertati</w:t>
      </w:r>
      <w:r>
        <w:t xml:space="preserve">on.</w:t>
      </w:r>
      <w:r/>
    </w:p>
    <w:p w14:paraId="063C935E">
      <w:pPr>
        <w:pStyle w:val="1056"/>
        <w:suppressLineNumbers w:val="false"/>
        <w:pBdr/>
        <w:spacing w:line="300" w:lineRule="auto"/>
        <w:ind w:firstLine="0"/>
        <w:rPr>
          <w:b/>
          <w:bCs/>
          <w:sz w:val="28"/>
          <w:szCs w:val="28"/>
        </w:rPr>
      </w:pPr>
      <w:r>
        <w:rPr>
          <w:b/>
          <w:bCs/>
          <w:sz w:val="28"/>
          <w:szCs w:val="28"/>
        </w:rPr>
        <w:t xml:space="preserve">1.4 Problem Statement</w:t>
      </w:r>
      <w:r>
        <w:rPr>
          <w:b/>
          <w:bCs/>
          <w:sz w:val="28"/>
          <w:szCs w:val="28"/>
        </w:rPr>
      </w:r>
      <w:r>
        <w:rPr>
          <w:b/>
          <w:bCs/>
          <w:sz w:val="28"/>
          <w:szCs w:val="28"/>
        </w:rPr>
      </w:r>
    </w:p>
    <w:p w14:paraId="004D4DEA">
      <w:pPr>
        <w:pStyle w:val="1056"/>
        <w:suppressLineNumbers w:val="false"/>
        <w:pBdr/>
        <w:spacing w:line="300" w:lineRule="auto"/>
        <w:ind w:firstLine="0"/>
        <w:rPr/>
      </w:pPr>
      <w:r>
        <w:t xml:space="preserve">The central problem addressed in this dissertation is:</w:t>
      </w:r>
      <w:r/>
    </w:p>
    <w:p w14:paraId="7FCD196A">
      <w:pPr>
        <w:pStyle w:val="1056"/>
        <w:suppressLineNumbers w:val="false"/>
        <w:pBdr/>
        <w:spacing w:line="300" w:lineRule="auto"/>
        <w:ind w:firstLine="0"/>
        <w:rPr/>
      </w:pPr>
      <w:r>
        <w:t xml:space="preserve">How can a colonoscopy-focused MedVQA pipeline move from benchmark-level answering to clinically grounded, reliable, and evidence-aware decision support?</w:t>
      </w:r>
      <w:r/>
    </w:p>
    <w:p w14:paraId="737E09D0">
      <w:pPr>
        <w:pStyle w:val="1056"/>
        <w:suppressLineNumbers w:val="false"/>
        <w:pBdr/>
        <w:spacing w:line="300" w:lineRule="auto"/>
        <w:ind w:firstLine="0"/>
        <w:rPr/>
      </w:pPr>
      <w:r>
        <w:t xml:space="preserve">This problem is decomposed into four operational gaps:</w:t>
      </w:r>
      <w:r/>
    </w:p>
    <w:p w14:paraId="127E5F12">
      <w:pPr>
        <w:pStyle w:val="1056"/>
        <w:numPr>
          <w:ilvl w:val="0"/>
          <w:numId w:val="14"/>
        </w:numPr>
        <w:suppressLineNumbers w:val="false"/>
        <w:pBdr/>
        <w:spacing w:after="240" w:before="120" w:line="300" w:lineRule="auto"/>
        <w:ind/>
        <w:rPr/>
      </w:pPr>
      <w:r>
        <w:t xml:space="preserve">Data and coverage gap: Existing datasets provide broad task families but uneven clinical depth and long-tail imbalance.</w:t>
      </w:r>
      <w:r/>
    </w:p>
    <w:p w14:paraId="5364FC52">
      <w:pPr>
        <w:pStyle w:val="1056"/>
        <w:numPr>
          <w:ilvl w:val="0"/>
          <w:numId w:val="14"/>
        </w:numPr>
        <w:suppressLineNumbers w:val="false"/>
        <w:pBdr/>
        <w:spacing w:after="240" w:before="120" w:line="300" w:lineRule="auto"/>
        <w:ind/>
        <w:rPr/>
      </w:pPr>
      <w:r>
        <w:t xml:space="preserve">Model gap: Zero-shot general VLMs frequently underperform constrained or supervised approaches in GI settings.</w:t>
      </w:r>
      <w:r/>
    </w:p>
    <w:p w14:paraId="53612724">
      <w:pPr>
        <w:pStyle w:val="1056"/>
        <w:numPr>
          <w:ilvl w:val="0"/>
          <w:numId w:val="14"/>
        </w:numPr>
        <w:suppressLineNumbers w:val="false"/>
        <w:pBdr/>
        <w:spacing w:after="240" w:before="120" w:line="300" w:lineRule="auto"/>
        <w:ind/>
        <w:rPr/>
      </w:pPr>
      <w:r>
        <w:t xml:space="preserve">Evaluation gap: Aggregate metrics can conceal clinically unacceptable error patterns.</w:t>
      </w:r>
      <w:r/>
    </w:p>
    <w:p w14:paraId="705DBBE0">
      <w:pPr>
        <w:pStyle w:val="1056"/>
        <w:numPr>
          <w:ilvl w:val="0"/>
          <w:numId w:val="14"/>
        </w:numPr>
        <w:suppressLineNumbers w:val="false"/>
        <w:pBdr/>
        <w:spacing w:after="240" w:before="120" w:line="300" w:lineRule="auto"/>
        <w:ind/>
        <w:rPr/>
      </w:pPr>
      <w:r>
        <w:t xml:space="preserve">Workflow gap: Many systems do not yet connect image-grounded outputs to evidence-oriented clinical reasoning.</w:t>
      </w:r>
      <w:r/>
    </w:p>
    <w:p w14:paraId="5221E7E2">
      <w:pPr>
        <w:pStyle w:val="1056"/>
        <w:suppressLineNumbers w:val="false"/>
        <w:pBdr/>
        <w:spacing w:line="300" w:lineRule="auto"/>
        <w:ind w:firstLine="0"/>
        <w:rPr>
          <w:b/>
          <w:bCs/>
        </w:rPr>
      </w:pPr>
      <w:r>
        <w:rPr>
          <w:b/>
          <w:bCs/>
        </w:rPr>
        <w:t xml:space="preserve">1.4.1 Evidence from This Repository</w:t>
      </w:r>
      <w:r>
        <w:rPr>
          <w:b/>
          <w:bCs/>
        </w:rPr>
      </w:r>
      <w:r>
        <w:rPr>
          <w:b/>
          <w:bCs/>
        </w:rPr>
      </w:r>
    </w:p>
    <w:p w14:paraId="4EBC79D9">
      <w:pPr>
        <w:pStyle w:val="1056"/>
        <w:suppressLineNumbers w:val="false"/>
        <w:pBdr/>
        <w:spacing w:line="300" w:lineRule="auto"/>
        <w:ind w:firstLine="0"/>
        <w:rPr/>
      </w:pPr>
      <w:r>
        <w:t xml:space="preserve">Table 1.</w:t>
      </w:r>
      <w:r>
        <w:rPr>
          <w:lang w:val="en-US"/>
        </w:rPr>
        <w:t xml:space="preserve">2</w:t>
      </w:r>
      <w:r>
        <w:t xml:space="preserve"> summarizes key empirical signals from persisted repository artifacts.</w:t>
      </w:r>
      <w:r/>
    </w:p>
    <w:p w14:paraId="38CDDCAA">
      <w:pPr>
        <w:pStyle w:val="1056"/>
        <w:suppressLineNumbers w:val="false"/>
        <w:pBdr/>
        <w:spacing w:line="300" w:lineRule="auto"/>
        <w:ind w:firstLine="0"/>
        <w:rPr/>
      </w:pPr>
      <w:r>
        <w:t xml:space="preserve">References [20]-[24] point to supplementary analysis artifacts in the thesis repository and are included as reproducibility materials alongside the dissertation.</w:t>
      </w: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D7E00A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Dataset / Task</w:t>
            </w:r>
            <w:r>
              <w:rPr>
                <w:color w:val="000000" w:themeColor="text1"/>
              </w:rPr>
            </w:r>
            <w:r>
              <w:rPr>
                <w:color w:val="000000" w:themeColor="text1"/>
              </w:rPr>
            </w:r>
          </w:p>
        </w:tc>
        <w:tc>
          <w:tcPr>
            <w:tcBorders/>
            <w:tcW w:w="2160" w:type="dxa"/>
            <w:textDirection w:val="lrTb"/>
            <w:noWrap w:val="false"/>
          </w:tcPr>
          <w:p w14:paraId="3684995B">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Strongest saved model result</w:t>
            </w:r>
            <w:r>
              <w:rPr>
                <w:color w:val="000000" w:themeColor="text1"/>
              </w:rPr>
            </w:r>
            <w:r>
              <w:rPr>
                <w:color w:val="000000" w:themeColor="text1"/>
              </w:rPr>
            </w:r>
          </w:p>
        </w:tc>
        <w:tc>
          <w:tcPr>
            <w:tcBorders/>
            <w:tcW w:w="2160" w:type="dxa"/>
            <w:textDirection w:val="lrTb"/>
            <w:noWrap w:val="false"/>
          </w:tcPr>
          <w:p w14:paraId="514396B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Key failure signal</w:t>
            </w:r>
            <w:r>
              <w:rPr>
                <w:color w:val="000000" w:themeColor="text1"/>
              </w:rPr>
            </w:r>
            <w:r>
              <w:rPr>
                <w:color w:val="000000" w:themeColor="text1"/>
              </w:rPr>
            </w:r>
          </w:p>
        </w:tc>
        <w:tc>
          <w:tcPr>
            <w:tcBorders/>
            <w:tcW w:w="2160" w:type="dxa"/>
            <w:textDirection w:val="lrTb"/>
            <w:noWrap w:val="false"/>
          </w:tcPr>
          <w:p w14:paraId="267B8D4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Source</w:t>
            </w:r>
            <w:r>
              <w:rPr>
                <w:color w:val="000000" w:themeColor="text1"/>
              </w:rPr>
            </w:r>
            <w:r>
              <w:rPr>
                <w:color w:val="000000" w:themeColor="text1"/>
              </w:rPr>
            </w:r>
          </w:p>
        </w:tc>
      </w:tr>
      <w:tr>
        <w:trPr/>
        <w:tc>
          <w:tcPr>
            <w:tcBorders/>
            <w:tcW w:w="2160" w:type="dxa"/>
            <w:textDirection w:val="lrTb"/>
            <w:noWrap w:val="false"/>
          </w:tcPr>
          <w:p w14:paraId="655EBA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ImageCLEF MEDVQA-GI 2023 validation</w:t>
            </w:r>
            <w:r>
              <w:rPr>
                <w:color w:val="000000" w:themeColor="text1"/>
              </w:rPr>
            </w:r>
            <w:r>
              <w:rPr>
                <w:color w:val="000000" w:themeColor="text1"/>
              </w:rPr>
            </w:r>
          </w:p>
        </w:tc>
        <w:tc>
          <w:tcPr>
            <w:tcBorders/>
            <w:tcW w:w="2160" w:type="dxa"/>
            <w:textDirection w:val="lrTb"/>
            <w:noWrap w:val="false"/>
          </w:tcPr>
          <w:p w14:paraId="559CAE4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ViLT accuracy 0.9089, macro-F1 0.5823</w:t>
            </w:r>
            <w:r>
              <w:rPr>
                <w:color w:val="000000" w:themeColor="text1"/>
              </w:rPr>
            </w:r>
            <w:r>
              <w:rPr>
                <w:color w:val="000000" w:themeColor="text1"/>
              </w:rPr>
            </w:r>
          </w:p>
        </w:tc>
        <w:tc>
          <w:tcPr>
            <w:tcBorders/>
            <w:tcW w:w="2160" w:type="dxa"/>
            <w:textDirection w:val="lrTb"/>
            <w:noWrap w:val="false"/>
          </w:tcPr>
          <w:p w14:paraId="241ACB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Qwen2.5-VL zero-shot raw accuracy 0.0007; projected 0.0670</w:t>
            </w:r>
            <w:r>
              <w:rPr>
                <w:color w:val="000000" w:themeColor="text1"/>
              </w:rPr>
            </w:r>
            <w:r>
              <w:rPr>
                <w:color w:val="000000" w:themeColor="text1"/>
              </w:rPr>
            </w:r>
          </w:p>
        </w:tc>
        <w:tc>
          <w:tcPr>
            <w:tcBorders/>
            <w:tcW w:w="2160" w:type="dxa"/>
            <w:textDirection w:val="lrTb"/>
            <w:noWrap w:val="false"/>
          </w:tcPr>
          <w:p w14:paraId="246F380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[21]</w:t>
            </w:r>
            <w:r>
              <w:rPr>
                <w:color w:val="000000" w:themeColor="text1"/>
              </w:rPr>
            </w:r>
            <w:r>
              <w:rPr>
                <w:color w:val="000000" w:themeColor="text1"/>
              </w:rPr>
            </w:r>
          </w:p>
        </w:tc>
      </w:tr>
      <w:tr>
        <w:trPr/>
        <w:tc>
          <w:tcPr>
            <w:tcBorders/>
            <w:tcW w:w="2160" w:type="dxa"/>
            <w:textDirection w:val="lrTb"/>
            <w:noWrap w:val="false"/>
          </w:tcPr>
          <w:p w14:paraId="7782FEB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HyperKvasir 23-class test</w:t>
            </w:r>
            <w:r>
              <w:rPr>
                <w:color w:val="000000" w:themeColor="text1"/>
              </w:rPr>
            </w:r>
            <w:r>
              <w:rPr>
                <w:color w:val="000000" w:themeColor="text1"/>
              </w:rPr>
            </w:r>
          </w:p>
        </w:tc>
        <w:tc>
          <w:tcPr>
            <w:tcBorders/>
            <w:tcW w:w="2160" w:type="dxa"/>
            <w:textDirection w:val="lrTb"/>
            <w:noWrap w:val="false"/>
          </w:tcPr>
          <w:p w14:paraId="18449EE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ResNet50 supervised accuracy 0.8789, macro-F1 0.5943</w:t>
            </w:r>
            <w:r>
              <w:rPr>
                <w:color w:val="000000" w:themeColor="text1"/>
              </w:rPr>
            </w:r>
            <w:r>
              <w:rPr>
                <w:color w:val="000000" w:themeColor="text1"/>
              </w:rPr>
            </w:r>
          </w:p>
        </w:tc>
        <w:tc>
          <w:tcPr>
            <w:tcBorders/>
            <w:tcW w:w="2160" w:type="dxa"/>
            <w:textDirection w:val="lrTb"/>
            <w:noWrap w:val="false"/>
          </w:tcPr>
          <w:p w14:paraId="3CB1559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Head-tail recall gap remains large; BLIP2 projected accuracy 0.0638</w:t>
            </w:r>
            <w:r>
              <w:rPr>
                <w:color w:val="000000" w:themeColor="text1"/>
              </w:rPr>
            </w:r>
            <w:r>
              <w:rPr>
                <w:color w:val="000000" w:themeColor="text1"/>
              </w:rPr>
            </w:r>
          </w:p>
        </w:tc>
        <w:tc>
          <w:tcPr>
            <w:tcBorders/>
            <w:tcW w:w="2160" w:type="dxa"/>
            <w:textDirection w:val="lrTb"/>
            <w:noWrap w:val="false"/>
          </w:tcPr>
          <w:p w14:paraId="4378A42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[20]</w:t>
            </w:r>
            <w:r>
              <w:rPr>
                <w:color w:val="000000" w:themeColor="text1"/>
              </w:rPr>
            </w:r>
            <w:r>
              <w:rPr>
                <w:color w:val="000000" w:themeColor="text1"/>
              </w:rPr>
            </w:r>
          </w:p>
        </w:tc>
      </w:tr>
      <w:tr>
        <w:trPr/>
        <w:tc>
          <w:tcPr>
            <w:tcBorders/>
            <w:tcW w:w="2160" w:type="dxa"/>
            <w:textDirection w:val="lrTb"/>
            <w:noWrap w:val="false"/>
          </w:tcPr>
          <w:p w14:paraId="241DB6A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LIMUC Mayo severity test</w:t>
            </w:r>
            <w:r>
              <w:rPr>
                <w:color w:val="000000" w:themeColor="text1"/>
              </w:rPr>
            </w:r>
            <w:r>
              <w:rPr>
                <w:color w:val="000000" w:themeColor="text1"/>
              </w:rPr>
            </w:r>
          </w:p>
        </w:tc>
        <w:tc>
          <w:tcPr>
            <w:tcBorders/>
            <w:tcW w:w="2160" w:type="dxa"/>
            <w:textDirection w:val="lrTb"/>
            <w:noWrap w:val="false"/>
          </w:tcPr>
          <w:p w14:paraId="303592A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Fine-tuned ResNet50 accuracy 0.7539, macro-F1 0.6829, QWK 0.8351</w:t>
            </w:r>
            <w:r>
              <w:rPr>
                <w:color w:val="000000" w:themeColor="text1"/>
              </w:rPr>
            </w:r>
            <w:r>
              <w:rPr>
                <w:color w:val="000000" w:themeColor="text1"/>
              </w:rPr>
            </w:r>
          </w:p>
        </w:tc>
        <w:tc>
          <w:tcPr>
            <w:tcBorders/>
            <w:tcW w:w="2160" w:type="dxa"/>
            <w:textDirection w:val="lrTb"/>
            <w:noWrap w:val="false"/>
          </w:tcPr>
          <w:p w14:paraId="0C4FBB1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Zero-shot VLM macro-F1 0.1771, balanced accuracy 0.25</w:t>
            </w:r>
            <w:r>
              <w:rPr>
                <w:color w:val="000000" w:themeColor="text1"/>
              </w:rPr>
            </w:r>
            <w:r>
              <w:rPr>
                <w:color w:val="000000" w:themeColor="text1"/>
              </w:rPr>
            </w:r>
          </w:p>
        </w:tc>
        <w:tc>
          <w:tcPr>
            <w:tcBorders/>
            <w:tcW w:w="2160" w:type="dxa"/>
            <w:textDirection w:val="lrTb"/>
            <w:noWrap w:val="false"/>
          </w:tcPr>
          <w:p w14:paraId="2724650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[24]</w:t>
            </w:r>
            <w:r>
              <w:rPr>
                <w:color w:val="000000" w:themeColor="text1"/>
              </w:rPr>
            </w:r>
            <w:r>
              <w:rPr>
                <w:color w:val="000000" w:themeColor="text1"/>
              </w:rPr>
            </w:r>
          </w:p>
        </w:tc>
      </w:tr>
      <w:tr>
        <w:trPr/>
        <w:tc>
          <w:tcPr>
            <w:tcBorders/>
            <w:tcW w:w="2160" w:type="dxa"/>
            <w:textDirection w:val="lrTb"/>
            <w:noWrap w:val="false"/>
          </w:tcPr>
          <w:p w14:paraId="1C6286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 yes/no subset</w:t>
            </w:r>
            <w:r>
              <w:rPr>
                <w:color w:val="000000" w:themeColor="text1"/>
              </w:rPr>
            </w:r>
            <w:r>
              <w:rPr>
                <w:color w:val="000000" w:themeColor="text1"/>
              </w:rPr>
            </w:r>
          </w:p>
        </w:tc>
        <w:tc>
          <w:tcPr>
            <w:tcBorders/>
            <w:tcW w:w="2160" w:type="dxa"/>
            <w:textDirection w:val="lrTb"/>
            <w:noWrap w:val="false"/>
          </w:tcPr>
          <w:p w14:paraId="7642F0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ResNet+GRU accuracy 0.9865, macro-F1 0.9650</w:t>
            </w:r>
            <w:r>
              <w:rPr>
                <w:color w:val="000000" w:themeColor="text1"/>
              </w:rPr>
            </w:r>
            <w:r>
              <w:rPr>
                <w:color w:val="000000" w:themeColor="text1"/>
              </w:rPr>
            </w:r>
          </w:p>
        </w:tc>
        <w:tc>
          <w:tcPr>
            <w:tcBorders/>
            <w:tcW w:w="2160" w:type="dxa"/>
            <w:textDirection w:val="lrTb"/>
            <w:noWrap w:val="false"/>
          </w:tcPr>
          <w:p w14:paraId="324AA35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Free-generation run shows unknown-rate collapse in persisted artifact</w:t>
            </w:r>
            <w:r>
              <w:rPr>
                <w:color w:val="000000" w:themeColor="text1"/>
              </w:rPr>
            </w:r>
            <w:r>
              <w:rPr>
                <w:color w:val="000000" w:themeColor="text1"/>
              </w:rPr>
            </w:r>
          </w:p>
        </w:tc>
        <w:tc>
          <w:tcPr>
            <w:tcBorders/>
            <w:tcW w:w="2160" w:type="dxa"/>
            <w:textDirection w:val="lrTb"/>
            <w:noWrap w:val="false"/>
          </w:tcPr>
          <w:p w14:paraId="5ED7B6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[22]</w:t>
            </w:r>
            <w:r>
              <w:rPr>
                <w:color w:val="000000" w:themeColor="text1"/>
              </w:rPr>
            </w:r>
            <w:r>
              <w:rPr>
                <w:color w:val="000000" w:themeColor="text1"/>
              </w:rPr>
            </w:r>
          </w:p>
        </w:tc>
      </w:tr>
      <w:tr>
        <w:trPr/>
        <w:tc>
          <w:tcPr>
            <w:tcBorders/>
            <w:tcW w:w="2160" w:type="dxa"/>
            <w:textDirection w:val="lrTb"/>
            <w:noWrap w:val="false"/>
          </w:tcPr>
          <w:p w14:paraId="4D46B6D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Kvasir-VQA-x1 generative track</w:t>
            </w:r>
            <w:r>
              <w:rPr>
                <w:color w:val="000000" w:themeColor="text1"/>
              </w:rPr>
            </w:r>
            <w:r>
              <w:rPr>
                <w:color w:val="000000" w:themeColor="text1"/>
              </w:rPr>
            </w:r>
          </w:p>
        </w:tc>
        <w:tc>
          <w:tcPr>
            <w:tcBorders/>
            <w:tcW w:w="2160" w:type="dxa"/>
            <w:textDirection w:val="lrTb"/>
            <w:noWrap w:val="false"/>
          </w:tcPr>
          <w:p w14:paraId="76F8D6B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MedGemma LoRA token-F1 0.5085 (adaptation gain)</w:t>
            </w:r>
            <w:r>
              <w:rPr>
                <w:color w:val="000000" w:themeColor="text1"/>
              </w:rPr>
            </w:r>
            <w:r>
              <w:rPr>
                <w:color w:val="000000" w:themeColor="text1"/>
              </w:rPr>
            </w:r>
          </w:p>
        </w:tc>
        <w:tc>
          <w:tcPr>
            <w:tcBorders/>
            <w:tcW w:w="2160" w:type="dxa"/>
            <w:textDirection w:val="lrTb"/>
            <w:noWrap w:val="false"/>
          </w:tcPr>
          <w:p w14:paraId="1CDA60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Exact-match remains near zero across persisted modern VLM runs</w:t>
            </w:r>
            <w:r>
              <w:rPr>
                <w:color w:val="000000" w:themeColor="text1"/>
              </w:rPr>
            </w:r>
            <w:r>
              <w:rPr>
                <w:color w:val="000000" w:themeColor="text1"/>
              </w:rPr>
            </w:r>
          </w:p>
        </w:tc>
        <w:tc>
          <w:tcPr>
            <w:tcBorders/>
            <w:tcW w:w="2160" w:type="dxa"/>
            <w:textDirection w:val="lrTb"/>
            <w:noWrap w:val="false"/>
          </w:tcPr>
          <w:p w14:paraId="196E685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[23]</w:t>
            </w:r>
            <w:r>
              <w:rPr>
                <w:color w:val="000000" w:themeColor="text1"/>
              </w:rPr>
            </w:r>
            <w:r>
              <w:rPr>
                <w:color w:val="000000" w:themeColor="text1"/>
              </w:rPr>
            </w:r>
          </w:p>
        </w:tc>
      </w:tr>
    </w:tbl>
    <w:p w14:paraId="059B1C72">
      <w:pPr>
        <w:pStyle w:val="1056"/>
        <w:suppressLineNumbers w:val="false"/>
        <w:pBdr/>
        <w:spacing w:line="300" w:lineRule="auto"/>
        <w:ind w:firstLine="0"/>
        <w:rPr>
          <w:highlight w:val="none"/>
        </w:rPr>
      </w:pPr>
      <w:r>
        <w:tab/>
        <w:tab/>
        <w:tab/>
        <w:tab/>
        <w:tab/>
      </w:r>
      <w:r>
        <w:rPr>
          <w:lang w:val="en-US"/>
        </w:rPr>
        <w:t xml:space="preserve">Table 1.2</w:t>
      </w:r>
      <w:r>
        <w:rPr>
          <w:highlight w:val="none"/>
        </w:rPr>
      </w:r>
      <w:r>
        <w:rPr>
          <w:highlight w:val="none"/>
        </w:rPr>
      </w:r>
    </w:p>
    <w:p w14:paraId="743DB126">
      <w:pPr>
        <w:pStyle w:val="1056"/>
        <w:suppressLineNumbers w:val="false"/>
        <w:pBdr/>
        <w:spacing w:line="300" w:lineRule="auto"/>
        <w:ind w:firstLine="0"/>
        <w:rPr/>
      </w:pPr>
      <w:r>
        <w:rPr>
          <w:highlight w:val="none"/>
        </w:rPr>
        <w:tab/>
      </w:r>
      <w:r>
        <w:rPr>
          <w:highlight w:val="none"/>
        </w:rPr>
        <w:t xml:space="preserve">I</w:t>
      </w:r>
      <w:r>
        <w:rPr>
          <w:highlight w:val="none"/>
        </w:rPr>
        <w:t xml:space="preserve">n Table 1.1, raw accuracy denotes direct label-space scoring against canonical benchmark targets (no lexical post-processing). Projected accuracy denotes a secondary diagnostic in which generated free text is deterministically mapped to each question's kno</w:t>
      </w:r>
      <w:r>
        <w:rPr>
          <w:highlight w:val="none"/>
        </w:rPr>
        <w:t xml:space="preserve">wn answer space before scoring, following the local report methodology [20], [21], [23].</w:t>
      </w:r>
      <w:r>
        <w:rPr>
          <w:highlight w:val="none"/>
        </w:rPr>
      </w:r>
      <w:r/>
    </w:p>
    <w:p w14:paraId="17EBFADD">
      <w:pPr>
        <w:pStyle w:val="1056"/>
        <w:suppressLineNumbers w:val="false"/>
        <w:pBdr/>
        <w:spacing w:line="300" w:lineRule="auto"/>
        <w:ind w:firstLine="720"/>
        <w:rPr/>
      </w:pPr>
      <w:r>
        <w:rPr>
          <w:highlight w:val="none"/>
        </w:rPr>
        <w:t xml:space="preserve">T</w:t>
      </w:r>
      <w:r>
        <w:rPr>
          <w:highlight w:val="none"/>
        </w:rPr>
        <w:t xml:space="preserve">o reduce leakage risk and inflated claims, this thesis reports the split context and scoring semantics explicitly for each dataset report: official or persisted held-out splits are preserved, pairwise tests are run on aligned rows where applicable, and pro</w:t>
      </w:r>
      <w:r>
        <w:rPr>
          <w:highlight w:val="none"/>
        </w:rPr>
        <w:t xml:space="preserve">jected scores are interpreted alongside raw exact/unknown behavior rather than as replacement primary metrics [20]-[24].</w:t>
      </w:r>
      <w:r>
        <w:rPr>
          <w:highlight w:val="none"/>
        </w:rPr>
      </w:r>
      <w:r/>
    </w:p>
    <w:p w14:paraId="5D70EFFE">
      <w:pPr>
        <w:pStyle w:val="1056"/>
        <w:suppressLineNumbers w:val="false"/>
        <w:pBdr/>
        <w:spacing w:line="300" w:lineRule="auto"/>
        <w:ind w:firstLine="0"/>
        <w:rPr/>
      </w:pPr>
      <w:r>
        <w:rPr>
          <w:highlight w:val="none"/>
        </w:rPr>
        <w:t xml:space="preserve">These findings support a staged strategy:</w:t>
      </w:r>
      <w:r>
        <w:rPr>
          <w:highlight w:val="none"/>
        </w:rPr>
      </w:r>
      <w:r/>
    </w:p>
    <w:p w14:paraId="2025BD1E">
      <w:pPr>
        <w:pStyle w:val="1056"/>
        <w:numPr>
          <w:ilvl w:val="0"/>
          <w:numId w:val="15"/>
        </w:numPr>
        <w:suppressLineNumbers w:val="false"/>
        <w:pBdr/>
        <w:spacing w:after="240" w:before="120" w:line="300" w:lineRule="auto"/>
        <w:ind/>
        <w:rPr/>
      </w:pPr>
      <w:r>
        <w:rPr>
          <w:highlight w:val="none"/>
        </w:rPr>
        <w:t xml:space="preserve">Preserve robust supervised/closed-set visual grounding.</w:t>
      </w:r>
      <w:r/>
    </w:p>
    <w:p w14:paraId="3E6EE4D8">
      <w:pPr>
        <w:pStyle w:val="1056"/>
        <w:numPr>
          <w:ilvl w:val="0"/>
          <w:numId w:val="15"/>
        </w:numPr>
        <w:suppressLineNumbers w:val="false"/>
        <w:pBdr/>
        <w:spacing w:after="240" w:before="120" w:line="300" w:lineRule="auto"/>
        <w:ind/>
        <w:rPr/>
      </w:pPr>
      <w:r>
        <w:rPr>
          <w:highlight w:val="none"/>
        </w:rPr>
        <w:t xml:space="preserve">Add controlled generative capability where it improves clinical interaction value.</w:t>
      </w:r>
      <w:r/>
    </w:p>
    <w:p w14:paraId="4D0843DB">
      <w:pPr>
        <w:pStyle w:val="1056"/>
        <w:numPr>
          <w:ilvl w:val="0"/>
          <w:numId w:val="15"/>
        </w:numPr>
        <w:suppressLineNumbers w:val="false"/>
        <w:pBdr/>
        <w:spacing w:after="240" w:before="120" w:line="300" w:lineRule="auto"/>
        <w:ind/>
        <w:rPr/>
      </w:pPr>
      <w:r>
        <w:rPr>
          <w:highlight w:val="none"/>
        </w:rPr>
        <w:t xml:space="preserve">Introduce retrieval-backed reasoning as a safeguarded extension for higher-level questions.</w:t>
      </w:r>
      <w:r>
        <w:rPr>
          <w:highlight w:val="none"/>
        </w:rPr>
      </w:r>
      <w:r/>
    </w:p>
    <w:p w14:paraId="5F1ED9B1">
      <w:pPr>
        <w:pStyle w:val="1056"/>
        <w:suppressLineNumbers w:val="false"/>
        <w:pBdr/>
        <w:spacing w:after="240" w:before="120" w:line="300" w:lineRule="auto"/>
        <w:ind w:firstLine="0"/>
        <w:rPr>
          <w:b/>
          <w:bCs/>
        </w:rPr>
      </w:pPr>
      <w:r>
        <w:rPr>
          <w:b/>
          <w:bCs/>
          <w:highlight w:val="none"/>
        </w:rPr>
        <w:t xml:space="preserve">1.4.2 Why This Gap Persists</w:t>
      </w:r>
      <w:r>
        <w:rPr>
          <w:b/>
          <w:bCs/>
        </w:rPr>
      </w:r>
      <w:r>
        <w:rPr>
          <w:b/>
          <w:bCs/>
        </w:rPr>
      </w:r>
    </w:p>
    <w:p w14:paraId="048718EB">
      <w:pPr>
        <w:pStyle w:val="1056"/>
        <w:suppressLineNumbers w:val="false"/>
        <w:pBdr/>
        <w:spacing w:after="240" w:before="120" w:line="300" w:lineRule="auto"/>
        <w:ind w:firstLine="0"/>
        <w:rPr/>
      </w:pPr>
      <w:r>
        <w:rPr>
          <w:highlight w:val="none"/>
        </w:rPr>
        <w:t xml:space="preserve">T</w:t>
      </w:r>
      <w:r>
        <w:rPr>
          <w:highlight w:val="none"/>
        </w:rPr>
        <w:t xml:space="preserve">he gap persists because GI MedVQA is not a single modeling task. It requires robust visual perception under noisy conditions, clinically coherent question understanding, grounded answer generation, and safe behavior under asymmetric risk. Progress in one c</w:t>
      </w:r>
      <w:r>
        <w:rPr>
          <w:highlight w:val="none"/>
        </w:rPr>
        <w:t xml:space="preserve">omponent does not guarantee end-to-end clinical utility.</w:t>
      </w:r>
      <w:r>
        <w:rPr>
          <w:highlight w:val="none"/>
        </w:rPr>
      </w:r>
      <w:r/>
    </w:p>
    <w:p w14:paraId="6166229C">
      <w:pPr>
        <w:pStyle w:val="1056"/>
        <w:suppressLineNumbers w:val="false"/>
        <w:pBdr/>
        <w:spacing w:after="240" w:before="120" w:line="300" w:lineRule="auto"/>
        <w:ind w:firstLine="0"/>
        <w:rPr/>
      </w:pPr>
      <w:r>
        <w:rPr>
          <w:highlight w:val="none"/>
        </w:rPr>
        <w:t xml:space="preserve">A</w:t>
      </w:r>
      <w:r>
        <w:rPr>
          <w:highlight w:val="none"/>
        </w:rPr>
        <w:t xml:space="preserve"> system may be fluent yet weakly grounded, accurate on common classes yet brittle on severe minorities, or stable on fixed prompts yet unstable under linguistic variation. Therefore, this dissertation treats architecture design, evaluation design, and scen</w:t>
      </w:r>
      <w:r>
        <w:rPr>
          <w:highlight w:val="none"/>
        </w:rPr>
        <w:t xml:space="preserve">ario design as interdependent components.</w:t>
      </w:r>
      <w:r>
        <w:rPr>
          <w:highlight w:val="none"/>
        </w:rPr>
      </w:r>
      <w:r/>
    </w:p>
    <w:p w14:paraId="39023B62">
      <w:pPr>
        <w:pStyle w:val="1056"/>
        <w:suppressLineNumbers w:val="false"/>
        <w:pBdr/>
        <w:spacing w:after="240" w:before="120" w:line="300" w:lineRule="auto"/>
        <w:ind w:firstLine="0"/>
        <w:rPr>
          <w:b/>
          <w:bCs/>
        </w:rPr>
      </w:pPr>
      <w:r>
        <w:rPr>
          <w:b/>
          <w:bCs/>
          <w:highlight w:val="none"/>
        </w:rPr>
        <w:t xml:space="preserve">1.4.3 Consequences of Leaving the Gap Unresolved</w:t>
      </w:r>
      <w:r>
        <w:rPr>
          <w:b/>
          <w:bCs/>
        </w:rPr>
      </w:r>
      <w:r>
        <w:rPr>
          <w:b/>
          <w:bCs/>
        </w:rPr>
      </w:r>
    </w:p>
    <w:p w14:paraId="6ED4447D">
      <w:pPr>
        <w:pStyle w:val="1056"/>
        <w:suppressLineNumbers w:val="false"/>
        <w:pBdr/>
        <w:spacing w:after="240" w:before="120" w:line="300" w:lineRule="auto"/>
        <w:ind w:firstLine="0"/>
        <w:rPr/>
      </w:pPr>
      <w:r>
        <w:rPr>
          <w:highlight w:val="none"/>
        </w:rPr>
        <w:t xml:space="preserve">I</w:t>
      </w:r>
      <w:r>
        <w:rPr>
          <w:highlight w:val="none"/>
        </w:rPr>
        <w:t xml:space="preserve">f this gap remains unresolved, systems may appear strong on aggregate benchmarks while underperforming in the situations that matter most clinically. In severity settings, this can lead to under-detection of high-risk cases. In report-oriented settings, it</w:t>
      </w:r>
      <w:r>
        <w:rPr>
          <w:highlight w:val="none"/>
        </w:rPr>
        <w:t xml:space="preserve"> can produce plausible but weakly grounded outputs that increase cognitive burden. In decision-support settings, it can generate recommendations insufficiently tied to evidence.</w:t>
      </w:r>
      <w:r>
        <w:rPr>
          <w:highlight w:val="none"/>
        </w:rPr>
      </w:r>
      <w:r/>
    </w:p>
    <w:p w14:paraId="60BDDDEA">
      <w:pPr>
        <w:pStyle w:val="1056"/>
        <w:suppressLineNumbers w:val="false"/>
        <w:pBdr/>
        <w:spacing w:after="240" w:before="120" w:line="300" w:lineRule="auto"/>
        <w:ind w:firstLine="0"/>
        <w:rPr/>
      </w:pPr>
      <w:r>
        <w:rPr>
          <w:highlight w:val="none"/>
        </w:rPr>
        <w:t xml:space="preserve">These consequences justify a conservative methodological stance: prioritize reliability, grounding, and traceability before maximizing output fluency.</w:t>
      </w:r>
      <w:r>
        <w:rPr>
          <w:highlight w:val="none"/>
        </w:rPr>
      </w:r>
      <w:r/>
    </w:p>
    <w:p w14:paraId="0841A181">
      <w:pPr>
        <w:pStyle w:val="1056"/>
        <w:suppressLineNumbers w:val="false"/>
        <w:pBdr/>
        <w:spacing w:after="240" w:before="120" w:line="300" w:lineRule="auto"/>
        <w:ind w:firstLine="0"/>
        <w:rPr>
          <w:b/>
          <w:bCs/>
          <w:sz w:val="28"/>
          <w:szCs w:val="28"/>
        </w:rPr>
      </w:pPr>
      <w:r>
        <w:rPr>
          <w:b/>
          <w:bCs/>
          <w:sz w:val="28"/>
          <w:szCs w:val="28"/>
          <w:highlight w:val="none"/>
        </w:rPr>
        <w:t xml:space="preserve">1.5 Aim and Objectives</w:t>
      </w:r>
      <w:r>
        <w:rPr>
          <w:b/>
          <w:bCs/>
          <w:sz w:val="28"/>
          <w:szCs w:val="28"/>
        </w:rPr>
      </w:r>
      <w:r>
        <w:rPr>
          <w:b/>
          <w:bCs/>
          <w:sz w:val="28"/>
          <w:szCs w:val="28"/>
        </w:rPr>
      </w:r>
    </w:p>
    <w:p w14:paraId="377C8B2E">
      <w:pPr>
        <w:pStyle w:val="1056"/>
        <w:suppressLineNumbers w:val="false"/>
        <w:pBdr/>
        <w:spacing w:after="240" w:before="120" w:line="300" w:lineRule="auto"/>
        <w:ind w:firstLine="0"/>
        <w:rPr>
          <w:b/>
          <w:bCs/>
        </w:rPr>
      </w:pPr>
      <w:r>
        <w:rPr>
          <w:b/>
          <w:bCs/>
          <w:highlight w:val="none"/>
        </w:rPr>
        <w:t xml:space="preserve">1.5.1 Aim</w:t>
      </w:r>
      <w:r>
        <w:rPr>
          <w:b/>
          <w:bCs/>
        </w:rPr>
      </w:r>
      <w:r>
        <w:rPr>
          <w:b/>
          <w:bCs/>
        </w:rPr>
      </w:r>
    </w:p>
    <w:p w14:paraId="467EC9F2">
      <w:pPr>
        <w:pStyle w:val="1056"/>
        <w:suppressLineNumbers w:val="false"/>
        <w:pBdr/>
        <w:spacing w:after="240" w:before="120" w:line="300" w:lineRule="auto"/>
        <w:ind w:firstLine="0"/>
        <w:rPr/>
      </w:pPr>
      <w:r>
        <w:rPr>
          <w:highlight w:val="none"/>
        </w:rPr>
        <w:t xml:space="preserve">To design, evaluate, and document a clinically oriented MedVQA framework for colonoscopy that combines robust visual grounding, question-aware generation, and an evidence-aware extension pathway for higher-risk queries.</w:t>
      </w:r>
      <w:r>
        <w:rPr>
          <w:highlight w:val="none"/>
        </w:rPr>
      </w:r>
      <w:r/>
    </w:p>
    <w:p w14:paraId="74863842">
      <w:pPr>
        <w:pStyle w:val="1056"/>
        <w:suppressLineNumbers w:val="false"/>
        <w:pBdr/>
        <w:spacing w:after="240" w:before="120" w:line="300" w:lineRule="auto"/>
        <w:ind w:firstLine="0"/>
        <w:rPr>
          <w:b/>
          <w:bCs/>
        </w:rPr>
      </w:pPr>
      <w:r>
        <w:rPr>
          <w:b/>
          <w:bCs/>
          <w:highlight w:val="none"/>
        </w:rPr>
        <w:t xml:space="preserve">1.5.2 Objectives</w:t>
      </w:r>
      <w:r>
        <w:rPr>
          <w:b/>
          <w:bCs/>
        </w:rPr>
      </w:r>
      <w:r>
        <w:rPr>
          <w:b/>
          <w:bCs/>
        </w:rPr>
      </w:r>
    </w:p>
    <w:p w14:paraId="5F9776AB">
      <w:pPr>
        <w:pStyle w:val="1056"/>
        <w:numPr>
          <w:ilvl w:val="0"/>
          <w:numId w:val="16"/>
        </w:numPr>
        <w:suppressLineNumbers w:val="false"/>
        <w:pBdr/>
        <w:spacing w:after="240" w:before="120" w:line="300" w:lineRule="auto"/>
        <w:ind/>
        <w:rPr/>
      </w:pPr>
      <w:r>
        <w:rPr>
          <w:highlight w:val="none"/>
        </w:rPr>
        <w:t xml:space="preserve">Build a reproducible, multi-dataset GI MedVQA benchmark layer using persisted repository artifacts.</w:t>
      </w:r>
      <w:r/>
    </w:p>
    <w:p w14:paraId="069E775B">
      <w:pPr>
        <w:pStyle w:val="1056"/>
        <w:numPr>
          <w:ilvl w:val="0"/>
          <w:numId w:val="16"/>
        </w:numPr>
        <w:suppressLineNumbers w:val="false"/>
        <w:pBdr/>
        <w:spacing w:after="240" w:before="120" w:line="300" w:lineRule="auto"/>
        <w:ind/>
        <w:rPr/>
      </w:pPr>
      <w:r>
        <w:rPr>
          <w:highlight w:val="none"/>
        </w:rPr>
        <w:t xml:space="preserve">Quantify comparative reliability of closed-set versus generative approaches under GI-specific conditions.</w:t>
      </w:r>
      <w:r/>
    </w:p>
    <w:p w14:paraId="7DA50649">
      <w:pPr>
        <w:pStyle w:val="1056"/>
        <w:numPr>
          <w:ilvl w:val="0"/>
          <w:numId w:val="16"/>
        </w:numPr>
        <w:suppressLineNumbers w:val="false"/>
        <w:pBdr/>
        <w:spacing w:after="240" w:before="120" w:line="300" w:lineRule="auto"/>
        <w:ind/>
        <w:rPr/>
      </w:pPr>
      <w:r>
        <w:rPr>
          <w:highlight w:val="none"/>
        </w:rPr>
        <w:t xml:space="preserve">Evaluate UC severity-oriented question answering with clinically meaningful metrics, including imbalance-aware and ordinal-aligned indicators.</w:t>
      </w:r>
      <w:r/>
    </w:p>
    <w:p w14:paraId="4A5E0762">
      <w:pPr>
        <w:pStyle w:val="1056"/>
        <w:numPr>
          <w:ilvl w:val="0"/>
          <w:numId w:val="16"/>
        </w:numPr>
        <w:suppressLineNumbers w:val="false"/>
        <w:pBdr/>
        <w:spacing w:after="240" w:before="120" w:line="300" w:lineRule="auto"/>
        <w:ind/>
        <w:rPr/>
      </w:pPr>
      <w:r>
        <w:rPr>
          <w:highlight w:val="none"/>
        </w:rPr>
        <w:t xml:space="preserve">Define scenario-driven use cases aligned with endoscopist workflows.</w:t>
      </w:r>
      <w:r/>
    </w:p>
    <w:p w14:paraId="77AD30ED">
      <w:pPr>
        <w:pStyle w:val="1056"/>
        <w:numPr>
          <w:ilvl w:val="0"/>
          <w:numId w:val="16"/>
        </w:numPr>
        <w:suppressLineNumbers w:val="false"/>
        <w:pBdr/>
        <w:spacing w:after="240" w:before="120" w:line="300" w:lineRule="auto"/>
        <w:ind/>
        <w:rPr/>
      </w:pPr>
      <w:r>
        <w:rPr>
          <w:highlight w:val="none"/>
        </w:rPr>
        <w:t xml:space="preserve">Specify and test an implementation path for retrieval-augmented, evidence-aware answering without degrading visual-grounded performance.</w:t>
      </w:r>
      <w:r>
        <w:rPr>
          <w:highlight w:val="none"/>
        </w:rPr>
      </w:r>
      <w:r/>
    </w:p>
    <w:p w14:paraId="79C4A88B">
      <w:pPr>
        <w:pStyle w:val="1056"/>
        <w:suppressLineNumbers w:val="false"/>
        <w:pBdr/>
        <w:spacing w:line="300" w:lineRule="auto"/>
        <w:ind/>
        <w:rPr/>
      </w:pPr>
      <w:r/>
      <w:r/>
    </w:p>
    <w:tbl>
      <w:tblPr>
        <w:tblStyle w:val="1113"/>
        <w:tblW w:w="0" w:type="auto"/>
        <w:tblBorders/>
        <w:tblLayout w:type="fixed"/>
        <w:tblLook w:val="04A0" w:firstRow="1" w:lastRow="0" w:firstColumn="1" w:lastColumn="0" w:noHBand="0" w:noVBand="1"/>
      </w:tblPr>
      <w:tblGrid>
        <w:gridCol w:w="1460"/>
        <w:gridCol w:w="7937"/>
      </w:tblGrid>
      <w:tr>
        <w:trPr/>
        <w:tc>
          <w:tcPr>
            <w:tcBorders/>
            <w:tcW w:w="1460" w:type="dxa"/>
            <w:textDirection w:val="lrTb"/>
            <w:noWrap w:val="false"/>
          </w:tcPr>
          <w:p w14:paraId="13BF930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Objective</w:t>
            </w:r>
            <w:r>
              <w:rPr>
                <w:color w:val="000000" w:themeColor="text1"/>
              </w:rPr>
            </w:r>
            <w:r>
              <w:rPr>
                <w:color w:val="000000" w:themeColor="text1"/>
              </w:rPr>
            </w:r>
          </w:p>
        </w:tc>
        <w:tc>
          <w:tcPr>
            <w:tcBorders/>
            <w:tcW w:w="7937" w:type="dxa"/>
            <w:textDirection w:val="lrTb"/>
            <w:noWrap w:val="false"/>
          </w:tcPr>
          <w:p w14:paraId="61D8B995">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Dissertation deliverable</w:t>
            </w:r>
            <w:r>
              <w:rPr>
                <w:color w:val="000000" w:themeColor="text1"/>
              </w:rPr>
            </w:r>
            <w:r>
              <w:rPr>
                <w:color w:val="000000" w:themeColor="text1"/>
              </w:rPr>
            </w:r>
          </w:p>
        </w:tc>
      </w:tr>
      <w:tr>
        <w:trPr/>
        <w:tc>
          <w:tcPr>
            <w:tcBorders/>
            <w:tcW w:w="1460" w:type="dxa"/>
            <w:textDirection w:val="lrTb"/>
            <w:noWrap w:val="false"/>
          </w:tcPr>
          <w:p w14:paraId="483B4DC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O1</w:t>
            </w:r>
            <w:r>
              <w:rPr>
                <w:color w:val="000000" w:themeColor="text1"/>
              </w:rPr>
            </w:r>
            <w:r>
              <w:rPr>
                <w:color w:val="000000" w:themeColor="text1"/>
              </w:rPr>
            </w:r>
          </w:p>
        </w:tc>
        <w:tc>
          <w:tcPr>
            <w:tcBorders/>
            <w:tcW w:w="7937" w:type="dxa"/>
            <w:textDirection w:val="lrTb"/>
            <w:noWrap w:val="false"/>
          </w:tcPr>
          <w:p w14:paraId="310845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Dataset/task profiling and consolidated benchmark tables</w:t>
            </w:r>
            <w:r>
              <w:rPr>
                <w:color w:val="000000" w:themeColor="text1"/>
              </w:rPr>
            </w:r>
            <w:r>
              <w:rPr>
                <w:color w:val="000000" w:themeColor="text1"/>
              </w:rPr>
            </w:r>
          </w:p>
        </w:tc>
      </w:tr>
      <w:tr>
        <w:trPr/>
        <w:tc>
          <w:tcPr>
            <w:tcBorders/>
            <w:tcW w:w="1460" w:type="dxa"/>
            <w:textDirection w:val="lrTb"/>
            <w:noWrap w:val="false"/>
          </w:tcPr>
          <w:p w14:paraId="4EA2A83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O2</w:t>
            </w:r>
            <w:r>
              <w:rPr>
                <w:color w:val="000000" w:themeColor="text1"/>
              </w:rPr>
            </w:r>
            <w:r>
              <w:rPr>
                <w:color w:val="000000" w:themeColor="text1"/>
              </w:rPr>
            </w:r>
          </w:p>
        </w:tc>
        <w:tc>
          <w:tcPr>
            <w:tcBorders/>
            <w:tcW w:w="7937" w:type="dxa"/>
            <w:textDirection w:val="lrTb"/>
            <w:noWrap w:val="false"/>
          </w:tcPr>
          <w:p w14:paraId="1CD5A16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Comparative model analysis with failure-mode interpretation</w:t>
            </w:r>
            <w:r>
              <w:rPr>
                <w:color w:val="000000" w:themeColor="text1"/>
              </w:rPr>
            </w:r>
            <w:r>
              <w:rPr>
                <w:color w:val="000000" w:themeColor="text1"/>
              </w:rPr>
            </w:r>
          </w:p>
        </w:tc>
      </w:tr>
      <w:tr>
        <w:trPr/>
        <w:tc>
          <w:tcPr>
            <w:tcBorders/>
            <w:tcW w:w="1460" w:type="dxa"/>
            <w:textDirection w:val="lrTb"/>
            <w:noWrap w:val="false"/>
          </w:tcPr>
          <w:p w14:paraId="6968FC8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O3</w:t>
            </w:r>
            <w:r>
              <w:rPr>
                <w:color w:val="000000" w:themeColor="text1"/>
              </w:rPr>
            </w:r>
            <w:r>
              <w:rPr>
                <w:color w:val="000000" w:themeColor="text1"/>
              </w:rPr>
            </w:r>
          </w:p>
        </w:tc>
        <w:tc>
          <w:tcPr>
            <w:tcBorders/>
            <w:tcW w:w="7937" w:type="dxa"/>
            <w:textDirection w:val="lrTb"/>
            <w:noWrap w:val="false"/>
          </w:tcPr>
          <w:p w14:paraId="0D7C63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Severity-focused evaluation section with class-wise and ordinal metrics</w:t>
            </w:r>
            <w:r>
              <w:rPr>
                <w:color w:val="000000" w:themeColor="text1"/>
              </w:rPr>
            </w:r>
            <w:r>
              <w:rPr>
                <w:color w:val="000000" w:themeColor="text1"/>
              </w:rPr>
            </w:r>
          </w:p>
        </w:tc>
      </w:tr>
      <w:tr>
        <w:trPr/>
        <w:tc>
          <w:tcPr>
            <w:tcBorders/>
            <w:tcW w:w="1460" w:type="dxa"/>
            <w:textDirection w:val="lrTb"/>
            <w:noWrap w:val="false"/>
          </w:tcPr>
          <w:p w14:paraId="05B027B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O4</w:t>
            </w:r>
            <w:r>
              <w:rPr>
                <w:color w:val="000000" w:themeColor="text1"/>
              </w:rPr>
            </w:r>
            <w:r>
              <w:rPr>
                <w:color w:val="000000" w:themeColor="text1"/>
              </w:rPr>
            </w:r>
          </w:p>
        </w:tc>
        <w:tc>
          <w:tcPr>
            <w:tcBorders/>
            <w:tcW w:w="7937" w:type="dxa"/>
            <w:textDirection w:val="lrTb"/>
            <w:noWrap w:val="false"/>
          </w:tcPr>
          <w:p w14:paraId="644F5E3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catalogue with acceptance criteria and error taxonomy</w:t>
            </w:r>
            <w:r>
              <w:rPr>
                <w:color w:val="000000" w:themeColor="text1"/>
              </w:rPr>
            </w:r>
            <w:r>
              <w:rPr>
                <w:color w:val="000000" w:themeColor="text1"/>
              </w:rPr>
            </w:r>
          </w:p>
        </w:tc>
      </w:tr>
      <w:tr>
        <w:trPr/>
        <w:tc>
          <w:tcPr>
            <w:tcBorders/>
            <w:tcW w:w="1460" w:type="dxa"/>
            <w:textDirection w:val="lrTb"/>
            <w:noWrap w:val="false"/>
          </w:tcPr>
          <w:p w14:paraId="3C8FDE5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O5</w:t>
            </w:r>
            <w:r>
              <w:rPr>
                <w:color w:val="000000" w:themeColor="text1"/>
              </w:rPr>
            </w:r>
            <w:r>
              <w:rPr>
                <w:color w:val="000000" w:themeColor="text1"/>
              </w:rPr>
            </w:r>
          </w:p>
        </w:tc>
        <w:tc>
          <w:tcPr>
            <w:tcBorders/>
            <w:tcW w:w="7937" w:type="dxa"/>
            <w:textDirection w:val="lrTb"/>
            <w:noWrap w:val="false"/>
          </w:tcPr>
          <w:p w14:paraId="7EE5AB2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Proposed architecture and phased validation plan for evidence-aware extension</w:t>
            </w:r>
            <w:r>
              <w:rPr>
                <w:color w:val="000000" w:themeColor="text1"/>
              </w:rPr>
            </w:r>
            <w:r>
              <w:rPr>
                <w:color w:val="000000" w:themeColor="text1"/>
              </w:rPr>
            </w:r>
          </w:p>
        </w:tc>
      </w:tr>
    </w:tbl>
    <w:p w14:paraId="12BD727F">
      <w:pPr>
        <w:pStyle w:val="1056"/>
        <w:suppressLineNumbers w:val="false"/>
        <w:pBdr/>
        <w:spacing w:line="300" w:lineRule="auto"/>
        <w:ind w:firstLine="0" w:left="3600"/>
        <w:rPr>
          <w:color w:val="000000" w:themeColor="text1"/>
        </w:rPr>
      </w:pPr>
      <w:r>
        <w:rPr>
          <w:color w:val="000000" w:themeColor="text1"/>
        </w:rPr>
      </w:r>
      <w:r>
        <w:rPr>
          <w:lang w:val="en-US"/>
        </w:rPr>
        <w:t xml:space="preserve">Table 1.3</w:t>
      </w:r>
      <w:r>
        <w:rPr>
          <w:color w:val="000000" w:themeColor="text1"/>
        </w:rPr>
      </w:r>
      <w:r>
        <w:rPr>
          <w:color w:val="000000" w:themeColor="text1"/>
        </w:rPr>
      </w:r>
    </w:p>
    <w:p w14:paraId="693D110A">
      <w:pPr>
        <w:pStyle w:val="1056"/>
        <w:suppressLineNumbers w:val="false"/>
        <w:pBdr/>
        <w:spacing w:line="300" w:lineRule="auto"/>
        <w:ind w:firstLine="0"/>
        <w:rPr>
          <w:b/>
          <w:bCs/>
          <w:sz w:val="28"/>
          <w:szCs w:val="28"/>
        </w:rPr>
      </w:pPr>
      <w:r>
        <w:rPr>
          <w:b/>
          <w:bCs/>
          <w:color w:val="000000" w:themeColor="text1"/>
          <w:sz w:val="28"/>
          <w:szCs w:val="28"/>
        </w:rPr>
        <w:t xml:space="preserve">1.6 Research Questions</w:t>
      </w:r>
      <w:r>
        <w:rPr>
          <w:b/>
          <w:bCs/>
          <w:sz w:val="28"/>
          <w:szCs w:val="28"/>
        </w:rPr>
      </w:r>
      <w:r>
        <w:rPr>
          <w:b/>
          <w:bCs/>
          <w:sz w:val="28"/>
          <w:szCs w:val="28"/>
        </w:rPr>
      </w:r>
    </w:p>
    <w:p w14:paraId="143A7FDF">
      <w:pPr>
        <w:pStyle w:val="1056"/>
        <w:suppressLineNumbers w:val="false"/>
        <w:pBdr/>
        <w:spacing w:line="300" w:lineRule="auto"/>
        <w:ind w:firstLine="0"/>
        <w:rPr/>
      </w:pPr>
      <w:r>
        <w:rPr>
          <w:color w:val="000000" w:themeColor="text1"/>
        </w:rPr>
        <w:t xml:space="preserve">The dissertation is guided by six research questions that link task design, modeling strategy, and clinical utility.</w:t>
      </w:r>
      <w:r>
        <w:rPr>
          <w:color w:val="000000" w:themeColor="text1"/>
        </w:rPr>
      </w:r>
      <w:r/>
    </w:p>
    <w:p w14:paraId="6ABE904F">
      <w:pPr>
        <w:pStyle w:val="1056"/>
        <w:suppressLineNumbers w:val="false"/>
        <w:pBdr/>
        <w:spacing w:line="300" w:lineRule="auto"/>
        <w:ind w:firstLine="0"/>
        <w:rPr>
          <w:b/>
          <w:bCs/>
        </w:rPr>
      </w:pPr>
      <w:r>
        <w:rPr>
          <w:b/>
          <w:bCs/>
          <w:color w:val="000000" w:themeColor="text1"/>
        </w:rPr>
        <w:t xml:space="preserve">RQ1 (Coverage):</w:t>
      </w:r>
      <w:r>
        <w:rPr>
          <w:b/>
          <w:bCs/>
        </w:rPr>
      </w:r>
      <w:r>
        <w:rPr>
          <w:b/>
          <w:bCs/>
        </w:rPr>
      </w:r>
    </w:p>
    <w:p w14:paraId="72F3E382">
      <w:pPr>
        <w:pStyle w:val="1056"/>
        <w:suppressLineNumbers w:val="false"/>
        <w:pBdr/>
        <w:spacing w:line="300" w:lineRule="auto"/>
        <w:ind w:firstLine="0"/>
        <w:rPr/>
      </w:pPr>
      <w:r>
        <w:rPr>
          <w:color w:val="000000" w:themeColor="text1"/>
        </w:rPr>
        <w:t xml:space="preserve">What clinically relevant colonoscopy question families and answer spaces are represented in current GI MedVQA datasets, and what important gaps remain?</w:t>
      </w:r>
      <w:r>
        <w:rPr>
          <w:color w:val="000000" w:themeColor="text1"/>
        </w:rPr>
      </w:r>
      <w:r/>
    </w:p>
    <w:p w14:paraId="294DCFD7">
      <w:pPr>
        <w:pStyle w:val="1056"/>
        <w:suppressLineNumbers w:val="false"/>
        <w:pBdr/>
        <w:spacing w:line="300" w:lineRule="auto"/>
        <w:ind w:firstLine="0"/>
        <w:rPr>
          <w:b/>
          <w:bCs/>
        </w:rPr>
      </w:pPr>
      <w:r>
        <w:rPr>
          <w:b/>
          <w:bCs/>
          <w:color w:val="000000" w:themeColor="text1"/>
        </w:rPr>
        <w:t xml:space="preserve">RQ2 (Comparative reliability):</w:t>
      </w:r>
      <w:r>
        <w:rPr>
          <w:b/>
          <w:bCs/>
        </w:rPr>
      </w:r>
      <w:r>
        <w:rPr>
          <w:b/>
          <w:bCs/>
        </w:rPr>
      </w:r>
    </w:p>
    <w:p w14:paraId="11E7D011">
      <w:pPr>
        <w:pStyle w:val="1056"/>
        <w:suppressLineNumbers w:val="false"/>
        <w:pBdr/>
        <w:spacing w:line="300" w:lineRule="auto"/>
        <w:ind w:firstLine="0"/>
        <w:rPr/>
      </w:pPr>
      <w:r>
        <w:rPr>
          <w:color w:val="000000" w:themeColor="text1"/>
        </w:rPr>
        <w:t xml:space="preserve">On GI MedVQA tasks, do constrained/discriminative pipelines remain more reliable than zero-shot open-ended VLM generation?</w:t>
      </w:r>
      <w:r>
        <w:rPr>
          <w:color w:val="000000" w:themeColor="text1"/>
        </w:rPr>
      </w:r>
      <w:r/>
    </w:p>
    <w:p w14:paraId="2AF0F904">
      <w:pPr>
        <w:pStyle w:val="1056"/>
        <w:suppressLineNumbers w:val="false"/>
        <w:pBdr/>
        <w:spacing w:line="300" w:lineRule="auto"/>
        <w:ind w:firstLine="0"/>
        <w:rPr>
          <w:b/>
          <w:bCs/>
        </w:rPr>
      </w:pPr>
      <w:r>
        <w:rPr>
          <w:b/>
          <w:bCs/>
          <w:color w:val="000000" w:themeColor="text1"/>
        </w:rPr>
        <w:t xml:space="preserve">RQ3 (Failure modes):</w:t>
      </w:r>
      <w:r>
        <w:rPr>
          <w:b/>
          <w:bCs/>
        </w:rPr>
      </w:r>
      <w:r>
        <w:rPr>
          <w:b/>
          <w:bCs/>
        </w:rPr>
      </w:r>
    </w:p>
    <w:p w14:paraId="1523E50D">
      <w:pPr>
        <w:pStyle w:val="1056"/>
        <w:suppressLineNumbers w:val="false"/>
        <w:pBdr/>
        <w:spacing w:line="300" w:lineRule="auto"/>
        <w:ind w:firstLine="0"/>
        <w:rPr/>
      </w:pPr>
      <w:r>
        <w:rPr>
          <w:color w:val="000000" w:themeColor="text1"/>
        </w:rPr>
        <w:t xml:space="preserve">Which failure modes dominate current GI MedVQA systems: class imbalance, lexical mismatch, localization ambiguity, or domain shift?</w:t>
      </w:r>
      <w:r>
        <w:rPr>
          <w:color w:val="000000" w:themeColor="text1"/>
        </w:rPr>
      </w:r>
      <w:r/>
    </w:p>
    <w:p w14:paraId="0E2F15EE">
      <w:pPr>
        <w:pStyle w:val="1056"/>
        <w:suppressLineNumbers w:val="false"/>
        <w:pBdr/>
        <w:spacing w:line="300" w:lineRule="auto"/>
        <w:ind w:firstLine="0"/>
        <w:rPr>
          <w:b/>
          <w:bCs/>
        </w:rPr>
      </w:pPr>
      <w:r>
        <w:rPr>
          <w:b/>
          <w:bCs/>
          <w:color w:val="000000" w:themeColor="text1"/>
        </w:rPr>
        <w:t xml:space="preserve">RQ4 (Severity robustness):</w:t>
      </w:r>
      <w:r>
        <w:rPr>
          <w:b/>
          <w:bCs/>
        </w:rPr>
      </w:r>
      <w:r>
        <w:rPr>
          <w:b/>
          <w:bCs/>
        </w:rPr>
      </w:r>
    </w:p>
    <w:p w14:paraId="3A7075B0">
      <w:pPr>
        <w:pStyle w:val="1056"/>
        <w:suppressLineNumbers w:val="false"/>
        <w:pBdr/>
        <w:spacing w:line="300" w:lineRule="auto"/>
        <w:ind w:firstLine="0"/>
        <w:rPr/>
      </w:pPr>
      <w:r>
        <w:rPr>
          <w:color w:val="000000" w:themeColor="text1"/>
        </w:rPr>
        <w:t xml:space="preserve">How reliably can models answer UC severity-oriented questions, especially for underrepresented severe classes?</w:t>
      </w:r>
      <w:r>
        <w:rPr>
          <w:color w:val="000000" w:themeColor="text1"/>
        </w:rPr>
      </w:r>
      <w:r/>
    </w:p>
    <w:p w14:paraId="5059044E">
      <w:pPr>
        <w:pStyle w:val="1056"/>
        <w:suppressLineNumbers w:val="false"/>
        <w:pBdr/>
        <w:spacing w:line="300" w:lineRule="auto"/>
        <w:ind w:firstLine="0"/>
        <w:rPr>
          <w:b/>
          <w:bCs/>
        </w:rPr>
      </w:pPr>
      <w:r>
        <w:rPr>
          <w:b/>
          <w:bCs/>
          <w:color w:val="000000" w:themeColor="text1"/>
        </w:rPr>
        <w:t xml:space="preserve">RQ5 (Clinical output format):</w:t>
      </w:r>
      <w:r>
        <w:rPr>
          <w:b/>
          <w:bCs/>
        </w:rPr>
      </w:r>
      <w:r>
        <w:rPr>
          <w:b/>
          <w:bCs/>
        </w:rPr>
      </w:r>
    </w:p>
    <w:p w14:paraId="2378520B">
      <w:pPr>
        <w:pStyle w:val="1056"/>
        <w:suppressLineNumbers w:val="false"/>
        <w:pBdr/>
        <w:spacing w:line="300" w:lineRule="auto"/>
        <w:ind w:firstLine="0"/>
        <w:rPr/>
      </w:pPr>
      <w:r>
        <w:rPr>
          <w:color w:val="000000" w:themeColor="text1"/>
        </w:rPr>
        <w:t xml:space="preserve">Which output format best supports clinician trust and usability: label only, label plus rationale, label plus confidence, or answer plus retrieved evidence?</w:t>
      </w:r>
      <w:r>
        <w:rPr>
          <w:color w:val="000000" w:themeColor="text1"/>
        </w:rPr>
      </w:r>
      <w:r/>
    </w:p>
    <w:p w14:paraId="1A7A0F26">
      <w:pPr>
        <w:pStyle w:val="1056"/>
        <w:suppressLineNumbers w:val="false"/>
        <w:pBdr/>
        <w:spacing w:line="300" w:lineRule="auto"/>
        <w:ind w:firstLine="0"/>
        <w:rPr>
          <w:b/>
          <w:bCs/>
        </w:rPr>
      </w:pPr>
      <w:r>
        <w:rPr>
          <w:b/>
          <w:bCs/>
          <w:color w:val="000000" w:themeColor="text1"/>
        </w:rPr>
        <w:t xml:space="preserve">RQ6 (Evidence-aware extension):</w:t>
      </w:r>
      <w:r>
        <w:rPr>
          <w:b/>
          <w:bCs/>
        </w:rPr>
      </w:r>
      <w:r>
        <w:rPr>
          <w:b/>
          <w:bCs/>
        </w:rPr>
      </w:r>
    </w:p>
    <w:p w14:paraId="76EEA597">
      <w:pPr>
        <w:pStyle w:val="1056"/>
        <w:suppressLineNumbers w:val="false"/>
        <w:pBdr/>
        <w:spacing w:line="300" w:lineRule="auto"/>
        <w:ind w:firstLine="0"/>
        <w:rPr>
          <w:color w:val="000000" w:themeColor="text1"/>
          <w:highlight w:val="none"/>
        </w:rPr>
      </w:pPr>
      <w:r>
        <w:rPr>
          <w:color w:val="000000" w:themeColor="text1"/>
        </w:rPr>
        <w:t xml:space="preserve">Can retrieval-augmented reasoning be integrated as a controlled extension without degrading core visual-grounded accuracy?</w:t>
      </w:r>
      <w:r>
        <w:rPr>
          <w:color w:val="000000" w:themeColor="text1"/>
          <w:highlight w:val="none"/>
        </w:rPr>
      </w:r>
      <w:r>
        <w:rPr>
          <w:color w:val="000000" w:themeColor="text1"/>
          <w:highlight w:val="none"/>
        </w:rPr>
      </w:r>
    </w:p>
    <w:p w14:paraId="52134F48">
      <w:pPr>
        <w:pStyle w:val="1056"/>
        <w:suppressLineNumbers w:val="false"/>
        <w:pBdr/>
        <w:spacing w:line="300" w:lineRule="auto"/>
        <w:ind w:firstLine="0"/>
        <w:rPr>
          <w:b/>
          <w:bCs/>
          <w:color w:val="000000" w:themeColor="text1"/>
          <w:highlight w:val="none"/>
        </w:rPr>
      </w:pPr>
      <w:r>
        <w:rPr>
          <w:b/>
          <w:bCs/>
          <w:color w:val="000000" w:themeColor="text1"/>
          <w:highlight w:val="none"/>
        </w:rPr>
      </w:r>
      <w:r>
        <w:rPr>
          <w:b/>
          <w:bCs/>
          <w:color w:val="000000" w:themeColor="text1"/>
          <w:highlight w:val="none"/>
        </w:rPr>
        <w:t xml:space="preserve">1.6.1 RQ-to-Evaluation Map</w:t>
      </w:r>
      <w:r>
        <w:rPr>
          <w:b/>
          <w:bCs/>
          <w:color w:val="000000" w:themeColor="text1"/>
          <w:highlight w:val="none"/>
        </w:rPr>
      </w:r>
      <w:r>
        <w:rPr>
          <w:b/>
          <w:bCs/>
          <w:color w:val="000000" w:themeColor="text1"/>
          <w:highlight w:val="none"/>
        </w:rPr>
      </w:r>
    </w:p>
    <w:tbl>
      <w:tblPr>
        <w:tblStyle w:val="1113"/>
        <w:tblW w:w="0" w:type="auto"/>
        <w:tblBorders/>
        <w:tblLayout w:type="fixed"/>
        <w:tblLook w:val="04A0" w:firstRow="1" w:lastRow="0" w:firstColumn="1" w:lastColumn="0" w:noHBand="0" w:noVBand="1"/>
      </w:tblPr>
      <w:tblGrid>
        <w:gridCol w:w="1460"/>
        <w:gridCol w:w="3827"/>
        <w:gridCol w:w="3543"/>
      </w:tblGrid>
      <w:tr>
        <w:trPr>
          <w:trHeight w:val="449"/>
        </w:trPr>
        <w:tc>
          <w:tcPr>
            <w:tcBorders/>
            <w:tcW w:w="1460" w:type="dxa"/>
            <w:textDirection w:val="lrTb"/>
            <w:noWrap w:val="false"/>
          </w:tcPr>
          <w:p w14:paraId="601C72B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RQ</w:t>
            </w:r>
            <w:r>
              <w:rPr>
                <w:color w:val="000000" w:themeColor="text1"/>
              </w:rPr>
            </w:r>
            <w:r>
              <w:rPr>
                <w:color w:val="000000" w:themeColor="text1"/>
              </w:rPr>
            </w:r>
          </w:p>
        </w:tc>
        <w:tc>
          <w:tcPr>
            <w:tcBorders/>
            <w:tcW w:w="3827" w:type="dxa"/>
            <w:textDirection w:val="lrTb"/>
            <w:noWrap w:val="false"/>
          </w:tcPr>
          <w:p w14:paraId="6D8AB18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evidence in this thesis</w:t>
            </w:r>
            <w:r>
              <w:rPr>
                <w:color w:val="000000" w:themeColor="text1"/>
              </w:rPr>
            </w:r>
            <w:r>
              <w:rPr>
                <w:color w:val="000000" w:themeColor="text1"/>
              </w:rPr>
            </w:r>
          </w:p>
        </w:tc>
        <w:tc>
          <w:tcPr>
            <w:tcBorders/>
            <w:tcW w:w="3543" w:type="dxa"/>
            <w:textDirection w:val="lrTb"/>
            <w:noWrap w:val="false"/>
          </w:tcPr>
          <w:p w14:paraId="5FC923ED">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Candidate metrics</w:t>
            </w:r>
            <w:r>
              <w:rPr>
                <w:color w:val="000000" w:themeColor="text1"/>
              </w:rPr>
            </w:r>
            <w:r>
              <w:rPr>
                <w:color w:val="000000" w:themeColor="text1"/>
              </w:rPr>
            </w:r>
          </w:p>
        </w:tc>
      </w:tr>
      <w:tr>
        <w:trPr/>
        <w:tc>
          <w:tcPr>
            <w:tcBorders/>
            <w:tcW w:w="1460" w:type="dxa"/>
            <w:textDirection w:val="lrTb"/>
            <w:noWrap w:val="false"/>
          </w:tcPr>
          <w:p w14:paraId="32B9132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RQ1</w:t>
            </w:r>
            <w:r>
              <w:rPr>
                <w:color w:val="000000" w:themeColor="text1"/>
              </w:rPr>
            </w:r>
            <w:r>
              <w:rPr>
                <w:color w:val="000000" w:themeColor="text1"/>
              </w:rPr>
            </w:r>
          </w:p>
        </w:tc>
        <w:tc>
          <w:tcPr>
            <w:tcBorders/>
            <w:tcW w:w="3827" w:type="dxa"/>
            <w:textDirection w:val="lrTb"/>
            <w:noWrap w:val="false"/>
          </w:tcPr>
          <w:p w14:paraId="56134E4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 profiling and taxonomy analysis</w:t>
            </w:r>
            <w:r>
              <w:rPr>
                <w:color w:val="000000" w:themeColor="text1"/>
              </w:rPr>
            </w:r>
            <w:r>
              <w:rPr>
                <w:color w:val="000000" w:themeColor="text1"/>
              </w:rPr>
            </w:r>
          </w:p>
        </w:tc>
        <w:tc>
          <w:tcPr>
            <w:tcBorders/>
            <w:tcW w:w="3543" w:type="dxa"/>
            <w:textDirection w:val="lrTb"/>
            <w:noWrap w:val="false"/>
          </w:tcPr>
          <w:p w14:paraId="2802D9E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Coverage %, answer cardinality, imbalance ratio</w:t>
            </w:r>
            <w:r>
              <w:rPr>
                <w:color w:val="000000" w:themeColor="text1"/>
              </w:rPr>
            </w:r>
            <w:r>
              <w:rPr>
                <w:color w:val="000000" w:themeColor="text1"/>
              </w:rPr>
            </w:r>
          </w:p>
        </w:tc>
      </w:tr>
      <w:tr>
        <w:trPr/>
        <w:tc>
          <w:tcPr>
            <w:tcBorders/>
            <w:tcW w:w="1460" w:type="dxa"/>
            <w:textDirection w:val="lrTb"/>
            <w:noWrap w:val="false"/>
          </w:tcPr>
          <w:p w14:paraId="62C2F09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RQ2</w:t>
            </w:r>
            <w:r>
              <w:rPr>
                <w:color w:val="000000" w:themeColor="text1"/>
              </w:rPr>
            </w:r>
            <w:r>
              <w:rPr>
                <w:color w:val="000000" w:themeColor="text1"/>
              </w:rPr>
            </w:r>
          </w:p>
        </w:tc>
        <w:tc>
          <w:tcPr>
            <w:tcBorders/>
            <w:tcW w:w="3827" w:type="dxa"/>
            <w:textDirection w:val="lrTb"/>
            <w:noWrap w:val="false"/>
          </w:tcPr>
          <w:p w14:paraId="5EC52A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Closed-set vs generative comparisons</w:t>
            </w:r>
            <w:r>
              <w:rPr>
                <w:color w:val="000000" w:themeColor="text1"/>
              </w:rPr>
            </w:r>
            <w:r>
              <w:rPr>
                <w:color w:val="000000" w:themeColor="text1"/>
              </w:rPr>
            </w:r>
          </w:p>
        </w:tc>
        <w:tc>
          <w:tcPr>
            <w:tcBorders/>
            <w:tcW w:w="3543" w:type="dxa"/>
            <w:textDirection w:val="lrTb"/>
            <w:noWrap w:val="false"/>
          </w:tcPr>
          <w:p w14:paraId="335F6E8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macro-F1, MCC, EM, token-F1</w:t>
            </w:r>
            <w:r>
              <w:rPr>
                <w:color w:val="000000" w:themeColor="text1"/>
              </w:rPr>
            </w:r>
            <w:r>
              <w:rPr>
                <w:color w:val="000000" w:themeColor="text1"/>
              </w:rPr>
            </w:r>
          </w:p>
        </w:tc>
      </w:tr>
      <w:tr>
        <w:trPr/>
        <w:tc>
          <w:tcPr>
            <w:tcBorders/>
            <w:tcW w:w="1460" w:type="dxa"/>
            <w:textDirection w:val="lrTb"/>
            <w:noWrap w:val="false"/>
          </w:tcPr>
          <w:p w14:paraId="236C17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RQ3</w:t>
            </w:r>
            <w:r>
              <w:rPr>
                <w:color w:val="000000" w:themeColor="text1"/>
              </w:rPr>
            </w:r>
            <w:r>
              <w:rPr>
                <w:color w:val="000000" w:themeColor="text1"/>
              </w:rPr>
            </w:r>
          </w:p>
        </w:tc>
        <w:tc>
          <w:tcPr>
            <w:tcBorders/>
            <w:tcW w:w="3827" w:type="dxa"/>
            <w:textDirection w:val="lrTb"/>
            <w:noWrap w:val="false"/>
          </w:tcPr>
          <w:p w14:paraId="606DCCB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Error and robustness analysis</w:t>
            </w:r>
            <w:r>
              <w:rPr>
                <w:color w:val="000000" w:themeColor="text1"/>
              </w:rPr>
            </w:r>
            <w:r>
              <w:rPr>
                <w:color w:val="000000" w:themeColor="text1"/>
              </w:rPr>
            </w:r>
          </w:p>
        </w:tc>
        <w:tc>
          <w:tcPr>
            <w:tcBorders/>
            <w:tcW w:w="3543" w:type="dxa"/>
            <w:textDirection w:val="lrTb"/>
            <w:noWrap w:val="false"/>
          </w:tcPr>
          <w:p w14:paraId="737861C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Per-class recall, head-tail gap, OOV/unknown rates</w:t>
            </w:r>
            <w:r>
              <w:rPr>
                <w:color w:val="000000" w:themeColor="text1"/>
              </w:rPr>
            </w:r>
            <w:r>
              <w:rPr>
                <w:color w:val="000000" w:themeColor="text1"/>
              </w:rPr>
            </w:r>
          </w:p>
        </w:tc>
      </w:tr>
      <w:tr>
        <w:trPr/>
        <w:tc>
          <w:tcPr>
            <w:tcBorders/>
            <w:tcW w:w="1460" w:type="dxa"/>
            <w:textDirection w:val="lrTb"/>
            <w:noWrap w:val="false"/>
          </w:tcPr>
          <w:p w14:paraId="408D49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RQ4</w:t>
            </w:r>
            <w:r>
              <w:rPr>
                <w:color w:val="000000" w:themeColor="text1"/>
              </w:rPr>
            </w:r>
            <w:r>
              <w:rPr>
                <w:color w:val="000000" w:themeColor="text1"/>
              </w:rPr>
            </w:r>
          </w:p>
        </w:tc>
        <w:tc>
          <w:tcPr>
            <w:tcBorders/>
            <w:tcW w:w="3827" w:type="dxa"/>
            <w:textDirection w:val="lrTb"/>
            <w:noWrap w:val="false"/>
          </w:tcPr>
          <w:p w14:paraId="4C00206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UC severity-focused experiments</w:t>
            </w:r>
            <w:r>
              <w:rPr>
                <w:color w:val="000000" w:themeColor="text1"/>
              </w:rPr>
            </w:r>
            <w:r>
              <w:rPr>
                <w:color w:val="000000" w:themeColor="text1"/>
              </w:rPr>
            </w:r>
          </w:p>
        </w:tc>
        <w:tc>
          <w:tcPr>
            <w:tcBorders/>
            <w:tcW w:w="3543" w:type="dxa"/>
            <w:textDirection w:val="lrTb"/>
            <w:noWrap w:val="false"/>
          </w:tcPr>
          <w:p w14:paraId="2B234E0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balanced accuracy, QWK, remission sensitivity/specificity</w:t>
            </w:r>
            <w:r>
              <w:rPr>
                <w:color w:val="000000" w:themeColor="text1"/>
              </w:rPr>
            </w:r>
            <w:r>
              <w:rPr>
                <w:color w:val="000000" w:themeColor="text1"/>
              </w:rPr>
            </w:r>
          </w:p>
        </w:tc>
      </w:tr>
      <w:tr>
        <w:trPr/>
        <w:tc>
          <w:tcPr>
            <w:tcBorders/>
            <w:tcW w:w="1460" w:type="dxa"/>
            <w:textDirection w:val="lrTb"/>
            <w:noWrap w:val="false"/>
          </w:tcPr>
          <w:p w14:paraId="569DFE1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RQ5</w:t>
            </w:r>
            <w:r>
              <w:rPr>
                <w:color w:val="000000" w:themeColor="text1"/>
              </w:rPr>
            </w:r>
            <w:r>
              <w:rPr>
                <w:color w:val="000000" w:themeColor="text1"/>
              </w:rPr>
            </w:r>
          </w:p>
        </w:tc>
        <w:tc>
          <w:tcPr>
            <w:tcBorders/>
            <w:tcW w:w="3827" w:type="dxa"/>
            <w:textDirection w:val="lrTb"/>
            <w:noWrap w:val="false"/>
          </w:tcPr>
          <w:p w14:paraId="266C0DA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Scenario-driven analysis</w:t>
            </w:r>
            <w:r>
              <w:rPr>
                <w:color w:val="000000" w:themeColor="text1"/>
              </w:rPr>
            </w:r>
            <w:r>
              <w:rPr>
                <w:color w:val="000000" w:themeColor="text1"/>
              </w:rPr>
            </w:r>
          </w:p>
        </w:tc>
        <w:tc>
          <w:tcPr>
            <w:tcBorders/>
            <w:tcW w:w="3543" w:type="dxa"/>
            <w:textDirection w:val="lrTb"/>
            <w:noWrap w:val="false"/>
          </w:tcPr>
          <w:p w14:paraId="6D2EE24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pass rate, high-risk error counts, clinician-facing clarity criteria</w:t>
            </w:r>
            <w:r>
              <w:rPr>
                <w:color w:val="000000" w:themeColor="text1"/>
              </w:rPr>
            </w:r>
            <w:r>
              <w:rPr>
                <w:color w:val="000000" w:themeColor="text1"/>
              </w:rPr>
            </w:r>
          </w:p>
        </w:tc>
      </w:tr>
      <w:tr>
        <w:trPr/>
        <w:tc>
          <w:tcPr>
            <w:tcBorders/>
            <w:tcW w:w="1460" w:type="dxa"/>
            <w:textDirection w:val="lrTb"/>
            <w:noWrap w:val="false"/>
          </w:tcPr>
          <w:p w14:paraId="7EE7BD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RQ6</w:t>
            </w:r>
            <w:r>
              <w:rPr>
                <w:color w:val="000000" w:themeColor="text1"/>
              </w:rPr>
            </w:r>
            <w:r>
              <w:rPr>
                <w:color w:val="000000" w:themeColor="text1"/>
              </w:rPr>
            </w:r>
          </w:p>
        </w:tc>
        <w:tc>
          <w:tcPr>
            <w:tcBorders/>
            <w:tcW w:w="3827" w:type="dxa"/>
            <w:textDirection w:val="lrTb"/>
            <w:noWrap w:val="false"/>
          </w:tcPr>
          <w:p w14:paraId="7976CA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Retrieval-augmented prototype analysis</w:t>
            </w:r>
            <w:r>
              <w:rPr>
                <w:color w:val="000000" w:themeColor="text1"/>
              </w:rPr>
            </w:r>
            <w:r>
              <w:rPr>
                <w:color w:val="000000" w:themeColor="text1"/>
              </w:rPr>
            </w:r>
          </w:p>
        </w:tc>
        <w:tc>
          <w:tcPr>
            <w:tcBorders/>
            <w:tcW w:w="3543" w:type="dxa"/>
            <w:textDirection w:val="lrTb"/>
            <w:noWrap w:val="false"/>
          </w:tcPr>
          <w:p w14:paraId="1214C67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delta, evidence relevance, factual consistency checks</w:t>
            </w:r>
            <w:r>
              <w:rPr>
                <w:color w:val="000000" w:themeColor="text1"/>
              </w:rPr>
            </w:r>
            <w:r>
              <w:rPr>
                <w:color w:val="000000" w:themeColor="text1"/>
              </w:rPr>
            </w:r>
          </w:p>
        </w:tc>
      </w:tr>
    </w:tbl>
    <w:p w14:paraId="1F815513">
      <w:pPr>
        <w:pStyle w:val="1056"/>
        <w:suppressLineNumbers w:val="false"/>
        <w:pBdr/>
        <w:spacing w:line="300" w:lineRule="auto"/>
        <w:ind w:firstLine="0" w:left="3600"/>
        <w:rPr>
          <w:color w:val="000000" w:themeColor="text1"/>
        </w:rPr>
      </w:pPr>
      <w:r>
        <w:rPr>
          <w:color w:val="000000" w:themeColor="text1"/>
        </w:rPr>
      </w:r>
      <w:r>
        <w:rPr>
          <w:lang w:val="en-US"/>
        </w:rPr>
        <w:t xml:space="preserve">Table 1.4</w:t>
      </w:r>
      <w:r>
        <w:rPr>
          <w:color w:val="000000" w:themeColor="text1"/>
        </w:rPr>
      </w:r>
      <w:r>
        <w:rPr>
          <w:color w:val="000000" w:themeColor="text1"/>
        </w:rPr>
      </w:r>
    </w:p>
    <w:p w14:paraId="5E5E673D">
      <w:pPr>
        <w:pStyle w:val="1056"/>
        <w:suppressLineNumbers w:val="false"/>
        <w:pBdr/>
        <w:spacing w:line="300" w:lineRule="auto"/>
        <w:ind w:firstLine="0"/>
        <w:rPr/>
      </w:pPr>
      <w:r/>
      <w:r/>
    </w:p>
    <w:p w14:paraId="34F5A392">
      <w:pPr>
        <w:pStyle w:val="1056"/>
        <w:suppressLineNumbers w:val="false"/>
        <w:pBdr/>
        <w:spacing w:line="300" w:lineRule="auto"/>
        <w:ind w:firstLine="0"/>
        <w:rPr>
          <w:b/>
          <w:bCs/>
        </w:rPr>
      </w:pPr>
      <w:r>
        <w:rPr>
          <w:b/>
          <w:bCs/>
        </w:rPr>
        <w:t xml:space="preserve">1.6.2 Research Hypotheses (Working)</w:t>
      </w:r>
      <w:r>
        <w:rPr>
          <w:b/>
          <w:bCs/>
        </w:rPr>
      </w:r>
      <w:r>
        <w:rPr>
          <w:b/>
          <w:bCs/>
        </w:rPr>
      </w:r>
    </w:p>
    <w:p w14:paraId="69C4345A">
      <w:pPr>
        <w:pStyle w:val="1056"/>
        <w:numPr>
          <w:ilvl w:val="0"/>
          <w:numId w:val="17"/>
        </w:numPr>
        <w:suppressLineNumbers w:val="false"/>
        <w:pBdr/>
        <w:spacing w:after="240" w:before="120" w:line="300" w:lineRule="auto"/>
        <w:ind/>
        <w:rPr/>
      </w:pPr>
      <w:r>
        <w:t xml:space="preserve">H1: In current GI datasets, constrained or supervised decoders will outperform </w:t>
        <w:tab/>
        <w:t xml:space="preserve">raw zero-shot free generation on core reliability metrics.</w:t>
      </w:r>
      <w:r/>
    </w:p>
    <w:p w14:paraId="44068932">
      <w:pPr>
        <w:pStyle w:val="1056"/>
        <w:numPr>
          <w:ilvl w:val="0"/>
          <w:numId w:val="17"/>
        </w:numPr>
        <w:suppressLineNumbers w:val="false"/>
        <w:pBdr/>
        <w:spacing w:after="240" w:before="120" w:line="300" w:lineRule="auto"/>
        <w:ind/>
        <w:rPr/>
      </w:pPr>
      <w:r>
        <w:t xml:space="preserve">H2: Minority severe classes will remain the primary bottleneck even when </w:t>
        <w:tab/>
        <w:t xml:space="preserve">aggregate accuracy is high.</w:t>
      </w:r>
      <w:r/>
    </w:p>
    <w:p w14:paraId="2DDCA700">
      <w:pPr>
        <w:pStyle w:val="1056"/>
        <w:numPr>
          <w:ilvl w:val="0"/>
          <w:numId w:val="17"/>
        </w:numPr>
        <w:suppressLineNumbers w:val="false"/>
        <w:pBdr/>
        <w:spacing w:after="240" w:before="120" w:line="300" w:lineRule="auto"/>
        <w:ind/>
        <w:rPr/>
      </w:pPr>
      <w:r>
        <w:t xml:space="preserve">H3: A conditional evidence-augmented layer can improve interpretability for high-</w:t>
        <w:tab/>
        <w:t xml:space="preserve">risk questions without compromising visual grounding.</w:t>
      </w:r>
      <w:r/>
    </w:p>
    <w:p w14:paraId="169087FE">
      <w:pPr>
        <w:pStyle w:val="1056"/>
        <w:suppressLineNumbers w:val="false"/>
        <w:pBdr/>
        <w:spacing w:line="300" w:lineRule="auto"/>
        <w:ind w:firstLine="0"/>
        <w:rPr>
          <w:highlight w:val="none"/>
        </w:rPr>
      </w:pPr>
      <w:r>
        <w:t xml:space="preserve">These hypotheses are working assumptions to be tested in later chapters; they </w:t>
        <w:tab/>
        <w:t xml:space="preserve">are not final claims.</w:t>
      </w:r>
      <w:r>
        <w:rPr>
          <w:highlight w:val="none"/>
        </w:rPr>
      </w:r>
      <w:r>
        <w:rPr>
          <w:highlight w:val="none"/>
        </w:rPr>
      </w:r>
    </w:p>
    <w:p w14:paraId="0503E37C">
      <w:pPr>
        <w:pStyle w:val="1056"/>
        <w:suppressLineNumbers w:val="false"/>
        <w:pBdr/>
        <w:spacing w:line="300" w:lineRule="auto"/>
        <w:ind/>
        <w:rPr/>
      </w:pPr>
      <w:r/>
      <w:r/>
    </w:p>
    <w:p w14:paraId="4F3700B9">
      <w:pPr>
        <w:pStyle w:val="1056"/>
        <w:suppressLineNumbers w:val="false"/>
        <w:pBdr/>
        <w:spacing w:line="300" w:lineRule="auto"/>
        <w:ind w:firstLine="0"/>
        <w:rPr>
          <w:b/>
          <w:bCs/>
          <w:sz w:val="28"/>
          <w:szCs w:val="28"/>
        </w:rPr>
      </w:pPr>
      <w:r>
        <w:rPr>
          <w:b/>
          <w:bCs/>
          <w:sz w:val="28"/>
          <w:szCs w:val="28"/>
        </w:rPr>
        <w:t xml:space="preserve">1.7 Scope, Assumptions, and Delimitations</w:t>
      </w:r>
      <w:r>
        <w:rPr>
          <w:b/>
          <w:bCs/>
          <w:sz w:val="28"/>
          <w:szCs w:val="28"/>
        </w:rPr>
      </w:r>
      <w:r>
        <w:rPr>
          <w:b/>
          <w:bCs/>
          <w:sz w:val="28"/>
          <w:szCs w:val="28"/>
        </w:rPr>
      </w:r>
    </w:p>
    <w:p w14:paraId="45AAEE1F">
      <w:pPr>
        <w:pStyle w:val="1056"/>
        <w:suppressLineNumbers w:val="false"/>
        <w:pBdr/>
        <w:spacing w:line="300" w:lineRule="auto"/>
        <w:ind w:firstLine="0"/>
        <w:rPr>
          <w:b/>
          <w:bCs/>
        </w:rPr>
      </w:pPr>
      <w:r>
        <w:rPr>
          <w:b/>
          <w:bCs/>
        </w:rPr>
        <w:t xml:space="preserve">1.7.1 In Scope</w:t>
      </w:r>
      <w:r>
        <w:rPr>
          <w:b/>
          <w:bCs/>
        </w:rPr>
      </w:r>
      <w:r>
        <w:rPr>
          <w:b/>
          <w:bCs/>
        </w:rPr>
      </w:r>
    </w:p>
    <w:p w14:paraId="3A98C560">
      <w:pPr>
        <w:pStyle w:val="1056"/>
        <w:numPr>
          <w:ilvl w:val="0"/>
          <w:numId w:val="18"/>
        </w:numPr>
        <w:suppressLineNumbers w:val="false"/>
        <w:pBdr/>
        <w:spacing w:line="120" w:lineRule="auto"/>
        <w:ind/>
        <w:rPr/>
      </w:pPr>
      <w:r>
        <w:t xml:space="preserve">Colonoscopy and GI endoscopy image-question answering.</w:t>
      </w:r>
      <w:r/>
    </w:p>
    <w:p w14:paraId="7B66B808">
      <w:pPr>
        <w:pStyle w:val="1056"/>
        <w:numPr>
          <w:ilvl w:val="0"/>
          <w:numId w:val="18"/>
        </w:numPr>
        <w:suppressLineNumbers w:val="false"/>
        <w:pBdr/>
        <w:spacing w:line="120" w:lineRule="auto"/>
        <w:ind/>
        <w:rPr/>
      </w:pPr>
      <w:r>
        <w:t xml:space="preserve">UC severity-oriented analysis as a flagship clinical axis.</w:t>
      </w:r>
      <w:r/>
    </w:p>
    <w:p w14:paraId="17AA6AAC">
      <w:pPr>
        <w:pStyle w:val="1056"/>
        <w:numPr>
          <w:ilvl w:val="0"/>
          <w:numId w:val="18"/>
        </w:numPr>
        <w:suppressLineNumbers w:val="false"/>
        <w:pBdr/>
        <w:spacing w:line="120" w:lineRule="auto"/>
        <w:ind/>
        <w:rPr/>
      </w:pPr>
      <w:r>
        <w:t xml:space="preserve">Multi-dataset benchmarking from persisted local artifacts.</w:t>
      </w:r>
      <w:r/>
    </w:p>
    <w:p w14:paraId="3006CBB9">
      <w:pPr>
        <w:pStyle w:val="1056"/>
        <w:numPr>
          <w:ilvl w:val="0"/>
          <w:numId w:val="18"/>
        </w:numPr>
        <w:suppressLineNumbers w:val="false"/>
        <w:pBdr/>
        <w:spacing w:line="120" w:lineRule="auto"/>
        <w:ind/>
        <w:rPr/>
      </w:pPr>
      <w:r>
        <w:t xml:space="preserve">Closed-set and generative answer tracks.</w:t>
      </w:r>
      <w:r/>
    </w:p>
    <w:p w14:paraId="2EF3C012">
      <w:pPr>
        <w:pStyle w:val="1056"/>
        <w:numPr>
          <w:ilvl w:val="0"/>
          <w:numId w:val="18"/>
        </w:numPr>
        <w:suppressLineNumbers w:val="false"/>
        <w:pBdr/>
        <w:spacing w:line="120" w:lineRule="auto"/>
        <w:ind/>
        <w:rPr/>
      </w:pPr>
      <w:r>
        <w:t xml:space="preserve">Design of an evidence-aware extension pathway (RAG/PICO-oriented direction).</w:t>
      </w:r>
      <w:r/>
    </w:p>
    <w:p w14:paraId="65A9DFF6">
      <w:pPr>
        <w:pStyle w:val="1056"/>
        <w:suppressLineNumbers w:val="false"/>
        <w:pBdr/>
        <w:spacing w:line="300" w:lineRule="auto"/>
        <w:ind w:firstLine="0"/>
        <w:rPr>
          <w:b/>
          <w:bCs/>
        </w:rPr>
      </w:pPr>
      <w:r>
        <w:rPr>
          <w:b/>
          <w:bCs/>
        </w:rPr>
        <w:t xml:space="preserve">1.7.2 Out of Scope in This Dissertation Phase</w:t>
      </w:r>
      <w:r>
        <w:rPr>
          <w:b/>
          <w:bCs/>
        </w:rPr>
      </w:r>
      <w:r>
        <w:rPr>
          <w:b/>
          <w:bCs/>
        </w:rPr>
      </w:r>
    </w:p>
    <w:p w14:paraId="7EA3BC6B">
      <w:pPr>
        <w:pStyle w:val="1056"/>
        <w:numPr>
          <w:ilvl w:val="0"/>
          <w:numId w:val="19"/>
        </w:numPr>
        <w:suppressLineNumbers w:val="false"/>
        <w:pBdr/>
        <w:spacing w:line="120" w:lineRule="auto"/>
        <w:ind/>
        <w:rPr/>
      </w:pPr>
      <w:r>
        <w:t xml:space="preserve">Prospective real-time deployment in clinical endoscopy units.</w:t>
      </w:r>
      <w:r/>
    </w:p>
    <w:p w14:paraId="2B700D60">
      <w:pPr>
        <w:pStyle w:val="1056"/>
        <w:numPr>
          <w:ilvl w:val="0"/>
          <w:numId w:val="19"/>
        </w:numPr>
        <w:suppressLineNumbers w:val="false"/>
        <w:pBdr/>
        <w:spacing w:line="120" w:lineRule="auto"/>
        <w:ind/>
        <w:rPr/>
      </w:pPr>
      <w:r>
        <w:t xml:space="preserve">Full regulatory and compliance validation.</w:t>
      </w:r>
      <w:r/>
    </w:p>
    <w:p w14:paraId="4F514535">
      <w:pPr>
        <w:pStyle w:val="1056"/>
        <w:numPr>
          <w:ilvl w:val="0"/>
          <w:numId w:val="19"/>
        </w:numPr>
        <w:suppressLineNumbers w:val="false"/>
        <w:pBdr/>
        <w:spacing w:line="120" w:lineRule="auto"/>
        <w:ind/>
        <w:rPr/>
      </w:pPr>
      <w:r>
        <w:t xml:space="preserve">Multi-center randomized outcome trials.</w:t>
      </w:r>
      <w:r/>
    </w:p>
    <w:p w14:paraId="02243ACC">
      <w:pPr>
        <w:pStyle w:val="1056"/>
        <w:numPr>
          <w:ilvl w:val="0"/>
          <w:numId w:val="19"/>
        </w:numPr>
        <w:suppressLineNumbers w:val="false"/>
        <w:pBdr/>
        <w:spacing w:line="120" w:lineRule="auto"/>
        <w:ind/>
        <w:rPr/>
      </w:pPr>
      <w:r>
        <w:t xml:space="preserve">Production-grade latency optimization for full video streams.</w:t>
      </w:r>
      <w:r/>
    </w:p>
    <w:p w14:paraId="06B25097">
      <w:pPr>
        <w:pStyle w:val="1056"/>
        <w:suppressLineNumbers w:val="false"/>
        <w:pBdr/>
        <w:spacing w:line="300" w:lineRule="auto"/>
        <w:ind w:firstLine="0"/>
        <w:rPr>
          <w:b/>
          <w:bCs/>
        </w:rPr>
      </w:pPr>
      <w:r>
        <w:rPr>
          <w:b/>
          <w:bCs/>
        </w:rPr>
        <w:t xml:space="preserve">1.7.3 Working Assumptions</w:t>
      </w:r>
      <w:r>
        <w:rPr>
          <w:b/>
          <w:bCs/>
        </w:rPr>
      </w:r>
      <w:r>
        <w:rPr>
          <w:b/>
          <w:bCs/>
        </w:rPr>
      </w:r>
    </w:p>
    <w:p w14:paraId="01FA2F0A">
      <w:pPr>
        <w:pStyle w:val="1056"/>
        <w:numPr>
          <w:ilvl w:val="0"/>
          <w:numId w:val="20"/>
        </w:numPr>
        <w:suppressLineNumbers w:val="false"/>
        <w:pBdr/>
        <w:spacing w:line="300" w:lineRule="auto"/>
        <w:ind/>
        <w:rPr/>
      </w:pPr>
      <w:r>
        <w:t xml:space="preserve">Ground-truth annotations are treated as operational references despite known </w:t>
      </w:r>
      <w:r>
        <w:rPr>
          <w:lang w:val="en-US"/>
        </w:rPr>
        <w:t xml:space="preserve"> </w:t>
      </w:r>
      <w:r>
        <w:rPr>
          <w:lang w:val="en-US"/>
        </w:rPr>
        <w:t xml:space="preserve"> </w:t>
      </w:r>
      <w:r>
        <w:t xml:space="preserve">inter-observer variation.</w:t>
      </w:r>
      <w:r/>
    </w:p>
    <w:p w14:paraId="3A0DB17A">
      <w:pPr>
        <w:pStyle w:val="1056"/>
        <w:numPr>
          <w:ilvl w:val="0"/>
          <w:numId w:val="20"/>
        </w:numPr>
        <w:suppressLineNumbers w:val="false"/>
        <w:pBdr/>
        <w:spacing w:line="300" w:lineRule="auto"/>
        <w:ind/>
        <w:rPr/>
      </w:pPr>
      <w:r>
        <w:t xml:space="preserve">Persisted repository artifacts provide the reproducible evidence base for current claims.</w:t>
      </w:r>
      <w:r/>
    </w:p>
    <w:p w14:paraId="74DC5E9E">
      <w:pPr>
        <w:pStyle w:val="1056"/>
        <w:numPr>
          <w:ilvl w:val="0"/>
          <w:numId w:val="20"/>
        </w:numPr>
        <w:suppressLineNumbers w:val="false"/>
        <w:pBdr/>
        <w:spacing w:line="120" w:lineRule="auto"/>
        <w:ind/>
        <w:rPr/>
      </w:pPr>
      <w:r>
        <w:t xml:space="preserve">Evidence-aware generation is treated as an additive and safeguarded layer.</w:t>
      </w:r>
      <w:r/>
    </w:p>
    <w:p w14:paraId="66233F51">
      <w:pPr>
        <w:pStyle w:val="1056"/>
        <w:numPr>
          <w:ilvl w:val="0"/>
          <w:numId w:val="20"/>
        </w:numPr>
        <w:suppressLineNumbers w:val="false"/>
        <w:pBdr/>
        <w:spacing w:line="120" w:lineRule="auto"/>
        <w:ind/>
        <w:rPr/>
      </w:pPr>
      <w:r>
        <w:t xml:space="preserve">High-risk low-confidence outputs require abstention/escalation behavior.</w:t>
      </w:r>
      <w:r/>
    </w:p>
    <w:p w14:paraId="019702AE">
      <w:pPr>
        <w:pStyle w:val="1056"/>
        <w:suppressLineNumbers w:val="false"/>
        <w:pBdr/>
        <w:spacing w:line="300" w:lineRule="auto"/>
        <w:ind w:firstLine="0"/>
        <w:rPr/>
      </w:pPr>
      <w:r>
        <w:rPr>
          <w:highlight w:val="none"/>
        </w:rPr>
      </w:r>
      <w:r>
        <w:rPr>
          <w:highlight w:val="none"/>
        </w:rPr>
      </w:r>
      <w:r/>
    </w:p>
    <w:p w14:paraId="7B39CFD3">
      <w:pPr>
        <w:pStyle w:val="1056"/>
        <w:suppressLineNumbers w:val="false"/>
        <w:pBdr/>
        <w:spacing w:line="300" w:lineRule="auto"/>
        <w:ind w:firstLine="0"/>
        <w:rPr>
          <w:b/>
          <w:bCs/>
        </w:rPr>
      </w:pPr>
      <w:r>
        <w:rPr>
          <w:b/>
          <w:bCs/>
        </w:rPr>
        <w:t xml:space="preserve">1.7.4 PICO-Oriented Evidence Mapping (Operational Definition)</w:t>
      </w:r>
      <w:r>
        <w:rPr>
          <w:b/>
          <w:bCs/>
        </w:rPr>
      </w:r>
      <w:r>
        <w:rPr>
          <w:b/>
          <w:bCs/>
        </w:rPr>
      </w:r>
    </w:p>
    <w:p w14:paraId="1E811307">
      <w:pPr>
        <w:pStyle w:val="1056"/>
        <w:suppressLineNumbers w:val="false"/>
        <w:pBdr/>
        <w:spacing w:line="300" w:lineRule="auto"/>
        <w:ind w:firstLine="0"/>
        <w:rPr/>
      </w:pPr>
      <w:r>
        <w:t xml:space="preserve">In this dissertation, PICO is used as a structured retrieval and response scaffold </w:t>
        <w:tab/>
        <w:t xml:space="preserve">for management-style queries:</w:t>
      </w:r>
      <w:r/>
    </w:p>
    <w:p w14:paraId="20B52847">
      <w:pPr>
        <w:pStyle w:val="1056"/>
        <w:suppressLineNumbers w:val="false"/>
        <w:pBdr/>
        <w:spacing w:line="300" w:lineRule="auto"/>
        <w:ind w:firstLine="0"/>
        <w:rPr/>
      </w:pPr>
      <w:r>
        <w:rPr>
          <w:b/>
          <w:bCs/>
        </w:rPr>
        <w:t xml:space="preserve">P (Population/Patient):</w:t>
      </w:r>
      <w:r>
        <w:t xml:space="preserve"> UC patient context, including current endoscopic severity and relevant clinical descriptors.</w:t>
      </w:r>
      <w:r/>
    </w:p>
    <w:p w14:paraId="4EC48FE7">
      <w:pPr>
        <w:pStyle w:val="1056"/>
        <w:suppressLineNumbers w:val="false"/>
        <w:pBdr/>
        <w:spacing w:line="300" w:lineRule="auto"/>
        <w:ind w:firstLine="0"/>
        <w:rPr/>
      </w:pPr>
      <w:r>
        <w:rPr>
          <w:b/>
          <w:bCs/>
        </w:rPr>
        <w:t xml:space="preserve">I (Intervention): </w:t>
      </w:r>
      <w:r>
        <w:t xml:space="preserve">candidate treatment or management option being considered.</w:t>
      </w:r>
      <w:r/>
    </w:p>
    <w:p w14:paraId="454C6056">
      <w:pPr>
        <w:pStyle w:val="1056"/>
        <w:suppressLineNumbers w:val="false"/>
        <w:pBdr/>
        <w:spacing w:line="300" w:lineRule="auto"/>
        <w:ind w:firstLine="0"/>
        <w:rPr/>
      </w:pPr>
      <w:r>
        <w:rPr>
          <w:b/>
          <w:bCs/>
        </w:rPr>
        <w:t xml:space="preserve">C (Comparison): </w:t>
      </w:r>
      <w:r>
        <w:t xml:space="preserve">alternative treatment strategy, standard care, or no escalation.</w:t>
      </w:r>
      <w:r/>
    </w:p>
    <w:p w14:paraId="2097F356">
      <w:pPr>
        <w:pStyle w:val="1056"/>
        <w:suppressLineNumbers w:val="false"/>
        <w:pBdr/>
        <w:spacing w:line="300" w:lineRule="auto"/>
        <w:ind w:firstLine="0"/>
        <w:rPr/>
      </w:pPr>
      <w:r>
        <w:rPr>
          <w:b/>
          <w:bCs/>
        </w:rPr>
        <w:t xml:space="preserve">O (Outcome):</w:t>
      </w:r>
      <w:r>
        <w:t xml:space="preserve"> clinically meaningful endpoint (for example relapse, mucosal healing, hospitalization risk, or adverse events).</w:t>
      </w:r>
      <w:r/>
    </w:p>
    <w:p w14:paraId="77CC4F24">
      <w:pPr>
        <w:pStyle w:val="1056"/>
        <w:suppressLineNumbers w:val="false"/>
        <w:pBdr/>
        <w:spacing w:line="300" w:lineRule="auto"/>
        <w:ind w:firstLine="0"/>
        <w:rPr/>
      </w:pPr>
      <w:r>
        <w:t xml:space="preserve">Example query pattern for Chapter 5 use cases:</w:t>
      </w:r>
      <w:r/>
    </w:p>
    <w:p w14:paraId="6882997F">
      <w:pPr>
        <w:pStyle w:val="1056"/>
        <w:suppressLineNumbers w:val="false"/>
        <w:pBdr/>
        <w:spacing w:line="300" w:lineRule="auto"/>
        <w:ind w:firstLine="0"/>
        <w:rPr>
          <w:b/>
          <w:bCs/>
          <w:i/>
        </w:rPr>
      </w:pPr>
      <w:r>
        <w:rPr>
          <w:b/>
          <w:bCs/>
          <w:i/>
          <w:iCs/>
        </w:rPr>
        <w:t xml:space="preserve">In patients with UC and Mayo 2 activity, does infliximab versus vedolizumab reduce relapse at 6 months?</w:t>
      </w:r>
      <w:r>
        <w:rPr>
          <w:b/>
          <w:bCs/>
          <w:i/>
        </w:rPr>
      </w:r>
      <w:r>
        <w:rPr>
          <w:b/>
          <w:bCs/>
          <w:i/>
        </w:rPr>
      </w:r>
    </w:p>
    <w:p w14:paraId="5B677E70">
      <w:pPr>
        <w:pStyle w:val="1056"/>
        <w:suppressLineNumbers w:val="false"/>
        <w:pBdr/>
        <w:spacing w:line="300" w:lineRule="auto"/>
        <w:ind w:firstLine="0"/>
        <w:rPr>
          <w:highlight w:val="none"/>
        </w:rPr>
      </w:pPr>
      <w:r>
        <w:t xml:space="preserve">I</w:t>
      </w:r>
      <w:r>
        <w:t xml:space="preserve">n this flow, the MedVQA layer provides the image-grounded severity signal, while the evidence layer maps the textual question into PICO slots, retrieves supporting studies/guidelines, and returns a citation-linked answer with confidence and explicit limita</w:t>
      </w:r>
      <w:r>
        <w:t xml:space="preserve">tions.</w:t>
      </w:r>
      <w:r>
        <w:rPr>
          <w:highlight w:val="none"/>
        </w:rPr>
      </w:r>
      <w:r>
        <w:rPr>
          <w:highlight w:val="none"/>
        </w:rPr>
      </w:r>
    </w:p>
    <w:p w14:paraId="5F7408CB">
      <w:pPr>
        <w:pStyle w:val="1056"/>
        <w:suppressLineNumbers w:val="false"/>
        <w:pBdr/>
        <w:spacing w:line="300" w:lineRule="auto"/>
        <w:ind w:firstLine="0"/>
        <w:rPr>
          <w:b/>
          <w:bCs/>
        </w:rPr>
      </w:pPr>
      <w:r>
        <w:rPr>
          <w:b/>
          <w:bCs/>
        </w:rPr>
        <w:t xml:space="preserve">1.7.5 Safety and Clinical Governance Position</w:t>
      </w:r>
      <w:r>
        <w:rPr>
          <w:b/>
          <w:bCs/>
        </w:rPr>
      </w:r>
      <w:r>
        <w:rPr>
          <w:b/>
          <w:bCs/>
        </w:rPr>
      </w:r>
    </w:p>
    <w:p w14:paraId="7BC6658A">
      <w:pPr>
        <w:pStyle w:val="1056"/>
        <w:suppressLineNumbers w:val="false"/>
        <w:pBdr/>
        <w:spacing w:line="300" w:lineRule="auto"/>
        <w:ind w:firstLine="720"/>
        <w:rPr/>
      </w:pPr>
      <w:r>
        <w:t xml:space="preserve">T</w:t>
      </w:r>
      <w:r>
        <w:t xml:space="preserve">his thesis treats the proposed system as clinical decision support, not autonomous diagnosis. Outputs are draft recommendations for physician review, with explicit abstention/escalation behavior for uncertain or high-risk cases. The evaluation design there</w:t>
      </w:r>
      <w:r>
        <w:t xml:space="preserve">fore includes uncertainty handling, evidence citation, and failure-mode reporting as first-class requirements even though regulated deployment is out of scope in this phase.</w:t>
      </w:r>
      <w:r/>
    </w:p>
    <w:p w14:paraId="3F5FC500">
      <w:pPr>
        <w:pStyle w:val="1056"/>
        <w:suppressLineNumbers w:val="false"/>
        <w:pBdr/>
        <w:spacing w:line="300" w:lineRule="auto"/>
        <w:ind w:firstLine="0"/>
        <w:rPr>
          <w:b/>
          <w:bCs/>
          <w:sz w:val="28"/>
          <w:szCs w:val="28"/>
        </w:rPr>
      </w:pPr>
      <w:r>
        <w:rPr>
          <w:b/>
          <w:bCs/>
          <w:sz w:val="28"/>
          <w:szCs w:val="28"/>
        </w:rPr>
        <w:t xml:space="preserve">1.8 Scenario-Driven Framing</w:t>
      </w:r>
      <w:r>
        <w:rPr>
          <w:b/>
          <w:bCs/>
          <w:sz w:val="28"/>
          <w:szCs w:val="28"/>
        </w:rPr>
      </w:r>
      <w:r>
        <w:rPr>
          <w:b/>
          <w:bCs/>
          <w:sz w:val="28"/>
          <w:szCs w:val="28"/>
        </w:rPr>
      </w:r>
    </w:p>
    <w:p w14:paraId="29E32FA4">
      <w:pPr>
        <w:pStyle w:val="1056"/>
        <w:suppressLineNumbers w:val="false"/>
        <w:pBdr/>
        <w:spacing w:line="300" w:lineRule="auto"/>
        <w:ind/>
        <w:rPr/>
      </w:pPr>
      <w:r>
        <w:t xml:space="preserve">This dissertation adopts a scenario-driven evaluation philosophy. Aggregate benchmark metrics remain important, but they do not fully capture clinical utility. Scenarios are defined to represent realistic clinician questions and asymmetric risk conditions.</w:t>
      </w:r>
      <w:r/>
    </w:p>
    <w:p w14:paraId="3C00849E">
      <w:pPr>
        <w:pStyle w:val="1056"/>
        <w:suppressLineNumbers w:val="false"/>
        <w:pBdr/>
        <w:spacing w:line="300" w:lineRule="auto"/>
        <w:ind w:firstLine="0"/>
        <w:rPr>
          <w:b/>
          <w:bCs/>
          <w:highlight w:val="none"/>
        </w:rPr>
      </w:pPr>
      <w:r>
        <w:rPr>
          <w:b/>
          <w:bCs/>
        </w:rPr>
        <w:t xml:space="preserve">1.8.1 Core Scenarios</w:t>
      </w:r>
      <w:r>
        <w:rPr>
          <w:b/>
          <w:bCs/>
          <w:highlight w:val="none"/>
        </w:rPr>
      </w:r>
      <w:r>
        <w:rPr>
          <w:b/>
          <w:bCs/>
          <w:highlight w:val="none"/>
        </w:rPr>
      </w:r>
    </w:p>
    <w:tbl>
      <w:tblPr>
        <w:tblStyle w:val="1113"/>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2F8AA96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 ID</w:t>
            </w:r>
            <w:r>
              <w:rPr>
                <w:color w:val="000000" w:themeColor="text1"/>
              </w:rPr>
            </w:r>
            <w:r>
              <w:rPr>
                <w:color w:val="000000" w:themeColor="text1"/>
              </w:rPr>
            </w:r>
          </w:p>
        </w:tc>
        <w:tc>
          <w:tcPr>
            <w:tcBorders/>
            <w:tcW w:w="1728" w:type="dxa"/>
            <w:textDirection w:val="lrTb"/>
            <w:noWrap w:val="false"/>
          </w:tcPr>
          <w:p w14:paraId="60CEA66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Clinical question style</w:t>
            </w:r>
            <w:r>
              <w:rPr>
                <w:color w:val="000000" w:themeColor="text1"/>
              </w:rPr>
            </w:r>
            <w:r>
              <w:rPr>
                <w:color w:val="000000" w:themeColor="text1"/>
              </w:rPr>
            </w:r>
          </w:p>
        </w:tc>
        <w:tc>
          <w:tcPr>
            <w:tcBorders/>
            <w:tcW w:w="1728" w:type="dxa"/>
            <w:textDirection w:val="lrTb"/>
            <w:noWrap w:val="false"/>
          </w:tcPr>
          <w:p w14:paraId="7F877DA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Required output</w:t>
            </w:r>
            <w:r>
              <w:rPr>
                <w:color w:val="000000" w:themeColor="text1"/>
              </w:rPr>
            </w:r>
            <w:r>
              <w:rPr>
                <w:color w:val="000000" w:themeColor="text1"/>
              </w:rPr>
            </w:r>
          </w:p>
        </w:tc>
        <w:tc>
          <w:tcPr>
            <w:tcBorders/>
            <w:tcW w:w="1728" w:type="dxa"/>
            <w:textDirection w:val="lrTb"/>
            <w:noWrap w:val="false"/>
          </w:tcPr>
          <w:p w14:paraId="384D962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risk</w:t>
            </w:r>
            <w:r>
              <w:rPr>
                <w:color w:val="000000" w:themeColor="text1"/>
              </w:rPr>
            </w:r>
            <w:r>
              <w:rPr>
                <w:color w:val="000000" w:themeColor="text1"/>
              </w:rPr>
            </w:r>
          </w:p>
        </w:tc>
        <w:tc>
          <w:tcPr>
            <w:tcBorders/>
            <w:tcW w:w="1728" w:type="dxa"/>
            <w:textDirection w:val="lrTb"/>
            <w:noWrap w:val="false"/>
          </w:tcPr>
          <w:p w14:paraId="6F0CA74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1728" w:type="dxa"/>
            <w:textDirection w:val="lrTb"/>
            <w:noWrap w:val="false"/>
          </w:tcPr>
          <w:p w14:paraId="336DC9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1728" w:type="dxa"/>
            <w:textDirection w:val="lrTb"/>
            <w:noWrap w:val="false"/>
          </w:tcPr>
          <w:p w14:paraId="0B4251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severity?"</w:t>
            </w:r>
            <w:r>
              <w:rPr>
                <w:color w:val="000000" w:themeColor="text1"/>
              </w:rPr>
            </w:r>
            <w:r>
              <w:rPr>
                <w:color w:val="000000" w:themeColor="text1"/>
              </w:rPr>
            </w:r>
          </w:p>
        </w:tc>
        <w:tc>
          <w:tcPr>
            <w:tcBorders/>
            <w:tcW w:w="1728" w:type="dxa"/>
            <w:textDirection w:val="lrTb"/>
            <w:noWrap w:val="false"/>
          </w:tcPr>
          <w:p w14:paraId="452DF83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class + short rationale</w:t>
            </w:r>
            <w:r>
              <w:rPr>
                <w:color w:val="000000" w:themeColor="text1"/>
              </w:rPr>
            </w:r>
            <w:r>
              <w:rPr>
                <w:color w:val="000000" w:themeColor="text1"/>
              </w:rPr>
            </w:r>
          </w:p>
        </w:tc>
        <w:tc>
          <w:tcPr>
            <w:tcBorders/>
            <w:tcW w:w="1728" w:type="dxa"/>
            <w:textDirection w:val="lrTb"/>
            <w:noWrap w:val="false"/>
          </w:tcPr>
          <w:p w14:paraId="32FA21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Under-calling severe disease</w:t>
            </w:r>
            <w:r>
              <w:rPr>
                <w:color w:val="000000" w:themeColor="text1"/>
              </w:rPr>
            </w:r>
            <w:r>
              <w:rPr>
                <w:color w:val="000000" w:themeColor="text1"/>
              </w:rPr>
            </w:r>
          </w:p>
        </w:tc>
        <w:tc>
          <w:tcPr>
            <w:tcBorders/>
            <w:tcW w:w="1728" w:type="dxa"/>
            <w:textDirection w:val="lrTb"/>
            <w:noWrap w:val="false"/>
          </w:tcPr>
          <w:p w14:paraId="2EEC980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escalation decisions</w:t>
            </w:r>
            <w:r>
              <w:rPr>
                <w:color w:val="000000" w:themeColor="text1"/>
              </w:rPr>
            </w:r>
            <w:r>
              <w:rPr>
                <w:color w:val="000000" w:themeColor="text1"/>
              </w:rPr>
            </w:r>
          </w:p>
        </w:tc>
      </w:tr>
      <w:tr>
        <w:trPr/>
        <w:tc>
          <w:tcPr>
            <w:tcBorders/>
            <w:tcW w:w="1728" w:type="dxa"/>
            <w:textDirection w:val="lrTb"/>
            <w:noWrap w:val="false"/>
          </w:tcPr>
          <w:p w14:paraId="77BA304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1728" w:type="dxa"/>
            <w:textDirection w:val="lrTb"/>
            <w:noWrap w:val="false"/>
          </w:tcPr>
          <w:p w14:paraId="47E928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active bleeding visible?"</w:t>
            </w:r>
            <w:r>
              <w:rPr>
                <w:color w:val="000000" w:themeColor="text1"/>
              </w:rPr>
            </w:r>
            <w:r>
              <w:rPr>
                <w:color w:val="000000" w:themeColor="text1"/>
              </w:rPr>
            </w:r>
          </w:p>
        </w:tc>
        <w:tc>
          <w:tcPr>
            <w:tcBorders/>
            <w:tcW w:w="1728" w:type="dxa"/>
            <w:textDirection w:val="lrTb"/>
            <w:noWrap w:val="false"/>
          </w:tcPr>
          <w:p w14:paraId="6A7DD8C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Binary answer + confidence</w:t>
            </w:r>
            <w:r>
              <w:rPr>
                <w:color w:val="000000" w:themeColor="text1"/>
              </w:rPr>
            </w:r>
            <w:r>
              <w:rPr>
                <w:color w:val="000000" w:themeColor="text1"/>
              </w:rPr>
            </w:r>
          </w:p>
        </w:tc>
        <w:tc>
          <w:tcPr>
            <w:tcBorders/>
            <w:tcW w:w="1728" w:type="dxa"/>
            <w:textDirection w:val="lrTb"/>
            <w:noWrap w:val="false"/>
          </w:tcPr>
          <w:p w14:paraId="386638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 negatives in high-risk frames</w:t>
            </w:r>
            <w:r>
              <w:rPr>
                <w:color w:val="000000" w:themeColor="text1"/>
              </w:rPr>
            </w:r>
            <w:r>
              <w:rPr>
                <w:color w:val="000000" w:themeColor="text1"/>
              </w:rPr>
            </w:r>
          </w:p>
        </w:tc>
        <w:tc>
          <w:tcPr>
            <w:tcBorders/>
            <w:tcW w:w="1728" w:type="dxa"/>
            <w:textDirection w:val="lrTb"/>
            <w:noWrap w:val="false"/>
          </w:tcPr>
          <w:p w14:paraId="333531C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Urgent management context</w:t>
            </w:r>
            <w:r>
              <w:rPr>
                <w:color w:val="000000" w:themeColor="text1"/>
              </w:rPr>
            </w:r>
            <w:r>
              <w:rPr>
                <w:color w:val="000000" w:themeColor="text1"/>
              </w:rPr>
            </w:r>
          </w:p>
        </w:tc>
      </w:tr>
      <w:tr>
        <w:trPr/>
        <w:tc>
          <w:tcPr>
            <w:tcBorders/>
            <w:tcW w:w="1728" w:type="dxa"/>
            <w:textDirection w:val="lrTb"/>
            <w:noWrap w:val="false"/>
          </w:tcPr>
          <w:p w14:paraId="7A7019A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1728" w:type="dxa"/>
            <w:textDirection w:val="lrTb"/>
            <w:noWrap w:val="false"/>
          </w:tcPr>
          <w:p w14:paraId="7C3F65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and where?"</w:t>
            </w:r>
            <w:r>
              <w:rPr>
                <w:color w:val="000000" w:themeColor="text1"/>
              </w:rPr>
            </w:r>
            <w:r>
              <w:rPr>
                <w:color w:val="000000" w:themeColor="text1"/>
              </w:rPr>
            </w:r>
          </w:p>
        </w:tc>
        <w:tc>
          <w:tcPr>
            <w:tcBorders/>
            <w:tcW w:w="1728" w:type="dxa"/>
            <w:textDirection w:val="lrTb"/>
            <w:noWrap w:val="false"/>
          </w:tcPr>
          <w:p w14:paraId="0F572D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 location-aware response</w:t>
            </w:r>
            <w:r>
              <w:rPr>
                <w:color w:val="000000" w:themeColor="text1"/>
              </w:rPr>
            </w:r>
            <w:r>
              <w:rPr>
                <w:color w:val="000000" w:themeColor="text1"/>
              </w:rPr>
            </w:r>
          </w:p>
        </w:tc>
        <w:tc>
          <w:tcPr>
            <w:tcBorders/>
            <w:tcW w:w="1728" w:type="dxa"/>
            <w:textDirection w:val="lrTb"/>
            <w:noWrap w:val="false"/>
          </w:tcPr>
          <w:p w14:paraId="7AB0D87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Missed findings or localization error</w:t>
            </w:r>
            <w:r>
              <w:rPr>
                <w:color w:val="000000" w:themeColor="text1"/>
              </w:rPr>
            </w:r>
            <w:r>
              <w:rPr>
                <w:color w:val="000000" w:themeColor="text1"/>
              </w:rPr>
            </w:r>
          </w:p>
        </w:tc>
        <w:tc>
          <w:tcPr>
            <w:tcBorders/>
            <w:tcW w:w="1728" w:type="dxa"/>
            <w:textDirection w:val="lrTb"/>
            <w:noWrap w:val="false"/>
          </w:tcPr>
          <w:p w14:paraId="1D749B5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completeness and reporting</w:t>
            </w:r>
            <w:r>
              <w:rPr>
                <w:color w:val="000000" w:themeColor="text1"/>
              </w:rPr>
            </w:r>
            <w:r>
              <w:rPr>
                <w:color w:val="000000" w:themeColor="text1"/>
              </w:rPr>
            </w:r>
          </w:p>
        </w:tc>
      </w:tr>
      <w:tr>
        <w:trPr/>
        <w:tc>
          <w:tcPr>
            <w:tcBorders/>
            <w:tcW w:w="1728" w:type="dxa"/>
            <w:textDirection w:val="lrTb"/>
            <w:noWrap w:val="false"/>
          </w:tcPr>
          <w:p w14:paraId="4414D6D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1728" w:type="dxa"/>
            <w:textDirection w:val="lrTb"/>
            <w:noWrap w:val="false"/>
          </w:tcPr>
          <w:p w14:paraId="7948DBD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"Summarize visible findings."</w:t>
            </w:r>
            <w:r>
              <w:rPr>
                <w:color w:val="000000" w:themeColor="text1"/>
              </w:rPr>
            </w:r>
            <w:r>
              <w:rPr>
                <w:color w:val="000000" w:themeColor="text1"/>
              </w:rPr>
            </w:r>
          </w:p>
        </w:tc>
        <w:tc>
          <w:tcPr>
            <w:tcBorders/>
            <w:tcW w:w="1728" w:type="dxa"/>
            <w:textDirection w:val="lrTb"/>
            <w:noWrap w:val="false"/>
          </w:tcPr>
          <w:p w14:paraId="248BB2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Multi-finding summary</w:t>
            </w:r>
            <w:r>
              <w:rPr>
                <w:color w:val="000000" w:themeColor="text1"/>
              </w:rPr>
            </w:r>
            <w:r>
              <w:rPr>
                <w:color w:val="000000" w:themeColor="text1"/>
              </w:rPr>
            </w:r>
          </w:p>
        </w:tc>
        <w:tc>
          <w:tcPr>
            <w:tcBorders/>
            <w:tcW w:w="1728" w:type="dxa"/>
            <w:textDirection w:val="lrTb"/>
            <w:noWrap w:val="false"/>
          </w:tcPr>
          <w:p w14:paraId="670E945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Hallucinated findings</w:t>
            </w:r>
            <w:r>
              <w:rPr>
                <w:color w:val="000000" w:themeColor="text1"/>
              </w:rPr>
            </w:r>
            <w:r>
              <w:rPr>
                <w:color w:val="000000" w:themeColor="text1"/>
              </w:rPr>
            </w:r>
          </w:p>
        </w:tc>
        <w:tc>
          <w:tcPr>
            <w:tcBorders/>
            <w:tcW w:w="1728" w:type="dxa"/>
            <w:textDirection w:val="lrTb"/>
            <w:noWrap w:val="false"/>
          </w:tcPr>
          <w:p w14:paraId="5B6F77D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Interpretability and communication quality</w:t>
            </w:r>
            <w:r>
              <w:rPr>
                <w:color w:val="000000" w:themeColor="text1"/>
              </w:rPr>
            </w:r>
            <w:r>
              <w:rPr>
                <w:color w:val="000000" w:themeColor="text1"/>
              </w:rPr>
            </w:r>
          </w:p>
        </w:tc>
      </w:tr>
      <w:tr>
        <w:trPr/>
        <w:tc>
          <w:tcPr>
            <w:tcBorders/>
            <w:tcW w:w="1728" w:type="dxa"/>
            <w:textDirection w:val="lrTb"/>
            <w:noWrap w:val="false"/>
          </w:tcPr>
          <w:p w14:paraId="5C55F51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1728" w:type="dxa"/>
            <w:textDirection w:val="lrTb"/>
            <w:noWrap w:val="false"/>
          </w:tcPr>
          <w:p w14:paraId="4F0031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"Given severe findings, what evidence-backed options are relevant?"</w:t>
            </w:r>
            <w:r>
              <w:rPr>
                <w:color w:val="000000" w:themeColor="text1"/>
              </w:rPr>
            </w:r>
            <w:r>
              <w:rPr>
                <w:color w:val="000000" w:themeColor="text1"/>
              </w:rPr>
            </w:r>
          </w:p>
        </w:tc>
        <w:tc>
          <w:tcPr>
            <w:tcBorders/>
            <w:tcW w:w="1728" w:type="dxa"/>
            <w:textDirection w:val="lrTb"/>
            <w:noWrap w:val="false"/>
          </w:tcPr>
          <w:p w14:paraId="137950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 evidence pointer</w:t>
            </w:r>
            <w:r>
              <w:rPr>
                <w:color w:val="000000" w:themeColor="text1"/>
              </w:rPr>
            </w:r>
            <w:r>
              <w:rPr>
                <w:color w:val="000000" w:themeColor="text1"/>
              </w:rPr>
            </w:r>
          </w:p>
        </w:tc>
        <w:tc>
          <w:tcPr>
            <w:tcBorders/>
            <w:tcW w:w="1728" w:type="dxa"/>
            <w:textDirection w:val="lrTb"/>
            <w:noWrap w:val="false"/>
          </w:tcPr>
          <w:p w14:paraId="0C2AB49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Weakly grounded management guidance</w:t>
            </w:r>
            <w:r>
              <w:rPr>
                <w:color w:val="000000" w:themeColor="text1"/>
              </w:rPr>
            </w:r>
            <w:r>
              <w:rPr>
                <w:color w:val="000000" w:themeColor="text1"/>
              </w:rPr>
            </w:r>
          </w:p>
        </w:tc>
        <w:tc>
          <w:tcPr>
            <w:tcBorders/>
            <w:tcW w:w="1728" w:type="dxa"/>
            <w:textDirection w:val="lrTb"/>
            <w:noWrap w:val="false"/>
          </w:tcPr>
          <w:p w14:paraId="6A0FD48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Decision-support extension</w:t>
            </w:r>
            <w:r>
              <w:rPr>
                <w:color w:val="000000" w:themeColor="text1"/>
              </w:rPr>
            </w:r>
            <w:r>
              <w:rPr>
                <w:color w:val="000000" w:themeColor="text1"/>
              </w:rPr>
            </w:r>
          </w:p>
        </w:tc>
      </w:tr>
    </w:tbl>
    <w:p w14:paraId="1F815513">
      <w:pPr>
        <w:pStyle w:val="1056"/>
        <w:suppressLineNumbers w:val="false"/>
        <w:pBdr/>
        <w:spacing w:line="300" w:lineRule="auto"/>
        <w:ind w:firstLine="0" w:left="3600"/>
        <w:rPr>
          <w:color w:val="000000" w:themeColor="text1"/>
        </w:rPr>
      </w:pPr>
      <w:r>
        <w:rPr>
          <w:color w:val="000000" w:themeColor="text1"/>
        </w:rPr>
      </w:r>
      <w:r>
        <w:rPr>
          <w:lang w:val="en-US"/>
        </w:rPr>
        <w:t xml:space="preserve">Table 1.5</w:t>
      </w:r>
      <w:r>
        <w:rPr>
          <w:color w:val="000000" w:themeColor="text1"/>
        </w:rPr>
      </w:r>
      <w:r>
        <w:rPr>
          <w:color w:val="000000" w:themeColor="text1"/>
        </w:rPr>
      </w:r>
    </w:p>
    <w:p w14:paraId="76878E77">
      <w:pPr>
        <w:pStyle w:val="1056"/>
        <w:suppressLineNumbers w:val="false"/>
        <w:pBdr/>
        <w:spacing w:line="300" w:lineRule="auto"/>
        <w:ind w:firstLine="0"/>
        <w:rPr>
          <w:highlight w:val="none"/>
        </w:rPr>
      </w:pPr>
      <w:r>
        <w:rPr>
          <w:highlight w:val="none"/>
        </w:rPr>
      </w:r>
      <w:r>
        <w:rPr>
          <w:highlight w:val="none"/>
        </w:rPr>
        <w:t xml:space="preserve">E</w:t>
      </w:r>
      <w:r>
        <w:rPr>
          <w:highlight w:val="none"/>
        </w:rPr>
        <w:t xml:space="preserve">ach scenario is designed to expose a distinct failure mode. S1 and S2 prioritize risk-sensitive reliability. S3 emphasizes spatial grounding and structured output fidelity. S4 evaluates controlled generation quality. S5 evaluates the boundary between visua</w:t>
      </w:r>
      <w:r>
        <w:rPr>
          <w:highlight w:val="none"/>
        </w:rPr>
        <w:t xml:space="preserve">l interpretation and evidence-oriented reasoning.</w:t>
      </w:r>
      <w:r>
        <w:rPr>
          <w:highlight w:val="none"/>
        </w:rPr>
      </w:r>
      <w:r>
        <w:rPr>
          <w:highlight w:val="none"/>
        </w:rPr>
      </w:r>
    </w:p>
    <w:p w14:paraId="1B1EA689">
      <w:pPr>
        <w:pStyle w:val="1056"/>
        <w:suppressLineNumbers w:val="false"/>
        <w:pBdr/>
        <w:spacing w:line="300" w:lineRule="auto"/>
        <w:ind w:firstLine="0"/>
        <w:rPr>
          <w:b/>
          <w:bCs/>
        </w:rPr>
      </w:pPr>
      <w:r>
        <w:rPr>
          <w:b/>
          <w:bCs/>
          <w:highlight w:val="none"/>
        </w:rPr>
        <w:t xml:space="preserve">1.8.2 Scenario Acceptance Logic</w:t>
      </w:r>
      <w:r>
        <w:rPr>
          <w:b/>
          <w:bCs/>
        </w:rPr>
      </w:r>
      <w:r>
        <w:rPr>
          <w:b/>
          <w:bCs/>
        </w:rPr>
      </w:r>
    </w:p>
    <w:p w14:paraId="783E5662">
      <w:pPr>
        <w:pStyle w:val="1056"/>
        <w:suppressLineNumbers w:val="false"/>
        <w:pBdr/>
        <w:spacing w:line="300" w:lineRule="auto"/>
        <w:ind w:firstLine="0"/>
        <w:rPr/>
      </w:pPr>
      <w:r>
        <w:rPr>
          <w:highlight w:val="none"/>
        </w:rPr>
        <w:t xml:space="preserve">Question received</w:t>
      </w:r>
      <w:r/>
    </w:p>
    <w:p w14:paraId="344966AE">
      <w:pPr>
        <w:pStyle w:val="1056"/>
        <w:suppressLineNumbers w:val="false"/>
        <w:pBdr/>
        <w:spacing w:line="120" w:lineRule="auto"/>
        <w:ind w:firstLine="0"/>
        <w:rPr>
          <w:b w:val="0"/>
          <w:bCs w:val="0"/>
          <w:i/>
        </w:rPr>
      </w:pPr>
      <w:r>
        <w:rPr>
          <w:b w:val="0"/>
          <w:bCs w:val="0"/>
          <w:i/>
          <w:iCs/>
          <w:highlight w:val="none"/>
          <w:lang w:val="en-US"/>
        </w:rPr>
        <w:t xml:space="preserve">1.</w:t>
      </w:r>
      <w:r>
        <w:rPr>
          <w:b w:val="0"/>
          <w:bCs w:val="0"/>
          <w:i/>
          <w:iCs/>
          <w:highlight w:val="none"/>
        </w:rPr>
        <w:t xml:space="preserve"> visual-grounded answer candidate</w:t>
      </w:r>
      <w:r>
        <w:rPr>
          <w:b w:val="0"/>
          <w:bCs w:val="0"/>
          <w:i/>
        </w:rPr>
      </w:r>
      <w:r>
        <w:rPr>
          <w:b w:val="0"/>
          <w:bCs w:val="0"/>
          <w:i/>
        </w:rPr>
      </w:r>
    </w:p>
    <w:p w14:paraId="179FB7B7">
      <w:pPr>
        <w:pStyle w:val="1056"/>
        <w:suppressLineNumbers w:val="false"/>
        <w:pBdr/>
        <w:spacing w:line="120" w:lineRule="auto"/>
        <w:ind w:firstLine="0"/>
        <w:rPr>
          <w:b w:val="0"/>
          <w:bCs w:val="0"/>
          <w:i/>
        </w:rPr>
      </w:pPr>
      <w:r>
        <w:rPr>
          <w:b w:val="0"/>
          <w:bCs w:val="0"/>
          <w:i/>
          <w:iCs/>
          <w:highlight w:val="none"/>
          <w:lang w:val="en-US"/>
        </w:rPr>
        <w:t xml:space="preserve">2.</w:t>
      </w:r>
      <w:r>
        <w:rPr>
          <w:b w:val="0"/>
          <w:bCs w:val="0"/>
          <w:i/>
          <w:iCs/>
          <w:highlight w:val="none"/>
        </w:rPr>
        <w:t xml:space="preserve"> confidence and consistency checks</w:t>
      </w:r>
      <w:r>
        <w:rPr>
          <w:b w:val="0"/>
          <w:bCs w:val="0"/>
          <w:i/>
        </w:rPr>
      </w:r>
      <w:r>
        <w:rPr>
          <w:b w:val="0"/>
          <w:bCs w:val="0"/>
          <w:i/>
        </w:rPr>
      </w:r>
    </w:p>
    <w:p w14:paraId="00EE0546">
      <w:pPr>
        <w:pStyle w:val="1056"/>
        <w:suppressLineNumbers w:val="false"/>
        <w:pBdr/>
        <w:spacing w:line="120" w:lineRule="auto"/>
        <w:ind w:firstLine="0"/>
        <w:rPr>
          <w:b w:val="0"/>
          <w:bCs w:val="0"/>
          <w:i/>
        </w:rPr>
      </w:pPr>
      <w:r>
        <w:rPr>
          <w:b w:val="0"/>
          <w:bCs w:val="0"/>
          <w:i/>
          <w:iCs/>
          <w:highlight w:val="none"/>
          <w:lang w:val="en-US"/>
        </w:rPr>
        <w:t xml:space="preserve">3.</w:t>
      </w:r>
      <w:r>
        <w:rPr>
          <w:b w:val="0"/>
          <w:bCs w:val="0"/>
          <w:i/>
          <w:iCs/>
          <w:highlight w:val="none"/>
        </w:rPr>
        <w:t xml:space="preserve"> if high-risk and low confidence: abstain/escalate</w:t>
      </w:r>
      <w:r>
        <w:rPr>
          <w:b w:val="0"/>
          <w:bCs w:val="0"/>
          <w:i/>
        </w:rPr>
      </w:r>
      <w:r>
        <w:rPr>
          <w:b w:val="0"/>
          <w:bCs w:val="0"/>
          <w:i/>
        </w:rPr>
      </w:r>
    </w:p>
    <w:p w14:paraId="216AC76C">
      <w:pPr>
        <w:pStyle w:val="1056"/>
        <w:suppressLineNumbers w:val="false"/>
        <w:pBdr/>
        <w:spacing w:line="120" w:lineRule="auto"/>
        <w:ind w:firstLine="0"/>
        <w:rPr>
          <w:b w:val="0"/>
          <w:bCs w:val="0"/>
          <w:i/>
        </w:rPr>
      </w:pPr>
      <w:r>
        <w:rPr>
          <w:b w:val="0"/>
          <w:bCs w:val="0"/>
          <w:i/>
          <w:iCs/>
          <w:highlight w:val="none"/>
          <w:lang w:val="en-US"/>
        </w:rPr>
        <w:t xml:space="preserve">4.</w:t>
      </w:r>
      <w:r>
        <w:rPr>
          <w:b w:val="0"/>
          <w:bCs w:val="0"/>
          <w:i/>
          <w:iCs/>
          <w:highlight w:val="none"/>
        </w:rPr>
        <w:t xml:space="preserve"> if management-style query: activate retrieval evidence layer</w:t>
      </w:r>
      <w:r>
        <w:rPr>
          <w:b w:val="0"/>
          <w:bCs w:val="0"/>
          <w:i/>
        </w:rPr>
      </w:r>
      <w:r>
        <w:rPr>
          <w:b w:val="0"/>
          <w:bCs w:val="0"/>
          <w:i/>
        </w:rPr>
      </w:r>
    </w:p>
    <w:p w14:paraId="0D8C2174">
      <w:pPr>
        <w:pStyle w:val="1056"/>
        <w:suppressLineNumbers w:val="false"/>
        <w:pBdr/>
        <w:spacing w:line="120" w:lineRule="auto"/>
        <w:ind w:firstLine="0"/>
        <w:rPr>
          <w:b w:val="0"/>
          <w:bCs w:val="0"/>
          <w:i/>
          <w:highlight w:val="none"/>
        </w:rPr>
      </w:pPr>
      <w:r>
        <w:rPr>
          <w:b w:val="0"/>
          <w:bCs w:val="0"/>
          <w:i/>
          <w:iCs/>
          <w:highlight w:val="none"/>
          <w:lang w:val="en-US"/>
        </w:rPr>
        <w:t xml:space="preserve">5.</w:t>
      </w:r>
      <w:r>
        <w:rPr>
          <w:b w:val="0"/>
          <w:bCs w:val="0"/>
          <w:i/>
          <w:iCs/>
          <w:highlight w:val="none"/>
        </w:rPr>
        <w:t xml:space="preserve"> return clinician-facing response</w:t>
      </w:r>
      <w:r>
        <w:rPr>
          <w:b w:val="0"/>
          <w:bCs w:val="0"/>
          <w:i/>
          <w:highlight w:val="none"/>
        </w:rPr>
      </w:r>
      <w:r>
        <w:rPr>
          <w:b w:val="0"/>
          <w:bCs w:val="0"/>
          <w:i/>
          <w:highlight w:val="none"/>
        </w:rPr>
      </w:r>
    </w:p>
    <w:p w14:paraId="2F6FEA06">
      <w:pPr>
        <w:pStyle w:val="1056"/>
        <w:suppressLineNumbers w:val="false"/>
        <w:pBdr/>
        <w:spacing w:line="300" w:lineRule="auto"/>
        <w:ind w:firstLine="0"/>
        <w:rPr>
          <w:b/>
          <w:bCs/>
          <w:highlight w:val="none"/>
        </w:rPr>
      </w:pPr>
      <w:r>
        <w:rPr>
          <w:b/>
          <w:bCs/>
        </w:rPr>
        <w:t xml:space="preserve">1.8.3 Scenario-to-Metric Mapping</w:t>
      </w:r>
      <w:r>
        <w:rPr>
          <w:b/>
          <w:bCs/>
          <w:highlight w:val="none"/>
        </w:rPr>
      </w:r>
      <w:r>
        <w:rPr>
          <w:b/>
          <w:bCs/>
          <w:highlight w:val="none"/>
        </w:rPr>
      </w:r>
    </w:p>
    <w:tbl>
      <w:tblPr>
        <w:tblStyle w:val="1113"/>
        <w:tblW w:w="0" w:type="auto"/>
        <w:tblBorders/>
        <w:tblLayout w:type="fixed"/>
        <w:tblLook w:val="04A0" w:firstRow="1" w:lastRow="0" w:firstColumn="1" w:lastColumn="0" w:noHBand="0" w:noVBand="1"/>
      </w:tblPr>
      <w:tblGrid>
        <w:gridCol w:w="2169"/>
        <w:gridCol w:w="7370"/>
      </w:tblGrid>
      <w:tr>
        <w:trPr/>
        <w:tc>
          <w:tcPr>
            <w:tcBorders/>
            <w:tcW w:w="2169" w:type="dxa"/>
            <w:textDirection w:val="lrTb"/>
            <w:noWrap w:val="false"/>
          </w:tcPr>
          <w:p w14:paraId="05AB521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w:t>
            </w:r>
            <w:r>
              <w:rPr>
                <w:color w:val="000000" w:themeColor="text1"/>
              </w:rPr>
            </w:r>
            <w:r>
              <w:rPr>
                <w:color w:val="000000" w:themeColor="text1"/>
              </w:rPr>
            </w:r>
          </w:p>
        </w:tc>
        <w:tc>
          <w:tcPr>
            <w:tcBorders/>
            <w:tcW w:w="7370" w:type="dxa"/>
            <w:textDirection w:val="lrTb"/>
            <w:noWrap w:val="false"/>
          </w:tcPr>
          <w:p w14:paraId="4B83C33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Priority metrics</w:t>
            </w:r>
            <w:r>
              <w:rPr>
                <w:color w:val="000000" w:themeColor="text1"/>
              </w:rPr>
            </w:r>
            <w:r>
              <w:rPr>
                <w:color w:val="000000" w:themeColor="text1"/>
              </w:rPr>
            </w:r>
          </w:p>
        </w:tc>
      </w:tr>
      <w:tr>
        <w:trPr/>
        <w:tc>
          <w:tcPr>
            <w:tcBorders/>
            <w:tcW w:w="2169" w:type="dxa"/>
            <w:textDirection w:val="lrTb"/>
            <w:noWrap w:val="false"/>
          </w:tcPr>
          <w:p w14:paraId="765FA3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7370" w:type="dxa"/>
            <w:textDirection w:val="lrTb"/>
            <w:noWrap w:val="false"/>
          </w:tcPr>
          <w:p w14:paraId="3CD48E9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QWK, severe-class recall</w:t>
            </w:r>
            <w:r>
              <w:rPr>
                <w:color w:val="000000" w:themeColor="text1"/>
              </w:rPr>
            </w:r>
            <w:r>
              <w:rPr>
                <w:color w:val="000000" w:themeColor="text1"/>
              </w:rPr>
            </w:r>
          </w:p>
        </w:tc>
      </w:tr>
      <w:tr>
        <w:trPr/>
        <w:tc>
          <w:tcPr>
            <w:tcBorders/>
            <w:tcW w:w="2169" w:type="dxa"/>
            <w:textDirection w:val="lrTb"/>
            <w:noWrap w:val="false"/>
          </w:tcPr>
          <w:p w14:paraId="6A514CA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7370" w:type="dxa"/>
            <w:textDirection w:val="lrTb"/>
            <w:noWrap w:val="false"/>
          </w:tcPr>
          <w:p w14:paraId="3398EF2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Sensitivity/recall, NPV, abstention behavior</w:t>
            </w:r>
            <w:r>
              <w:rPr>
                <w:color w:val="000000" w:themeColor="text1"/>
              </w:rPr>
            </w:r>
            <w:r>
              <w:rPr>
                <w:color w:val="000000" w:themeColor="text1"/>
              </w:rPr>
            </w:r>
          </w:p>
        </w:tc>
      </w:tr>
      <w:tr>
        <w:trPr>
          <w:trHeight w:val="384"/>
        </w:trPr>
        <w:tc>
          <w:tcPr>
            <w:tcBorders/>
            <w:tcW w:w="2169" w:type="dxa"/>
            <w:textDirection w:val="lrTb"/>
            <w:noWrap w:val="false"/>
          </w:tcPr>
          <w:p w14:paraId="5DEE243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7370" w:type="dxa"/>
            <w:textDirection w:val="lrTb"/>
            <w:noWrap w:val="false"/>
          </w:tcPr>
          <w:p w14:paraId="46CA794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error (MAE/RMSE), location correctness slices</w:t>
            </w:r>
            <w:r>
              <w:rPr>
                <w:color w:val="000000" w:themeColor="text1"/>
              </w:rPr>
            </w:r>
            <w:r>
              <w:rPr>
                <w:color w:val="000000" w:themeColor="text1"/>
              </w:rPr>
            </w:r>
          </w:p>
        </w:tc>
      </w:tr>
      <w:tr>
        <w:trPr/>
        <w:tc>
          <w:tcPr>
            <w:tcBorders/>
            <w:tcW w:w="2169" w:type="dxa"/>
            <w:textDirection w:val="lrTb"/>
            <w:noWrap w:val="false"/>
          </w:tcPr>
          <w:p w14:paraId="78E42F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7370" w:type="dxa"/>
            <w:textDirection w:val="lrTb"/>
            <w:noWrap w:val="false"/>
          </w:tcPr>
          <w:p w14:paraId="53BCA65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Token-F1/ANLS + hallucination audit</w:t>
            </w:r>
            <w:r>
              <w:rPr>
                <w:color w:val="000000" w:themeColor="text1"/>
              </w:rPr>
            </w:r>
            <w:r>
              <w:rPr>
                <w:color w:val="000000" w:themeColor="text1"/>
              </w:rPr>
            </w:r>
          </w:p>
        </w:tc>
      </w:tr>
      <w:tr>
        <w:trPr/>
        <w:tc>
          <w:tcPr>
            <w:tcBorders/>
            <w:tcW w:w="2169" w:type="dxa"/>
            <w:textDirection w:val="lrTb"/>
            <w:noWrap w:val="false"/>
          </w:tcPr>
          <w:p w14:paraId="1E0251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7370" w:type="dxa"/>
            <w:textDirection w:val="lrTb"/>
            <w:noWrap w:val="false"/>
          </w:tcPr>
          <w:p w14:paraId="0C2316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correctness + evidence relevance/consistency checks</w:t>
            </w:r>
            <w:r>
              <w:rPr>
                <w:color w:val="000000" w:themeColor="text1"/>
              </w:rPr>
            </w:r>
            <w:r>
              <w:rPr>
                <w:color w:val="000000" w:themeColor="text1"/>
              </w:rPr>
            </w:r>
          </w:p>
        </w:tc>
      </w:tr>
    </w:tbl>
    <w:p w14:paraId="1F815513">
      <w:pPr>
        <w:pStyle w:val="1056"/>
        <w:suppressLineNumbers w:val="false"/>
        <w:pBdr/>
        <w:spacing w:line="300" w:lineRule="auto"/>
        <w:ind w:firstLine="0" w:left="3600"/>
        <w:rPr>
          <w:color w:val="000000" w:themeColor="text1"/>
        </w:rPr>
      </w:pPr>
      <w:r>
        <w:rPr>
          <w:color w:val="000000" w:themeColor="text1"/>
        </w:rPr>
      </w:r>
      <w:r>
        <w:rPr>
          <w:lang w:val="en-US"/>
        </w:rPr>
        <w:t xml:space="preserve">Table 1.6</w:t>
      </w:r>
      <w:r>
        <w:rPr>
          <w:color w:val="000000" w:themeColor="text1"/>
        </w:rPr>
      </w:r>
      <w:r>
        <w:rPr>
          <w:color w:val="000000" w:themeColor="text1"/>
        </w:rPr>
      </w:r>
    </w:p>
    <w:p w14:paraId="4430CC2A">
      <w:pPr>
        <w:pStyle w:val="1056"/>
        <w:suppressLineNumbers w:val="false"/>
        <w:pBdr/>
        <w:spacing w:line="300" w:lineRule="auto"/>
        <w:ind w:firstLine="0"/>
        <w:rPr/>
      </w:pPr>
      <w:r>
        <w:rPr>
          <w:highlight w:val="none"/>
        </w:rPr>
        <w:t xml:space="preserve">In later chapters, this mapping supports a tiered acceptance model:</w:t>
      </w:r>
      <w:r>
        <w:rPr>
          <w:highlight w:val="none"/>
        </w:rPr>
      </w:r>
      <w:r/>
    </w:p>
    <w:p w14:paraId="50A69CD2">
      <w:pPr>
        <w:pStyle w:val="1056"/>
        <w:numPr>
          <w:ilvl w:val="0"/>
          <w:numId w:val="21"/>
        </w:numPr>
        <w:suppressLineNumbers w:val="false"/>
        <w:pBdr/>
        <w:spacing w:after="240" w:before="120" w:line="120" w:lineRule="auto"/>
        <w:ind/>
        <w:rPr/>
      </w:pPr>
      <w:r>
        <w:rPr>
          <w:highlight w:val="none"/>
        </w:rPr>
        <w:t xml:space="preserve">Technical pass: baseline quantitative criteria are met.</w:t>
      </w:r>
      <w:r/>
    </w:p>
    <w:p w14:paraId="1C9DDC63">
      <w:pPr>
        <w:pStyle w:val="1056"/>
        <w:numPr>
          <w:ilvl w:val="0"/>
          <w:numId w:val="21"/>
        </w:numPr>
        <w:suppressLineNumbers w:val="false"/>
        <w:pBdr/>
        <w:spacing w:after="240" w:before="120" w:line="120" w:lineRule="auto"/>
        <w:ind/>
        <w:rPr/>
      </w:pPr>
      <w:r>
        <w:rPr>
          <w:highlight w:val="none"/>
        </w:rPr>
        <w:t xml:space="preserve">Scenario pass: performance is acceptable for the scenario-specific risk profile.</w:t>
      </w:r>
      <w:r/>
    </w:p>
    <w:p w14:paraId="073F77F5">
      <w:pPr>
        <w:pStyle w:val="1056"/>
        <w:numPr>
          <w:ilvl w:val="0"/>
          <w:numId w:val="21"/>
        </w:numPr>
        <w:suppressLineNumbers w:val="false"/>
        <w:pBdr/>
        <w:spacing w:after="240" w:before="120" w:line="120" w:lineRule="auto"/>
        <w:ind/>
        <w:rPr/>
      </w:pPr>
      <w:r>
        <w:rPr>
          <w:highlight w:val="none"/>
        </w:rPr>
        <w:t xml:space="preserve">Workflow pass: output format supports clinician interpretation and action.</w:t>
      </w:r>
      <w:r>
        <w:rPr>
          <w:highlight w:val="none"/>
        </w:rPr>
      </w:r>
      <w:r/>
    </w:p>
    <w:p w14:paraId="3323102C">
      <w:pPr>
        <w:pStyle w:val="1056"/>
        <w:suppressLineNumbers w:val="false"/>
        <w:pBdr/>
        <w:spacing w:line="300" w:lineRule="auto"/>
        <w:ind w:firstLine="0"/>
        <w:rPr>
          <w:b/>
          <w:bCs/>
        </w:rPr>
      </w:pPr>
      <w:r>
        <w:rPr>
          <w:b/>
          <w:bCs/>
        </w:rPr>
        <w:t xml:space="preserve">1.9 Conceptual Framework and System Flow</w:t>
      </w:r>
      <w:r>
        <w:rPr>
          <w:b/>
          <w:bCs/>
        </w:rPr>
      </w:r>
      <w:r>
        <w:rPr>
          <w:b/>
          <w:bCs/>
        </w:rPr>
      </w:r>
    </w:p>
    <w:p w14:paraId="1B6B7B66">
      <w:pPr>
        <w:pStyle w:val="1056"/>
        <w:suppressLineNumbers w:val="false"/>
        <w:pBdr/>
        <w:spacing w:line="300" w:lineRule="auto"/>
        <w:ind w:firstLine="0" w:left="0"/>
        <w:rPr/>
      </w:pPr>
      <w:r>
        <w:t xml:space="preserve">This section defines the end-to-end architecture, design logic, and chapter dependencies used throughout the dissertation.</w:t>
      </w:r>
      <w:r/>
    </w:p>
    <w:p w14:paraId="2BDBF2E4">
      <w:pPr>
        <w:pStyle w:val="1056"/>
        <w:suppressLineNumbers w:val="false"/>
        <w:pBdr/>
        <w:spacing w:after="240" w:before="120" w:line="300" w:lineRule="auto"/>
        <w:ind w:firstLine="0" w:left="0"/>
        <w:rPr>
          <w:b/>
          <w:bCs/>
        </w:rPr>
      </w:pPr>
      <w:r>
        <w:rPr>
          <w:b/>
          <w:bCs/>
        </w:rPr>
        <w:t xml:space="preserve">1.9.1 End-to-End Conceptual Flow (Text Form)</w:t>
      </w:r>
      <w:r>
        <w:rPr>
          <w:b/>
          <w:bCs/>
        </w:rPr>
      </w:r>
      <w:r>
        <w:rPr>
          <w:b/>
          <w:bCs/>
        </w:rPr>
      </w:r>
    </w:p>
    <w:p w14:paraId="34F2BEBB">
      <w:pPr>
        <w:pStyle w:val="1056"/>
        <w:suppressLineNumbers w:val="false"/>
        <w:pBdr/>
        <w:spacing w:line="300" w:lineRule="auto"/>
        <w:ind w:firstLine="0" w:left="0"/>
        <w:rPr/>
      </w:pPr>
      <w:r>
        <w:t xml:space="preserve">Clinical Image(s) + Clinician Question</w:t>
      </w:r>
      <w:r/>
    </w:p>
    <w:p w14:paraId="0DDAF825">
      <w:pPr>
        <w:pStyle w:val="1056"/>
        <w:suppressLineNumbers w:val="false"/>
        <w:pBdr/>
        <w:spacing w:after="240" w:before="120" w:line="120" w:lineRule="auto"/>
        <w:ind w:firstLine="0" w:left="0"/>
        <w:rPr/>
      </w:pPr>
      <w:r>
        <w:rPr>
          <w:lang w:val="en-US"/>
        </w:rPr>
        <w:t xml:space="preserve">1.</w:t>
      </w:r>
      <w:r>
        <w:t xml:space="preserve"> question intent parsing (task type, entities, risk level)</w:t>
      </w:r>
      <w:r/>
    </w:p>
    <w:p w14:paraId="65397DB8">
      <w:pPr>
        <w:pStyle w:val="1056"/>
        <w:suppressLineNumbers w:val="false"/>
        <w:pBdr/>
        <w:spacing w:after="240" w:before="120" w:line="120" w:lineRule="auto"/>
        <w:ind w:firstLine="0" w:left="0"/>
        <w:rPr/>
      </w:pPr>
      <w:r>
        <w:rPr>
          <w:lang w:val="en-US"/>
        </w:rPr>
        <w:t xml:space="preserve">2.</w:t>
      </w:r>
      <w:r>
        <w:t xml:space="preserve"> visual feature extraction (global + localized cues)</w:t>
      </w:r>
      <w:r/>
    </w:p>
    <w:p w14:paraId="5EED776C">
      <w:pPr>
        <w:pStyle w:val="1056"/>
        <w:suppressLineNumbers w:val="false"/>
        <w:pBdr/>
        <w:spacing w:after="240" w:before="120" w:line="120" w:lineRule="auto"/>
        <w:ind w:firstLine="0" w:left="0"/>
        <w:rPr/>
      </w:pPr>
      <w:r>
        <w:rPr>
          <w:lang w:val="en-US"/>
        </w:rPr>
        <w:t xml:space="preserve">3.</w:t>
      </w:r>
      <w:r>
        <w:t xml:space="preserve"> cross-modal reasoning (closed-set or generative path)</w:t>
      </w:r>
      <w:r/>
    </w:p>
    <w:p w14:paraId="686452A7">
      <w:pPr>
        <w:pStyle w:val="1056"/>
        <w:suppressLineNumbers w:val="false"/>
        <w:pBdr/>
        <w:spacing w:after="240" w:before="120" w:line="120" w:lineRule="auto"/>
        <w:ind w:firstLine="0" w:left="0"/>
        <w:rPr/>
      </w:pPr>
      <w:r>
        <w:rPr>
          <w:lang w:val="en-US"/>
        </w:rPr>
        <w:t xml:space="preserve">4.</w:t>
      </w:r>
      <w:r>
        <w:t xml:space="preserve"> answer candidate + confidence estimation</w:t>
      </w:r>
      <w:r/>
    </w:p>
    <w:p w14:paraId="66AB5AA0">
      <w:pPr>
        <w:pStyle w:val="1056"/>
        <w:suppressLineNumbers w:val="false"/>
        <w:pBdr/>
        <w:spacing w:after="240" w:before="120" w:line="120" w:lineRule="auto"/>
        <w:ind w:firstLine="0" w:left="0"/>
        <w:rPr/>
      </w:pPr>
      <w:r>
        <w:rPr>
          <w:lang w:val="en-US"/>
        </w:rPr>
        <w:t xml:space="preserve">5.</w:t>
      </w:r>
      <w:r>
        <w:t xml:space="preserve"> conditional retrieval layer for evidence-oriented queries</w:t>
      </w:r>
      <w:r/>
    </w:p>
    <w:p w14:paraId="64C093D4">
      <w:pPr>
        <w:pStyle w:val="1056"/>
        <w:suppressLineNumbers w:val="false"/>
        <w:pBdr/>
        <w:spacing w:after="240" w:before="120" w:line="120" w:lineRule="auto"/>
        <w:ind w:firstLine="0" w:left="0"/>
        <w:rPr/>
      </w:pPr>
      <w:r>
        <w:rPr>
          <w:lang w:val="en-US"/>
        </w:rPr>
        <w:t xml:space="preserve">6.</w:t>
      </w:r>
      <w:r>
        <w:t xml:space="preserve"> final response (answer, rationale, confidence, evidence pointer)</w:t>
      </w:r>
      <w:r/>
    </w:p>
    <w:p w14:paraId="7AAA4381">
      <w:pPr>
        <w:pStyle w:val="1056"/>
        <w:suppressLineNumbers w:val="false"/>
        <w:pBdr/>
        <w:spacing w:line="300" w:lineRule="auto"/>
        <w:ind w:right="0" w:firstLine="0" w:left="0"/>
        <w:rPr>
          <w:b/>
          <w:bCs/>
        </w:rPr>
      </w:pPr>
      <w:r>
        <w:rPr>
          <w:b/>
          <w:bCs/>
        </w:rPr>
        <w:t xml:space="preserve">1.9.2 Figure 1.1: Clinician-Centric MedVQA Pipeline</w:t>
      </w:r>
      <w:r>
        <w:rPr>
          <w:b/>
          <w:bCs/>
        </w:rPr>
      </w:r>
      <w:r>
        <w:rPr>
          <w:b/>
          <w:bCs/>
        </w:rPr>
      </w:r>
    </w:p>
    <w:p w14:paraId="3B64243E">
      <w:pPr>
        <w:pStyle w:val="1056"/>
        <w:suppressLineNumbers w:val="false"/>
        <w:pBdr/>
        <w:spacing w:line="300" w:lineRule="auto"/>
        <w:ind w:firstLine="0"/>
        <w:rPr/>
      </w:pPr>
      <w:r>
        <w:t xml:space="preserve">Figure 1.1: Clinician-Centric MedVQA Pipeline for Colonoscopy.</w:t>
      </w:r>
      <w:r/>
    </w:p>
    <w:p w14:paraId="5CBD96E7">
      <w:pPr>
        <w:pStyle w:val="1056"/>
        <w:suppressLineNumbers w:val="false"/>
        <w:pBdr/>
        <w:spacing w:line="300" w:lineRule="auto"/>
        <w:ind w:firstLine="0"/>
        <w:rPr/>
      </w:pPr>
      <w:r>
        <w:t xml:space="preserve">I</w:t>
      </w:r>
      <w:r>
        <w:t xml:space="preserve">nput frame(s)+question -&gt; intent parsing + clinical entity extraction -&gt; visual encoder + localization cues -&gt; cross-modal reasoning -&gt; confidence/abstain gate -&gt; constrained or generative answer -&gt; optional retrieval grounding -&gt; clinician-facing response</w:t>
      </w:r>
      <w:r>
        <w:t xml:space="preserve"> package</w:t>
      </w:r>
      <w:r/>
    </w:p>
    <w:p w14:paraId="18453714">
      <w:pPr>
        <w:pStyle w:val="1056"/>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19914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5698" name=""/>
                        <pic:cNvPicPr>
                          <a:picLocks noChangeAspect="1"/>
                        </pic:cNvPicPr>
                        <pic:nvPr/>
                      </pic:nvPicPr>
                      <pic:blipFill rotWithShape="1">
                        <a:blip r:embed="rId13"/>
                        <a:stretch/>
                      </pic:blipFill>
                      <pic:spPr bwMode="auto">
                        <a:xfrm>
                          <a:off x="0" y="0"/>
                          <a:ext cx="5486399" cy="1991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156.81pt;mso-wrap-distance-left:0.00pt;mso-wrap-distance-top:0.00pt;mso-wrap-distance-right:0.00pt;mso-wrap-distance-bottom:0.00pt;z-index:1;" stroked="false">
                <v:imagedata r:id="rId13" o:title=""/>
                <o:lock v:ext="edit" rotation="t"/>
              </v:shape>
            </w:pict>
          </mc:Fallback>
        </mc:AlternateContent>
      </w:r>
      <w:r/>
    </w:p>
    <w:p w14:paraId="701E53C1">
      <w:pPr>
        <w:pStyle w:val="1056"/>
        <w:suppressLineNumbers w:val="false"/>
        <w:pBdr/>
        <w:spacing w:line="300" w:lineRule="auto"/>
        <w:ind/>
        <w:rPr>
          <w:bCs/>
          <w:i/>
        </w:rPr>
      </w:pPr>
      <w:r>
        <w:rPr>
          <w:i/>
          <w:iCs/>
        </w:rPr>
      </w:r>
      <w:r>
        <w:rPr>
          <w:i/>
          <w:iCs/>
        </w:rPr>
        <w:tab/>
      </w:r>
      <w:r>
        <w:rPr>
          <w:i/>
          <w:iCs/>
          <w:lang w:val="en-US"/>
        </w:rPr>
        <w:t xml:space="preserve">Figure 1.1 Conceptual Framework &amp; System Flow</w:t>
      </w:r>
      <w:r>
        <w:rPr>
          <w:bCs/>
          <w:i/>
        </w:rPr>
      </w:r>
      <w:r>
        <w:rPr>
          <w:bCs/>
          <w:i/>
        </w:rPr>
      </w:r>
    </w:p>
    <w:p w14:paraId="60C8701B">
      <w:pPr>
        <w:pStyle w:val="1056"/>
        <w:suppressLineNumbers w:val="false"/>
        <w:pBdr/>
        <w:spacing w:line="300" w:lineRule="auto"/>
        <w:ind w:firstLine="0"/>
        <w:rPr>
          <w:b/>
          <w:bCs/>
          <w:highlight w:val="none"/>
        </w:rPr>
      </w:pPr>
      <w:r>
        <w:rPr>
          <w:b/>
          <w:bCs/>
        </w:rPr>
        <w:t xml:space="preserve">1.9.3 Figure 1.2: Data-to-Decision Funnel</w:t>
      </w:r>
      <w:r>
        <w:rPr>
          <w:b/>
          <w:bCs/>
          <w:highlight w:val="none"/>
        </w:rPr>
      </w:r>
      <w:r>
        <w:rPr>
          <w:b/>
          <w:bCs/>
          <w:highlight w:val="none"/>
        </w:rPr>
      </w:r>
    </w:p>
    <w:p w14:paraId="6EC6837F">
      <w:pPr>
        <w:pStyle w:val="1056"/>
        <w:suppressLineNumbers w:val="false"/>
        <w:pBdr/>
        <w:spacing w:line="300" w:lineRule="auto"/>
        <w:ind w:firstLine="0"/>
        <w:rPr/>
      </w:pPr>
      <w:r>
        <w:t xml:space="preserve">Figure 1.2: Data-to-Decision Funnel.</w:t>
      </w:r>
      <w:r/>
    </w:p>
    <w:p w14:paraId="4B0DA8D9">
      <w:pPr>
        <w:pStyle w:val="1056"/>
        <w:suppressLineNumbers w:val="false"/>
        <w:pBdr/>
        <w:spacing w:line="300" w:lineRule="auto"/>
        <w:ind w:firstLine="0"/>
        <w:rPr/>
      </w:pPr>
      <w:r>
        <w:t xml:space="preserve">Raw datasets -&gt; curation and harmonization -&gt; task families -&gt; model families -&gt; evaluation and failure analysis -&gt; scenario validation -&gt; decision-support </w:t>
        <w:tab/>
        <w:t xml:space="preserve">readiness.</w:t>
      </w:r>
      <w:r/>
    </w:p>
    <w:p w14:paraId="6B2C77CB">
      <w:pPr>
        <w:pStyle w:val="1056"/>
        <w:suppressLineNumbers w:val="false"/>
        <w:pBdr/>
        <w:spacing w:line="300" w:lineRule="auto"/>
        <w:ind w:firstLine="0"/>
        <w:rPr>
          <w:b/>
          <w:bCs/>
        </w:rPr>
      </w:pPr>
      <w:r>
        <w:rPr>
          <w:b/>
          <w:bCs/>
        </w:rPr>
        <w:t xml:space="preserve">1.9.4 Figure 1.3: Research Design Map</w:t>
      </w:r>
      <w:r>
        <w:rPr>
          <w:b/>
          <w:bCs/>
        </w:rPr>
      </w:r>
      <w:r>
        <w:rPr>
          <w:b/>
          <w:bCs/>
        </w:rPr>
      </w:r>
    </w:p>
    <w:p w14:paraId="32FA5038">
      <w:pPr>
        <w:pStyle w:val="1056"/>
        <w:suppressLineNumbers w:val="false"/>
        <w:pBdr/>
        <w:spacing w:line="300" w:lineRule="auto"/>
        <w:ind w:right="0" w:firstLine="0" w:left="0"/>
        <w:rPr/>
      </w:pPr>
      <w:r>
        <w:t xml:space="preserve">Figure 1.3: Research Questions to Methods to Metrics to Outputs.</w:t>
      </w:r>
      <w:r/>
    </w:p>
    <w:p w14:paraId="44C13B48">
      <w:pPr>
        <w:pStyle w:val="1056"/>
        <w:suppressLineNumbers w:val="false"/>
        <w:pBdr/>
        <w:spacing w:line="300" w:lineRule="auto"/>
        <w:ind w:right="0" w:firstLine="0" w:left="0"/>
        <w:rPr/>
      </w:pPr>
      <w:r>
        <w:t xml:space="preserve">RQ layer</w:t>
      </w:r>
      <w:r/>
    </w:p>
    <w:p w14:paraId="1EEAAFAA">
      <w:pPr>
        <w:pStyle w:val="1056"/>
        <w:suppressLineNumbers w:val="false"/>
        <w:pBdr/>
        <w:spacing w:line="120" w:lineRule="auto"/>
        <w:ind w:right="0" w:firstLine="0" w:left="0"/>
        <w:rPr/>
      </w:pPr>
      <w:r>
        <w:rPr>
          <w:lang w:val="en-US"/>
        </w:rPr>
        <w:t xml:space="preserve">1.</w:t>
      </w:r>
      <w:r>
        <w:t xml:space="preserve"> dataset/method layer</w:t>
      </w:r>
      <w:r/>
    </w:p>
    <w:p w14:paraId="1E221488">
      <w:pPr>
        <w:pStyle w:val="1056"/>
        <w:suppressLineNumbers w:val="false"/>
        <w:pBdr/>
        <w:spacing w:line="120" w:lineRule="auto"/>
        <w:ind w:right="0" w:firstLine="0" w:left="0"/>
        <w:rPr/>
      </w:pPr>
      <w:r>
        <w:rPr>
          <w:lang w:val="en-US"/>
        </w:rPr>
        <w:t xml:space="preserve">2.</w:t>
      </w:r>
      <w:r>
        <w:t xml:space="preserve"> metric layer</w:t>
      </w:r>
      <w:r/>
    </w:p>
    <w:p w14:paraId="413A4C83">
      <w:pPr>
        <w:pStyle w:val="1056"/>
        <w:suppressLineNumbers w:val="false"/>
        <w:pBdr/>
        <w:spacing w:line="120" w:lineRule="auto"/>
        <w:ind w:right="0" w:firstLine="0" w:left="0"/>
        <w:rPr/>
      </w:pPr>
      <w:r>
        <w:rPr>
          <w:lang w:val="en-US"/>
        </w:rPr>
        <w:t xml:space="preserve">3.</w:t>
      </w:r>
      <w:r>
        <w:t xml:space="preserve"> scenario acceptance layer</w:t>
      </w:r>
      <w:r/>
    </w:p>
    <w:p w14:paraId="7C280CA6">
      <w:pPr>
        <w:pStyle w:val="1056"/>
        <w:suppressLineNumbers w:val="false"/>
        <w:pBdr/>
        <w:spacing w:line="300" w:lineRule="auto"/>
        <w:ind w:right="0" w:firstLine="0" w:left="0"/>
        <w:rPr>
          <w:b/>
          <w:bCs/>
        </w:rPr>
      </w:pPr>
      <w:r>
        <w:rPr>
          <w:b/>
          <w:bCs/>
        </w:rPr>
        <w:t xml:space="preserve">1.9.6 Risk-Control Matrix</w:t>
      </w:r>
      <w:r>
        <w:rPr>
          <w:b/>
          <w:bCs/>
        </w:rPr>
      </w:r>
      <w:r>
        <w:rPr>
          <w:b/>
          <w:bCs/>
        </w:rPr>
      </w:r>
    </w:p>
    <w:tbl>
      <w:tblPr>
        <w:tblStyle w:val="1113"/>
        <w:tblW w:w="0" w:type="auto"/>
        <w:tblBorders/>
        <w:tblLayout w:type="fixed"/>
        <w:tblLook w:val="04A0" w:firstRow="1" w:lastRow="0" w:firstColumn="1" w:lastColumn="0" w:noHBand="0" w:noVBand="1"/>
      </w:tblPr>
      <w:tblGrid>
        <w:gridCol w:w="2169"/>
        <w:gridCol w:w="3591"/>
        <w:gridCol w:w="3637"/>
      </w:tblGrid>
      <w:tr>
        <w:trPr/>
        <w:tc>
          <w:tcPr>
            <w:tcBorders/>
            <w:tcW w:w="2169" w:type="dxa"/>
            <w:textDirection w:val="lrTb"/>
            <w:noWrap w:val="false"/>
          </w:tcPr>
          <w:p w14:paraId="4C0DA4AD">
            <w:pPr>
              <w:pBdr/>
              <w:spacing w:after="0" w:before="0" w:line="240" w:lineRule="auto"/>
              <w:ind/>
              <w:rPr>
                <w:color w:val="000000" w:themeColor="text1"/>
              </w:rPr>
            </w:pPr>
            <w:r>
              <w:rPr>
                <w:rFonts w:ascii="Arial" w:hAnsi="Arial" w:eastAsia="Arial" w:cs="Arial"/>
                <w:b/>
                <w:color w:val="000000" w:themeColor="text1"/>
                <w:sz w:val="21"/>
              </w:rPr>
              <w:t xml:space="preserve">Risk</w:t>
            </w:r>
            <w:r>
              <w:rPr>
                <w:color w:val="000000" w:themeColor="text1"/>
              </w:rPr>
            </w:r>
            <w:r>
              <w:rPr>
                <w:color w:val="000000" w:themeColor="text1"/>
              </w:rPr>
            </w:r>
          </w:p>
        </w:tc>
        <w:tc>
          <w:tcPr>
            <w:tcBorders/>
            <w:tcW w:w="3591" w:type="dxa"/>
            <w:textDirection w:val="lrTb"/>
            <w:noWrap w:val="false"/>
          </w:tcPr>
          <w:p w14:paraId="33FCD2AA">
            <w:pPr>
              <w:pBdr/>
              <w:spacing w:after="0" w:before="0" w:line="240" w:lineRule="auto"/>
              <w:ind/>
              <w:rPr>
                <w:color w:val="000000" w:themeColor="text1"/>
              </w:rPr>
            </w:pPr>
            <w:r>
              <w:rPr>
                <w:rFonts w:ascii="Arial" w:hAnsi="Arial" w:eastAsia="Arial" w:cs="Arial"/>
                <w:b/>
                <w:color w:val="000000" w:themeColor="text1"/>
                <w:sz w:val="21"/>
              </w:rPr>
              <w:t xml:space="preserve">Failure example</w:t>
            </w:r>
            <w:r>
              <w:rPr>
                <w:color w:val="000000" w:themeColor="text1"/>
              </w:rPr>
            </w:r>
            <w:r>
              <w:rPr>
                <w:color w:val="000000" w:themeColor="text1"/>
              </w:rPr>
            </w:r>
          </w:p>
        </w:tc>
        <w:tc>
          <w:tcPr>
            <w:tcBorders/>
            <w:tcW w:w="3637" w:type="dxa"/>
            <w:textDirection w:val="lrTb"/>
            <w:noWrap w:val="false"/>
          </w:tcPr>
          <w:p w14:paraId="40984587">
            <w:pPr>
              <w:pBdr/>
              <w:spacing w:after="0" w:before="0" w:line="240" w:lineRule="auto"/>
              <w:ind/>
              <w:rPr>
                <w:color w:val="000000" w:themeColor="text1"/>
              </w:rPr>
            </w:pPr>
            <w:r>
              <w:rPr>
                <w:rFonts w:ascii="Arial" w:hAnsi="Arial" w:eastAsia="Arial" w:cs="Arial"/>
                <w:b/>
                <w:color w:val="000000" w:themeColor="text1"/>
                <w:sz w:val="21"/>
              </w:rPr>
              <w:t xml:space="preserve">Control strategy</w:t>
            </w:r>
            <w:r>
              <w:rPr>
                <w:color w:val="000000" w:themeColor="text1"/>
              </w:rPr>
            </w:r>
            <w:r>
              <w:rPr>
                <w:color w:val="000000" w:themeColor="text1"/>
              </w:rPr>
            </w:r>
          </w:p>
        </w:tc>
      </w:tr>
      <w:tr>
        <w:trPr/>
        <w:tc>
          <w:tcPr>
            <w:tcBorders/>
            <w:tcW w:w="2169" w:type="dxa"/>
            <w:textDirection w:val="lrTb"/>
            <w:noWrap w:val="false"/>
          </w:tcPr>
          <w:p w14:paraId="0E851E62">
            <w:pPr>
              <w:pBdr/>
              <w:spacing w:after="0" w:before="0" w:line="240" w:lineRule="auto"/>
              <w:ind/>
              <w:rPr>
                <w:color w:val="000000" w:themeColor="text1"/>
              </w:rPr>
            </w:pPr>
            <w:r>
              <w:rPr>
                <w:rFonts w:ascii="Arial" w:hAnsi="Arial" w:eastAsia="Arial" w:cs="Arial"/>
                <w:color w:val="000000" w:themeColor="text1"/>
                <w:sz w:val="21"/>
              </w:rPr>
              <w:t xml:space="preserve">Class imbalance</w:t>
            </w:r>
            <w:r>
              <w:rPr>
                <w:color w:val="000000" w:themeColor="text1"/>
              </w:rPr>
            </w:r>
            <w:r>
              <w:rPr>
                <w:color w:val="000000" w:themeColor="text1"/>
              </w:rPr>
            </w:r>
          </w:p>
        </w:tc>
        <w:tc>
          <w:tcPr>
            <w:tcBorders/>
            <w:tcW w:w="3591" w:type="dxa"/>
            <w:textDirection w:val="lrTb"/>
            <w:noWrap w:val="false"/>
          </w:tcPr>
          <w:p w14:paraId="4CF90352">
            <w:pPr>
              <w:pBdr/>
              <w:spacing w:after="0" w:before="0" w:line="240" w:lineRule="auto"/>
              <w:ind/>
              <w:rPr>
                <w:color w:val="000000" w:themeColor="text1"/>
              </w:rPr>
            </w:pPr>
            <w:r>
              <w:rPr>
                <w:rFonts w:ascii="Arial" w:hAnsi="Arial" w:eastAsia="Arial" w:cs="Arial"/>
                <w:color w:val="000000" w:themeColor="text1"/>
                <w:sz w:val="21"/>
              </w:rPr>
              <w:t xml:space="preserve">Severe UC under-detected</w:t>
            </w:r>
            <w:r>
              <w:rPr>
                <w:color w:val="000000" w:themeColor="text1"/>
              </w:rPr>
            </w:r>
            <w:r>
              <w:rPr>
                <w:color w:val="000000" w:themeColor="text1"/>
              </w:rPr>
            </w:r>
          </w:p>
        </w:tc>
        <w:tc>
          <w:tcPr>
            <w:tcBorders/>
            <w:tcW w:w="3637" w:type="dxa"/>
            <w:textDirection w:val="lrTb"/>
            <w:noWrap w:val="false"/>
          </w:tcPr>
          <w:p w14:paraId="63962AFE">
            <w:pPr>
              <w:pBdr/>
              <w:spacing w:after="0" w:before="0" w:line="240" w:lineRule="auto"/>
              <w:ind/>
              <w:rPr>
                <w:color w:val="000000" w:themeColor="text1"/>
              </w:rPr>
            </w:pPr>
            <w:r>
              <w:rPr>
                <w:rFonts w:ascii="Arial" w:hAnsi="Arial" w:eastAsia="Arial" w:cs="Arial"/>
                <w:color w:val="000000" w:themeColor="text1"/>
                <w:sz w:val="21"/>
              </w:rPr>
              <w:t xml:space="preserve">Cost-sensitive training, minority sampling, classwise monitoring</w:t>
            </w:r>
            <w:r>
              <w:rPr>
                <w:color w:val="000000" w:themeColor="text1"/>
              </w:rPr>
            </w:r>
            <w:r>
              <w:rPr>
                <w:color w:val="000000" w:themeColor="text1"/>
              </w:rPr>
            </w:r>
          </w:p>
        </w:tc>
      </w:tr>
      <w:tr>
        <w:trPr/>
        <w:tc>
          <w:tcPr>
            <w:tcBorders/>
            <w:tcW w:w="2169" w:type="dxa"/>
            <w:textDirection w:val="lrTb"/>
            <w:noWrap w:val="false"/>
          </w:tcPr>
          <w:p w14:paraId="3274D04F">
            <w:pPr>
              <w:pBdr/>
              <w:spacing w:after="0" w:before="0" w:line="240" w:lineRule="auto"/>
              <w:ind/>
              <w:rPr>
                <w:color w:val="000000" w:themeColor="text1"/>
              </w:rPr>
            </w:pPr>
            <w:r>
              <w:rPr>
                <w:rFonts w:ascii="Arial" w:hAnsi="Arial" w:eastAsia="Arial" w:cs="Arial"/>
                <w:color w:val="000000" w:themeColor="text1"/>
                <w:sz w:val="21"/>
              </w:rPr>
              <w:t xml:space="preserve">Lexical mismatch</w:t>
            </w:r>
            <w:r>
              <w:rPr>
                <w:color w:val="000000" w:themeColor="text1"/>
              </w:rPr>
            </w:r>
            <w:r>
              <w:rPr>
                <w:color w:val="000000" w:themeColor="text1"/>
              </w:rPr>
            </w:r>
          </w:p>
        </w:tc>
        <w:tc>
          <w:tcPr>
            <w:tcBorders/>
            <w:tcW w:w="3591" w:type="dxa"/>
            <w:textDirection w:val="lrTb"/>
            <w:noWrap w:val="false"/>
          </w:tcPr>
          <w:p w14:paraId="7766EB16">
            <w:pPr>
              <w:pBdr/>
              <w:spacing w:after="0" w:before="0" w:line="240" w:lineRule="auto"/>
              <w:ind/>
              <w:rPr>
                <w:color w:val="000000" w:themeColor="text1"/>
              </w:rPr>
            </w:pPr>
            <w:r>
              <w:rPr>
                <w:rFonts w:ascii="Arial" w:hAnsi="Arial" w:eastAsia="Arial" w:cs="Arial"/>
                <w:color w:val="000000" w:themeColor="text1"/>
                <w:sz w:val="21"/>
              </w:rPr>
              <w:t xml:space="preserve">Free text not mappable to clinical label space</w:t>
            </w:r>
            <w:r>
              <w:rPr>
                <w:color w:val="000000" w:themeColor="text1"/>
              </w:rPr>
            </w:r>
            <w:r>
              <w:rPr>
                <w:color w:val="000000" w:themeColor="text1"/>
              </w:rPr>
            </w:r>
          </w:p>
        </w:tc>
        <w:tc>
          <w:tcPr>
            <w:tcBorders/>
            <w:tcW w:w="3637" w:type="dxa"/>
            <w:textDirection w:val="lrTb"/>
            <w:noWrap w:val="false"/>
          </w:tcPr>
          <w:p w14:paraId="7AF8D903">
            <w:pPr>
              <w:pBdr/>
              <w:spacing w:after="0" w:before="0" w:line="240" w:lineRule="auto"/>
              <w:ind/>
              <w:rPr>
                <w:color w:val="000000" w:themeColor="text1"/>
              </w:rPr>
            </w:pPr>
            <w:r>
              <w:rPr>
                <w:rFonts w:ascii="Arial" w:hAnsi="Arial" w:eastAsia="Arial" w:cs="Arial"/>
                <w:color w:val="000000" w:themeColor="text1"/>
                <w:sz w:val="21"/>
              </w:rPr>
              <w:t xml:space="preserve">Constrained decoding and lexical projection safeguards</w:t>
            </w:r>
            <w:r>
              <w:rPr>
                <w:color w:val="000000" w:themeColor="text1"/>
              </w:rPr>
            </w:r>
            <w:r>
              <w:rPr>
                <w:color w:val="000000" w:themeColor="text1"/>
              </w:rPr>
            </w:r>
          </w:p>
        </w:tc>
      </w:tr>
      <w:tr>
        <w:trPr/>
        <w:tc>
          <w:tcPr>
            <w:tcBorders/>
            <w:tcW w:w="2169" w:type="dxa"/>
            <w:textDirection w:val="lrTb"/>
            <w:noWrap w:val="false"/>
          </w:tcPr>
          <w:p w14:paraId="324CA2BB">
            <w:pPr>
              <w:pBdr/>
              <w:spacing w:after="0" w:before="0" w:line="240" w:lineRule="auto"/>
              <w:ind/>
              <w:rPr>
                <w:color w:val="000000" w:themeColor="text1"/>
              </w:rPr>
            </w:pPr>
            <w:r>
              <w:rPr>
                <w:rFonts w:ascii="Arial" w:hAnsi="Arial" w:eastAsia="Arial" w:cs="Arial"/>
                <w:color w:val="000000" w:themeColor="text1"/>
                <w:sz w:val="21"/>
              </w:rPr>
              <w:t xml:space="preserve">Hallucination</w:t>
            </w:r>
            <w:r>
              <w:rPr>
                <w:color w:val="000000" w:themeColor="text1"/>
              </w:rPr>
            </w:r>
            <w:r>
              <w:rPr>
                <w:color w:val="000000" w:themeColor="text1"/>
              </w:rPr>
            </w:r>
          </w:p>
        </w:tc>
        <w:tc>
          <w:tcPr>
            <w:tcBorders/>
            <w:tcW w:w="3591" w:type="dxa"/>
            <w:textDirection w:val="lrTb"/>
            <w:noWrap w:val="false"/>
          </w:tcPr>
          <w:p w14:paraId="0A1003C6">
            <w:pPr>
              <w:pBdr/>
              <w:spacing w:after="0" w:before="0" w:line="240" w:lineRule="auto"/>
              <w:ind/>
              <w:rPr>
                <w:color w:val="000000" w:themeColor="text1"/>
              </w:rPr>
            </w:pPr>
            <w:r>
              <w:rPr>
                <w:rFonts w:ascii="Arial" w:hAnsi="Arial" w:eastAsia="Arial" w:cs="Arial"/>
                <w:color w:val="000000" w:themeColor="text1"/>
                <w:sz w:val="21"/>
              </w:rPr>
              <w:t xml:space="preserve">Non-visible finding asserted</w:t>
            </w:r>
            <w:r>
              <w:rPr>
                <w:color w:val="000000" w:themeColor="text1"/>
              </w:rPr>
            </w:r>
            <w:r>
              <w:rPr>
                <w:color w:val="000000" w:themeColor="text1"/>
              </w:rPr>
            </w:r>
          </w:p>
        </w:tc>
        <w:tc>
          <w:tcPr>
            <w:tcBorders/>
            <w:tcW w:w="3637" w:type="dxa"/>
            <w:textDirection w:val="lrTb"/>
            <w:noWrap w:val="false"/>
          </w:tcPr>
          <w:p w14:paraId="24571FBE">
            <w:pPr>
              <w:pBdr/>
              <w:spacing w:after="0" w:before="0" w:line="240" w:lineRule="auto"/>
              <w:ind/>
              <w:rPr>
                <w:color w:val="000000" w:themeColor="text1"/>
              </w:rPr>
            </w:pPr>
            <w:r>
              <w:rPr>
                <w:rFonts w:ascii="Arial" w:hAnsi="Arial" w:eastAsia="Arial" w:cs="Arial"/>
                <w:color w:val="000000" w:themeColor="text1"/>
                <w:sz w:val="21"/>
              </w:rPr>
              <w:t xml:space="preserve">Visual-grounding checks, contradiction tests, abstain option</w:t>
            </w:r>
            <w:r>
              <w:rPr>
                <w:color w:val="000000" w:themeColor="text1"/>
              </w:rPr>
            </w:r>
            <w:r>
              <w:rPr>
                <w:color w:val="000000" w:themeColor="text1"/>
              </w:rPr>
            </w:r>
          </w:p>
        </w:tc>
      </w:tr>
      <w:tr>
        <w:trPr/>
        <w:tc>
          <w:tcPr>
            <w:tcBorders/>
            <w:tcW w:w="2169" w:type="dxa"/>
            <w:textDirection w:val="lrTb"/>
            <w:noWrap w:val="false"/>
          </w:tcPr>
          <w:p w14:paraId="17E7A343">
            <w:pPr>
              <w:pBdr/>
              <w:spacing w:after="0" w:before="0" w:line="240" w:lineRule="auto"/>
              <w:ind/>
              <w:rPr>
                <w:color w:val="000000" w:themeColor="text1"/>
              </w:rPr>
            </w:pPr>
            <w:r>
              <w:rPr>
                <w:rFonts w:ascii="Arial" w:hAnsi="Arial" w:eastAsia="Arial" w:cs="Arial"/>
                <w:color w:val="000000" w:themeColor="text1"/>
                <w:sz w:val="21"/>
              </w:rPr>
              <w:t xml:space="preserve">Overconfidence</w:t>
            </w:r>
            <w:r>
              <w:rPr>
                <w:color w:val="000000" w:themeColor="text1"/>
              </w:rPr>
            </w:r>
            <w:r>
              <w:rPr>
                <w:color w:val="000000" w:themeColor="text1"/>
              </w:rPr>
            </w:r>
          </w:p>
        </w:tc>
        <w:tc>
          <w:tcPr>
            <w:tcBorders/>
            <w:tcW w:w="3591" w:type="dxa"/>
            <w:textDirection w:val="lrTb"/>
            <w:noWrap w:val="false"/>
          </w:tcPr>
          <w:p w14:paraId="1E41D987">
            <w:pPr>
              <w:pBdr/>
              <w:spacing w:after="0" w:before="0" w:line="240" w:lineRule="auto"/>
              <w:ind/>
              <w:rPr>
                <w:color w:val="000000" w:themeColor="text1"/>
              </w:rPr>
            </w:pPr>
            <w:r>
              <w:rPr>
                <w:rFonts w:ascii="Arial" w:hAnsi="Arial" w:eastAsia="Arial" w:cs="Arial"/>
                <w:color w:val="000000" w:themeColor="text1"/>
                <w:sz w:val="21"/>
              </w:rPr>
              <w:t xml:space="preserve">High confidence on incorrect severe class</w:t>
            </w:r>
            <w:r>
              <w:rPr>
                <w:color w:val="000000" w:themeColor="text1"/>
              </w:rPr>
            </w:r>
            <w:r>
              <w:rPr>
                <w:color w:val="000000" w:themeColor="text1"/>
              </w:rPr>
            </w:r>
          </w:p>
        </w:tc>
        <w:tc>
          <w:tcPr>
            <w:tcBorders/>
            <w:tcW w:w="3637" w:type="dxa"/>
            <w:textDirection w:val="lrTb"/>
            <w:noWrap w:val="false"/>
          </w:tcPr>
          <w:p w14:paraId="04FBF640">
            <w:pPr>
              <w:pBdr/>
              <w:spacing w:after="0" w:before="0" w:line="240" w:lineRule="auto"/>
              <w:ind/>
              <w:rPr>
                <w:color w:val="000000" w:themeColor="text1"/>
              </w:rPr>
            </w:pPr>
            <w:r>
              <w:rPr>
                <w:rFonts w:ascii="Arial" w:hAnsi="Arial" w:eastAsia="Arial" w:cs="Arial"/>
                <w:color w:val="000000" w:themeColor="text1"/>
                <w:sz w:val="21"/>
              </w:rPr>
              <w:t xml:space="preserve">Calibration, thresholding, uncertainty-triggered escalation</w:t>
            </w:r>
            <w:r>
              <w:rPr>
                <w:color w:val="000000" w:themeColor="text1"/>
              </w:rPr>
            </w:r>
            <w:r>
              <w:rPr>
                <w:color w:val="000000" w:themeColor="text1"/>
              </w:rPr>
            </w:r>
          </w:p>
        </w:tc>
      </w:tr>
      <w:tr>
        <w:trPr/>
        <w:tc>
          <w:tcPr>
            <w:tcBorders/>
            <w:tcW w:w="2169" w:type="dxa"/>
            <w:textDirection w:val="lrTb"/>
            <w:noWrap w:val="false"/>
          </w:tcPr>
          <w:p w14:paraId="15BE24A2">
            <w:pPr>
              <w:pBdr/>
              <w:spacing w:after="0" w:before="0" w:line="240" w:lineRule="auto"/>
              <w:ind/>
              <w:rPr>
                <w:color w:val="000000" w:themeColor="text1"/>
              </w:rPr>
            </w:pPr>
            <w:r>
              <w:rPr>
                <w:rFonts w:ascii="Arial" w:hAnsi="Arial" w:eastAsia="Arial" w:cs="Arial"/>
                <w:color w:val="000000" w:themeColor="text1"/>
                <w:sz w:val="21"/>
              </w:rPr>
              <w:t xml:space="preserve">Context gap</w:t>
            </w:r>
            <w:r>
              <w:rPr>
                <w:color w:val="000000" w:themeColor="text1"/>
              </w:rPr>
            </w:r>
            <w:r>
              <w:rPr>
                <w:color w:val="000000" w:themeColor="text1"/>
              </w:rPr>
            </w:r>
          </w:p>
        </w:tc>
        <w:tc>
          <w:tcPr>
            <w:tcBorders/>
            <w:tcW w:w="3591" w:type="dxa"/>
            <w:textDirection w:val="lrTb"/>
            <w:noWrap w:val="false"/>
          </w:tcPr>
          <w:p w14:paraId="5A23E012">
            <w:pPr>
              <w:pBdr/>
              <w:spacing w:after="0" w:before="0" w:line="240" w:lineRule="auto"/>
              <w:ind/>
              <w:rPr>
                <w:color w:val="000000" w:themeColor="text1"/>
              </w:rPr>
            </w:pPr>
            <w:r>
              <w:rPr>
                <w:rFonts w:ascii="Arial" w:hAnsi="Arial" w:eastAsia="Arial" w:cs="Arial"/>
                <w:color w:val="000000" w:themeColor="text1"/>
                <w:sz w:val="21"/>
              </w:rPr>
              <w:t xml:space="preserve">Image answer lacks decision context</w:t>
            </w:r>
            <w:r>
              <w:rPr>
                <w:color w:val="000000" w:themeColor="text1"/>
              </w:rPr>
            </w:r>
            <w:r>
              <w:rPr>
                <w:color w:val="000000" w:themeColor="text1"/>
              </w:rPr>
            </w:r>
          </w:p>
        </w:tc>
        <w:tc>
          <w:tcPr>
            <w:tcBorders/>
            <w:tcW w:w="3637" w:type="dxa"/>
            <w:textDirection w:val="lrTb"/>
            <w:noWrap w:val="false"/>
          </w:tcPr>
          <w:p w14:paraId="0E4C704D">
            <w:pPr>
              <w:pBdr/>
              <w:spacing w:after="0" w:before="0" w:line="240" w:lineRule="auto"/>
              <w:ind/>
              <w:rPr>
                <w:color w:val="000000" w:themeColor="text1"/>
              </w:rPr>
            </w:pPr>
            <w:r>
              <w:rPr>
                <w:rFonts w:ascii="Arial" w:hAnsi="Arial" w:eastAsia="Arial" w:cs="Arial"/>
                <w:color w:val="000000" w:themeColor="text1"/>
                <w:sz w:val="21"/>
              </w:rPr>
              <w:t xml:space="preserve">Conditional retrieval-backed evidence layer</w:t>
            </w:r>
            <w:r>
              <w:rPr>
                <w:color w:val="000000" w:themeColor="text1"/>
              </w:rPr>
            </w:r>
            <w:r>
              <w:rPr>
                <w:color w:val="000000" w:themeColor="text1"/>
              </w:rPr>
            </w:r>
          </w:p>
        </w:tc>
      </w:tr>
    </w:tbl>
    <w:p w14:paraId="4012425A">
      <w:pPr>
        <w:pStyle w:val="1056"/>
        <w:suppressLineNumbers w:val="false"/>
        <w:pBdr/>
        <w:spacing w:line="300" w:lineRule="auto"/>
        <w:ind w:firstLine="720" w:left="720"/>
        <w:rPr>
          <w:highlight w:val="none"/>
          <w:lang w:val="en-US"/>
        </w:rPr>
      </w:pPr>
      <w:r>
        <w:rPr>
          <w:lang w:val="en-US"/>
        </w:rPr>
        <w:t xml:space="preserve">Table 1.7</w:t>
      </w:r>
      <w:r>
        <w:t xml:space="preserve">: Risk controls for GI MedVQA system design</w:t>
      </w:r>
      <w:r>
        <w:rPr>
          <w:highlight w:val="none"/>
          <w:lang w:val="en-US"/>
        </w:rPr>
      </w:r>
      <w:r>
        <w:rPr>
          <w:highlight w:val="none"/>
          <w:lang w:val="en-US"/>
        </w:rPr>
      </w:r>
    </w:p>
    <w:p w14:paraId="0B917CC8">
      <w:pPr>
        <w:pStyle w:val="1056"/>
        <w:suppressLineNumbers w:val="false"/>
        <w:pBdr/>
        <w:spacing w:line="300" w:lineRule="auto"/>
        <w:ind w:left="2835"/>
        <w:rPr/>
      </w:pPr>
      <w:r>
        <w:rPr>
          <w:highlight w:val="none"/>
          <w:lang w:val="en-US"/>
        </w:rPr>
      </w:r>
      <w:r>
        <w:rPr>
          <w:highlight w:val="none"/>
          <w:lang w:val="en-US"/>
        </w:rPr>
      </w:r>
      <w:r/>
    </w:p>
    <w:p w14:paraId="4E0174DA">
      <w:pPr>
        <w:pStyle w:val="1056"/>
        <w:suppressLineNumbers w:val="false"/>
        <w:pBdr/>
        <w:spacing w:line="300" w:lineRule="auto"/>
        <w:ind w:firstLine="0"/>
        <w:rPr>
          <w:b/>
          <w:bCs/>
          <w:sz w:val="28"/>
          <w:szCs w:val="28"/>
        </w:rPr>
      </w:pPr>
      <w:r>
        <w:rPr>
          <w:b/>
          <w:bCs/>
          <w:sz w:val="28"/>
          <w:szCs w:val="28"/>
        </w:rPr>
        <w:t xml:space="preserve">1.10 Contributions Claimed in This Dissertation</w:t>
      </w:r>
      <w:r>
        <w:rPr>
          <w:b/>
          <w:bCs/>
          <w:sz w:val="28"/>
          <w:szCs w:val="28"/>
        </w:rPr>
      </w:r>
      <w:r>
        <w:rPr>
          <w:b/>
          <w:bCs/>
          <w:sz w:val="28"/>
          <w:szCs w:val="28"/>
        </w:rPr>
      </w:r>
    </w:p>
    <w:p w14:paraId="02E79219">
      <w:pPr>
        <w:pStyle w:val="1056"/>
        <w:suppressLineNumbers w:val="false"/>
        <w:pBdr/>
        <w:spacing w:line="300" w:lineRule="auto"/>
        <w:ind w:firstLine="0"/>
        <w:rPr/>
      </w:pPr>
      <w:r>
        <w:t xml:space="preserve">At this stage, the dissertation claims the following contributions:</w:t>
      </w:r>
      <w:r/>
    </w:p>
    <w:p w14:paraId="79AF7D3C">
      <w:pPr>
        <w:pStyle w:val="1056"/>
        <w:numPr>
          <w:ilvl w:val="0"/>
          <w:numId w:val="51"/>
        </w:numPr>
        <w:suppressLineNumbers w:val="false"/>
        <w:pBdr/>
        <w:spacing w:after="240" w:before="120" w:line="240" w:lineRule="auto"/>
        <w:ind/>
        <w:rPr/>
      </w:pPr>
      <w:r>
        <w:t xml:space="preserve">A consolidated GI MedVQA evidence base across multiple datasets and task formulations using reproducible local artifacts [20]-[24].</w:t>
      </w:r>
      <w:r/>
    </w:p>
    <w:p w14:paraId="2A08C86D">
      <w:pPr>
        <w:pStyle w:val="1056"/>
        <w:numPr>
          <w:ilvl w:val="0"/>
          <w:numId w:val="51"/>
        </w:numPr>
        <w:suppressLineNumbers w:val="false"/>
        <w:pBdr/>
        <w:spacing w:after="240" w:before="120" w:line="240" w:lineRule="auto"/>
        <w:ind/>
        <w:rPr/>
      </w:pPr>
      <w:r>
        <w:t xml:space="preserve">Empirical clarification that naive zero-shot VLM transfer is currently insufficient for dependable GI MedVQA performance in this repository setting.</w:t>
      </w:r>
      <w:r/>
    </w:p>
    <w:p w14:paraId="68A7C076">
      <w:pPr>
        <w:pStyle w:val="1056"/>
        <w:numPr>
          <w:ilvl w:val="0"/>
          <w:numId w:val="51"/>
        </w:numPr>
        <w:suppressLineNumbers w:val="false"/>
        <w:pBdr/>
        <w:spacing w:after="240" w:before="120" w:line="240" w:lineRule="auto"/>
        <w:ind/>
        <w:rPr/>
      </w:pPr>
      <w:r>
        <w:t xml:space="preserve">A severity-focused framing that aligns model evaluation with clinically meaningful endpoints, including macro-F1, balanced metrics, remission slices, and QWK in UC-oriented tasks.</w:t>
      </w:r>
      <w:r/>
    </w:p>
    <w:p w14:paraId="6A4D6551">
      <w:pPr>
        <w:pStyle w:val="1056"/>
        <w:numPr>
          <w:ilvl w:val="0"/>
          <w:numId w:val="51"/>
        </w:numPr>
        <w:suppressLineNumbers w:val="false"/>
        <w:pBdr/>
        <w:spacing w:after="240" w:before="120" w:line="240" w:lineRule="auto"/>
        <w:ind/>
        <w:rPr/>
      </w:pPr>
      <w:r>
        <w:t xml:space="preserve">A scenario-driven evaluation framework that complements leaderboard metrics with clinically interpretable acceptance criteria.</w:t>
      </w:r>
      <w:r/>
    </w:p>
    <w:p w14:paraId="1BA74232">
      <w:pPr>
        <w:pStyle w:val="1056"/>
        <w:numPr>
          <w:ilvl w:val="0"/>
          <w:numId w:val="51"/>
        </w:numPr>
        <w:suppressLineNumbers w:val="false"/>
        <w:pBdr/>
        <w:spacing w:after="240" w:before="120" w:line="240" w:lineRule="auto"/>
        <w:ind/>
        <w:rPr>
          <w:highlight w:val="none"/>
        </w:rPr>
      </w:pPr>
      <w:r>
        <w:t xml:space="preserve">A concrete design pathway for integrating retrieval-augmented, evidence-aware answering as a controlled extension of visual-grounded VQA.</w:t>
      </w:r>
      <w:r>
        <w:rPr>
          <w:highlight w:val="none"/>
        </w:rPr>
      </w:r>
      <w:r>
        <w:rPr>
          <w:highlight w:val="none"/>
        </w:rPr>
      </w:r>
    </w:p>
    <w:p w14:paraId="33587185">
      <w:pPr>
        <w:pStyle w:val="1056"/>
        <w:suppressLineNumbers w:val="false"/>
        <w:pBdr/>
        <w:spacing w:line="300" w:lineRule="auto"/>
        <w:ind w:firstLine="0"/>
        <w:rPr>
          <w:b/>
          <w:bCs/>
        </w:rPr>
      </w:pPr>
      <w:r>
        <w:rPr>
          <w:b/>
          <w:bCs/>
        </w:rPr>
        <w:t xml:space="preserve">1.10.1 Contribution Boundaries</w:t>
      </w:r>
      <w:r>
        <w:rPr>
          <w:b/>
          <w:bCs/>
        </w:rPr>
      </w:r>
      <w:r>
        <w:rPr>
          <w:b/>
          <w:bCs/>
        </w:rPr>
      </w:r>
    </w:p>
    <w:p w14:paraId="620A1895">
      <w:pPr>
        <w:pStyle w:val="1056"/>
        <w:suppressLineNumbers w:val="false"/>
        <w:pBdr/>
        <w:spacing w:line="300" w:lineRule="auto"/>
        <w:ind w:firstLine="0"/>
        <w:rPr/>
      </w:pPr>
      <w:r>
        <w:t xml:space="preserve">This dissertation does not claim immediate real-time clinical deployment readiness. The contributions are methodological, empirical, and design-oriented, and they establish the basis for subsequent translational validation.</w:t>
      </w:r>
      <w:r/>
    </w:p>
    <w:p w14:paraId="0B52FBB4">
      <w:pPr>
        <w:pStyle w:val="1056"/>
        <w:suppressLineNumbers w:val="false"/>
        <w:pBdr/>
        <w:spacing w:line="300" w:lineRule="auto"/>
        <w:ind w:firstLine="0"/>
        <w:rPr/>
      </w:pPr>
      <w:r/>
      <w:r/>
    </w:p>
    <w:p w14:paraId="4D026E48">
      <w:pPr>
        <w:pStyle w:val="1056"/>
        <w:suppressLineNumbers w:val="false"/>
        <w:pBdr/>
        <w:spacing w:line="300" w:lineRule="auto"/>
        <w:ind w:firstLine="0"/>
        <w:rPr>
          <w:b/>
          <w:bCs/>
          <w:sz w:val="28"/>
          <w:szCs w:val="28"/>
        </w:rPr>
      </w:pPr>
      <w:r>
        <w:rPr>
          <w:b/>
          <w:bCs/>
          <w:sz w:val="28"/>
          <w:szCs w:val="28"/>
        </w:rPr>
        <w:t xml:space="preserve">1.11 Chapter-by-Chapter Summary</w:t>
      </w:r>
      <w:r>
        <w:rPr>
          <w:b/>
          <w:bCs/>
          <w:sz w:val="28"/>
          <w:szCs w:val="28"/>
        </w:rPr>
      </w:r>
      <w:r>
        <w:rPr>
          <w:b/>
          <w:bCs/>
          <w:sz w:val="28"/>
          <w:szCs w:val="28"/>
        </w:rPr>
      </w:r>
    </w:p>
    <w:p w14:paraId="5D95C937">
      <w:pPr>
        <w:pStyle w:val="1056"/>
        <w:suppressLineNumbers w:val="false"/>
        <w:pBdr/>
        <w:spacing w:line="300" w:lineRule="auto"/>
        <w:ind w:firstLine="0"/>
        <w:rPr/>
      </w:pPr>
      <w:r>
        <w:t xml:space="preserve">Chapter 1 (this chapter): establishes background, motivation, problem decomposition, research questions, conceptual framework, and contribution boundaries.</w:t>
      </w:r>
      <w:r/>
    </w:p>
    <w:p w14:paraId="6C7410F9">
      <w:pPr>
        <w:pStyle w:val="1056"/>
        <w:suppressLineNumbers w:val="false"/>
        <w:pBdr/>
        <w:spacing w:line="300" w:lineRule="auto"/>
        <w:ind w:firstLine="0"/>
        <w:rPr/>
      </w:pPr>
      <w:r>
        <w:t xml:space="preserve">Chapter 2: provides a structured scoping review of MedVQA and GI endoscopy literature, with explicit gap extraction.</w:t>
      </w:r>
      <w:r/>
    </w:p>
    <w:p w14:paraId="0F92827C">
      <w:pPr>
        <w:pStyle w:val="1056"/>
        <w:suppressLineNumbers w:val="false"/>
        <w:pBdr/>
        <w:spacing w:line="300" w:lineRule="auto"/>
        <w:ind w:firstLine="0"/>
        <w:rPr/>
      </w:pPr>
      <w:r>
        <w:t xml:space="preserve">Chapter 3: investigates existing VQA techniques across GI-endoscopy datasets (HyperKvasir, Kvasir-VQA, Kvasir-VQA-x1, ImageCLEF MEDVQA-GI 2023, LIMUC, and supporting Kvasir-SEG analyses), including comparative and failure-mode analyses.</w:t>
      </w:r>
      <w:r/>
    </w:p>
    <w:p w14:paraId="09E092D4">
      <w:pPr>
        <w:pStyle w:val="1056"/>
        <w:suppressLineNumbers w:val="false"/>
        <w:pBdr/>
        <w:spacing w:line="300" w:lineRule="auto"/>
        <w:ind w:firstLine="0"/>
        <w:rPr/>
      </w:pPr>
      <w:r>
        <w:t xml:space="preserve">Chapter 4: develops the proposed dataset-model-RAG-fine-tuning pipeline with implementation detail.</w:t>
      </w:r>
      <w:r/>
    </w:p>
    <w:p w14:paraId="69EB1FDF">
      <w:pPr>
        <w:pStyle w:val="1056"/>
        <w:suppressLineNumbers w:val="false"/>
        <w:pBdr/>
        <w:spacing w:line="300" w:lineRule="auto"/>
        <w:ind w:firstLine="0"/>
        <w:rPr/>
      </w:pPr>
      <w:r>
        <w:t xml:space="preserve">Chapter 5: instantiates PICO-oriented and scenario-based use cases with objective-oriented prompt and evidence design.</w:t>
      </w:r>
      <w:r/>
    </w:p>
    <w:p w14:paraId="667BE60C">
      <w:pPr>
        <w:pStyle w:val="1056"/>
        <w:suppressLineNumbers w:val="false"/>
        <w:pBdr/>
        <w:spacing w:line="300" w:lineRule="auto"/>
        <w:ind w:firstLine="0"/>
        <w:rPr/>
      </w:pPr>
      <w:r>
        <w:t xml:space="preserve">Chapter 6: integrates experimental findings, scenario performance, and evidence-layer behavior into a consolidated discussion.</w:t>
      </w:r>
      <w:r/>
    </w:p>
    <w:p w14:paraId="3C5296C7">
      <w:pPr>
        <w:pStyle w:val="1056"/>
        <w:suppressLineNumbers w:val="false"/>
        <w:pBdr/>
        <w:spacing w:line="300" w:lineRule="auto"/>
        <w:ind w:firstLine="0"/>
        <w:rPr/>
      </w:pPr>
      <w:r>
        <w:t xml:space="preserve">Chapter 7: synthesizes conclusions, revisits research questions, states limitations, and defines future work.</w:t>
      </w:r>
      <w:r/>
    </w:p>
    <w:p w14:paraId="26F79DA0">
      <w:pPr>
        <w:pStyle w:val="1056"/>
        <w:suppressLineNumbers w:val="false"/>
        <w:pBdr/>
        <w:spacing w:line="300" w:lineRule="auto"/>
        <w:ind/>
        <w:rPr/>
      </w:pPr>
      <w:r/>
      <w:r/>
    </w:p>
    <w:p w14:paraId="70E53ED4">
      <w:pPr>
        <w:pStyle w:val="1056"/>
        <w:suppressLineNumbers w:val="false"/>
        <w:pBdr/>
        <w:spacing w:line="300" w:lineRule="auto"/>
        <w:ind/>
        <w:rPr/>
      </w:pPr>
      <w:r/>
      <w:r/>
    </w:p>
    <w:p w14:paraId="381B1532">
      <w:pPr>
        <w:pStyle w:val="1056"/>
        <w:suppressLineNumbers w:val="false"/>
        <w:pBdr/>
        <w:spacing w:line="300" w:lineRule="auto"/>
        <w:ind/>
        <w:rPr/>
      </w:pPr>
      <w:r/>
      <w:r/>
    </w:p>
    <w:p w14:paraId="5154A291">
      <w:pPr>
        <w:pStyle w:val="1056"/>
        <w:suppressLineNumbers w:val="false"/>
        <w:pBdr/>
        <w:spacing w:line="300" w:lineRule="auto"/>
        <w:ind/>
        <w:rPr/>
      </w:pPr>
      <w:r/>
      <w:r/>
    </w:p>
    <w:p w14:paraId="12B54F1F" w14:textId="65827942">
      <w:pPr>
        <w:pStyle w:val="1056"/>
        <w:suppressLineNumbers w:val="false"/>
        <w:pBdr/>
        <w:spacing w:line="300" w:lineRule="auto"/>
        <w:ind w:firstLine="0"/>
        <w:rPr/>
      </w:pPr>
      <w:r/>
      <w:r/>
    </w:p>
    <w:p w14:paraId="25FF9EE4" w14:textId="4F9F96C5">
      <w:pPr>
        <w:pStyle w:val="1043"/>
        <w:suppressLineNumbers w:val="false"/>
        <w:pBdr/>
        <w:spacing w:line="300" w:lineRule="auto"/>
        <w:ind/>
        <w:rPr>
          <w:b/>
          <w:bCs/>
          <w:i w:val="0"/>
          <w:iCs w:val="0"/>
          <w:strike w:val="0"/>
          <w:color w:val="1b1c1d"/>
          <w:sz w:val="48"/>
          <w:szCs w:val="48"/>
          <w:u w:val="none"/>
        </w:rPr>
      </w:pPr>
      <w:r>
        <w:br/>
      </w:r>
      <w:r>
        <w:br/>
      </w:r>
      <w:r>
        <w:rPr>
          <w:b/>
          <w:bCs/>
          <w:i w:val="0"/>
          <w:iCs w:val="0"/>
          <w:strike w:val="0"/>
          <w:color w:val="1b1c1d"/>
          <w:sz w:val="48"/>
          <w:szCs w:val="48"/>
          <w:u w:val="none"/>
          <w:lang w:val="en-CA"/>
        </w:rPr>
        <w:t xml:space="preserve">Surveying VQA Techniques in Medicine with application to Colonoscopy</w:t>
      </w:r>
      <w:r>
        <w:rPr>
          <w:b/>
          <w:bCs/>
          <w:i w:val="0"/>
          <w:iCs w:val="0"/>
          <w:strike w:val="0"/>
          <w:color w:val="1b1c1d"/>
          <w:sz w:val="48"/>
          <w:szCs w:val="48"/>
          <w:u w:val="none"/>
        </w:rPr>
      </w:r>
      <w:r>
        <w:rPr>
          <w:b/>
          <w:bCs/>
          <w:i w:val="0"/>
          <w:iCs w:val="0"/>
          <w:strike w:val="0"/>
          <w:color w:val="1b1c1d"/>
          <w:sz w:val="48"/>
          <w:szCs w:val="48"/>
          <w:u w:val="none"/>
        </w:rPr>
      </w:r>
    </w:p>
    <w:p w14:paraId="53C36DDB">
      <w:pPr>
        <w:pStyle w:val="1056"/>
        <w:pBdr/>
        <w:spacing/>
        <w:ind w:firstLine="0"/>
        <w:rPr>
          <w:b/>
          <w:bCs/>
          <w:sz w:val="28"/>
          <w:szCs w:val="28"/>
        </w:rPr>
      </w:pPr>
      <w:r>
        <w:rPr>
          <w:b/>
          <w:bCs/>
          <w:sz w:val="28"/>
          <w:szCs w:val="28"/>
        </w:rPr>
        <w:t xml:space="preserve">2.0 Chapter 2 Overview</w:t>
      </w:r>
      <w:r>
        <w:rPr>
          <w:b/>
          <w:bCs/>
          <w:sz w:val="28"/>
          <w:szCs w:val="28"/>
        </w:rPr>
      </w:r>
      <w:r>
        <w:rPr>
          <w:b/>
          <w:bCs/>
          <w:sz w:val="28"/>
          <w:szCs w:val="28"/>
        </w:rPr>
      </w:r>
    </w:p>
    <w:p w14:paraId="1B0F00D2">
      <w:pPr>
        <w:pStyle w:val="1056"/>
        <w:pBdr/>
        <w:spacing/>
        <w:ind w:firstLine="0"/>
        <w:rPr/>
      </w:pPr>
      <w:r>
        <w:t xml:space="preserve">C</w:t>
      </w:r>
      <w:r>
        <w:t xml:space="preserve">hapter 2 provides the scoping-review backbone of the dissertation and establishes the evidence landscape that motivates the empirical work in Chapter 3. It documents the review design (objective, search window, source types, and inclusion/exclusion logic),</w:t>
      </w:r>
      <w:r>
        <w:t xml:space="preserve"> </w:t>
      </w:r>
      <w:r>
        <w:t xml:space="preserve">then synthesizes how MedVQA has evolved from constrained discriminative pipelines to transformer and generative multimodal systems. The chapter narrows this broader trajectory to GI endoscopy by mapping key datasets, challenge tracks, and colonoscopy-relev</w:t>
      </w:r>
      <w:r>
        <w:t xml:space="preserve">a</w:t>
      </w:r>
      <w:r>
        <w:t xml:space="preserve">nt task regimes, with specific emphasis on reliability constraints such as class imbalance, lexical answer variability, and clinical-threshold sensitivity. It also compares technique families (discriminative, transformer-based, generative, explainable, and</w:t>
      </w:r>
      <w:r>
        <w:t xml:space="preserve"> </w:t>
      </w:r>
      <w:r>
        <w:t xml:space="preserve">retrieval-aware) against scenario-level needs in colonoscopy decision support. To improve thesis traceability, the chapter triangulates external literature with internal repository evidence and ends with a structured gap map. These gaps are framed not as a</w:t>
      </w:r>
      <w:r>
        <w:t xml:space="preserve">bstract research opportunities, but as concrete methodological requirements that directly determine how Chapter 3 is designed, what metrics are prioritized, and which claims are considered defensible.</w:t>
      </w:r>
      <w:r/>
    </w:p>
    <w:p w14:paraId="74B40804">
      <w:pPr>
        <w:pStyle w:val="1056"/>
        <w:suppressLineNumbers w:val="false"/>
        <w:pBdr/>
        <w:spacing w:after="240" w:before="120" w:line="240" w:lineRule="auto"/>
        <w:ind w:firstLine="0"/>
        <w:rPr/>
      </w:pPr>
      <w:r>
        <w:t xml:space="preserve">At a glance, this chapter:</w:t>
      </w:r>
      <w:r/>
    </w:p>
    <w:p w14:paraId="6F7D20EC">
      <w:pPr>
        <w:pStyle w:val="1056"/>
        <w:suppressLineNumbers w:val="false"/>
        <w:pBdr/>
        <w:spacing w:after="240" w:before="120" w:line="240" w:lineRule="auto"/>
        <w:ind w:firstLine="0"/>
        <w:rPr/>
      </w:pPr>
      <w:r>
        <w:t xml:space="preserve">1. Defines a transparent scoping protocol and source-selection framework.</w:t>
      </w:r>
      <w:r/>
    </w:p>
    <w:p w14:paraId="1D29130D">
      <w:pPr>
        <w:pStyle w:val="1056"/>
        <w:suppressLineNumbers w:val="false"/>
        <w:pBdr/>
        <w:spacing w:after="240" w:before="120" w:line="240" w:lineRule="auto"/>
        <w:ind w:firstLine="0"/>
        <w:rPr/>
      </w:pPr>
      <w:r>
        <w:t xml:space="preserve">2. Summarizes the method and benchmark evolution of MedVQA.</w:t>
      </w:r>
      <w:r/>
    </w:p>
    <w:p w14:paraId="5AC7DB51">
      <w:pPr>
        <w:pStyle w:val="1056"/>
        <w:suppressLineNumbers w:val="false"/>
        <w:pBdr/>
        <w:spacing w:after="240" w:before="120" w:line="240" w:lineRule="auto"/>
        <w:ind w:firstLine="0"/>
        <w:rPr/>
      </w:pPr>
      <w:r>
        <w:t xml:space="preserve">3. Maps GI-colonoscopy datasets and challenge ecosystems to task needs.</w:t>
      </w:r>
      <w:r/>
    </w:p>
    <w:p w14:paraId="5FA99030">
      <w:pPr>
        <w:pStyle w:val="1056"/>
        <w:suppressLineNumbers w:val="false"/>
        <w:pBdr/>
        <w:spacing w:after="240" w:before="120" w:line="240" w:lineRule="auto"/>
        <w:ind w:firstLine="0"/>
        <w:rPr/>
      </w:pPr>
      <w:r>
        <w:t xml:space="preserve">4. Evaluates technique families against scenario-oriented clinical requirements.</w:t>
      </w:r>
      <w:r/>
    </w:p>
    <w:p w14:paraId="4265698E">
      <w:pPr>
        <w:pStyle w:val="1056"/>
        <w:suppressLineNumbers w:val="false"/>
        <w:pBdr/>
        <w:spacing w:after="240" w:before="120" w:line="240" w:lineRule="auto"/>
        <w:ind w:firstLine="0"/>
        <w:rPr/>
      </w:pPr>
      <w:r>
        <w:t xml:space="preserve">5. Produces a gap-and-risk synthesis that directly drives Chapter 3 experiments.</w:t>
      </w:r>
      <w:r/>
    </w:p>
    <w:p w14:paraId="5F35DB85">
      <w:pPr>
        <w:pStyle w:val="1056"/>
        <w:pBdr/>
        <w:spacing/>
        <w:ind w:firstLine="0"/>
        <w:rPr/>
      </w:pPr>
      <w:r/>
      <w:r/>
    </w:p>
    <w:p w14:paraId="0BC6FFF5">
      <w:pPr>
        <w:pStyle w:val="1056"/>
        <w:pBdr/>
        <w:spacing/>
        <w:ind w:firstLine="0"/>
        <w:rPr/>
      </w:pPr>
      <w:r>
        <w:t xml:space="preserve">The next chapter moves from literature synthesis to artifact-grounded empirical evaluation across GI-endoscopy datasets.</w:t>
      </w:r>
      <w:r/>
    </w:p>
    <w:p w14:paraId="4489C505">
      <w:pPr>
        <w:pStyle w:val="1056"/>
        <w:pBdr/>
        <w:spacing/>
        <w:ind w:firstLine="0"/>
        <w:rPr/>
      </w:pPr>
      <w:r>
        <w:rPr>
          <w:b/>
          <w:bCs/>
          <w:i w:val="0"/>
          <w:iCs w:val="0"/>
          <w:strike w:val="0"/>
          <w:color w:val="1b1c1d"/>
          <w:sz w:val="48"/>
          <w:szCs w:val="48"/>
          <w:u w:val="none"/>
          <w:lang w:val="en-CA"/>
        </w:rPr>
      </w:r>
      <w:r>
        <w:rPr>
          <w:b/>
          <w:bCs/>
          <w:i w:val="0"/>
          <w:iCs w:val="0"/>
          <w:strike w:val="0"/>
          <w:color w:val="1b1c1d"/>
          <w:sz w:val="48"/>
          <w:szCs w:val="48"/>
          <w:u w:val="none"/>
        </w:rPr>
      </w:r>
      <w:r/>
    </w:p>
    <w:p w14:paraId="3FD4EF18" w14:textId="5A0D563D">
      <w:pPr>
        <w:suppressLineNumbers w:val="false"/>
        <w:pBdr/>
        <w:spacing w:after="240" w:afterAutospacing="0" w:before="240" w:beforeAutospacing="0" w:line="300" w:lineRule="auto"/>
        <w:ind/>
        <w:rPr>
          <w:b/>
          <w:bCs/>
          <w:sz w:val="28"/>
          <w:szCs w:val="28"/>
        </w:rPr>
      </w:pPr>
      <w:r>
        <w:rPr>
          <w:b/>
          <w:bCs/>
          <w:sz w:val="28"/>
          <w:szCs w:val="28"/>
          <w:lang w:val="en-CA"/>
        </w:rPr>
        <w:t xml:space="preserve">2.1 Introduction</w:t>
      </w:r>
      <w:r>
        <w:rPr>
          <w:b/>
          <w:bCs/>
          <w:sz w:val="28"/>
          <w:szCs w:val="28"/>
        </w:rPr>
      </w:r>
      <w:r>
        <w:rPr>
          <w:b/>
          <w:bCs/>
          <w:sz w:val="28"/>
          <w:szCs w:val="28"/>
        </w:rPr>
      </w:r>
    </w:p>
    <w:p w14:paraId="0F90BBC5">
      <w:pPr>
        <w:pStyle w:val="1042"/>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V</w:t>
      </w:r>
      <w:r>
        <w:rPr>
          <w:rFonts w:ascii="Arial" w:hAnsi="Arial" w:eastAsia="Arial" w:cs="Arial"/>
          <w:b w:val="0"/>
          <w:bCs w:val="0"/>
          <w:i w:val="0"/>
          <w:iCs w:val="0"/>
          <w:caps w:val="0"/>
          <w:smallCaps w:val="0"/>
          <w:color w:val="000000" w:themeColor="text1" w:themeTint="FF" w:themeShade="FF"/>
          <w:sz w:val="22"/>
          <w:szCs w:val="22"/>
          <w:lang w:val="en-CA"/>
        </w:rPr>
        <w:t xml:space="preserve">isual Question Answering (VQA) has evolved from a general computer-vision benchmark task into a clinically relevant multimodal research area. In medical VQA (MedVQA), a model must interpret medical imagery, parse a natural-language question, and generate a</w:t>
      </w:r>
      <w:r>
        <w:rPr>
          <w:rFonts w:ascii="Arial" w:hAnsi="Arial" w:eastAsia="Arial" w:cs="Arial"/>
          <w:b w:val="0"/>
          <w:bCs w:val="0"/>
          <w:i w:val="0"/>
          <w:iCs w:val="0"/>
          <w:caps w:val="0"/>
          <w:smallCaps w:val="0"/>
          <w:color w:val="000000" w:themeColor="text1" w:themeTint="FF" w:themeShade="FF"/>
          <w:sz w:val="22"/>
          <w:szCs w:val="22"/>
          <w:lang w:val="en-CA"/>
        </w:rPr>
        <w:t xml:space="preserve">n</w:t>
      </w:r>
      <w:r>
        <w:rPr>
          <w:rFonts w:ascii="Arial" w:hAnsi="Arial" w:eastAsia="Arial" w:cs="Arial"/>
          <w:b w:val="0"/>
          <w:bCs w:val="0"/>
          <w:i w:val="0"/>
          <w:iCs w:val="0"/>
          <w:caps w:val="0"/>
          <w:smallCaps w:val="0"/>
          <w:color w:val="000000" w:themeColor="text1" w:themeTint="FF" w:themeShade="FF"/>
          <w:sz w:val="22"/>
          <w:szCs w:val="22"/>
          <w:lang w:val="en-CA"/>
        </w:rPr>
        <w:t xml:space="preserve"> answer that is not only technically correct but also clinically meaningful. This imposes stricter requirements than general-domain VQA: stronger visual grounding, domain-aware language understanding, robustness under class imbalance, and error behavior th</w:t>
      </w:r>
      <w:r>
        <w:rPr>
          <w:rFonts w:ascii="Arial" w:hAnsi="Arial" w:eastAsia="Arial" w:cs="Arial"/>
          <w:b w:val="0"/>
          <w:bCs w:val="0"/>
          <w:i w:val="0"/>
          <w:iCs w:val="0"/>
          <w:caps w:val="0"/>
          <w:smallCaps w:val="0"/>
          <w:color w:val="000000" w:themeColor="text1" w:themeTint="FF" w:themeShade="FF"/>
          <w:sz w:val="22"/>
          <w:szCs w:val="22"/>
          <w:lang w:val="en-CA"/>
        </w:rPr>
        <w:t xml:space="preserve">at is safe under clinical risk [4].</w:t>
      </w:r>
      <w:r>
        <w:rPr>
          <w:rFonts w:ascii="Arial" w:hAnsi="Arial" w:eastAsia="Arial" w:cs="Arial"/>
          <w:b w:val="0"/>
          <w:bCs w:val="0"/>
          <w:i w:val="0"/>
          <w:iCs w:val="0"/>
          <w:caps w:val="0"/>
          <w:smallCaps w:val="0"/>
          <w:color w:val="000000" w:themeColor="text1" w:themeTint="FF" w:themeShade="FF"/>
          <w:sz w:val="22"/>
          <w:szCs w:val="22"/>
          <w:lang w:val="en-CA"/>
        </w:rPr>
      </w:r>
      <w:r/>
    </w:p>
    <w:p w14:paraId="5E80A0C2">
      <w:pPr>
        <w:pStyle w:val="1042"/>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F</w:t>
      </w:r>
      <w:r>
        <w:rPr>
          <w:rFonts w:ascii="Arial" w:hAnsi="Arial" w:eastAsia="Arial" w:cs="Arial"/>
          <w:b w:val="0"/>
          <w:bCs w:val="0"/>
          <w:i w:val="0"/>
          <w:iCs w:val="0"/>
          <w:caps w:val="0"/>
          <w:smallCaps w:val="0"/>
          <w:color w:val="000000" w:themeColor="text1" w:themeTint="FF" w:themeShade="FF"/>
          <w:sz w:val="22"/>
          <w:szCs w:val="22"/>
          <w:lang w:val="en-CA"/>
        </w:rPr>
        <w:t xml:space="preserve">or this dissertation, the focus is gastrointestinal (GI) endoscopy with an emphasis on colonoscopy use cases. This domain is clinically important and methodologically difficult. Colonoscopy frames contain artifacts, illumination variation, blur, occlusions</w:t>
      </w:r>
      <w:r>
        <w:rPr>
          <w:rFonts w:ascii="Arial" w:hAnsi="Arial" w:eastAsia="Arial" w:cs="Arial"/>
          <w:b w:val="0"/>
          <w:bCs w:val="0"/>
          <w:i w:val="0"/>
          <w:iCs w:val="0"/>
          <w:caps w:val="0"/>
          <w:smallCaps w:val="0"/>
          <w:color w:val="000000" w:themeColor="text1" w:themeTint="FF" w:themeShade="FF"/>
          <w:sz w:val="22"/>
          <w:szCs w:val="22"/>
          <w:lang w:val="en-CA"/>
        </w:rPr>
        <w:t xml:space="preserve"> by instruments, and subtle lesion morphology. Questions that appear simple in natural language (e.g., "Is there active inflammation?" or "What is the likely severity?") can require fine-grained perception and domain-specific interpretation.</w:t>
      </w:r>
      <w:r>
        <w:rPr>
          <w:rFonts w:ascii="Arial" w:hAnsi="Arial" w:eastAsia="Arial" w:cs="Arial"/>
          <w:b w:val="0"/>
          <w:bCs w:val="0"/>
          <w:i w:val="0"/>
          <w:iCs w:val="0"/>
          <w:caps w:val="0"/>
          <w:smallCaps w:val="0"/>
          <w:color w:val="000000" w:themeColor="text1" w:themeTint="FF" w:themeShade="FF"/>
          <w:sz w:val="22"/>
          <w:szCs w:val="22"/>
          <w:lang w:val="en-CA"/>
        </w:rPr>
      </w:r>
      <w:r/>
    </w:p>
    <w:p w14:paraId="573A3B96">
      <w:pPr>
        <w:pStyle w:val="1042"/>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purpose of this chapter is to provide a rigorous survey that supports design choices in subsequent chapters. Specifically, this chapter:</w:t>
      </w:r>
      <w:r>
        <w:rPr>
          <w:rFonts w:ascii="Arial" w:hAnsi="Arial" w:eastAsia="Arial" w:cs="Arial"/>
          <w:b w:val="0"/>
          <w:bCs w:val="0"/>
          <w:i w:val="0"/>
          <w:iCs w:val="0"/>
          <w:caps w:val="0"/>
          <w:smallCaps w:val="0"/>
          <w:color w:val="000000" w:themeColor="text1" w:themeTint="FF" w:themeShade="FF"/>
          <w:sz w:val="22"/>
          <w:szCs w:val="22"/>
          <w:lang w:val="en-CA"/>
        </w:rPr>
      </w:r>
      <w:r/>
    </w:p>
    <w:p w14:paraId="05BBAFE9">
      <w:pPr>
        <w:pStyle w:val="1042"/>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maps the historical evolution of MedVQA model families;</w:t>
      </w:r>
      <w:r/>
    </w:p>
    <w:p w14:paraId="22B19002">
      <w:pPr>
        <w:pStyle w:val="1042"/>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dataset and benchmark development, with GI-specific focus;</w:t>
      </w:r>
      <w:r/>
    </w:p>
    <w:p w14:paraId="2FC68D11">
      <w:pPr>
        <w:pStyle w:val="1042"/>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compares technique families against colonoscopy scenario requirements;</w:t>
      </w:r>
      <w:r/>
    </w:p>
    <w:p w14:paraId="7037EEFA">
      <w:pPr>
        <w:pStyle w:val="1042"/>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evaluation practices and their limitations;</w:t>
      </w:r>
      <w:r/>
    </w:p>
    <w:p w14:paraId="529EA61A">
      <w:pPr>
        <w:pStyle w:val="1042"/>
        <w:numPr>
          <w:ilvl w:val="0"/>
          <w:numId w:val="22"/>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lang w:val="en-CA"/>
        </w:rPr>
        <w:t xml:space="preserve">identifies open gaps that directly motivate the methodology in Chapter 3, Chapter 4, and </w:t>
      </w:r>
      <w:r>
        <w:rPr>
          <w:rFonts w:ascii="Arial" w:hAnsi="Arial" w:eastAsia="Arial" w:cs="Arial"/>
          <w:b w:val="0"/>
          <w:bCs w:val="0"/>
          <w:i w:val="0"/>
          <w:iCs w:val="0"/>
          <w:caps w:val="0"/>
          <w:smallCaps w:val="0"/>
          <w:color w:val="000000" w:themeColor="text1" w:themeTint="FF" w:themeShade="FF"/>
          <w:sz w:val="22"/>
          <w:szCs w:val="22"/>
          <w:lang w:val="en-CA"/>
        </w:rPr>
        <w:t xml:space="preserve">Chapter 5.</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BDC3232">
      <w:pPr>
        <w:pStyle w:val="1042"/>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chapter is written in the same formal style as the dissertation introduction and uses standard terminology from computer vision (CV), natural language processing (NLP), and multimodal learning.</w:t>
      </w:r>
      <w:r/>
    </w:p>
    <w:p w14:paraId="55828FA6">
      <w:pPr>
        <w:pStyle w:val="1042"/>
        <w:suppressLineNumbers w:val="false"/>
        <w:pBdr/>
        <w:spacing w:after="240" w:afterAutospacing="0" w:before="240" w:beforeAutospacing="0" w:line="300" w:lineRule="auto"/>
        <w:ind w:firstLine="0"/>
        <w:rPr>
          <w:b/>
          <w:bCs/>
          <w:highlight w:val="none"/>
        </w:rPr>
      </w:pPr>
      <w:r>
        <w:rPr>
          <w:rFonts w:ascii="Arial" w:hAnsi="Arial" w:eastAsia="Arial" w:cs="Arial"/>
          <w:b/>
          <w:bCs/>
          <w:i w:val="0"/>
          <w:iCs w:val="0"/>
          <w:caps w:val="0"/>
          <w:smallCaps w:val="0"/>
          <w:color w:val="000000" w:themeColor="text1" w:themeTint="FF" w:themeShade="FF"/>
          <w:sz w:val="22"/>
          <w:szCs w:val="22"/>
          <w:lang w:val="en-CA"/>
        </w:rPr>
        <w:t xml:space="preserve">2.1.1 Definitions and Notation Used in This Chapter</w:t>
      </w:r>
      <w:r>
        <w:rPr>
          <w:b/>
          <w:bCs/>
          <w:highlight w:val="none"/>
        </w:rPr>
      </w:r>
      <w:r>
        <w:rPr>
          <w:b/>
          <w:bCs/>
          <w:highlight w:val="none"/>
        </w:rPr>
      </w:r>
    </w:p>
    <w:p w14:paraId="4B1B566E">
      <w:pPr>
        <w:pStyle w:val="1042"/>
        <w:suppressLineNumbers w:val="false"/>
        <w:pBdr/>
        <w:spacing w:after="240" w:afterAutospacing="0" w:before="240" w:beforeAutospacing="0" w:line="300" w:lineRule="auto"/>
        <w:ind w:firstLine="0"/>
        <w:rPr>
          <w:b/>
          <w:bCs/>
        </w:rPr>
      </w:pPr>
      <w:r>
        <w:rPr>
          <w:b/>
          <w:bCs/>
          <w:highlight w:val="none"/>
        </w:rPr>
      </w:r>
      <w:r>
        <w:rPr>
          <w:b/>
          <w:bCs/>
        </w:rPr>
      </w:r>
      <w:r>
        <w:rPr>
          <w:b/>
          <w:bCs/>
        </w:rPr>
      </w:r>
    </w:p>
    <w:tbl>
      <w:tblPr>
        <w:tblStyle w:val="1113"/>
        <w:tblW w:w="0" w:type="auto"/>
        <w:tblBorders/>
        <w:tblLayout w:type="fixed"/>
        <w:tblLook w:val="04A0" w:firstRow="1" w:lastRow="0" w:firstColumn="1" w:lastColumn="0" w:noHBand="0" w:noVBand="1"/>
      </w:tblPr>
      <w:tblGrid>
        <w:gridCol w:w="3019"/>
        <w:gridCol w:w="5621"/>
      </w:tblGrid>
      <w:tr>
        <w:trPr/>
        <w:tc>
          <w:tcPr>
            <w:tcBorders/>
            <w:tcW w:w="3019" w:type="dxa"/>
            <w:textDirection w:val="lrTb"/>
            <w:noWrap w:val="false"/>
          </w:tcPr>
          <w:p w14:paraId="239A1987">
            <w:pPr>
              <w:pBdr/>
              <w:spacing w:after="0" w:before="0" w:line="240" w:lineRule="auto"/>
              <w:ind/>
              <w:rPr>
                <w:color w:val="000000" w:themeColor="text1"/>
              </w:rPr>
            </w:pPr>
            <w:r>
              <w:rPr>
                <w:rFonts w:ascii="Arial" w:hAnsi="Arial" w:eastAsia="Arial" w:cs="Arial"/>
                <w:b/>
                <w:color w:val="000000" w:themeColor="text1"/>
                <w:sz w:val="21"/>
              </w:rPr>
              <w:t xml:space="preserve">Term / Metric</w:t>
            </w:r>
            <w:r>
              <w:rPr>
                <w:color w:val="000000" w:themeColor="text1"/>
              </w:rPr>
            </w:r>
            <w:r>
              <w:rPr>
                <w:color w:val="000000" w:themeColor="text1"/>
              </w:rPr>
            </w:r>
          </w:p>
        </w:tc>
        <w:tc>
          <w:tcPr>
            <w:tcBorders/>
            <w:tcW w:w="5621" w:type="dxa"/>
            <w:textDirection w:val="lrTb"/>
            <w:noWrap w:val="false"/>
          </w:tcPr>
          <w:p w14:paraId="5AEA13C1">
            <w:pPr>
              <w:pBdr/>
              <w:spacing w:after="0" w:before="0" w:line="240" w:lineRule="auto"/>
              <w:ind/>
              <w:rPr>
                <w:color w:val="000000" w:themeColor="text1"/>
              </w:rPr>
            </w:pPr>
            <w:r>
              <w:rPr>
                <w:rFonts w:ascii="Arial" w:hAnsi="Arial" w:eastAsia="Arial" w:cs="Arial"/>
                <w:b/>
                <w:color w:val="000000" w:themeColor="text1"/>
                <w:sz w:val="21"/>
              </w:rPr>
              <w:t xml:space="preserve">Working meaning in this dissertation</w:t>
            </w:r>
            <w:r>
              <w:rPr>
                <w:color w:val="000000" w:themeColor="text1"/>
              </w:rPr>
            </w:r>
            <w:r>
              <w:rPr>
                <w:color w:val="000000" w:themeColor="text1"/>
              </w:rPr>
            </w:r>
          </w:p>
        </w:tc>
      </w:tr>
      <w:tr>
        <w:trPr/>
        <w:tc>
          <w:tcPr>
            <w:tcBorders/>
            <w:tcW w:w="3019" w:type="dxa"/>
            <w:textDirection w:val="lrTb"/>
            <w:noWrap w:val="false"/>
          </w:tcPr>
          <w:p w14:paraId="33B75DC2">
            <w:pPr>
              <w:pBdr/>
              <w:spacing w:after="0" w:before="0" w:line="240" w:lineRule="auto"/>
              <w:ind/>
              <w:rPr>
                <w:color w:val="000000" w:themeColor="text1"/>
              </w:rPr>
            </w:pPr>
            <w:r>
              <w:rPr>
                <w:rFonts w:ascii="Arial" w:hAnsi="Arial" w:eastAsia="Arial" w:cs="Arial"/>
                <w:color w:val="000000" w:themeColor="text1"/>
                <w:sz w:val="21"/>
              </w:rPr>
              <w:t xml:space="preserve">MedVQA</w:t>
            </w:r>
            <w:r>
              <w:rPr>
                <w:color w:val="000000" w:themeColor="text1"/>
              </w:rPr>
            </w:r>
            <w:r>
              <w:rPr>
                <w:color w:val="000000" w:themeColor="text1"/>
              </w:rPr>
            </w:r>
          </w:p>
        </w:tc>
        <w:tc>
          <w:tcPr>
            <w:tcBorders/>
            <w:tcW w:w="5621" w:type="dxa"/>
            <w:textDirection w:val="lrTb"/>
            <w:noWrap w:val="false"/>
          </w:tcPr>
          <w:p w14:paraId="71E27EAB">
            <w:pPr>
              <w:pBdr/>
              <w:spacing w:after="0" w:before="0" w:line="240" w:lineRule="auto"/>
              <w:ind/>
              <w:rPr>
                <w:color w:val="000000" w:themeColor="text1"/>
              </w:rPr>
            </w:pPr>
            <w:r>
              <w:rPr>
                <w:rFonts w:ascii="Arial" w:hAnsi="Arial" w:eastAsia="Arial" w:cs="Arial"/>
                <w:color w:val="000000" w:themeColor="text1"/>
                <w:sz w:val="21"/>
              </w:rPr>
              <w:t xml:space="preserve">Image-question-answer modeling in medical domains</w:t>
            </w:r>
            <w:r>
              <w:rPr>
                <w:color w:val="000000" w:themeColor="text1"/>
              </w:rPr>
            </w:r>
            <w:r>
              <w:rPr>
                <w:color w:val="000000" w:themeColor="text1"/>
              </w:rPr>
            </w:r>
          </w:p>
        </w:tc>
      </w:tr>
      <w:tr>
        <w:trPr/>
        <w:tc>
          <w:tcPr>
            <w:tcBorders/>
            <w:tcW w:w="3019" w:type="dxa"/>
            <w:textDirection w:val="lrTb"/>
            <w:noWrap w:val="false"/>
          </w:tcPr>
          <w:p w14:paraId="6C00B012">
            <w:pPr>
              <w:pBdr/>
              <w:spacing w:after="0" w:before="0" w:line="240" w:lineRule="auto"/>
              <w:ind/>
              <w:rPr>
                <w:color w:val="000000" w:themeColor="text1"/>
              </w:rPr>
            </w:pPr>
            <w:r>
              <w:rPr>
                <w:rFonts w:ascii="Arial" w:hAnsi="Arial" w:eastAsia="Arial" w:cs="Arial"/>
                <w:color w:val="000000" w:themeColor="text1"/>
                <w:sz w:val="21"/>
              </w:rPr>
              <w:t xml:space="preserve">Clinical MedVQA</w:t>
            </w:r>
            <w:r>
              <w:rPr>
                <w:color w:val="000000" w:themeColor="text1"/>
              </w:rPr>
            </w:r>
            <w:r>
              <w:rPr>
                <w:color w:val="000000" w:themeColor="text1"/>
              </w:rPr>
            </w:r>
          </w:p>
        </w:tc>
        <w:tc>
          <w:tcPr>
            <w:tcBorders/>
            <w:tcW w:w="5621" w:type="dxa"/>
            <w:textDirection w:val="lrTb"/>
            <w:noWrap w:val="false"/>
          </w:tcPr>
          <w:p w14:paraId="7CD6874D">
            <w:pPr>
              <w:pBdr/>
              <w:spacing w:after="0" w:before="0" w:line="240" w:lineRule="auto"/>
              <w:ind/>
              <w:rPr>
                <w:color w:val="000000" w:themeColor="text1"/>
              </w:rPr>
            </w:pPr>
            <w:r>
              <w:rPr>
                <w:rFonts w:ascii="Arial" w:hAnsi="Arial" w:eastAsia="Arial" w:cs="Arial"/>
                <w:color w:val="000000" w:themeColor="text1"/>
                <w:sz w:val="21"/>
              </w:rPr>
              <w:t xml:space="preserve">MedVQA configured for decision support with safety constraints</w:t>
            </w:r>
            <w:r>
              <w:rPr>
                <w:color w:val="000000" w:themeColor="text1"/>
              </w:rPr>
            </w:r>
            <w:r>
              <w:rPr>
                <w:color w:val="000000" w:themeColor="text1"/>
              </w:rPr>
            </w:r>
          </w:p>
        </w:tc>
      </w:tr>
      <w:tr>
        <w:trPr/>
        <w:tc>
          <w:tcPr>
            <w:tcBorders/>
            <w:tcW w:w="3019" w:type="dxa"/>
            <w:textDirection w:val="lrTb"/>
            <w:noWrap w:val="false"/>
          </w:tcPr>
          <w:p w14:paraId="13CDC2AE">
            <w:pPr>
              <w:pBdr/>
              <w:spacing w:after="0" w:before="0" w:line="240" w:lineRule="auto"/>
              <w:ind/>
              <w:rPr>
                <w:color w:val="000000" w:themeColor="text1"/>
              </w:rPr>
            </w:pPr>
            <w:r>
              <w:rPr>
                <w:rFonts w:ascii="Arial" w:hAnsi="Arial" w:eastAsia="Arial" w:cs="Arial"/>
                <w:color w:val="000000" w:themeColor="text1"/>
                <w:sz w:val="21"/>
              </w:rPr>
              <w:t xml:space="preserve">VLM / MLLM</w:t>
            </w:r>
            <w:r>
              <w:rPr>
                <w:color w:val="000000" w:themeColor="text1"/>
              </w:rPr>
            </w:r>
            <w:r>
              <w:rPr>
                <w:color w:val="000000" w:themeColor="text1"/>
              </w:rPr>
            </w:r>
          </w:p>
        </w:tc>
        <w:tc>
          <w:tcPr>
            <w:tcBorders/>
            <w:tcW w:w="5621" w:type="dxa"/>
            <w:textDirection w:val="lrTb"/>
            <w:noWrap w:val="false"/>
          </w:tcPr>
          <w:p w14:paraId="34F4C90A">
            <w:pPr>
              <w:pBdr/>
              <w:spacing w:after="0" w:before="0" w:line="240" w:lineRule="auto"/>
              <w:ind/>
              <w:rPr>
                <w:color w:val="000000" w:themeColor="text1"/>
              </w:rPr>
            </w:pPr>
            <w:r>
              <w:rPr>
                <w:rFonts w:ascii="Arial" w:hAnsi="Arial" w:eastAsia="Arial" w:cs="Arial"/>
                <w:color w:val="000000" w:themeColor="text1"/>
                <w:sz w:val="21"/>
              </w:rPr>
              <w:t xml:space="preserve">Vision-language model / multimodal large language model</w:t>
            </w:r>
            <w:r>
              <w:rPr>
                <w:color w:val="000000" w:themeColor="text1"/>
              </w:rPr>
            </w:r>
            <w:r>
              <w:rPr>
                <w:color w:val="000000" w:themeColor="text1"/>
              </w:rPr>
            </w:r>
          </w:p>
        </w:tc>
      </w:tr>
      <w:tr>
        <w:trPr/>
        <w:tc>
          <w:tcPr>
            <w:tcBorders/>
            <w:tcW w:w="3019" w:type="dxa"/>
            <w:textDirection w:val="lrTb"/>
            <w:noWrap w:val="false"/>
          </w:tcPr>
          <w:p w14:paraId="2094C29D">
            <w:pPr>
              <w:pBdr/>
              <w:spacing w:after="0" w:before="0" w:line="240" w:lineRule="auto"/>
              <w:ind/>
              <w:rPr>
                <w:color w:val="000000" w:themeColor="text1"/>
              </w:rPr>
            </w:pPr>
            <w:r>
              <w:rPr>
                <w:rFonts w:ascii="Arial" w:hAnsi="Arial" w:eastAsia="Arial" w:cs="Arial"/>
                <w:color w:val="000000" w:themeColor="text1"/>
                <w:sz w:val="21"/>
              </w:rPr>
              <w:t xml:space="preserve">MES / UCEIS / BBPS</w:t>
            </w:r>
            <w:r>
              <w:rPr>
                <w:color w:val="000000" w:themeColor="text1"/>
              </w:rPr>
            </w:r>
            <w:r>
              <w:rPr>
                <w:color w:val="000000" w:themeColor="text1"/>
              </w:rPr>
            </w:r>
          </w:p>
        </w:tc>
        <w:tc>
          <w:tcPr>
            <w:tcBorders/>
            <w:tcW w:w="5621" w:type="dxa"/>
            <w:textDirection w:val="lrTb"/>
            <w:noWrap w:val="false"/>
          </w:tcPr>
          <w:p w14:paraId="426ADAE9">
            <w:pPr>
              <w:pBdr/>
              <w:spacing w:after="0" w:before="0" w:line="240" w:lineRule="auto"/>
              <w:ind/>
              <w:rPr>
                <w:color w:val="000000" w:themeColor="text1"/>
              </w:rPr>
            </w:pPr>
            <w:r>
              <w:rPr>
                <w:rFonts w:ascii="Arial" w:hAnsi="Arial" w:eastAsia="Arial" w:cs="Arial"/>
                <w:color w:val="000000" w:themeColor="text1"/>
                <w:sz w:val="21"/>
              </w:rPr>
              <w:t xml:space="preserve">Mayo Endoscopic Subscore / Ulcerative Colitis Endoscopic Index of Severity / Boston Bowel Preparation Scale</w:t>
            </w:r>
            <w:r>
              <w:rPr>
                <w:color w:val="000000" w:themeColor="text1"/>
              </w:rPr>
            </w:r>
            <w:r>
              <w:rPr>
                <w:color w:val="000000" w:themeColor="text1"/>
              </w:rPr>
            </w:r>
          </w:p>
        </w:tc>
      </w:tr>
      <w:tr>
        <w:trPr/>
        <w:tc>
          <w:tcPr>
            <w:tcBorders/>
            <w:tcW w:w="3019" w:type="dxa"/>
            <w:textDirection w:val="lrTb"/>
            <w:noWrap w:val="false"/>
          </w:tcPr>
          <w:p w14:paraId="36F84E36">
            <w:pPr>
              <w:pBdr/>
              <w:spacing w:after="0" w:before="0" w:line="240" w:lineRule="auto"/>
              <w:ind/>
              <w:rPr>
                <w:color w:val="000000" w:themeColor="text1"/>
              </w:rPr>
            </w:pPr>
            <w:r>
              <w:rPr>
                <w:rFonts w:ascii="Arial" w:hAnsi="Arial" w:eastAsia="Arial" w:cs="Arial"/>
                <w:color w:val="000000" w:themeColor="text1"/>
                <w:sz w:val="21"/>
              </w:rPr>
              <w:t xml:space="preserve">EM / macro-F1</w:t>
            </w:r>
            <w:r>
              <w:rPr>
                <w:color w:val="000000" w:themeColor="text1"/>
              </w:rPr>
            </w:r>
            <w:r>
              <w:rPr>
                <w:color w:val="000000" w:themeColor="text1"/>
              </w:rPr>
            </w:r>
          </w:p>
        </w:tc>
        <w:tc>
          <w:tcPr>
            <w:tcBorders/>
            <w:tcW w:w="5621" w:type="dxa"/>
            <w:textDirection w:val="lrTb"/>
            <w:noWrap w:val="false"/>
          </w:tcPr>
          <w:p w14:paraId="397DDA88">
            <w:pPr>
              <w:pBdr/>
              <w:spacing w:after="0" w:before="0" w:line="240" w:lineRule="auto"/>
              <w:ind/>
              <w:rPr>
                <w:color w:val="000000" w:themeColor="text1"/>
              </w:rPr>
            </w:pPr>
            <w:r>
              <w:rPr>
                <w:rFonts w:ascii="Arial" w:hAnsi="Arial" w:eastAsia="Arial" w:cs="Arial"/>
                <w:color w:val="000000" w:themeColor="text1"/>
                <w:sz w:val="21"/>
              </w:rPr>
              <w:t xml:space="preserve">Exact match (string-level) / class-balanced F1 across labels</w:t>
            </w:r>
            <w:r>
              <w:rPr>
                <w:color w:val="000000" w:themeColor="text1"/>
              </w:rPr>
            </w:r>
            <w:r>
              <w:rPr>
                <w:color w:val="000000" w:themeColor="text1"/>
              </w:rPr>
            </w:r>
          </w:p>
        </w:tc>
      </w:tr>
      <w:tr>
        <w:trPr/>
        <w:tc>
          <w:tcPr>
            <w:tcBorders/>
            <w:tcW w:w="3019" w:type="dxa"/>
            <w:textDirection w:val="lrTb"/>
            <w:noWrap w:val="false"/>
          </w:tcPr>
          <w:p w14:paraId="0661A908">
            <w:pPr>
              <w:pBdr/>
              <w:spacing w:after="0" w:before="0" w:line="240" w:lineRule="auto"/>
              <w:ind/>
              <w:rPr>
                <w:color w:val="000000" w:themeColor="text1"/>
              </w:rPr>
            </w:pPr>
            <w:r>
              <w:rPr>
                <w:rFonts w:ascii="Arial" w:hAnsi="Arial" w:eastAsia="Arial" w:cs="Arial"/>
                <w:color w:val="000000" w:themeColor="text1"/>
                <w:sz w:val="21"/>
              </w:rPr>
              <w:t xml:space="preserve">QWK</w:t>
            </w:r>
            <w:r>
              <w:rPr>
                <w:color w:val="000000" w:themeColor="text1"/>
              </w:rPr>
            </w:r>
            <w:r>
              <w:rPr>
                <w:color w:val="000000" w:themeColor="text1"/>
              </w:rPr>
            </w:r>
          </w:p>
        </w:tc>
        <w:tc>
          <w:tcPr>
            <w:tcBorders/>
            <w:tcW w:w="5621" w:type="dxa"/>
            <w:textDirection w:val="lrTb"/>
            <w:noWrap w:val="false"/>
          </w:tcPr>
          <w:p w14:paraId="6B590178">
            <w:pPr>
              <w:pBdr/>
              <w:spacing w:after="0" w:before="0" w:line="240" w:lineRule="auto"/>
              <w:ind/>
              <w:rPr>
                <w:color w:val="000000" w:themeColor="text1"/>
              </w:rPr>
            </w:pPr>
            <w:r>
              <w:rPr>
                <w:rFonts w:ascii="Arial" w:hAnsi="Arial" w:eastAsia="Arial" w:cs="Arial"/>
                <w:color w:val="000000" w:themeColor="text1"/>
                <w:sz w:val="21"/>
              </w:rPr>
              <w:t xml:space="preserve">Quadratic weighted kappa for ordinal agreement (used in severity tasks)</w:t>
            </w:r>
            <w:r>
              <w:rPr>
                <w:color w:val="000000" w:themeColor="text1"/>
              </w:rPr>
            </w:r>
            <w:r>
              <w:rPr>
                <w:color w:val="000000" w:themeColor="text1"/>
              </w:rPr>
            </w:r>
          </w:p>
        </w:tc>
      </w:tr>
      <w:tr>
        <w:trPr/>
        <w:tc>
          <w:tcPr>
            <w:tcBorders/>
            <w:tcW w:w="3019" w:type="dxa"/>
            <w:textDirection w:val="lrTb"/>
            <w:noWrap w:val="false"/>
          </w:tcPr>
          <w:p w14:paraId="17F6508E">
            <w:pPr>
              <w:pBdr/>
              <w:spacing w:after="0" w:before="0" w:line="240" w:lineRule="auto"/>
              <w:ind/>
              <w:rPr>
                <w:color w:val="000000" w:themeColor="text1"/>
              </w:rPr>
            </w:pPr>
            <w:r>
              <w:rPr>
                <w:rFonts w:ascii="Arial" w:hAnsi="Arial" w:eastAsia="Arial" w:cs="Arial"/>
                <w:color w:val="000000" w:themeColor="text1"/>
                <w:sz w:val="21"/>
              </w:rPr>
              <w:t xml:space="preserve">ECE</w:t>
            </w:r>
            <w:r>
              <w:rPr>
                <w:color w:val="000000" w:themeColor="text1"/>
              </w:rPr>
            </w:r>
            <w:r>
              <w:rPr>
                <w:color w:val="000000" w:themeColor="text1"/>
              </w:rPr>
            </w:r>
          </w:p>
        </w:tc>
        <w:tc>
          <w:tcPr>
            <w:tcBorders/>
            <w:tcW w:w="5621" w:type="dxa"/>
            <w:textDirection w:val="lrTb"/>
            <w:noWrap w:val="false"/>
          </w:tcPr>
          <w:p w14:paraId="40FCB57F">
            <w:pPr>
              <w:pBdr/>
              <w:spacing w:after="0" w:before="0" w:line="240" w:lineRule="auto"/>
              <w:ind/>
              <w:rPr>
                <w:color w:val="000000" w:themeColor="text1"/>
              </w:rPr>
            </w:pPr>
            <w:r>
              <w:rPr>
                <w:rFonts w:ascii="Arial" w:hAnsi="Arial" w:eastAsia="Arial" w:cs="Arial"/>
                <w:color w:val="000000" w:themeColor="text1"/>
                <w:sz w:val="21"/>
              </w:rPr>
              <w:t xml:space="preserve">Expected calibration error for probability-confidence alignment</w:t>
            </w:r>
            <w:r>
              <w:rPr>
                <w:color w:val="000000" w:themeColor="text1"/>
              </w:rPr>
            </w:r>
            <w:r>
              <w:rPr>
                <w:color w:val="000000" w:themeColor="text1"/>
              </w:rPr>
            </w:r>
          </w:p>
        </w:tc>
      </w:tr>
    </w:tbl>
    <w:p w14:paraId="1C62A8FD">
      <w:pPr>
        <w:pStyle w:val="1042"/>
        <w:suppressLineNumbers w:val="false"/>
        <w:pBdr/>
        <w:spacing w:after="240" w:afterAutospacing="0" w:before="240" w:beforeAutospacing="0" w:line="300" w:lineRule="auto"/>
        <w:ind w:firstLine="720" w:left="720"/>
        <w:rPr>
          <w:rFonts w:ascii="Arial" w:hAnsi="Arial" w:eastAsia="Arial" w:cs="Arial"/>
          <w:b w:val="0"/>
          <w:bCs w:val="0"/>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2.1. Working Definitions and Metric Notation</w:t>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24B4204A">
      <w:pPr>
        <w:pStyle w:val="1042"/>
        <w:suppressLineNumbers w:val="false"/>
        <w:pBdr/>
        <w:spacing w:after="240" w:afterAutospacing="0" w:before="240" w:beforeAutospacing="0" w:line="300" w:lineRule="auto"/>
        <w:ind w:firstLine="0"/>
        <w:rPr>
          <w:b/>
          <w:bCs/>
          <w:sz w:val="28"/>
          <w:szCs w:val="28"/>
        </w:rPr>
      </w:pPr>
      <w:r>
        <w:rPr>
          <w:rFonts w:ascii="Arial" w:hAnsi="Arial" w:eastAsia="Arial" w:cs="Arial"/>
          <w:b/>
          <w:bCs/>
          <w:i w:val="0"/>
          <w:iCs w:val="0"/>
          <w:caps w:val="0"/>
          <w:smallCaps w:val="0"/>
          <w:color w:val="000000" w:themeColor="text1" w:themeTint="FF" w:themeShade="FF"/>
          <w:sz w:val="28"/>
          <w:szCs w:val="28"/>
          <w:highlight w:val="none"/>
          <w:lang w:val="en-CA"/>
        </w:rPr>
        <w:t xml:space="preserve">2.2 Scoping Review Design</w:t>
      </w:r>
      <w:r>
        <w:rPr>
          <w:b/>
          <w:bCs/>
          <w:sz w:val="28"/>
          <w:szCs w:val="28"/>
        </w:rPr>
      </w:r>
      <w:r>
        <w:rPr>
          <w:b/>
          <w:bCs/>
          <w:sz w:val="28"/>
          <w:szCs w:val="28"/>
        </w:rPr>
      </w:r>
    </w:p>
    <w:p w14:paraId="16EA44E6">
      <w:pPr>
        <w:pStyle w:val="1042"/>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2.2.1 Review Objective</w:t>
      </w:r>
      <w:r>
        <w:rPr>
          <w:b/>
          <w:bCs/>
        </w:rPr>
      </w:r>
      <w:r>
        <w:rPr>
          <w:b/>
          <w:bCs/>
        </w:rPr>
      </w:r>
    </w:p>
    <w:p w14:paraId="3C69D71C">
      <w:pPr>
        <w:pStyle w:val="1042"/>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his chapter follows a structured scoping-review approach rather than a strict systematic-review protocol. The objective is methodological coverage and decision support for thesis design, not exhaustive bibliometric counting. Sources were selected to cover:</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030F7C69">
      <w:pPr>
        <w:pStyle w:val="1042"/>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foundational MedVQA datasets and methods,</w:t>
      </w:r>
      <w:r/>
    </w:p>
    <w:p w14:paraId="49DEFB82">
      <w:pPr>
        <w:pStyle w:val="1042"/>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modern multimodal large model directions,</w:t>
      </w:r>
      <w:r/>
    </w:p>
    <w:p w14:paraId="00BEE294">
      <w:pPr>
        <w:pStyle w:val="1042"/>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GI-specific benchmark and challenge resources,</w:t>
      </w:r>
      <w:r/>
    </w:p>
    <w:p w14:paraId="0F144D8C">
      <w:pPr>
        <w:pStyle w:val="1042"/>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explainability and retrieval-grounding directions,</w:t>
      </w:r>
      <w:r/>
    </w:p>
    <w:p w14:paraId="6375AAD9">
      <w:pPr>
        <w:pStyle w:val="1042"/>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evaluation methodology relevant to clinical deployment.</w:t>
      </w:r>
      <w:r>
        <w:rPr>
          <w:rFonts w:ascii="Arial" w:hAnsi="Arial" w:eastAsia="Arial" w:cs="Arial"/>
          <w:b w:val="0"/>
          <w:bCs w:val="0"/>
          <w:i w:val="0"/>
          <w:caps w:val="0"/>
          <w:smallCaps w:val="0"/>
          <w:color w:val="000000" w:themeColor="text1" w:themeTint="FF" w:themeShade="FF"/>
          <w:sz w:val="22"/>
          <w:szCs w:val="22"/>
          <w:highlight w:val="none"/>
        </w:rPr>
      </w:r>
      <w:r/>
    </w:p>
    <w:p w14:paraId="4998894B">
      <w:pPr>
        <w:pStyle w:val="1042"/>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2.2.2 </w:t>
      </w:r>
      <w:r>
        <w:rPr>
          <w:rFonts w:ascii="Arial" w:hAnsi="Arial" w:eastAsia="Arial" w:cs="Arial"/>
          <w:b/>
          <w:bCs/>
          <w:i w:val="0"/>
          <w:iCs w:val="0"/>
          <w:caps w:val="0"/>
          <w:smallCaps w:val="0"/>
          <w:color w:val="000000" w:themeColor="text1" w:themeTint="FF" w:themeShade="FF"/>
          <w:sz w:val="22"/>
          <w:szCs w:val="22"/>
          <w:highlight w:val="none"/>
          <w:lang w:val="en-CA"/>
        </w:rPr>
        <w:t xml:space="preserve">Search </w:t>
      </w:r>
      <w:r>
        <w:rPr>
          <w:rFonts w:ascii="Arial" w:hAnsi="Arial" w:eastAsia="Arial" w:cs="Arial"/>
          <w:b/>
          <w:bCs/>
          <w:i w:val="0"/>
          <w:iCs w:val="0"/>
          <w:caps w:val="0"/>
          <w:smallCaps w:val="0"/>
          <w:color w:val="000000" w:themeColor="text1" w:themeTint="FF" w:themeShade="FF"/>
          <w:sz w:val="22"/>
          <w:szCs w:val="22"/>
          <w:highlight w:val="none"/>
          <w:lang w:val="en-CA"/>
        </w:rPr>
        <w:t xml:space="preserve">Window and Source Types</w:t>
      </w:r>
      <w:r>
        <w:rPr>
          <w:b/>
          <w:bCs/>
        </w:rPr>
      </w:r>
      <w:r>
        <w:rPr>
          <w:b/>
          <w:bCs/>
        </w:rPr>
      </w:r>
    </w:p>
    <w:p w14:paraId="13F34072">
      <w:pPr>
        <w:pStyle w:val="1042"/>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The search window for this chapter is 2018 to </w:t>
      </w:r>
      <w:r>
        <w:rPr>
          <w:rFonts w:ascii="Arial" w:hAnsi="Arial" w:eastAsia="Arial" w:cs="Arial"/>
          <w:b w:val="0"/>
          <w:bCs w:val="0"/>
          <w:i w:val="0"/>
          <w:iCs w:val="0"/>
          <w:caps w:val="0"/>
          <w:smallCaps w:val="0"/>
          <w:color w:val="000000" w:themeColor="text1" w:themeTint="FF" w:themeShade="FF"/>
          <w:sz w:val="22"/>
          <w:szCs w:val="22"/>
          <w:highlight w:val="none"/>
          <w:lang w:val="en-US"/>
        </w:rPr>
        <w:t xml:space="preserve">early</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 2026.</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5DEE3FAC">
      <w:pPr>
        <w:pStyle w:val="1042"/>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Primary source types:</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37244BA8">
      <w:pPr>
        <w:pStyle w:val="1042"/>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peer-reviewed papers and data descriptors,</w:t>
      </w:r>
      <w:r/>
    </w:p>
    <w:p w14:paraId="40FAC792">
      <w:pPr>
        <w:pStyle w:val="1042"/>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benchmark/challenge pages,</w:t>
      </w:r>
      <w:r/>
    </w:p>
    <w:p w14:paraId="79529B1D">
      <w:pPr>
        <w:pStyle w:val="1042"/>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challenge overview papers and proceedings,</w:t>
      </w:r>
      <w:r/>
    </w:p>
    <w:p w14:paraId="653A76B9">
      <w:pPr>
        <w:pStyle w:val="1042"/>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influential preprints where they define active benchmark directions.</w:t>
      </w:r>
      <w:r/>
    </w:p>
    <w:p w14:paraId="616E9D37">
      <w:pPr>
        <w:pStyle w:val="1042"/>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51C9532">
      <w:pPr>
        <w:pStyle w:val="1042"/>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Databases and discovery channels used in this scoping pass:</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558F5841">
      <w:pPr>
        <w:pStyle w:val="1042"/>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PubMed / MEDLINE</w:t>
      </w:r>
      <w:r/>
    </w:p>
    <w:p w14:paraId="2B9F481C">
      <w:pPr>
        <w:pStyle w:val="1042"/>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IEEE Xplore</w:t>
      </w:r>
      <w:r/>
    </w:p>
    <w:p w14:paraId="1D9624C7">
      <w:pPr>
        <w:pStyle w:val="1042"/>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ACL Anthology</w:t>
      </w:r>
      <w:r/>
    </w:p>
    <w:p w14:paraId="6E39AF3D">
      <w:pPr>
        <w:pStyle w:val="1042"/>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arXiv</w:t>
      </w:r>
      <w:r/>
    </w:p>
    <w:p w14:paraId="26498E32">
      <w:pPr>
        <w:pStyle w:val="1042"/>
        <w:numPr>
          <w:ilvl w:val="0"/>
          <w:numId w:val="25"/>
        </w:numPr>
        <w:suppressLineNumbers w:val="false"/>
        <w:pBdr/>
        <w:spacing w:after="240" w:afterAutospacing="0" w:before="240" w:beforeAutospacing="0" w:line="12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challenge portals (ImageCLEF, MediaEval) and official dataset repositories</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314FCA1">
      <w:pPr>
        <w:pStyle w:val="1056"/>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lang w:val="en-CA"/>
        </w:rPr>
        <w:t xml:space="preserve">2.2.3 Query Themes</w:t>
      </w:r>
      <w:r>
        <w:rPr>
          <w:b/>
          <w:bCs/>
        </w:rPr>
      </w:r>
      <w:r>
        <w:rPr>
          <w:b/>
          <w:bCs/>
        </w:rPr>
      </w:r>
    </w:p>
    <w:tbl>
      <w:tblPr>
        <w:tblStyle w:val="1113"/>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7A5FCF4">
            <w:pPr>
              <w:pBdr/>
              <w:spacing w:after="0" w:before="0" w:line="240" w:lineRule="auto"/>
              <w:ind/>
              <w:rPr>
                <w:color w:val="000000" w:themeColor="text1"/>
              </w:rPr>
            </w:pPr>
            <w:r>
              <w:rPr>
                <w:rFonts w:ascii="Arial" w:hAnsi="Arial" w:eastAsia="Arial" w:cs="Arial"/>
                <w:b/>
                <w:color w:val="000000" w:themeColor="text1"/>
                <w:sz w:val="21"/>
              </w:rPr>
              <w:t xml:space="preserve">Theme</w:t>
            </w:r>
            <w:r>
              <w:rPr>
                <w:color w:val="000000" w:themeColor="text1"/>
              </w:rPr>
            </w:r>
            <w:r>
              <w:rPr>
                <w:color w:val="000000" w:themeColor="text1"/>
              </w:rPr>
            </w:r>
          </w:p>
        </w:tc>
        <w:tc>
          <w:tcPr>
            <w:tcBorders/>
            <w:tcW w:w="4320" w:type="dxa"/>
            <w:textDirection w:val="lrTb"/>
            <w:noWrap w:val="false"/>
          </w:tcPr>
          <w:p w14:paraId="2F4010FB">
            <w:pPr>
              <w:pBdr/>
              <w:spacing w:after="0" w:before="0" w:line="240" w:lineRule="auto"/>
              <w:ind/>
              <w:rPr>
                <w:color w:val="000000" w:themeColor="text1"/>
              </w:rPr>
            </w:pPr>
            <w:r>
              <w:rPr>
                <w:rFonts w:ascii="Arial" w:hAnsi="Arial" w:eastAsia="Arial" w:cs="Arial"/>
                <w:b/>
                <w:color w:val="000000" w:themeColor="text1"/>
                <w:sz w:val="21"/>
              </w:rPr>
              <w:t xml:space="preserve">Example queries</w:t>
            </w:r>
            <w:r>
              <w:rPr>
                <w:color w:val="000000" w:themeColor="text1"/>
              </w:rPr>
            </w:r>
            <w:r>
              <w:rPr>
                <w:color w:val="000000" w:themeColor="text1"/>
              </w:rPr>
            </w:r>
          </w:p>
        </w:tc>
      </w:tr>
      <w:tr>
        <w:trPr/>
        <w:tc>
          <w:tcPr>
            <w:tcBorders/>
            <w:tcW w:w="4320" w:type="dxa"/>
            <w:textDirection w:val="lrTb"/>
            <w:noWrap w:val="false"/>
          </w:tcPr>
          <w:p w14:paraId="5FD63E52">
            <w:pPr>
              <w:pBdr/>
              <w:spacing w:after="0" w:before="0" w:line="240" w:lineRule="auto"/>
              <w:ind/>
              <w:rPr>
                <w:color w:val="000000" w:themeColor="text1"/>
              </w:rPr>
            </w:pPr>
            <w:r>
              <w:rPr>
                <w:rFonts w:ascii="Arial" w:hAnsi="Arial" w:eastAsia="Arial" w:cs="Arial"/>
                <w:color w:val="000000" w:themeColor="text1"/>
                <w:sz w:val="21"/>
              </w:rPr>
              <w:t xml:space="preserve">General MedVQA foundations</w:t>
            </w:r>
            <w:r>
              <w:rPr>
                <w:color w:val="000000" w:themeColor="text1"/>
              </w:rPr>
            </w:r>
            <w:r>
              <w:rPr>
                <w:color w:val="000000" w:themeColor="text1"/>
              </w:rPr>
            </w:r>
          </w:p>
        </w:tc>
        <w:tc>
          <w:tcPr>
            <w:tcBorders/>
            <w:tcW w:w="4320" w:type="dxa"/>
            <w:textDirection w:val="lrTb"/>
            <w:noWrap w:val="false"/>
          </w:tcPr>
          <w:p w14:paraId="3B13C04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visual question answering dataset</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VQA-RAD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PathVQA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SLAKE</w:t>
            </w:r>
            <w:r>
              <w:rPr>
                <w:color w:val="000000" w:themeColor="text1"/>
              </w:rPr>
            </w:r>
            <w:r>
              <w:rPr>
                <w:color w:val="000000" w:themeColor="text1"/>
              </w:rPr>
            </w:r>
          </w:p>
        </w:tc>
      </w:tr>
      <w:tr>
        <w:trPr/>
        <w:tc>
          <w:tcPr>
            <w:tcBorders/>
            <w:tcW w:w="4320" w:type="dxa"/>
            <w:textDirection w:val="lrTb"/>
            <w:noWrap w:val="false"/>
          </w:tcPr>
          <w:p w14:paraId="193BBC95">
            <w:pPr>
              <w:pBdr/>
              <w:spacing w:after="0" w:before="0" w:line="240" w:lineRule="auto"/>
              <w:ind/>
              <w:rPr>
                <w:color w:val="000000" w:themeColor="text1"/>
              </w:rPr>
            </w:pPr>
            <w:r>
              <w:rPr>
                <w:rFonts w:ascii="Arial" w:hAnsi="Arial" w:eastAsia="Arial" w:cs="Arial"/>
                <w:color w:val="000000" w:themeColor="text1"/>
                <w:sz w:val="21"/>
              </w:rPr>
              <w:t xml:space="preserve">Modern model families</w:t>
            </w:r>
            <w:r>
              <w:rPr>
                <w:color w:val="000000" w:themeColor="text1"/>
              </w:rPr>
            </w:r>
            <w:r>
              <w:rPr>
                <w:color w:val="000000" w:themeColor="text1"/>
              </w:rPr>
            </w:r>
          </w:p>
        </w:tc>
        <w:tc>
          <w:tcPr>
            <w:tcBorders/>
            <w:tcW w:w="4320" w:type="dxa"/>
            <w:textDirection w:val="lrTb"/>
            <w:noWrap w:val="false"/>
          </w:tcPr>
          <w:p w14:paraId="45192D6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LLaVA-Med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Med-Flamingo</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BLIP-2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medical LVLM benchmark</w:t>
            </w:r>
            <w:r>
              <w:rPr>
                <w:color w:val="000000" w:themeColor="text1"/>
              </w:rPr>
            </w:r>
            <w:r>
              <w:rPr>
                <w:color w:val="000000" w:themeColor="text1"/>
              </w:rPr>
            </w:r>
          </w:p>
        </w:tc>
      </w:tr>
      <w:tr>
        <w:trPr/>
        <w:tc>
          <w:tcPr>
            <w:tcBorders/>
            <w:tcW w:w="4320" w:type="dxa"/>
            <w:textDirection w:val="lrTb"/>
            <w:noWrap w:val="false"/>
          </w:tcPr>
          <w:p w14:paraId="57416D4B">
            <w:pPr>
              <w:pBdr/>
              <w:spacing w:after="0" w:before="0" w:line="240" w:lineRule="auto"/>
              <w:ind/>
              <w:rPr>
                <w:color w:val="000000" w:themeColor="text1"/>
              </w:rPr>
            </w:pPr>
            <w:r>
              <w:rPr>
                <w:rFonts w:ascii="Arial" w:hAnsi="Arial" w:eastAsia="Arial" w:cs="Arial"/>
                <w:color w:val="000000" w:themeColor="text1"/>
                <w:sz w:val="21"/>
              </w:rPr>
              <w:t xml:space="preserve">GI-specific resources</w:t>
            </w:r>
            <w:r>
              <w:rPr>
                <w:color w:val="000000" w:themeColor="text1"/>
              </w:rPr>
            </w:r>
            <w:r>
              <w:rPr>
                <w:color w:val="000000" w:themeColor="text1"/>
              </w:rPr>
            </w:r>
          </w:p>
        </w:tc>
        <w:tc>
          <w:tcPr>
            <w:tcBorders/>
            <w:tcW w:w="4320" w:type="dxa"/>
            <w:textDirection w:val="lrTb"/>
            <w:noWrap w:val="false"/>
          </w:tcPr>
          <w:p w14:paraId="20F4BF18">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Kvasir-VQA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Kvasir-VQA-x1</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ImageCLEF MEDVQA-GI</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MediaEval Medico 2025</w:t>
            </w:r>
            <w:r>
              <w:rPr>
                <w:color w:val="000000" w:themeColor="text1"/>
              </w:rPr>
            </w:r>
            <w:r>
              <w:rPr>
                <w:color w:val="000000" w:themeColor="text1"/>
              </w:rPr>
            </w:r>
          </w:p>
        </w:tc>
      </w:tr>
      <w:tr>
        <w:trPr/>
        <w:tc>
          <w:tcPr>
            <w:tcBorders/>
            <w:tcW w:w="4320" w:type="dxa"/>
            <w:textDirection w:val="lrTb"/>
            <w:noWrap w:val="false"/>
          </w:tcPr>
          <w:p w14:paraId="1E6023FC">
            <w:pPr>
              <w:pBdr/>
              <w:spacing w:after="0" w:before="0" w:line="240" w:lineRule="auto"/>
              <w:ind/>
              <w:rPr>
                <w:color w:val="000000" w:themeColor="text1"/>
              </w:rPr>
            </w:pPr>
            <w:r>
              <w:rPr>
                <w:rFonts w:ascii="Arial" w:hAnsi="Arial" w:eastAsia="Arial" w:cs="Arial"/>
                <w:color w:val="000000" w:themeColor="text1"/>
                <w:sz w:val="21"/>
              </w:rPr>
              <w:t xml:space="preserve">Evaluation and reliability</w:t>
            </w:r>
            <w:r>
              <w:rPr>
                <w:color w:val="000000" w:themeColor="text1"/>
              </w:rPr>
            </w:r>
            <w:r>
              <w:rPr>
                <w:color w:val="000000" w:themeColor="text1"/>
              </w:rPr>
            </w:r>
          </w:p>
        </w:tc>
        <w:tc>
          <w:tcPr>
            <w:tcBorders/>
            <w:tcW w:w="4320" w:type="dxa"/>
            <w:textDirection w:val="lrTb"/>
            <w:noWrap w:val="false"/>
          </w:tcPr>
          <w:p w14:paraId="27923B9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AI evaluation metrics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MedVQA robustness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hallucination medical VQA</w:t>
            </w:r>
            <w:r>
              <w:rPr>
                <w:color w:val="000000" w:themeColor="text1"/>
              </w:rPr>
            </w:r>
            <w:r>
              <w:rPr>
                <w:color w:val="000000" w:themeColor="text1"/>
              </w:rPr>
            </w:r>
          </w:p>
        </w:tc>
      </w:tr>
      <w:tr>
        <w:trPr/>
        <w:tc>
          <w:tcPr>
            <w:tcBorders/>
            <w:tcW w:w="4320" w:type="dxa"/>
            <w:textDirection w:val="lrTb"/>
            <w:noWrap w:val="false"/>
          </w:tcPr>
          <w:p w14:paraId="377794AC">
            <w:pPr>
              <w:pBdr/>
              <w:spacing w:after="0" w:before="0" w:line="240" w:lineRule="auto"/>
              <w:ind/>
              <w:rPr>
                <w:color w:val="000000" w:themeColor="text1"/>
              </w:rPr>
            </w:pPr>
            <w:r>
              <w:rPr>
                <w:rFonts w:ascii="Arial" w:hAnsi="Arial" w:eastAsia="Arial" w:cs="Arial"/>
                <w:color w:val="000000" w:themeColor="text1"/>
                <w:sz w:val="21"/>
              </w:rPr>
              <w:t xml:space="preserve">Explainability and grounding</w:t>
            </w:r>
            <w:r>
              <w:rPr>
                <w:color w:val="000000" w:themeColor="text1"/>
              </w:rPr>
            </w:r>
            <w:r>
              <w:rPr>
                <w:color w:val="000000" w:themeColor="text1"/>
              </w:rPr>
            </w:r>
          </w:p>
        </w:tc>
        <w:tc>
          <w:tcPr>
            <w:tcBorders/>
            <w:tcW w:w="4320" w:type="dxa"/>
            <w:textDirection w:val="lrTb"/>
            <w:noWrap w:val="false"/>
          </w:tcPr>
          <w:p w14:paraId="4285695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explainable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multimodal explanation GI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retrieval-augmented medical VQA</w:t>
            </w:r>
            <w:r>
              <w:rPr>
                <w:color w:val="000000" w:themeColor="text1"/>
              </w:rPr>
            </w:r>
            <w:r>
              <w:rPr>
                <w:color w:val="000000" w:themeColor="text1"/>
              </w:rPr>
            </w:r>
          </w:p>
        </w:tc>
      </w:tr>
    </w:tbl>
    <w:p w14:paraId="704D6C35">
      <w:pPr>
        <w:pStyle w:val="1056"/>
        <w:suppressLineNumbers w:val="false"/>
        <w:pBdr/>
        <w:spacing w:after="240" w:afterAutospacing="0" w:before="240" w:beforeAutospacing="0" w:line="300" w:lineRule="auto"/>
        <w:ind w:firstLine="0" w:left="1417"/>
        <w:rPr>
          <w:rFonts w:ascii="Arial" w:hAnsi="Arial" w:eastAsia="Arial" w:cs="Arial"/>
          <w:b/>
          <w:bCs/>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2.2. Query Themes Used for the Scoping Review</w:t>
      </w:r>
      <w:r>
        <w:rPr>
          <w:rFonts w:ascii="Arial" w:hAnsi="Arial" w:eastAsia="Arial" w:cs="Arial"/>
          <w:b/>
          <w:bCs/>
          <w:i w:val="0"/>
          <w:iCs w:val="0"/>
          <w:caps w:val="0"/>
          <w:smallCaps w:val="0"/>
          <w:color w:val="000000" w:themeColor="text1" w:themeTint="FF" w:themeShade="FF"/>
          <w:sz w:val="22"/>
          <w:szCs w:val="22"/>
          <w:highlight w:val="none"/>
          <w:lang w:val="en-CA"/>
        </w:rPr>
      </w:r>
      <w:r>
        <w:rPr>
          <w:rFonts w:ascii="Arial" w:hAnsi="Arial" w:eastAsia="Arial" w:cs="Arial"/>
          <w:b/>
          <w:bCs/>
          <w:i w:val="0"/>
          <w:iCs w:val="0"/>
          <w:caps w:val="0"/>
          <w:smallCaps w:val="0"/>
          <w:color w:val="000000" w:themeColor="text1" w:themeTint="FF" w:themeShade="FF"/>
          <w:sz w:val="22"/>
          <w:szCs w:val="22"/>
          <w:highlight w:val="none"/>
          <w:lang w:val="en-CA"/>
        </w:rPr>
      </w:r>
    </w:p>
    <w:p w14:paraId="623200E4">
      <w:pPr>
        <w:pStyle w:val="1056"/>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2"/>
          <w:szCs w:val="22"/>
          <w:highlight w:val="none"/>
          <w:lang w:val="en-CA"/>
        </w:rPr>
      </w:pPr>
      <w:r>
        <w:rPr>
          <w:rFonts w:ascii="Arial" w:hAnsi="Arial" w:eastAsia="Arial" w:cs="Arial"/>
          <w:b/>
          <w:bCs/>
          <w:i w:val="0"/>
          <w:iCs w:val="0"/>
          <w:caps w:val="0"/>
          <w:smallCaps w:val="0"/>
          <w:color w:val="000000" w:themeColor="text1" w:themeTint="FF" w:themeShade="FF"/>
          <w:sz w:val="22"/>
          <w:szCs w:val="22"/>
          <w:highlight w:val="none"/>
          <w:lang w:val="en-CA"/>
        </w:rPr>
        <w:t xml:space="preserve">2.2.4 Inclusion and Exclusion Logic</w:t>
      </w:r>
      <w:r>
        <w:rPr>
          <w:rFonts w:ascii="Arial" w:hAnsi="Arial" w:eastAsia="Arial" w:cs="Arial"/>
          <w:b/>
          <w:bCs w:val="0"/>
          <w:i w:val="0"/>
          <w:caps w:val="0"/>
          <w:smallCaps w:val="0"/>
          <w:color w:val="000000" w:themeColor="text1" w:themeTint="FF" w:themeShade="FF"/>
          <w:sz w:val="22"/>
          <w:szCs w:val="22"/>
          <w:highlight w:val="none"/>
          <w:lang w:val="en-CA"/>
        </w:rPr>
      </w:r>
      <w:r>
        <w:rPr>
          <w:rFonts w:ascii="Arial" w:hAnsi="Arial" w:eastAsia="Arial" w:cs="Arial"/>
          <w:b/>
          <w:bCs w:val="0"/>
          <w:i w:val="0"/>
          <w:caps w:val="0"/>
          <w:smallCaps w:val="0"/>
          <w:color w:val="000000" w:themeColor="text1" w:themeTint="FF" w:themeShade="FF"/>
          <w:sz w:val="22"/>
          <w:szCs w:val="22"/>
          <w:highlight w:val="none"/>
          <w:lang w:val="en-CA"/>
        </w:rPr>
      </w:r>
    </w:p>
    <w:tbl>
      <w:tblPr>
        <w:tblStyle w:val="1113"/>
        <w:tblW w:w="0" w:type="auto"/>
        <w:tblBorders/>
        <w:tblLayout w:type="fixed"/>
        <w:tblLook w:val="04A0" w:firstRow="1" w:lastRow="0" w:firstColumn="1" w:lastColumn="0" w:noHBand="0" w:noVBand="1"/>
      </w:tblPr>
      <w:tblGrid>
        <w:gridCol w:w="1318"/>
        <w:gridCol w:w="7322"/>
      </w:tblGrid>
      <w:tr>
        <w:trPr/>
        <w:tc>
          <w:tcPr>
            <w:tcBorders/>
            <w:tcW w:w="1318" w:type="dxa"/>
            <w:textDirection w:val="lrTb"/>
            <w:noWrap w:val="false"/>
          </w:tcPr>
          <w:p w14:paraId="2C8829B7">
            <w:pPr>
              <w:pBdr/>
              <w:spacing w:after="0" w:before="0" w:line="240" w:lineRule="auto"/>
              <w:ind/>
              <w:rPr>
                <w:color w:val="000000" w:themeColor="text1"/>
              </w:rPr>
            </w:pPr>
            <w:r>
              <w:rPr>
                <w:rFonts w:ascii="Arial" w:hAnsi="Arial" w:eastAsia="Arial" w:cs="Arial"/>
                <w:b/>
                <w:color w:val="000000" w:themeColor="text1"/>
                <w:sz w:val="21"/>
              </w:rPr>
              <w:t xml:space="preserve">Type</w:t>
            </w:r>
            <w:r>
              <w:rPr>
                <w:color w:val="000000" w:themeColor="text1"/>
              </w:rPr>
            </w:r>
            <w:r>
              <w:rPr>
                <w:color w:val="000000" w:themeColor="text1"/>
              </w:rPr>
            </w:r>
          </w:p>
        </w:tc>
        <w:tc>
          <w:tcPr>
            <w:tcBorders/>
            <w:tcW w:w="7322" w:type="dxa"/>
            <w:textDirection w:val="lrTb"/>
            <w:noWrap w:val="false"/>
          </w:tcPr>
          <w:p w14:paraId="6DECD36D">
            <w:pPr>
              <w:pBdr/>
              <w:spacing w:after="0" w:before="0" w:line="240" w:lineRule="auto"/>
              <w:ind/>
              <w:rPr>
                <w:color w:val="000000" w:themeColor="text1"/>
              </w:rPr>
            </w:pPr>
            <w:r>
              <w:rPr>
                <w:rFonts w:ascii="Arial" w:hAnsi="Arial" w:eastAsia="Arial" w:cs="Arial"/>
                <w:b/>
                <w:color w:val="000000" w:themeColor="text1"/>
                <w:sz w:val="21"/>
              </w:rPr>
              <w:t xml:space="preserve">Criteria</w:t>
            </w:r>
            <w:r>
              <w:rPr>
                <w:color w:val="000000" w:themeColor="text1"/>
              </w:rPr>
            </w:r>
            <w:r>
              <w:rPr>
                <w:color w:val="000000" w:themeColor="text1"/>
              </w:rPr>
            </w:r>
          </w:p>
        </w:tc>
      </w:tr>
      <w:tr>
        <w:trPr/>
        <w:tc>
          <w:tcPr>
            <w:tcBorders/>
            <w:tcW w:w="1318" w:type="dxa"/>
            <w:textDirection w:val="lrTb"/>
            <w:noWrap w:val="false"/>
          </w:tcPr>
          <w:p w14:paraId="4169D288">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4242980D">
            <w:pPr>
              <w:pBdr/>
              <w:spacing w:after="0" w:before="0" w:line="240" w:lineRule="auto"/>
              <w:ind/>
              <w:rPr>
                <w:color w:val="000000" w:themeColor="text1"/>
              </w:rPr>
            </w:pPr>
            <w:r>
              <w:rPr>
                <w:rFonts w:ascii="Arial" w:hAnsi="Arial" w:eastAsia="Arial" w:cs="Arial"/>
                <w:color w:val="000000" w:themeColor="text1"/>
                <w:sz w:val="21"/>
              </w:rPr>
              <w:t xml:space="preserve">Primary technical work on MedVQA methods, datasets, benchmarks, or challenge design</w:t>
            </w:r>
            <w:r>
              <w:rPr>
                <w:color w:val="000000" w:themeColor="text1"/>
              </w:rPr>
            </w:r>
            <w:r>
              <w:rPr>
                <w:color w:val="000000" w:themeColor="text1"/>
              </w:rPr>
            </w:r>
          </w:p>
        </w:tc>
      </w:tr>
      <w:tr>
        <w:trPr/>
        <w:tc>
          <w:tcPr>
            <w:tcBorders/>
            <w:tcW w:w="1318" w:type="dxa"/>
            <w:textDirection w:val="lrTb"/>
            <w:noWrap w:val="false"/>
          </w:tcPr>
          <w:p w14:paraId="305CED6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9A6FB6D">
            <w:pPr>
              <w:pBdr/>
              <w:spacing w:after="0" w:before="0" w:line="240" w:lineRule="auto"/>
              <w:ind/>
              <w:rPr>
                <w:color w:val="000000" w:themeColor="text1"/>
              </w:rPr>
            </w:pPr>
            <w:r>
              <w:rPr>
                <w:rFonts w:ascii="Arial" w:hAnsi="Arial" w:eastAsia="Arial" w:cs="Arial"/>
                <w:color w:val="000000" w:themeColor="text1"/>
                <w:sz w:val="21"/>
              </w:rPr>
              <w:t xml:space="preserve">GI/endoscopy resources directly usable for colonoscopy-oriented VQA analysis</w:t>
            </w:r>
            <w:r>
              <w:rPr>
                <w:color w:val="000000" w:themeColor="text1"/>
              </w:rPr>
            </w:r>
            <w:r>
              <w:rPr>
                <w:color w:val="000000" w:themeColor="text1"/>
              </w:rPr>
            </w:r>
          </w:p>
        </w:tc>
      </w:tr>
      <w:tr>
        <w:trPr/>
        <w:tc>
          <w:tcPr>
            <w:tcBorders/>
            <w:tcW w:w="1318" w:type="dxa"/>
            <w:textDirection w:val="lrTb"/>
            <w:noWrap w:val="false"/>
          </w:tcPr>
          <w:p w14:paraId="599E13A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456B999">
            <w:pPr>
              <w:pBdr/>
              <w:spacing w:after="0" w:before="0" w:line="240" w:lineRule="auto"/>
              <w:ind/>
              <w:rPr>
                <w:color w:val="000000" w:themeColor="text1"/>
              </w:rPr>
            </w:pPr>
            <w:r>
              <w:rPr>
                <w:rFonts w:ascii="Arial" w:hAnsi="Arial" w:eastAsia="Arial" w:cs="Arial"/>
                <w:color w:val="000000" w:themeColor="text1"/>
                <w:sz w:val="21"/>
              </w:rPr>
              <w:t xml:space="preserve">Official benchmark/task pages and official challenge overview papers</w:t>
            </w:r>
            <w:r>
              <w:rPr>
                <w:color w:val="000000" w:themeColor="text1"/>
              </w:rPr>
            </w:r>
            <w:r>
              <w:rPr>
                <w:color w:val="000000" w:themeColor="text1"/>
              </w:rPr>
            </w:r>
          </w:p>
        </w:tc>
      </w:tr>
      <w:tr>
        <w:trPr/>
        <w:tc>
          <w:tcPr>
            <w:tcBorders/>
            <w:tcW w:w="1318" w:type="dxa"/>
            <w:textDirection w:val="lrTb"/>
            <w:noWrap w:val="false"/>
          </w:tcPr>
          <w:p w14:paraId="11DF7533">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210CD89C">
            <w:pPr>
              <w:pBdr/>
              <w:spacing w:after="0" w:before="0" w:line="240" w:lineRule="auto"/>
              <w:ind/>
              <w:rPr>
                <w:color w:val="000000" w:themeColor="text1"/>
              </w:rPr>
            </w:pPr>
            <w:r>
              <w:rPr>
                <w:rFonts w:ascii="Arial" w:hAnsi="Arial" w:eastAsia="Arial" w:cs="Arial"/>
                <w:color w:val="000000" w:themeColor="text1"/>
                <w:sz w:val="21"/>
              </w:rPr>
              <w:t xml:space="preserve">Recent preprints with direct methodological or benchmark impact (explicitly marked as preprint where relevant)</w:t>
            </w:r>
            <w:r>
              <w:rPr>
                <w:color w:val="000000" w:themeColor="text1"/>
              </w:rPr>
            </w:r>
            <w:r>
              <w:rPr>
                <w:color w:val="000000" w:themeColor="text1"/>
              </w:rPr>
            </w:r>
          </w:p>
        </w:tc>
      </w:tr>
      <w:tr>
        <w:trPr/>
        <w:tc>
          <w:tcPr>
            <w:tcBorders/>
            <w:tcW w:w="1318" w:type="dxa"/>
            <w:textDirection w:val="lrTb"/>
            <w:noWrap w:val="false"/>
          </w:tcPr>
          <w:p w14:paraId="26189738">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11171DF7">
            <w:pPr>
              <w:pBdr/>
              <w:spacing w:after="0" w:before="0" w:line="240" w:lineRule="auto"/>
              <w:ind/>
              <w:rPr>
                <w:color w:val="000000" w:themeColor="text1"/>
              </w:rPr>
            </w:pPr>
            <w:r>
              <w:rPr>
                <w:rFonts w:ascii="Arial" w:hAnsi="Arial" w:eastAsia="Arial" w:cs="Arial"/>
                <w:color w:val="000000" w:themeColor="text1"/>
                <w:sz w:val="21"/>
              </w:rPr>
              <w:t xml:space="preserve">Opinion pieces without technical evidence</w:t>
            </w:r>
            <w:r>
              <w:rPr>
                <w:color w:val="000000" w:themeColor="text1"/>
              </w:rPr>
            </w:r>
            <w:r>
              <w:rPr>
                <w:color w:val="000000" w:themeColor="text1"/>
              </w:rPr>
            </w:r>
          </w:p>
        </w:tc>
      </w:tr>
      <w:tr>
        <w:trPr/>
        <w:tc>
          <w:tcPr>
            <w:tcBorders/>
            <w:tcW w:w="1318" w:type="dxa"/>
            <w:textDirection w:val="lrTb"/>
            <w:noWrap w:val="false"/>
          </w:tcPr>
          <w:p w14:paraId="3DE57DB6">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656DB349">
            <w:pPr>
              <w:pBdr/>
              <w:spacing w:after="0" w:before="0" w:line="240" w:lineRule="auto"/>
              <w:ind/>
              <w:rPr>
                <w:color w:val="000000" w:themeColor="text1"/>
              </w:rPr>
            </w:pPr>
            <w:r>
              <w:rPr>
                <w:rFonts w:ascii="Arial" w:hAnsi="Arial" w:eastAsia="Arial" w:cs="Arial"/>
                <w:color w:val="000000" w:themeColor="text1"/>
                <w:sz w:val="21"/>
              </w:rPr>
              <w:t xml:space="preserve">Sources with no direct relation to visual-question answering in medicine</w:t>
            </w:r>
            <w:r>
              <w:rPr>
                <w:color w:val="000000" w:themeColor="text1"/>
              </w:rPr>
            </w:r>
            <w:r>
              <w:rPr>
                <w:color w:val="000000" w:themeColor="text1"/>
              </w:rPr>
            </w:r>
          </w:p>
        </w:tc>
      </w:tr>
      <w:tr>
        <w:trPr/>
        <w:tc>
          <w:tcPr>
            <w:tcBorders/>
            <w:tcW w:w="1318" w:type="dxa"/>
            <w:textDirection w:val="lrTb"/>
            <w:noWrap w:val="false"/>
          </w:tcPr>
          <w:p w14:paraId="1516D1A1">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38E453C0">
            <w:pPr>
              <w:pBdr/>
              <w:spacing w:after="0" w:before="0" w:line="240" w:lineRule="auto"/>
              <w:ind/>
              <w:rPr>
                <w:color w:val="000000" w:themeColor="text1"/>
              </w:rPr>
            </w:pPr>
            <w:r>
              <w:rPr>
                <w:rFonts w:ascii="Arial" w:hAnsi="Arial" w:eastAsia="Arial" w:cs="Arial"/>
                <w:color w:val="000000" w:themeColor="text1"/>
                <w:sz w:val="21"/>
              </w:rPr>
              <w:t xml:space="preserve">Tertiary summaries when primary sources were available</w:t>
            </w:r>
            <w:r>
              <w:rPr>
                <w:color w:val="000000" w:themeColor="text1"/>
              </w:rPr>
            </w:r>
            <w:r>
              <w:rPr>
                <w:color w:val="000000" w:themeColor="text1"/>
              </w:rPr>
            </w:r>
          </w:p>
        </w:tc>
      </w:tr>
    </w:tbl>
    <w:p w14:paraId="0162E60A">
      <w:pPr>
        <w:pStyle w:val="1056"/>
        <w:suppressLineNumbers w:val="false"/>
        <w:pBdr/>
        <w:spacing w:after="240" w:afterAutospacing="0" w:before="240" w:beforeAutospacing="0" w:line="300" w:lineRule="auto"/>
        <w:ind w:firstLine="720" w:left="144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Table 2.3. Inclusion and Exclusion Criteria</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124C42D4">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14F5128">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75B92D0">
      <w:pPr>
        <w:pStyle w:val="1056"/>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2.2.5 Core Study Pool</w:t>
      </w:r>
      <w:r>
        <w:rPr>
          <w:b/>
          <w:bCs/>
        </w:rPr>
      </w:r>
      <w:r>
        <w:rPr>
          <w:b/>
          <w:bCs/>
        </w:rPr>
      </w:r>
    </w:p>
    <w:p w14:paraId="0F74F062">
      <w:pPr>
        <w:pStyle w:val="1056"/>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he final chapter synthesis uses a curated pool of foundational and recent sources across datasets, models, evaluation, and challenge design. The resulting pool is intentionally broad enough to cover the field trajectory and narrow enough to remain actionab</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le for thesis methodology.</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77B5C4FB">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For transparency, this chapter includes a PRISMA-ScR-style accounting reconstructed from the drafting log used for source triage.</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13"/>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62EFD89">
            <w:pPr>
              <w:pBdr/>
              <w:spacing w:after="0" w:before="0" w:line="240" w:lineRule="auto"/>
              <w:ind/>
              <w:rPr>
                <w:color w:val="000000" w:themeColor="text1"/>
              </w:rPr>
            </w:pPr>
            <w:r>
              <w:rPr>
                <w:rFonts w:ascii="Arial" w:hAnsi="Arial" w:eastAsia="Arial" w:cs="Arial"/>
                <w:b/>
                <w:color w:val="000000" w:themeColor="text1"/>
                <w:sz w:val="21"/>
              </w:rPr>
              <w:t xml:space="preserve">Stage</w:t>
            </w:r>
            <w:r>
              <w:rPr>
                <w:color w:val="000000" w:themeColor="text1"/>
              </w:rPr>
            </w:r>
            <w:r>
              <w:rPr>
                <w:color w:val="000000" w:themeColor="text1"/>
              </w:rPr>
            </w:r>
          </w:p>
        </w:tc>
        <w:tc>
          <w:tcPr>
            <w:tcBorders/>
            <w:tcW w:w="4320" w:type="dxa"/>
            <w:textDirection w:val="lrTb"/>
            <w:noWrap w:val="false"/>
          </w:tcPr>
          <w:p w14:paraId="17A030B8">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4320" w:type="dxa"/>
            <w:textDirection w:val="lrTb"/>
            <w:noWrap w:val="false"/>
          </w:tcPr>
          <w:p w14:paraId="5E2D568D">
            <w:pPr>
              <w:pBdr/>
              <w:spacing w:after="0" w:before="0" w:line="240" w:lineRule="auto"/>
              <w:ind/>
              <w:rPr>
                <w:color w:val="000000" w:themeColor="text1"/>
              </w:rPr>
            </w:pPr>
            <w:r>
              <w:rPr>
                <w:rFonts w:ascii="Arial" w:hAnsi="Arial" w:eastAsia="Arial" w:cs="Arial"/>
                <w:color w:val="000000" w:themeColor="text1"/>
                <w:sz w:val="21"/>
              </w:rPr>
              <w:t xml:space="preserve">Records identified across sources</w:t>
            </w:r>
            <w:r>
              <w:rPr>
                <w:color w:val="000000" w:themeColor="text1"/>
              </w:rPr>
            </w:r>
            <w:r>
              <w:rPr>
                <w:color w:val="000000" w:themeColor="text1"/>
              </w:rPr>
            </w:r>
          </w:p>
        </w:tc>
        <w:tc>
          <w:tcPr>
            <w:tcBorders/>
            <w:tcW w:w="4320" w:type="dxa"/>
            <w:textDirection w:val="lrTb"/>
            <w:noWrap w:val="false"/>
          </w:tcPr>
          <w:p w14:paraId="6429700C">
            <w:pPr>
              <w:pBdr/>
              <w:spacing w:after="0" w:before="0" w:line="240" w:lineRule="auto"/>
              <w:ind/>
              <w:jc w:val="right"/>
              <w:rPr>
                <w:color w:val="000000" w:themeColor="text1"/>
              </w:rPr>
            </w:pPr>
            <w:r>
              <w:rPr>
                <w:rFonts w:ascii="Arial" w:hAnsi="Arial" w:eastAsia="Arial" w:cs="Arial"/>
                <w:color w:val="000000" w:themeColor="text1"/>
                <w:sz w:val="21"/>
              </w:rPr>
              <w:t xml:space="preserve">236</w:t>
            </w:r>
            <w:r>
              <w:rPr>
                <w:color w:val="000000" w:themeColor="text1"/>
              </w:rPr>
            </w:r>
            <w:r>
              <w:rPr>
                <w:color w:val="000000" w:themeColor="text1"/>
              </w:rPr>
            </w:r>
          </w:p>
        </w:tc>
      </w:tr>
      <w:tr>
        <w:trPr/>
        <w:tc>
          <w:tcPr>
            <w:tcBorders/>
            <w:tcW w:w="4320" w:type="dxa"/>
            <w:textDirection w:val="lrTb"/>
            <w:noWrap w:val="false"/>
          </w:tcPr>
          <w:p w14:paraId="25D0B0BB">
            <w:pPr>
              <w:pBdr/>
              <w:spacing w:after="0" w:before="0" w:line="240" w:lineRule="auto"/>
              <w:ind/>
              <w:rPr>
                <w:color w:val="000000" w:themeColor="text1"/>
              </w:rPr>
            </w:pPr>
            <w:r>
              <w:rPr>
                <w:rFonts w:ascii="Arial" w:hAnsi="Arial" w:eastAsia="Arial" w:cs="Arial"/>
                <w:color w:val="000000" w:themeColor="text1"/>
                <w:sz w:val="21"/>
              </w:rPr>
              <w:t xml:space="preserve">Duplicates removed</w:t>
            </w:r>
            <w:r>
              <w:rPr>
                <w:color w:val="000000" w:themeColor="text1"/>
              </w:rPr>
            </w:r>
            <w:r>
              <w:rPr>
                <w:color w:val="000000" w:themeColor="text1"/>
              </w:rPr>
            </w:r>
          </w:p>
        </w:tc>
        <w:tc>
          <w:tcPr>
            <w:tcBorders/>
            <w:tcW w:w="4320" w:type="dxa"/>
            <w:textDirection w:val="lrTb"/>
            <w:noWrap w:val="false"/>
          </w:tcPr>
          <w:p w14:paraId="1573B0D4">
            <w:pPr>
              <w:pBdr/>
              <w:spacing w:after="0" w:before="0" w:line="240" w:lineRule="auto"/>
              <w:ind/>
              <w:jc w:val="right"/>
              <w:rPr>
                <w:color w:val="000000" w:themeColor="text1"/>
              </w:rPr>
            </w:pPr>
            <w:r>
              <w:rPr>
                <w:rFonts w:ascii="Arial" w:hAnsi="Arial" w:eastAsia="Arial" w:cs="Arial"/>
                <w:color w:val="000000" w:themeColor="text1"/>
                <w:sz w:val="21"/>
              </w:rPr>
              <w:t xml:space="preserve">54</w:t>
            </w:r>
            <w:r>
              <w:rPr>
                <w:color w:val="000000" w:themeColor="text1"/>
              </w:rPr>
            </w:r>
            <w:r>
              <w:rPr>
                <w:color w:val="000000" w:themeColor="text1"/>
              </w:rPr>
            </w:r>
          </w:p>
        </w:tc>
      </w:tr>
      <w:tr>
        <w:trPr/>
        <w:tc>
          <w:tcPr>
            <w:tcBorders/>
            <w:tcW w:w="4320" w:type="dxa"/>
            <w:textDirection w:val="lrTb"/>
            <w:noWrap w:val="false"/>
          </w:tcPr>
          <w:p w14:paraId="64C747C6">
            <w:pPr>
              <w:pBdr/>
              <w:spacing w:after="0" w:before="0" w:line="240" w:lineRule="auto"/>
              <w:ind/>
              <w:rPr>
                <w:color w:val="000000" w:themeColor="text1"/>
              </w:rPr>
            </w:pPr>
            <w:r>
              <w:rPr>
                <w:rFonts w:ascii="Arial" w:hAnsi="Arial" w:eastAsia="Arial" w:cs="Arial"/>
                <w:color w:val="000000" w:themeColor="text1"/>
                <w:sz w:val="21"/>
              </w:rPr>
              <w:t xml:space="preserve">Records screened (title/abstract)</w:t>
            </w:r>
            <w:r>
              <w:rPr>
                <w:color w:val="000000" w:themeColor="text1"/>
              </w:rPr>
            </w:r>
            <w:r>
              <w:rPr>
                <w:color w:val="000000" w:themeColor="text1"/>
              </w:rPr>
            </w:r>
          </w:p>
        </w:tc>
        <w:tc>
          <w:tcPr>
            <w:tcBorders/>
            <w:tcW w:w="4320" w:type="dxa"/>
            <w:textDirection w:val="lrTb"/>
            <w:noWrap w:val="false"/>
          </w:tcPr>
          <w:p w14:paraId="7E5BE1E8">
            <w:pPr>
              <w:pBdr/>
              <w:spacing w:after="0" w:before="0" w:line="240" w:lineRule="auto"/>
              <w:ind/>
              <w:jc w:val="right"/>
              <w:rPr>
                <w:color w:val="000000" w:themeColor="text1"/>
              </w:rPr>
            </w:pPr>
            <w:r>
              <w:rPr>
                <w:rFonts w:ascii="Arial" w:hAnsi="Arial" w:eastAsia="Arial" w:cs="Arial"/>
                <w:color w:val="000000" w:themeColor="text1"/>
                <w:sz w:val="21"/>
              </w:rPr>
              <w:t xml:space="preserve">182</w:t>
            </w:r>
            <w:r>
              <w:rPr>
                <w:color w:val="000000" w:themeColor="text1"/>
              </w:rPr>
            </w:r>
            <w:r>
              <w:rPr>
                <w:color w:val="000000" w:themeColor="text1"/>
              </w:rPr>
            </w:r>
          </w:p>
        </w:tc>
      </w:tr>
      <w:tr>
        <w:trPr/>
        <w:tc>
          <w:tcPr>
            <w:tcBorders/>
            <w:tcW w:w="4320" w:type="dxa"/>
            <w:textDirection w:val="lrTb"/>
            <w:noWrap w:val="false"/>
          </w:tcPr>
          <w:p w14:paraId="6F39DF69">
            <w:pPr>
              <w:pBdr/>
              <w:spacing w:after="0" w:before="0" w:line="240" w:lineRule="auto"/>
              <w:ind/>
              <w:rPr>
                <w:color w:val="000000" w:themeColor="text1"/>
              </w:rPr>
            </w:pPr>
            <w:r>
              <w:rPr>
                <w:rFonts w:ascii="Arial" w:hAnsi="Arial" w:eastAsia="Arial" w:cs="Arial"/>
                <w:color w:val="000000" w:themeColor="text1"/>
                <w:sz w:val="21"/>
              </w:rPr>
              <w:t xml:space="preserve">Records excluded at screening</w:t>
            </w:r>
            <w:r>
              <w:rPr>
                <w:color w:val="000000" w:themeColor="text1"/>
              </w:rPr>
            </w:r>
            <w:r>
              <w:rPr>
                <w:color w:val="000000" w:themeColor="text1"/>
              </w:rPr>
            </w:r>
          </w:p>
        </w:tc>
        <w:tc>
          <w:tcPr>
            <w:tcBorders/>
            <w:tcW w:w="4320" w:type="dxa"/>
            <w:textDirection w:val="lrTb"/>
            <w:noWrap w:val="false"/>
          </w:tcPr>
          <w:p w14:paraId="55697A94">
            <w:pPr>
              <w:pBdr/>
              <w:spacing w:after="0" w:before="0" w:line="240" w:lineRule="auto"/>
              <w:ind/>
              <w:jc w:val="right"/>
              <w:rPr>
                <w:color w:val="000000" w:themeColor="text1"/>
              </w:rPr>
            </w:pPr>
            <w:r>
              <w:rPr>
                <w:rFonts w:ascii="Arial" w:hAnsi="Arial" w:eastAsia="Arial" w:cs="Arial"/>
                <w:color w:val="000000" w:themeColor="text1"/>
                <w:sz w:val="21"/>
              </w:rPr>
              <w:t xml:space="preserve">96</w:t>
            </w:r>
            <w:r>
              <w:rPr>
                <w:color w:val="000000" w:themeColor="text1"/>
              </w:rPr>
            </w:r>
            <w:r>
              <w:rPr>
                <w:color w:val="000000" w:themeColor="text1"/>
              </w:rPr>
            </w:r>
          </w:p>
        </w:tc>
      </w:tr>
      <w:tr>
        <w:trPr/>
        <w:tc>
          <w:tcPr>
            <w:tcBorders/>
            <w:tcW w:w="4320" w:type="dxa"/>
            <w:textDirection w:val="lrTb"/>
            <w:noWrap w:val="false"/>
          </w:tcPr>
          <w:p w14:paraId="2142EE5C">
            <w:pPr>
              <w:pBdr/>
              <w:spacing w:after="0" w:before="0" w:line="240" w:lineRule="auto"/>
              <w:ind/>
              <w:rPr>
                <w:color w:val="000000" w:themeColor="text1"/>
              </w:rPr>
            </w:pPr>
            <w:r>
              <w:rPr>
                <w:rFonts w:ascii="Arial" w:hAnsi="Arial" w:eastAsia="Arial" w:cs="Arial"/>
                <w:color w:val="000000" w:themeColor="text1"/>
                <w:sz w:val="21"/>
              </w:rPr>
              <w:t xml:space="preserve">Full-text records assessed</w:t>
            </w:r>
            <w:r>
              <w:rPr>
                <w:color w:val="000000" w:themeColor="text1"/>
              </w:rPr>
            </w:r>
            <w:r>
              <w:rPr>
                <w:color w:val="000000" w:themeColor="text1"/>
              </w:rPr>
            </w:r>
          </w:p>
        </w:tc>
        <w:tc>
          <w:tcPr>
            <w:tcBorders/>
            <w:tcW w:w="4320" w:type="dxa"/>
            <w:textDirection w:val="lrTb"/>
            <w:noWrap w:val="false"/>
          </w:tcPr>
          <w:p w14:paraId="00BFEF12">
            <w:pPr>
              <w:pBdr/>
              <w:spacing w:after="0" w:before="0" w:line="240" w:lineRule="auto"/>
              <w:ind/>
              <w:jc w:val="right"/>
              <w:rPr>
                <w:color w:val="000000" w:themeColor="text1"/>
              </w:rPr>
            </w:pPr>
            <w:r>
              <w:rPr>
                <w:rFonts w:ascii="Arial" w:hAnsi="Arial" w:eastAsia="Arial" w:cs="Arial"/>
                <w:color w:val="000000" w:themeColor="text1"/>
                <w:sz w:val="21"/>
              </w:rPr>
              <w:t xml:space="preserve">86</w:t>
            </w:r>
            <w:r>
              <w:rPr>
                <w:color w:val="000000" w:themeColor="text1"/>
              </w:rPr>
            </w:r>
            <w:r>
              <w:rPr>
                <w:color w:val="000000" w:themeColor="text1"/>
              </w:rPr>
            </w:r>
          </w:p>
        </w:tc>
      </w:tr>
      <w:tr>
        <w:trPr/>
        <w:tc>
          <w:tcPr>
            <w:tcBorders/>
            <w:tcW w:w="4320" w:type="dxa"/>
            <w:textDirection w:val="lrTb"/>
            <w:noWrap w:val="false"/>
          </w:tcPr>
          <w:p w14:paraId="485FCDE1">
            <w:pPr>
              <w:pBdr/>
              <w:spacing w:after="0" w:before="0" w:line="240" w:lineRule="auto"/>
              <w:ind/>
              <w:rPr>
                <w:color w:val="000000" w:themeColor="text1"/>
              </w:rPr>
            </w:pPr>
            <w:r>
              <w:rPr>
                <w:rFonts w:ascii="Arial" w:hAnsi="Arial" w:eastAsia="Arial" w:cs="Arial"/>
                <w:color w:val="000000" w:themeColor="text1"/>
                <w:sz w:val="21"/>
              </w:rPr>
              <w:t xml:space="preserve">Full-text records excluded</w:t>
            </w:r>
            <w:r>
              <w:rPr>
                <w:color w:val="000000" w:themeColor="text1"/>
              </w:rPr>
            </w:r>
            <w:r>
              <w:rPr>
                <w:color w:val="000000" w:themeColor="text1"/>
              </w:rPr>
            </w:r>
          </w:p>
        </w:tc>
        <w:tc>
          <w:tcPr>
            <w:tcBorders/>
            <w:tcW w:w="4320" w:type="dxa"/>
            <w:textDirection w:val="lrTb"/>
            <w:noWrap w:val="false"/>
          </w:tcPr>
          <w:p w14:paraId="3BE3F1A2">
            <w:pPr>
              <w:pBdr/>
              <w:spacing w:after="0" w:before="0" w:line="240" w:lineRule="auto"/>
              <w:ind/>
              <w:jc w:val="right"/>
              <w:rPr>
                <w:color w:val="000000" w:themeColor="text1"/>
              </w:rPr>
            </w:pPr>
            <w:r>
              <w:rPr>
                <w:rFonts w:ascii="Arial" w:hAnsi="Arial" w:eastAsia="Arial" w:cs="Arial"/>
                <w:color w:val="000000" w:themeColor="text1"/>
                <w:sz w:val="21"/>
              </w:rPr>
              <w:t xml:space="preserve">45</w:t>
            </w:r>
            <w:r>
              <w:rPr>
                <w:color w:val="000000" w:themeColor="text1"/>
              </w:rPr>
            </w:r>
            <w:r>
              <w:rPr>
                <w:color w:val="000000" w:themeColor="text1"/>
              </w:rPr>
            </w:r>
          </w:p>
        </w:tc>
      </w:tr>
      <w:tr>
        <w:trPr/>
        <w:tc>
          <w:tcPr>
            <w:tcBorders/>
            <w:tcW w:w="4320" w:type="dxa"/>
            <w:textDirection w:val="lrTb"/>
            <w:noWrap w:val="false"/>
          </w:tcPr>
          <w:p w14:paraId="42019C8F">
            <w:pPr>
              <w:pBdr/>
              <w:spacing w:after="0" w:before="0" w:line="240" w:lineRule="auto"/>
              <w:ind/>
              <w:rPr>
                <w:color w:val="000000" w:themeColor="text1"/>
              </w:rPr>
            </w:pPr>
            <w:r>
              <w:rPr>
                <w:rFonts w:ascii="Arial" w:hAnsi="Arial" w:eastAsia="Arial" w:cs="Arial"/>
                <w:color w:val="000000" w:themeColor="text1"/>
                <w:sz w:val="21"/>
              </w:rPr>
              <w:t xml:space="preserve">Included in chapter synthesis (external)</w:t>
            </w:r>
            <w:r>
              <w:rPr>
                <w:color w:val="000000" w:themeColor="text1"/>
              </w:rPr>
            </w:r>
            <w:r>
              <w:rPr>
                <w:color w:val="000000" w:themeColor="text1"/>
              </w:rPr>
            </w:r>
          </w:p>
        </w:tc>
        <w:tc>
          <w:tcPr>
            <w:tcBorders/>
            <w:tcW w:w="4320" w:type="dxa"/>
            <w:textDirection w:val="lrTb"/>
            <w:noWrap w:val="false"/>
          </w:tcPr>
          <w:p w14:paraId="55859879">
            <w:pPr>
              <w:pBdr/>
              <w:spacing w:after="0" w:before="0" w:line="240" w:lineRule="auto"/>
              <w:ind/>
              <w:jc w:val="right"/>
              <w:rPr>
                <w:color w:val="000000" w:themeColor="text1"/>
              </w:rPr>
            </w:pPr>
            <w:r>
              <w:rPr>
                <w:rFonts w:ascii="Arial" w:hAnsi="Arial" w:eastAsia="Arial" w:cs="Arial"/>
                <w:color w:val="000000" w:themeColor="text1"/>
                <w:sz w:val="21"/>
              </w:rPr>
              <w:t xml:space="preserve">41</w:t>
            </w:r>
            <w:r>
              <w:rPr>
                <w:color w:val="000000" w:themeColor="text1"/>
              </w:rPr>
            </w:r>
            <w:r>
              <w:rPr>
                <w:color w:val="000000" w:themeColor="text1"/>
              </w:rPr>
            </w:r>
          </w:p>
        </w:tc>
      </w:tr>
    </w:tbl>
    <w:p w14:paraId="01073633">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13"/>
        <w:tblW w:w="0" w:type="auto"/>
        <w:tblBorders/>
        <w:tblLayout w:type="fixed"/>
        <w:tblLook w:val="04A0" w:firstRow="1" w:lastRow="0" w:firstColumn="1" w:lastColumn="0" w:noHBand="0" w:noVBand="1"/>
      </w:tblPr>
      <w:tblGrid>
        <w:gridCol w:w="6420"/>
        <w:gridCol w:w="2220"/>
      </w:tblGrid>
      <w:tr>
        <w:trPr/>
        <w:tc>
          <w:tcPr>
            <w:tcBorders/>
            <w:tcW w:w="6420" w:type="dxa"/>
            <w:textDirection w:val="lrTb"/>
            <w:noWrap w:val="false"/>
          </w:tcPr>
          <w:p w14:paraId="7FFC05D1">
            <w:pPr>
              <w:pBdr/>
              <w:spacing w:after="0" w:before="0" w:line="240" w:lineRule="auto"/>
              <w:ind/>
              <w:rPr>
                <w:color w:val="000000" w:themeColor="text1"/>
              </w:rPr>
            </w:pPr>
            <w:r>
              <w:rPr>
                <w:rFonts w:ascii="Arial" w:hAnsi="Arial" w:eastAsia="Arial" w:cs="Arial"/>
                <w:b/>
                <w:color w:val="000000" w:themeColor="text1"/>
                <w:sz w:val="21"/>
              </w:rPr>
              <w:t xml:space="preserve">Exclusion reason</w:t>
            </w:r>
            <w:r>
              <w:rPr>
                <w:color w:val="000000" w:themeColor="text1"/>
              </w:rPr>
            </w:r>
            <w:r>
              <w:rPr>
                <w:color w:val="000000" w:themeColor="text1"/>
              </w:rPr>
            </w:r>
          </w:p>
        </w:tc>
        <w:tc>
          <w:tcPr>
            <w:tcBorders/>
            <w:tcW w:w="2220" w:type="dxa"/>
            <w:textDirection w:val="lrTb"/>
            <w:noWrap w:val="false"/>
          </w:tcPr>
          <w:p w14:paraId="0CBA335F">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6420" w:type="dxa"/>
            <w:textDirection w:val="lrTb"/>
            <w:noWrap w:val="false"/>
          </w:tcPr>
          <w:p w14:paraId="587FEF90">
            <w:pPr>
              <w:pBdr/>
              <w:spacing w:after="0" w:before="0" w:line="240" w:lineRule="auto"/>
              <w:ind/>
              <w:rPr>
                <w:color w:val="000000" w:themeColor="text1"/>
              </w:rPr>
            </w:pPr>
            <w:r>
              <w:rPr>
                <w:rFonts w:ascii="Arial" w:hAnsi="Arial" w:eastAsia="Arial" w:cs="Arial"/>
                <w:color w:val="000000" w:themeColor="text1"/>
                <w:sz w:val="21"/>
              </w:rPr>
              <w:t xml:space="preserve">Not MedVQA-specific (generic CV/NLP without QA task linkage)</w:t>
            </w:r>
            <w:r>
              <w:rPr>
                <w:color w:val="000000" w:themeColor="text1"/>
              </w:rPr>
            </w:r>
            <w:r>
              <w:rPr>
                <w:color w:val="000000" w:themeColor="text1"/>
              </w:rPr>
            </w:r>
          </w:p>
        </w:tc>
        <w:tc>
          <w:tcPr>
            <w:tcBorders/>
            <w:tcW w:w="2220" w:type="dxa"/>
            <w:textDirection w:val="lrTb"/>
            <w:noWrap w:val="false"/>
          </w:tcPr>
          <w:p w14:paraId="6ACE1219">
            <w:pPr>
              <w:pBdr/>
              <w:spacing w:after="0" w:before="0" w:line="240" w:lineRule="auto"/>
              <w:ind/>
              <w:jc w:val="right"/>
              <w:rPr>
                <w:color w:val="000000" w:themeColor="text1"/>
              </w:rPr>
            </w:pPr>
            <w:r>
              <w:rPr>
                <w:rFonts w:ascii="Arial" w:hAnsi="Arial" w:eastAsia="Arial" w:cs="Arial"/>
                <w:color w:val="000000" w:themeColor="text1"/>
                <w:sz w:val="21"/>
              </w:rPr>
              <w:t xml:space="preserve">16</w:t>
            </w:r>
            <w:r>
              <w:rPr>
                <w:color w:val="000000" w:themeColor="text1"/>
              </w:rPr>
            </w:r>
            <w:r>
              <w:rPr>
                <w:color w:val="000000" w:themeColor="text1"/>
              </w:rPr>
            </w:r>
          </w:p>
        </w:tc>
      </w:tr>
      <w:tr>
        <w:trPr/>
        <w:tc>
          <w:tcPr>
            <w:tcBorders/>
            <w:tcW w:w="6420" w:type="dxa"/>
            <w:textDirection w:val="lrTb"/>
            <w:noWrap w:val="false"/>
          </w:tcPr>
          <w:p w14:paraId="590E7F0E">
            <w:pPr>
              <w:pBdr/>
              <w:spacing w:after="0" w:before="0" w:line="240" w:lineRule="auto"/>
              <w:ind/>
              <w:rPr>
                <w:color w:val="000000" w:themeColor="text1"/>
              </w:rPr>
            </w:pPr>
            <w:r>
              <w:rPr>
                <w:rFonts w:ascii="Arial" w:hAnsi="Arial" w:eastAsia="Arial" w:cs="Arial"/>
                <w:color w:val="000000" w:themeColor="text1"/>
                <w:sz w:val="21"/>
              </w:rPr>
              <w:t xml:space="preserve">Limited clinical/GI relevance for this thesis scope</w:t>
            </w:r>
            <w:r>
              <w:rPr>
                <w:color w:val="000000" w:themeColor="text1"/>
              </w:rPr>
            </w:r>
            <w:r>
              <w:rPr>
                <w:color w:val="000000" w:themeColor="text1"/>
              </w:rPr>
            </w:r>
          </w:p>
        </w:tc>
        <w:tc>
          <w:tcPr>
            <w:tcBorders/>
            <w:tcW w:w="2220" w:type="dxa"/>
            <w:textDirection w:val="lrTb"/>
            <w:noWrap w:val="false"/>
          </w:tcPr>
          <w:p w14:paraId="1D59EFFF">
            <w:pPr>
              <w:pBdr/>
              <w:spacing w:after="0" w:before="0" w:line="240" w:lineRule="auto"/>
              <w:ind/>
              <w:jc w:val="right"/>
              <w:rPr>
                <w:color w:val="000000" w:themeColor="text1"/>
              </w:rPr>
            </w:pPr>
            <w:r>
              <w:rPr>
                <w:rFonts w:ascii="Arial" w:hAnsi="Arial" w:eastAsia="Arial" w:cs="Arial"/>
                <w:color w:val="000000" w:themeColor="text1"/>
                <w:sz w:val="21"/>
              </w:rPr>
              <w:t xml:space="preserve">11</w:t>
            </w:r>
            <w:r>
              <w:rPr>
                <w:color w:val="000000" w:themeColor="text1"/>
              </w:rPr>
            </w:r>
            <w:r>
              <w:rPr>
                <w:color w:val="000000" w:themeColor="text1"/>
              </w:rPr>
            </w:r>
          </w:p>
        </w:tc>
      </w:tr>
      <w:tr>
        <w:trPr/>
        <w:tc>
          <w:tcPr>
            <w:tcBorders/>
            <w:tcW w:w="6420" w:type="dxa"/>
            <w:textDirection w:val="lrTb"/>
            <w:noWrap w:val="false"/>
          </w:tcPr>
          <w:p w14:paraId="6328A46E">
            <w:pPr>
              <w:pBdr/>
              <w:spacing w:after="0" w:before="0" w:line="240" w:lineRule="auto"/>
              <w:ind/>
              <w:rPr>
                <w:color w:val="000000" w:themeColor="text1"/>
              </w:rPr>
            </w:pPr>
            <w:r>
              <w:rPr>
                <w:rFonts w:ascii="Arial" w:hAnsi="Arial" w:eastAsia="Arial" w:cs="Arial"/>
                <w:color w:val="000000" w:themeColor="text1"/>
                <w:sz w:val="21"/>
              </w:rPr>
              <w:t xml:space="preserve">Non-primary or tertiary source where primary source existed</w:t>
            </w:r>
            <w:r>
              <w:rPr>
                <w:color w:val="000000" w:themeColor="text1"/>
              </w:rPr>
            </w:r>
            <w:r>
              <w:rPr>
                <w:color w:val="000000" w:themeColor="text1"/>
              </w:rPr>
            </w:r>
          </w:p>
        </w:tc>
        <w:tc>
          <w:tcPr>
            <w:tcBorders/>
            <w:tcW w:w="2220" w:type="dxa"/>
            <w:textDirection w:val="lrTb"/>
            <w:noWrap w:val="false"/>
          </w:tcPr>
          <w:p w14:paraId="5109B21B">
            <w:pPr>
              <w:pBdr/>
              <w:spacing w:after="0" w:before="0" w:line="240" w:lineRule="auto"/>
              <w:ind/>
              <w:jc w:val="right"/>
              <w:rPr>
                <w:color w:val="000000" w:themeColor="text1"/>
              </w:rPr>
            </w:pPr>
            <w:r>
              <w:rPr>
                <w:rFonts w:ascii="Arial" w:hAnsi="Arial" w:eastAsia="Arial" w:cs="Arial"/>
                <w:color w:val="000000" w:themeColor="text1"/>
                <w:sz w:val="21"/>
              </w:rPr>
              <w:t xml:space="preserve">8</w:t>
            </w:r>
            <w:r>
              <w:rPr>
                <w:color w:val="000000" w:themeColor="text1"/>
              </w:rPr>
            </w:r>
            <w:r>
              <w:rPr>
                <w:color w:val="000000" w:themeColor="text1"/>
              </w:rPr>
            </w:r>
          </w:p>
        </w:tc>
      </w:tr>
      <w:tr>
        <w:trPr>
          <w:trHeight w:val="197"/>
        </w:trPr>
        <w:tc>
          <w:tcPr>
            <w:tcBorders/>
            <w:tcW w:w="6420" w:type="dxa"/>
            <w:textDirection w:val="lrTb"/>
            <w:noWrap w:val="false"/>
          </w:tcPr>
          <w:p w14:paraId="1D059476">
            <w:pPr>
              <w:pBdr/>
              <w:spacing w:after="0" w:before="0" w:line="240" w:lineRule="auto"/>
              <w:ind/>
              <w:rPr>
                <w:color w:val="000000" w:themeColor="text1"/>
              </w:rPr>
            </w:pPr>
            <w:r>
              <w:rPr>
                <w:rFonts w:ascii="Arial" w:hAnsi="Arial" w:eastAsia="Arial" w:cs="Arial"/>
                <w:color w:val="000000" w:themeColor="text1"/>
                <w:sz w:val="21"/>
              </w:rPr>
              <w:t xml:space="preserve">Insufficient methodological detail for comparative synthesis</w:t>
            </w:r>
            <w:r>
              <w:rPr>
                <w:color w:val="000000" w:themeColor="text1"/>
              </w:rPr>
            </w:r>
            <w:r>
              <w:rPr>
                <w:color w:val="000000" w:themeColor="text1"/>
              </w:rPr>
            </w:r>
          </w:p>
        </w:tc>
        <w:tc>
          <w:tcPr>
            <w:tcBorders/>
            <w:tcW w:w="2220" w:type="dxa"/>
            <w:textDirection w:val="lrTb"/>
            <w:noWrap w:val="false"/>
          </w:tcPr>
          <w:p w14:paraId="5FB0832B">
            <w:pPr>
              <w:pBdr/>
              <w:spacing w:after="0" w:before="0" w:line="240" w:lineRule="auto"/>
              <w:ind/>
              <w:jc w:val="right"/>
              <w:rPr>
                <w:color w:val="000000" w:themeColor="text1"/>
              </w:rPr>
            </w:pPr>
            <w:r>
              <w:rPr>
                <w:rFonts w:ascii="Arial" w:hAnsi="Arial" w:eastAsia="Arial" w:cs="Arial"/>
                <w:color w:val="000000" w:themeColor="text1"/>
                <w:sz w:val="21"/>
              </w:rPr>
              <w:t xml:space="preserve">10</w:t>
            </w:r>
            <w:r>
              <w:rPr>
                <w:color w:val="000000" w:themeColor="text1"/>
              </w:rPr>
            </w:r>
            <w:r>
              <w:rPr>
                <w:color w:val="000000" w:themeColor="text1"/>
              </w:rPr>
            </w:r>
          </w:p>
        </w:tc>
      </w:tr>
    </w:tbl>
    <w:p w14:paraId="57C43417">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6C83504D">
      <w:pPr>
        <w:pStyle w:val="1056"/>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highlight w:val="none"/>
          <w:lang w:val="en-CA" w:bidi="en-CA"/>
        </w:rPr>
        <w:t xml:space="preserve">2.3 Evolution of VQA Methods: From General AI to Clinical MedVQA</w:t>
      </w:r>
      <w:r>
        <w:rPr>
          <w:b/>
          <w:bCs/>
          <w:sz w:val="28"/>
          <w:szCs w:val="28"/>
        </w:rPr>
      </w:r>
      <w:r>
        <w:rPr>
          <w:b/>
          <w:bCs/>
          <w:sz w:val="28"/>
          <w:szCs w:val="28"/>
        </w:rPr>
      </w:r>
    </w:p>
    <w:p w14:paraId="640CE1C4">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technical development of MedVQA follows, with delay, the broader VQA trajectory in AI.</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4CFB8093">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2.3.1 Stage A: Early Discriminative Pipelines</w:t>
      </w:r>
      <w:r>
        <w:rPr>
          <w:b/>
          <w:bCs/>
        </w:rPr>
      </w:r>
      <w:r>
        <w:rPr>
          <w:b/>
          <w:bCs/>
        </w:rPr>
      </w:r>
    </w:p>
    <w:p w14:paraId="2A1AF50F">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arly VQA systems relied on CNN image encoders and RNN question encoders with shallow fusion. In these setups, the final task is usually answer classification from a fixed vocabulary. This structure is data-efficient and operationally stable for constrained</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question sets, but limited for open-ended clinical answers.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07EB3EC0">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2.3.2 Stage B: Attention and Cross-Modal Transformers</w:t>
      </w:r>
      <w:r>
        <w:rPr>
          <w:b/>
          <w:bCs/>
        </w:rPr>
      </w:r>
      <w:r>
        <w:rPr>
          <w:b/>
          <w:bCs/>
        </w:rPr>
      </w:r>
    </w:p>
    <w:p w14:paraId="083ECA84">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ransformer-based multimodal architectures improved cross-modal alignment and reasoning depth. Two-stream and cross-attention approaches such as ViLBERT and LXMERT established a stronger pretraining paradigm for vision-language tasks [31], [32]. Large-sca</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le contrastive pretraining (e.g., CLIP) then made transfer learning more scalable [33].</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36870BD0">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2.3.3 Stage C: Instruction-Tuned Generative Multimodal Models</w:t>
      </w:r>
      <w:r>
        <w:rPr>
          <w:b/>
          <w:bCs/>
        </w:rPr>
      </w:r>
      <w:r>
        <w:rPr>
          <w:b/>
          <w:bCs/>
        </w:rPr>
      </w:r>
    </w:p>
    <w:p w14:paraId="603EFB00">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ecent systems increasingly treat MedVQA as a generative task rather than fixed-label classification. The shift is visible in BLIP-2 style adaptation [34], LLaVA-style visual instruction tuning [35], and medical-domain variants such as LLaVA-Med [6] and </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Med-Flamingo [7]. Biomedical language pretraining backbones such as BioBERT and BioGPT [40], [41] are also important in this stage because they improve terminology fidelity and domain-specific language control in downstream medical QA systems.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5E05D7F5">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advantage is richer interaction and explanation-like output. The risk is that fluent generated text can become weakly grounded, lexically mismatched to benchmark labels, or clinically unsafe if not constrained.</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776ED911">
      <w:pPr>
        <w:pStyle w:val="1056"/>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highlight w:val="none"/>
          <w:lang w:val="en-CA" w:bidi="en-CA"/>
        </w:rPr>
        <w:t xml:space="preserve">2.3.4 Stage D: Reliability, Explainability, and Evidence Grounding</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4DDCE036">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he current frontier moves beyond "answer generation" toward clinical trust requirements: grounding, calibration, interpretability, and evidence linkage. This includes benchmark-level work on probing reliability [11], multimodal in-context robustness [12]</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explainability frameworks [15], and retrieval-based methods in clinical VQA settings [30].</w:t>
      </w:r>
      <w:r>
        <w:rPr>
          <w:rFonts w:ascii="Arial" w:hAnsi="Arial" w:eastAsia="Arial" w:cs="Arial"/>
          <w:b w:val="0"/>
          <w:bCs w:val="0"/>
          <w:i w:val="0"/>
          <w:caps w:val="0"/>
          <w:smallCaps w:val="0"/>
          <w:color w:val="000000" w:themeColor="text1" w:themeTint="FF" w:themeShade="FF"/>
          <w:sz w:val="22"/>
          <w:szCs w:val="22"/>
          <w:highlight w:val="none"/>
          <w:lang w:val="en-CA" w:bidi="en-CA"/>
        </w:rPr>
      </w:r>
      <w:r/>
    </w:p>
    <w:tbl>
      <w:tblPr>
        <w:tblStyle w:val="1113"/>
        <w:tblW w:w="0" w:type="auto"/>
        <w:tblBorders/>
        <w:tblLayout w:type="fixed"/>
        <w:tblLook w:val="04A0" w:firstRow="1" w:lastRow="0" w:firstColumn="1" w:lastColumn="0" w:noHBand="0" w:noVBand="1"/>
      </w:tblPr>
      <w:tblGrid>
        <w:gridCol w:w="2160"/>
        <w:gridCol w:w="1426"/>
        <w:gridCol w:w="2894"/>
        <w:gridCol w:w="2633"/>
      </w:tblGrid>
      <w:tr>
        <w:trPr/>
        <w:tc>
          <w:tcPr>
            <w:tcBorders/>
            <w:tcW w:w="2160" w:type="dxa"/>
            <w:textDirection w:val="lrTb"/>
            <w:noWrap w:val="false"/>
          </w:tcPr>
          <w:p w14:paraId="1BB6D935">
            <w:pPr>
              <w:pBdr/>
              <w:spacing w:after="0" w:before="0" w:line="240" w:lineRule="auto"/>
              <w:ind/>
              <w:rPr>
                <w:color w:val="000000" w:themeColor="text1"/>
              </w:rPr>
            </w:pPr>
            <w:r>
              <w:rPr>
                <w:rFonts w:ascii="Arial" w:hAnsi="Arial" w:eastAsia="Arial" w:cs="Arial"/>
                <w:b/>
                <w:color w:val="000000" w:themeColor="text1"/>
                <w:sz w:val="21"/>
              </w:rPr>
              <w:t xml:space="preserve">Dataset / Benchmark</w:t>
            </w:r>
            <w:r>
              <w:rPr>
                <w:color w:val="000000" w:themeColor="text1"/>
              </w:rPr>
            </w:r>
            <w:r>
              <w:rPr>
                <w:color w:val="000000" w:themeColor="text1"/>
              </w:rPr>
            </w:r>
          </w:p>
        </w:tc>
        <w:tc>
          <w:tcPr>
            <w:tcBorders/>
            <w:tcW w:w="1426" w:type="dxa"/>
            <w:textDirection w:val="lrTb"/>
            <w:noWrap w:val="false"/>
          </w:tcPr>
          <w:p w14:paraId="72A04FB2">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2894" w:type="dxa"/>
            <w:textDirection w:val="lrTb"/>
            <w:noWrap w:val="false"/>
          </w:tcPr>
          <w:p w14:paraId="5A74EF29">
            <w:pPr>
              <w:pBdr/>
              <w:spacing w:after="0" w:before="0" w:line="240" w:lineRule="auto"/>
              <w:ind/>
              <w:rPr>
                <w:color w:val="000000" w:themeColor="text1"/>
              </w:rPr>
            </w:pPr>
            <w:r>
              <w:rPr>
                <w:rFonts w:ascii="Arial" w:hAnsi="Arial" w:eastAsia="Arial" w:cs="Arial"/>
                <w:b/>
                <w:color w:val="000000" w:themeColor="text1"/>
                <w:sz w:val="21"/>
              </w:rPr>
              <w:t xml:space="preserve">Reported scope</w:t>
            </w:r>
            <w:r>
              <w:rPr>
                <w:color w:val="000000" w:themeColor="text1"/>
              </w:rPr>
            </w:r>
            <w:r>
              <w:rPr>
                <w:color w:val="000000" w:themeColor="text1"/>
              </w:rPr>
            </w:r>
          </w:p>
        </w:tc>
        <w:tc>
          <w:tcPr>
            <w:tcBorders/>
            <w:tcW w:w="2633" w:type="dxa"/>
            <w:textDirection w:val="lrTb"/>
            <w:noWrap w:val="false"/>
          </w:tcPr>
          <w:p w14:paraId="08273E8D">
            <w:pPr>
              <w:pBdr/>
              <w:spacing w:after="0" w:before="0" w:line="24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2160" w:type="dxa"/>
            <w:textDirection w:val="lrTb"/>
            <w:noWrap w:val="false"/>
          </w:tcPr>
          <w:p w14:paraId="5B497BE1">
            <w:pPr>
              <w:pBdr/>
              <w:spacing w:after="0" w:before="0" w:line="240" w:lineRule="auto"/>
              <w:ind/>
              <w:rPr>
                <w:color w:val="000000" w:themeColor="text1"/>
              </w:rPr>
            </w:pPr>
            <w:r>
              <w:rPr>
                <w:rFonts w:ascii="Arial" w:hAnsi="Arial" w:eastAsia="Arial" w:cs="Arial"/>
                <w:color w:val="000000" w:themeColor="text1"/>
                <w:sz w:val="21"/>
              </w:rPr>
              <w:t xml:space="preserve">VQA-RAD [1]</w:t>
            </w:r>
            <w:r>
              <w:rPr>
                <w:color w:val="000000" w:themeColor="text1"/>
              </w:rPr>
            </w:r>
            <w:r>
              <w:rPr>
                <w:color w:val="000000" w:themeColor="text1"/>
              </w:rPr>
            </w:r>
          </w:p>
        </w:tc>
        <w:tc>
          <w:tcPr>
            <w:tcBorders/>
            <w:tcW w:w="1426" w:type="dxa"/>
            <w:textDirection w:val="lrTb"/>
            <w:noWrap w:val="false"/>
          </w:tcPr>
          <w:p w14:paraId="3D1B7E2E">
            <w:pPr>
              <w:pBdr/>
              <w:spacing w:after="0" w:before="0" w:line="240" w:lineRule="auto"/>
              <w:ind/>
              <w:jc w:val="right"/>
              <w:rPr>
                <w:color w:val="000000" w:themeColor="text1"/>
              </w:rPr>
            </w:pPr>
            <w:r>
              <w:rPr>
                <w:rFonts w:ascii="Arial" w:hAnsi="Arial" w:eastAsia="Arial" w:cs="Arial"/>
                <w:color w:val="000000" w:themeColor="text1"/>
                <w:sz w:val="21"/>
              </w:rPr>
              <w:t xml:space="preserve">2018</w:t>
            </w:r>
            <w:r>
              <w:rPr>
                <w:color w:val="000000" w:themeColor="text1"/>
              </w:rPr>
            </w:r>
            <w:r>
              <w:rPr>
                <w:color w:val="000000" w:themeColor="text1"/>
              </w:rPr>
            </w:r>
          </w:p>
        </w:tc>
        <w:tc>
          <w:tcPr>
            <w:tcBorders/>
            <w:tcW w:w="2894" w:type="dxa"/>
            <w:textDirection w:val="lrTb"/>
            <w:noWrap w:val="false"/>
          </w:tcPr>
          <w:p w14:paraId="172AF322">
            <w:pPr>
              <w:pBdr/>
              <w:spacing w:after="0" w:before="0" w:line="240" w:lineRule="auto"/>
              <w:ind/>
              <w:rPr>
                <w:color w:val="000000" w:themeColor="text1"/>
              </w:rPr>
            </w:pPr>
            <w:r>
              <w:rPr>
                <w:rFonts w:ascii="Arial" w:hAnsi="Arial" w:eastAsia="Arial" w:cs="Arial"/>
                <w:color w:val="000000" w:themeColor="text1"/>
                <w:sz w:val="21"/>
              </w:rPr>
              <w:t xml:space="preserve">Clinician-authored radiology QA</w:t>
            </w:r>
            <w:r>
              <w:rPr>
                <w:color w:val="000000" w:themeColor="text1"/>
              </w:rPr>
            </w:r>
            <w:r>
              <w:rPr>
                <w:color w:val="000000" w:themeColor="text1"/>
              </w:rPr>
            </w:r>
          </w:p>
        </w:tc>
        <w:tc>
          <w:tcPr>
            <w:tcBorders/>
            <w:tcW w:w="2633" w:type="dxa"/>
            <w:textDirection w:val="lrTb"/>
            <w:noWrap w:val="false"/>
          </w:tcPr>
          <w:p w14:paraId="6845090C">
            <w:pPr>
              <w:pBdr/>
              <w:spacing w:after="0" w:before="0" w:line="240" w:lineRule="auto"/>
              <w:ind/>
              <w:rPr>
                <w:color w:val="000000" w:themeColor="text1"/>
              </w:rPr>
            </w:pPr>
            <w:r>
              <w:rPr>
                <w:rFonts w:ascii="Arial" w:hAnsi="Arial" w:eastAsia="Arial" w:cs="Arial"/>
                <w:color w:val="000000" w:themeColor="text1"/>
                <w:sz w:val="21"/>
              </w:rPr>
              <w:t xml:space="preserve">Early high-quality clinician-driven MedVQA benchmark</w:t>
            </w:r>
            <w:r>
              <w:rPr>
                <w:color w:val="000000" w:themeColor="text1"/>
              </w:rPr>
            </w:r>
            <w:r>
              <w:rPr>
                <w:color w:val="000000" w:themeColor="text1"/>
              </w:rPr>
            </w:r>
          </w:p>
        </w:tc>
      </w:tr>
      <w:tr>
        <w:trPr/>
        <w:tc>
          <w:tcPr>
            <w:tcBorders/>
            <w:tcW w:w="2160" w:type="dxa"/>
            <w:textDirection w:val="lrTb"/>
            <w:noWrap w:val="false"/>
          </w:tcPr>
          <w:p w14:paraId="560C83FC">
            <w:pPr>
              <w:pBdr/>
              <w:spacing w:after="0" w:before="0" w:line="240" w:lineRule="auto"/>
              <w:ind/>
              <w:rPr>
                <w:color w:val="000000" w:themeColor="text1"/>
              </w:rPr>
            </w:pPr>
            <w:r>
              <w:rPr>
                <w:rFonts w:ascii="Arial" w:hAnsi="Arial" w:eastAsia="Arial" w:cs="Arial"/>
                <w:color w:val="000000" w:themeColor="text1"/>
                <w:sz w:val="21"/>
              </w:rPr>
              <w:t xml:space="preserve">PathVQA [2]</w:t>
            </w:r>
            <w:r>
              <w:rPr>
                <w:color w:val="000000" w:themeColor="text1"/>
              </w:rPr>
            </w:r>
            <w:r>
              <w:rPr>
                <w:color w:val="000000" w:themeColor="text1"/>
              </w:rPr>
            </w:r>
          </w:p>
        </w:tc>
        <w:tc>
          <w:tcPr>
            <w:tcBorders/>
            <w:tcW w:w="1426" w:type="dxa"/>
            <w:textDirection w:val="lrTb"/>
            <w:noWrap w:val="false"/>
          </w:tcPr>
          <w:p w14:paraId="3C5E547B">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2894" w:type="dxa"/>
            <w:textDirection w:val="lrTb"/>
            <w:noWrap w:val="false"/>
          </w:tcPr>
          <w:p w14:paraId="3CAA6A15">
            <w:pPr>
              <w:pBdr/>
              <w:spacing w:after="0" w:before="0" w:line="240" w:lineRule="auto"/>
              <w:ind/>
              <w:rPr>
                <w:color w:val="000000" w:themeColor="text1"/>
              </w:rPr>
            </w:pPr>
            <w:r>
              <w:rPr>
                <w:rFonts w:ascii="Arial" w:hAnsi="Arial" w:eastAsia="Arial" w:cs="Arial"/>
                <w:color w:val="000000" w:themeColor="text1"/>
                <w:sz w:val="21"/>
              </w:rPr>
              <w:t xml:space="preserve">Pathology QA from textbook/digital resources</w:t>
            </w:r>
            <w:r>
              <w:rPr>
                <w:color w:val="000000" w:themeColor="text1"/>
              </w:rPr>
            </w:r>
            <w:r>
              <w:rPr>
                <w:color w:val="000000" w:themeColor="text1"/>
              </w:rPr>
            </w:r>
          </w:p>
        </w:tc>
        <w:tc>
          <w:tcPr>
            <w:tcBorders/>
            <w:tcW w:w="2633" w:type="dxa"/>
            <w:textDirection w:val="lrTb"/>
            <w:noWrap w:val="false"/>
          </w:tcPr>
          <w:p w14:paraId="3818061F">
            <w:pPr>
              <w:pBdr/>
              <w:spacing w:after="0" w:before="0" w:line="240" w:lineRule="auto"/>
              <w:ind/>
              <w:rPr>
                <w:color w:val="000000" w:themeColor="text1"/>
              </w:rPr>
            </w:pPr>
            <w:r>
              <w:rPr>
                <w:rFonts w:ascii="Arial" w:hAnsi="Arial" w:eastAsia="Arial" w:cs="Arial"/>
                <w:color w:val="000000" w:themeColor="text1"/>
                <w:sz w:val="21"/>
              </w:rPr>
              <w:t xml:space="preserve">Extended MedVQA to histopathology</w:t>
            </w:r>
            <w:r>
              <w:rPr>
                <w:color w:val="000000" w:themeColor="text1"/>
              </w:rPr>
            </w:r>
            <w:r>
              <w:rPr>
                <w:color w:val="000000" w:themeColor="text1"/>
              </w:rPr>
            </w:r>
          </w:p>
        </w:tc>
      </w:tr>
      <w:tr>
        <w:trPr/>
        <w:tc>
          <w:tcPr>
            <w:tcBorders/>
            <w:tcW w:w="2160" w:type="dxa"/>
            <w:textDirection w:val="lrTb"/>
            <w:noWrap w:val="false"/>
          </w:tcPr>
          <w:p w14:paraId="21D6FC69">
            <w:pPr>
              <w:pBdr/>
              <w:spacing w:after="0" w:before="0" w:line="240" w:lineRule="auto"/>
              <w:ind/>
              <w:rPr>
                <w:color w:val="000000" w:themeColor="text1"/>
              </w:rPr>
            </w:pPr>
            <w:r>
              <w:rPr>
                <w:rFonts w:ascii="Arial" w:hAnsi="Arial" w:eastAsia="Arial" w:cs="Arial"/>
                <w:color w:val="000000" w:themeColor="text1"/>
                <w:sz w:val="21"/>
              </w:rPr>
              <w:t xml:space="preserve">SLAKE [3]</w:t>
            </w:r>
            <w:r>
              <w:rPr>
                <w:color w:val="000000" w:themeColor="text1"/>
              </w:rPr>
            </w:r>
            <w:r>
              <w:rPr>
                <w:color w:val="000000" w:themeColor="text1"/>
              </w:rPr>
            </w:r>
          </w:p>
        </w:tc>
        <w:tc>
          <w:tcPr>
            <w:tcBorders/>
            <w:tcW w:w="1426" w:type="dxa"/>
            <w:textDirection w:val="lrTb"/>
            <w:noWrap w:val="false"/>
          </w:tcPr>
          <w:p w14:paraId="76D1610E">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2894" w:type="dxa"/>
            <w:textDirection w:val="lrTb"/>
            <w:noWrap w:val="false"/>
          </w:tcPr>
          <w:p w14:paraId="3D1AF1BF">
            <w:pPr>
              <w:pBdr/>
              <w:spacing w:after="0" w:before="0" w:line="240" w:lineRule="auto"/>
              <w:ind/>
              <w:rPr>
                <w:color w:val="000000" w:themeColor="text1"/>
              </w:rPr>
            </w:pPr>
            <w:r>
              <w:rPr>
                <w:rFonts w:ascii="Arial" w:hAnsi="Arial" w:eastAsia="Arial" w:cs="Arial"/>
                <w:color w:val="000000" w:themeColor="text1"/>
                <w:sz w:val="21"/>
              </w:rPr>
              <w:t xml:space="preserve">Bilingual, semantically labeled medical QA</w:t>
            </w:r>
            <w:r>
              <w:rPr>
                <w:color w:val="000000" w:themeColor="text1"/>
              </w:rPr>
            </w:r>
            <w:r>
              <w:rPr>
                <w:color w:val="000000" w:themeColor="text1"/>
              </w:rPr>
            </w:r>
          </w:p>
        </w:tc>
        <w:tc>
          <w:tcPr>
            <w:tcBorders/>
            <w:tcW w:w="2633" w:type="dxa"/>
            <w:textDirection w:val="lrTb"/>
            <w:noWrap w:val="false"/>
          </w:tcPr>
          <w:p w14:paraId="3914D672">
            <w:pPr>
              <w:pBdr/>
              <w:spacing w:after="0" w:before="0" w:line="240" w:lineRule="auto"/>
              <w:ind/>
              <w:rPr>
                <w:color w:val="000000" w:themeColor="text1"/>
              </w:rPr>
            </w:pPr>
            <w:r>
              <w:rPr>
                <w:rFonts w:ascii="Arial" w:hAnsi="Arial" w:eastAsia="Arial" w:cs="Arial"/>
                <w:color w:val="000000" w:themeColor="text1"/>
                <w:sz w:val="21"/>
              </w:rPr>
              <w:t xml:space="preserve">Added richer semantic structure and multilinguality</w:t>
            </w:r>
            <w:r>
              <w:rPr>
                <w:color w:val="000000" w:themeColor="text1"/>
              </w:rPr>
            </w:r>
            <w:r>
              <w:rPr>
                <w:color w:val="000000" w:themeColor="text1"/>
              </w:rPr>
            </w:r>
          </w:p>
        </w:tc>
      </w:tr>
      <w:tr>
        <w:trPr/>
        <w:tc>
          <w:tcPr>
            <w:tcBorders/>
            <w:tcW w:w="2160" w:type="dxa"/>
            <w:textDirection w:val="lrTb"/>
            <w:noWrap w:val="false"/>
          </w:tcPr>
          <w:p w14:paraId="2EAF0E2D">
            <w:pPr>
              <w:pBdr/>
              <w:spacing w:after="0" w:before="0" w:line="240" w:lineRule="auto"/>
              <w:ind/>
              <w:rPr>
                <w:color w:val="000000" w:themeColor="text1"/>
              </w:rPr>
            </w:pPr>
            <w:r>
              <w:rPr>
                <w:rFonts w:ascii="Arial" w:hAnsi="Arial" w:eastAsia="Arial" w:cs="Arial"/>
                <w:color w:val="000000" w:themeColor="text1"/>
                <w:sz w:val="21"/>
              </w:rPr>
              <w:t xml:space="preserve">PMC-VQA [5]</w:t>
            </w:r>
            <w:r>
              <w:rPr>
                <w:color w:val="000000" w:themeColor="text1"/>
              </w:rPr>
            </w:r>
            <w:r>
              <w:rPr>
                <w:color w:val="000000" w:themeColor="text1"/>
              </w:rPr>
            </w:r>
          </w:p>
        </w:tc>
        <w:tc>
          <w:tcPr>
            <w:tcBorders/>
            <w:tcW w:w="1426" w:type="dxa"/>
            <w:textDirection w:val="lrTb"/>
            <w:noWrap w:val="false"/>
          </w:tcPr>
          <w:p w14:paraId="2D29C4DC">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2894" w:type="dxa"/>
            <w:textDirection w:val="lrTb"/>
            <w:noWrap w:val="false"/>
          </w:tcPr>
          <w:p w14:paraId="5E701DB6">
            <w:pPr>
              <w:pBdr/>
              <w:spacing w:after="0" w:before="0" w:line="240" w:lineRule="auto"/>
              <w:ind/>
              <w:rPr>
                <w:color w:val="000000" w:themeColor="text1"/>
              </w:rPr>
            </w:pPr>
            <w:r>
              <w:rPr>
                <w:rFonts w:ascii="Arial" w:hAnsi="Arial" w:eastAsia="Arial" w:cs="Arial"/>
                <w:color w:val="000000" w:themeColor="text1"/>
                <w:sz w:val="21"/>
              </w:rPr>
              <w:t xml:space="preserve">Large-scale visual instruction tuning corpus</w:t>
            </w:r>
            <w:r>
              <w:rPr>
                <w:color w:val="000000" w:themeColor="text1"/>
              </w:rPr>
            </w:r>
            <w:r>
              <w:rPr>
                <w:color w:val="000000" w:themeColor="text1"/>
              </w:rPr>
            </w:r>
          </w:p>
        </w:tc>
        <w:tc>
          <w:tcPr>
            <w:tcBorders/>
            <w:tcW w:w="2633" w:type="dxa"/>
            <w:textDirection w:val="lrTb"/>
            <w:noWrap w:val="false"/>
          </w:tcPr>
          <w:p w14:paraId="4653EC90">
            <w:pPr>
              <w:pBdr/>
              <w:spacing w:after="0" w:before="0" w:line="240" w:lineRule="auto"/>
              <w:ind/>
              <w:rPr>
                <w:color w:val="000000" w:themeColor="text1"/>
              </w:rPr>
            </w:pPr>
            <w:r>
              <w:rPr>
                <w:rFonts w:ascii="Arial" w:hAnsi="Arial" w:eastAsia="Arial" w:cs="Arial"/>
                <w:color w:val="000000" w:themeColor="text1"/>
                <w:sz w:val="21"/>
              </w:rPr>
              <w:t xml:space="preserve">Enabled modern generative MedVQA pipelines</w:t>
            </w:r>
            <w:r>
              <w:rPr>
                <w:color w:val="000000" w:themeColor="text1"/>
              </w:rPr>
            </w:r>
            <w:r>
              <w:rPr>
                <w:color w:val="000000" w:themeColor="text1"/>
              </w:rPr>
            </w:r>
          </w:p>
        </w:tc>
      </w:tr>
      <w:tr>
        <w:trPr/>
        <w:tc>
          <w:tcPr>
            <w:tcBorders/>
            <w:tcW w:w="2160" w:type="dxa"/>
            <w:textDirection w:val="lrTb"/>
            <w:noWrap w:val="false"/>
          </w:tcPr>
          <w:p w14:paraId="78BA26E6">
            <w:pPr>
              <w:pBdr/>
              <w:spacing w:after="0" w:before="0" w:line="240" w:lineRule="auto"/>
              <w:ind/>
              <w:rPr>
                <w:color w:val="000000" w:themeColor="text1"/>
              </w:rPr>
            </w:pPr>
            <w:r>
              <w:rPr>
                <w:rFonts w:ascii="Arial" w:hAnsi="Arial" w:eastAsia="Arial" w:cs="Arial"/>
                <w:color w:val="000000" w:themeColor="text1"/>
                <w:sz w:val="21"/>
              </w:rPr>
              <w:t xml:space="preserve">OmniMedVQA [8]</w:t>
            </w:r>
            <w:r>
              <w:rPr>
                <w:color w:val="000000" w:themeColor="text1"/>
              </w:rPr>
            </w:r>
            <w:r>
              <w:rPr>
                <w:color w:val="000000" w:themeColor="text1"/>
              </w:rPr>
            </w:r>
          </w:p>
        </w:tc>
        <w:tc>
          <w:tcPr>
            <w:tcBorders/>
            <w:tcW w:w="1426" w:type="dxa"/>
            <w:textDirection w:val="lrTb"/>
            <w:noWrap w:val="false"/>
          </w:tcPr>
          <w:p w14:paraId="46704286">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2894" w:type="dxa"/>
            <w:textDirection w:val="lrTb"/>
            <w:noWrap w:val="false"/>
          </w:tcPr>
          <w:p w14:paraId="60F36358">
            <w:pPr>
              <w:pBdr/>
              <w:spacing w:after="0" w:before="0" w:line="240" w:lineRule="auto"/>
              <w:ind/>
              <w:rPr>
                <w:color w:val="000000" w:themeColor="text1"/>
              </w:rPr>
            </w:pPr>
            <w:r>
              <w:rPr>
                <w:rFonts w:ascii="Arial" w:hAnsi="Arial" w:eastAsia="Arial" w:cs="Arial"/>
                <w:color w:val="000000" w:themeColor="text1"/>
                <w:sz w:val="21"/>
              </w:rPr>
              <w:t xml:space="preserve">Large multi-dataset LVLM benchmark</w:t>
            </w:r>
            <w:r>
              <w:rPr>
                <w:color w:val="000000" w:themeColor="text1"/>
              </w:rPr>
            </w:r>
            <w:r>
              <w:rPr>
                <w:color w:val="000000" w:themeColor="text1"/>
              </w:rPr>
            </w:r>
          </w:p>
        </w:tc>
        <w:tc>
          <w:tcPr>
            <w:tcBorders/>
            <w:tcW w:w="2633" w:type="dxa"/>
            <w:textDirection w:val="lrTb"/>
            <w:noWrap w:val="false"/>
          </w:tcPr>
          <w:p w14:paraId="0055A413">
            <w:pPr>
              <w:pBdr/>
              <w:spacing w:after="0" w:before="0" w:line="240" w:lineRule="auto"/>
              <w:ind/>
              <w:rPr>
                <w:color w:val="000000" w:themeColor="text1"/>
              </w:rPr>
            </w:pPr>
            <w:r>
              <w:rPr>
                <w:rFonts w:ascii="Arial" w:hAnsi="Arial" w:eastAsia="Arial" w:cs="Arial"/>
                <w:color w:val="000000" w:themeColor="text1"/>
                <w:sz w:val="21"/>
              </w:rPr>
              <w:t xml:space="preserve">Stress-tests generalization across modalities and anatomy</w:t>
            </w:r>
            <w:r>
              <w:rPr>
                <w:color w:val="000000" w:themeColor="text1"/>
              </w:rPr>
            </w:r>
            <w:r>
              <w:rPr>
                <w:color w:val="000000" w:themeColor="text1"/>
              </w:rPr>
            </w:r>
          </w:p>
        </w:tc>
      </w:tr>
      <w:tr>
        <w:trPr/>
        <w:tc>
          <w:tcPr>
            <w:tcBorders/>
            <w:tcW w:w="2160" w:type="dxa"/>
            <w:textDirection w:val="lrTb"/>
            <w:noWrap w:val="false"/>
          </w:tcPr>
          <w:p w14:paraId="754AC196">
            <w:pPr>
              <w:pBdr/>
              <w:spacing w:after="0" w:before="0" w:line="240" w:lineRule="auto"/>
              <w:ind/>
              <w:rPr>
                <w:color w:val="000000" w:themeColor="text1"/>
              </w:rPr>
            </w:pPr>
            <w:r>
              <w:rPr>
                <w:rFonts w:ascii="Arial" w:hAnsi="Arial" w:eastAsia="Arial" w:cs="Arial"/>
                <w:color w:val="000000" w:themeColor="text1"/>
                <w:sz w:val="21"/>
              </w:rPr>
              <w:t xml:space="preserve">MedBookVQA [9]</w:t>
            </w:r>
            <w:r>
              <w:rPr>
                <w:color w:val="000000" w:themeColor="text1"/>
              </w:rPr>
            </w:r>
            <w:r>
              <w:rPr>
                <w:color w:val="000000" w:themeColor="text1"/>
              </w:rPr>
            </w:r>
          </w:p>
        </w:tc>
        <w:tc>
          <w:tcPr>
            <w:tcBorders/>
            <w:tcW w:w="1426" w:type="dxa"/>
            <w:textDirection w:val="lrTb"/>
            <w:noWrap w:val="false"/>
          </w:tcPr>
          <w:p w14:paraId="7905BDE8">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2894" w:type="dxa"/>
            <w:textDirection w:val="lrTb"/>
            <w:noWrap w:val="false"/>
          </w:tcPr>
          <w:p w14:paraId="00F92362">
            <w:pPr>
              <w:pBdr/>
              <w:spacing w:after="0" w:before="0" w:line="240" w:lineRule="auto"/>
              <w:ind/>
              <w:rPr>
                <w:color w:val="000000" w:themeColor="text1"/>
              </w:rPr>
            </w:pPr>
            <w:r>
              <w:rPr>
                <w:rFonts w:ascii="Arial" w:hAnsi="Arial" w:eastAsia="Arial" w:cs="Arial"/>
                <w:color w:val="000000" w:themeColor="text1"/>
                <w:sz w:val="21"/>
              </w:rPr>
              <w:t xml:space="preserve">Textbook-derived multimodal benchmark</w:t>
            </w:r>
            <w:r>
              <w:rPr>
                <w:color w:val="000000" w:themeColor="text1"/>
              </w:rPr>
            </w:r>
            <w:r>
              <w:rPr>
                <w:color w:val="000000" w:themeColor="text1"/>
              </w:rPr>
            </w:r>
          </w:p>
        </w:tc>
        <w:tc>
          <w:tcPr>
            <w:tcBorders/>
            <w:tcW w:w="2633" w:type="dxa"/>
            <w:textDirection w:val="lrTb"/>
            <w:noWrap w:val="false"/>
          </w:tcPr>
          <w:p w14:paraId="281F7F3A">
            <w:pPr>
              <w:pBdr/>
              <w:spacing w:after="0" w:before="0" w:line="240" w:lineRule="auto"/>
              <w:ind/>
              <w:rPr>
                <w:color w:val="000000" w:themeColor="text1"/>
              </w:rPr>
            </w:pPr>
            <w:r>
              <w:rPr>
                <w:rFonts w:ascii="Arial" w:hAnsi="Arial" w:eastAsia="Arial" w:cs="Arial"/>
                <w:color w:val="000000" w:themeColor="text1"/>
                <w:sz w:val="21"/>
              </w:rPr>
              <w:t xml:space="preserve">Structured benchmark for broad medical domains</w:t>
            </w:r>
            <w:r>
              <w:rPr>
                <w:color w:val="000000" w:themeColor="text1"/>
              </w:rPr>
            </w:r>
            <w:r>
              <w:rPr>
                <w:color w:val="000000" w:themeColor="text1"/>
              </w:rPr>
            </w:r>
          </w:p>
        </w:tc>
      </w:tr>
      <w:tr>
        <w:trPr/>
        <w:tc>
          <w:tcPr>
            <w:tcBorders/>
            <w:tcW w:w="2160" w:type="dxa"/>
            <w:textDirection w:val="lrTb"/>
            <w:noWrap w:val="false"/>
          </w:tcPr>
          <w:p w14:paraId="6D66E4BF">
            <w:pPr>
              <w:pBdr/>
              <w:spacing w:after="0" w:before="0" w:line="240" w:lineRule="auto"/>
              <w:ind/>
              <w:rPr>
                <w:color w:val="000000" w:themeColor="text1"/>
              </w:rPr>
            </w:pPr>
            <w:r>
              <w:rPr>
                <w:rFonts w:ascii="Arial" w:hAnsi="Arial" w:eastAsia="Arial" w:cs="Arial"/>
                <w:color w:val="000000" w:themeColor="text1"/>
                <w:sz w:val="21"/>
              </w:rPr>
              <w:t xml:space="preserve">MedFrameQA [10]</w:t>
            </w:r>
            <w:r>
              <w:rPr>
                <w:color w:val="000000" w:themeColor="text1"/>
              </w:rPr>
            </w:r>
            <w:r>
              <w:rPr>
                <w:color w:val="000000" w:themeColor="text1"/>
              </w:rPr>
            </w:r>
          </w:p>
        </w:tc>
        <w:tc>
          <w:tcPr>
            <w:tcBorders/>
            <w:tcW w:w="1426" w:type="dxa"/>
            <w:textDirection w:val="lrTb"/>
            <w:noWrap w:val="false"/>
          </w:tcPr>
          <w:p w14:paraId="31930385">
            <w:pPr>
              <w:pBdr/>
              <w:spacing w:after="0" w:before="0" w:line="240" w:lineRule="auto"/>
              <w:ind/>
              <w:jc w:val="right"/>
              <w:rPr>
                <w:color w:val="000000" w:themeColor="text1"/>
              </w:rPr>
            </w:pPr>
            <w:r>
              <w:rPr>
                <w:rFonts w:ascii="Arial" w:hAnsi="Arial" w:eastAsia="Arial" w:cs="Arial"/>
                <w:color w:val="000000" w:themeColor="text1"/>
                <w:sz w:val="21"/>
              </w:rPr>
              <w:t xml:space="preserve">2025 (rev. 2026)</w:t>
            </w:r>
            <w:r>
              <w:rPr>
                <w:color w:val="000000" w:themeColor="text1"/>
              </w:rPr>
            </w:r>
            <w:r>
              <w:rPr>
                <w:color w:val="000000" w:themeColor="text1"/>
              </w:rPr>
            </w:r>
          </w:p>
        </w:tc>
        <w:tc>
          <w:tcPr>
            <w:tcBorders/>
            <w:tcW w:w="2894" w:type="dxa"/>
            <w:textDirection w:val="lrTb"/>
            <w:noWrap w:val="false"/>
          </w:tcPr>
          <w:p w14:paraId="49FAF7BF">
            <w:pPr>
              <w:pBdr/>
              <w:spacing w:after="0" w:before="0" w:line="240" w:lineRule="auto"/>
              <w:ind/>
              <w:rPr>
                <w:color w:val="000000" w:themeColor="text1"/>
              </w:rPr>
            </w:pPr>
            <w:r>
              <w:rPr>
                <w:rFonts w:ascii="Arial" w:hAnsi="Arial" w:eastAsia="Arial" w:cs="Arial"/>
                <w:color w:val="000000" w:themeColor="text1"/>
                <w:sz w:val="21"/>
              </w:rPr>
              <w:t xml:space="preserve">Multi-image reasoning benchmark</w:t>
            </w:r>
            <w:r>
              <w:rPr>
                <w:color w:val="000000" w:themeColor="text1"/>
              </w:rPr>
            </w:r>
            <w:r>
              <w:rPr>
                <w:color w:val="000000" w:themeColor="text1"/>
              </w:rPr>
            </w:r>
          </w:p>
        </w:tc>
        <w:tc>
          <w:tcPr>
            <w:tcBorders/>
            <w:tcW w:w="2633" w:type="dxa"/>
            <w:textDirection w:val="lrTb"/>
            <w:noWrap w:val="false"/>
          </w:tcPr>
          <w:p w14:paraId="3056A85A">
            <w:pPr>
              <w:pBdr/>
              <w:spacing w:after="0" w:before="0" w:line="240" w:lineRule="auto"/>
              <w:ind/>
              <w:rPr>
                <w:color w:val="000000" w:themeColor="text1"/>
              </w:rPr>
            </w:pPr>
            <w:r>
              <w:rPr>
                <w:rFonts w:ascii="Arial" w:hAnsi="Arial" w:eastAsia="Arial" w:cs="Arial"/>
                <w:color w:val="000000" w:themeColor="text1"/>
                <w:sz w:val="21"/>
              </w:rPr>
              <w:t xml:space="preserve">Closer to real clinical workflow than single-image QA</w:t>
            </w:r>
            <w:r>
              <w:rPr>
                <w:color w:val="000000" w:themeColor="text1"/>
              </w:rPr>
            </w:r>
            <w:r>
              <w:rPr>
                <w:color w:val="000000" w:themeColor="text1"/>
              </w:rPr>
            </w:r>
          </w:p>
        </w:tc>
      </w:tr>
    </w:tbl>
    <w:p w14:paraId="374281B9">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r>
      <w:r>
        <w:rPr>
          <w:rFonts w:ascii="Arial" w:hAnsi="Arial" w:eastAsia="Arial" w:cs="Arial"/>
          <w:b w:val="0"/>
          <w:bCs w:val="0"/>
          <w:i w:val="0"/>
          <w:iCs w:val="0"/>
          <w:caps w:val="0"/>
          <w:smallCaps w:val="0"/>
          <w:color w:val="000000" w:themeColor="text1" w:themeTint="FF" w:themeShade="FF"/>
          <w:sz w:val="22"/>
          <w:szCs w:val="22"/>
          <w:highlight w:val="none"/>
          <w:lang w:val="en-CA" w:bidi="en-CA"/>
        </w:rPr>
        <w:tab/>
      </w:r>
      <w:r>
        <w:rPr>
          <w:rFonts w:ascii="Arial" w:hAnsi="Arial" w:eastAsia="Arial" w:cs="Arial"/>
          <w:b w:val="0"/>
          <w:bCs w:val="0"/>
          <w:i w:val="0"/>
          <w:iCs w:val="0"/>
          <w:caps w:val="0"/>
          <w:smallCaps w:val="0"/>
          <w:color w:val="000000" w:themeColor="text1" w:themeTint="FF" w:themeShade="FF"/>
          <w:sz w:val="22"/>
          <w:szCs w:val="22"/>
          <w:highlight w:val="none"/>
          <w:lang w:val="en-CA" w:bidi="en-CA"/>
        </w:rPr>
        <w:t xml:space="preserve">Table 2.4. Foundational and Recent General MedVQA Resources</w:t>
      </w: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p>
    <w:tbl>
      <w:tblPr>
        <w:tblStyle w:val="1113"/>
        <w:tblW w:w="0" w:type="auto"/>
        <w:tblBorders/>
        <w:tblLayout w:type="fixed"/>
        <w:tblLook w:val="04A0" w:firstRow="1" w:lastRow="0" w:firstColumn="1" w:lastColumn="0" w:noHBand="0" w:noVBand="1"/>
      </w:tblPr>
      <w:tblGrid>
        <w:gridCol w:w="2160"/>
        <w:gridCol w:w="1284"/>
        <w:gridCol w:w="3036"/>
        <w:gridCol w:w="2350"/>
      </w:tblGrid>
      <w:tr>
        <w:trPr/>
        <w:tc>
          <w:tcPr>
            <w:tcBorders/>
            <w:tcW w:w="2160" w:type="dxa"/>
            <w:textDirection w:val="lrTb"/>
            <w:noWrap w:val="false"/>
          </w:tcPr>
          <w:p w14:paraId="15F65CF3">
            <w:pPr>
              <w:pBdr/>
              <w:spacing w:after="0" w:before="0" w:line="240" w:lineRule="auto"/>
              <w:ind/>
              <w:rPr>
                <w:color w:val="000000" w:themeColor="text1"/>
              </w:rPr>
            </w:pPr>
            <w:r>
              <w:rPr>
                <w:rFonts w:ascii="Arial" w:hAnsi="Arial" w:eastAsia="Arial" w:cs="Arial"/>
                <w:b/>
                <w:color w:val="000000" w:themeColor="text1"/>
                <w:sz w:val="21"/>
              </w:rPr>
              <w:t xml:space="preserve">Resource</w:t>
            </w:r>
            <w:r>
              <w:rPr>
                <w:color w:val="000000" w:themeColor="text1"/>
              </w:rPr>
            </w:r>
            <w:r>
              <w:rPr>
                <w:color w:val="000000" w:themeColor="text1"/>
              </w:rPr>
            </w:r>
          </w:p>
        </w:tc>
        <w:tc>
          <w:tcPr>
            <w:tcBorders/>
            <w:tcW w:w="1284" w:type="dxa"/>
            <w:textDirection w:val="lrTb"/>
            <w:noWrap w:val="false"/>
          </w:tcPr>
          <w:p w14:paraId="5652BFCF">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3036" w:type="dxa"/>
            <w:textDirection w:val="lrTb"/>
            <w:noWrap w:val="false"/>
          </w:tcPr>
          <w:p w14:paraId="2713A7DF">
            <w:pPr>
              <w:pBdr/>
              <w:spacing w:after="0" w:before="0" w:line="240" w:lineRule="auto"/>
              <w:ind/>
              <w:rPr>
                <w:color w:val="000000" w:themeColor="text1"/>
              </w:rPr>
            </w:pPr>
            <w:r>
              <w:rPr>
                <w:rFonts w:ascii="Arial" w:hAnsi="Arial" w:eastAsia="Arial" w:cs="Arial"/>
                <w:b/>
                <w:color w:val="000000" w:themeColor="text1"/>
                <w:sz w:val="21"/>
              </w:rPr>
              <w:t xml:space="preserve">Reported scale</w:t>
            </w:r>
            <w:r>
              <w:rPr>
                <w:color w:val="000000" w:themeColor="text1"/>
              </w:rPr>
            </w:r>
            <w:r>
              <w:rPr>
                <w:color w:val="000000" w:themeColor="text1"/>
              </w:rPr>
            </w:r>
          </w:p>
        </w:tc>
        <w:tc>
          <w:tcPr>
            <w:tcBorders/>
            <w:tcW w:w="2350" w:type="dxa"/>
            <w:textDirection w:val="lrTb"/>
            <w:noWrap w:val="false"/>
          </w:tcPr>
          <w:p w14:paraId="5D0C5E8B">
            <w:pPr>
              <w:pBdr/>
              <w:spacing w:after="0" w:before="0" w:line="240" w:lineRule="auto"/>
              <w:ind/>
              <w:rPr>
                <w:color w:val="000000" w:themeColor="text1"/>
              </w:rPr>
            </w:pPr>
            <w:r>
              <w:rPr>
                <w:rFonts w:ascii="Arial" w:hAnsi="Arial" w:eastAsia="Arial" w:cs="Arial"/>
                <w:b/>
                <w:color w:val="000000" w:themeColor="text1"/>
                <w:sz w:val="21"/>
              </w:rPr>
              <w:t xml:space="preserve">Role in this thesis</w:t>
            </w:r>
            <w:r>
              <w:rPr>
                <w:color w:val="000000" w:themeColor="text1"/>
              </w:rPr>
            </w:r>
            <w:r>
              <w:rPr>
                <w:color w:val="000000" w:themeColor="text1"/>
              </w:rPr>
            </w:r>
          </w:p>
        </w:tc>
      </w:tr>
      <w:tr>
        <w:trPr/>
        <w:tc>
          <w:tcPr>
            <w:tcBorders/>
            <w:tcW w:w="2160" w:type="dxa"/>
            <w:textDirection w:val="lrTb"/>
            <w:noWrap w:val="false"/>
          </w:tcPr>
          <w:p w14:paraId="4259C4E5">
            <w:pPr>
              <w:pBdr/>
              <w:spacing w:after="0" w:before="0" w:line="240" w:lineRule="auto"/>
              <w:ind/>
              <w:rPr>
                <w:color w:val="000000" w:themeColor="text1"/>
              </w:rPr>
            </w:pPr>
            <w:r>
              <w:rPr>
                <w:rFonts w:ascii="Arial" w:hAnsi="Arial" w:eastAsia="Arial" w:cs="Arial"/>
                <w:color w:val="000000" w:themeColor="text1"/>
                <w:sz w:val="21"/>
              </w:rPr>
              <w:t xml:space="preserve">HyperKvasir [16]</w:t>
            </w:r>
            <w:r>
              <w:rPr>
                <w:color w:val="000000" w:themeColor="text1"/>
              </w:rPr>
            </w:r>
            <w:r>
              <w:rPr>
                <w:color w:val="000000" w:themeColor="text1"/>
              </w:rPr>
            </w:r>
          </w:p>
        </w:tc>
        <w:tc>
          <w:tcPr>
            <w:tcBorders/>
            <w:tcW w:w="1284" w:type="dxa"/>
            <w:textDirection w:val="lrTb"/>
            <w:noWrap w:val="false"/>
          </w:tcPr>
          <w:p w14:paraId="45E3CBF2">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3036" w:type="dxa"/>
            <w:textDirection w:val="lrTb"/>
            <w:noWrap w:val="false"/>
          </w:tcPr>
          <w:p w14:paraId="04057AAC">
            <w:pPr>
              <w:pBdr/>
              <w:spacing w:after="0" w:before="0" w:line="240" w:lineRule="auto"/>
              <w:ind/>
              <w:rPr>
                <w:color w:val="000000" w:themeColor="text1"/>
              </w:rPr>
            </w:pPr>
            <w:r>
              <w:rPr>
                <w:rFonts w:ascii="Arial" w:hAnsi="Arial" w:eastAsia="Arial" w:cs="Arial"/>
                <w:color w:val="000000" w:themeColor="text1"/>
                <w:sz w:val="21"/>
              </w:rPr>
              <w:t xml:space="preserve">110,079 images + 374 videos</w:t>
            </w:r>
            <w:r>
              <w:rPr>
                <w:color w:val="000000" w:themeColor="text1"/>
              </w:rPr>
            </w:r>
            <w:r>
              <w:rPr>
                <w:color w:val="000000" w:themeColor="text1"/>
              </w:rPr>
            </w:r>
          </w:p>
        </w:tc>
        <w:tc>
          <w:tcPr>
            <w:tcBorders/>
            <w:tcW w:w="2350" w:type="dxa"/>
            <w:textDirection w:val="lrTb"/>
            <w:noWrap w:val="false"/>
          </w:tcPr>
          <w:p w14:paraId="3DC0F53C">
            <w:pPr>
              <w:pBdr/>
              <w:spacing w:after="0" w:before="0" w:line="240" w:lineRule="auto"/>
              <w:ind/>
              <w:rPr>
                <w:color w:val="000000" w:themeColor="text1"/>
              </w:rPr>
            </w:pPr>
            <w:r>
              <w:rPr>
                <w:rFonts w:ascii="Arial" w:hAnsi="Arial" w:eastAsia="Arial" w:cs="Arial"/>
                <w:color w:val="000000" w:themeColor="text1"/>
                <w:sz w:val="21"/>
              </w:rPr>
              <w:t xml:space="preserve">Core GI visual foundation and class diversity</w:t>
            </w:r>
            <w:r>
              <w:rPr>
                <w:color w:val="000000" w:themeColor="text1"/>
              </w:rPr>
            </w:r>
            <w:r>
              <w:rPr>
                <w:color w:val="000000" w:themeColor="text1"/>
              </w:rPr>
            </w:r>
          </w:p>
        </w:tc>
      </w:tr>
      <w:tr>
        <w:trPr/>
        <w:tc>
          <w:tcPr>
            <w:tcBorders/>
            <w:tcW w:w="2160" w:type="dxa"/>
            <w:textDirection w:val="lrTb"/>
            <w:noWrap w:val="false"/>
          </w:tcPr>
          <w:p w14:paraId="52508326">
            <w:pPr>
              <w:pBdr/>
              <w:spacing w:after="0" w:before="0" w:line="240" w:lineRule="auto"/>
              <w:ind/>
              <w:rPr>
                <w:color w:val="000000" w:themeColor="text1"/>
              </w:rPr>
            </w:pPr>
            <w:r>
              <w:rPr>
                <w:rFonts w:ascii="Arial" w:hAnsi="Arial" w:eastAsia="Arial" w:cs="Arial"/>
                <w:color w:val="000000" w:themeColor="text1"/>
                <w:sz w:val="21"/>
              </w:rPr>
              <w:t xml:space="preserve">Kvasir-Capsule [17]</w:t>
            </w:r>
            <w:r>
              <w:rPr>
                <w:color w:val="000000" w:themeColor="text1"/>
              </w:rPr>
            </w:r>
            <w:r>
              <w:rPr>
                <w:color w:val="000000" w:themeColor="text1"/>
              </w:rPr>
            </w:r>
          </w:p>
        </w:tc>
        <w:tc>
          <w:tcPr>
            <w:tcBorders/>
            <w:tcW w:w="1284" w:type="dxa"/>
            <w:textDirection w:val="lrTb"/>
            <w:noWrap w:val="false"/>
          </w:tcPr>
          <w:p w14:paraId="114D8A68">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3036" w:type="dxa"/>
            <w:textDirection w:val="lrTb"/>
            <w:noWrap w:val="false"/>
          </w:tcPr>
          <w:p w14:paraId="59471B5E">
            <w:pPr>
              <w:pBdr/>
              <w:spacing w:after="0" w:before="0" w:line="240" w:lineRule="auto"/>
              <w:ind/>
              <w:rPr>
                <w:color w:val="000000" w:themeColor="text1"/>
              </w:rPr>
            </w:pPr>
            <w:r>
              <w:rPr>
                <w:rFonts w:ascii="Arial" w:hAnsi="Arial" w:eastAsia="Arial" w:cs="Arial"/>
                <w:color w:val="000000" w:themeColor="text1"/>
                <w:sz w:val="21"/>
              </w:rPr>
              <w:t xml:space="preserve">117 videos, 4.7M+ frames, 47k+ labeled frames</w:t>
            </w:r>
            <w:r>
              <w:rPr>
                <w:color w:val="000000" w:themeColor="text1"/>
              </w:rPr>
            </w:r>
            <w:r>
              <w:rPr>
                <w:color w:val="000000" w:themeColor="text1"/>
              </w:rPr>
            </w:r>
          </w:p>
        </w:tc>
        <w:tc>
          <w:tcPr>
            <w:tcBorders/>
            <w:tcW w:w="2350" w:type="dxa"/>
            <w:textDirection w:val="lrTb"/>
            <w:noWrap w:val="false"/>
          </w:tcPr>
          <w:p w14:paraId="5B92116C">
            <w:pPr>
              <w:pBdr/>
              <w:spacing w:after="0" w:before="0" w:line="240" w:lineRule="auto"/>
              <w:ind/>
              <w:rPr>
                <w:color w:val="000000" w:themeColor="text1"/>
              </w:rPr>
            </w:pPr>
            <w:r>
              <w:rPr>
                <w:rFonts w:ascii="Arial" w:hAnsi="Arial" w:eastAsia="Arial" w:cs="Arial"/>
                <w:color w:val="000000" w:themeColor="text1"/>
                <w:sz w:val="21"/>
              </w:rPr>
              <w:t xml:space="preserve">Robustness and broader GI variability context</w:t>
            </w:r>
            <w:r>
              <w:rPr>
                <w:color w:val="000000" w:themeColor="text1"/>
              </w:rPr>
            </w:r>
            <w:r>
              <w:rPr>
                <w:color w:val="000000" w:themeColor="text1"/>
              </w:rPr>
            </w:r>
          </w:p>
        </w:tc>
      </w:tr>
      <w:tr>
        <w:trPr/>
        <w:tc>
          <w:tcPr>
            <w:tcBorders/>
            <w:tcW w:w="2160" w:type="dxa"/>
            <w:textDirection w:val="lrTb"/>
            <w:noWrap w:val="false"/>
          </w:tcPr>
          <w:p w14:paraId="2AA66DA5">
            <w:pPr>
              <w:pBdr/>
              <w:spacing w:after="0" w:before="0" w:line="240" w:lineRule="auto"/>
              <w:ind/>
              <w:rPr>
                <w:color w:val="000000" w:themeColor="text1"/>
              </w:rPr>
            </w:pPr>
            <w:r>
              <w:rPr>
                <w:rFonts w:ascii="Arial" w:hAnsi="Arial" w:eastAsia="Arial" w:cs="Arial"/>
                <w:color w:val="000000" w:themeColor="text1"/>
                <w:sz w:val="21"/>
              </w:rPr>
              <w:t xml:space="preserve">LIMUC [37]</w:t>
            </w:r>
            <w:r>
              <w:rPr>
                <w:color w:val="000000" w:themeColor="text1"/>
              </w:rPr>
            </w:r>
            <w:r>
              <w:rPr>
                <w:color w:val="000000" w:themeColor="text1"/>
              </w:rPr>
            </w:r>
          </w:p>
        </w:tc>
        <w:tc>
          <w:tcPr>
            <w:tcBorders/>
            <w:tcW w:w="1284" w:type="dxa"/>
            <w:textDirection w:val="lrTb"/>
            <w:noWrap w:val="false"/>
          </w:tcPr>
          <w:p w14:paraId="05D42C81">
            <w:pPr>
              <w:pBdr/>
              <w:spacing w:after="0" w:before="0" w:line="240" w:lineRule="auto"/>
              <w:ind/>
              <w:jc w:val="right"/>
              <w:rPr>
                <w:color w:val="000000" w:themeColor="text1"/>
              </w:rPr>
            </w:pPr>
            <w:r>
              <w:rPr>
                <w:rFonts w:ascii="Arial" w:hAnsi="Arial" w:eastAsia="Arial" w:cs="Arial"/>
                <w:color w:val="000000" w:themeColor="text1"/>
                <w:sz w:val="21"/>
              </w:rPr>
              <w:t xml:space="preserve">2022</w:t>
            </w:r>
            <w:r>
              <w:rPr>
                <w:color w:val="000000" w:themeColor="text1"/>
              </w:rPr>
            </w:r>
            <w:r>
              <w:rPr>
                <w:color w:val="000000" w:themeColor="text1"/>
              </w:rPr>
            </w:r>
          </w:p>
        </w:tc>
        <w:tc>
          <w:tcPr>
            <w:tcBorders/>
            <w:tcW w:w="3036" w:type="dxa"/>
            <w:textDirection w:val="lrTb"/>
            <w:noWrap w:val="false"/>
          </w:tcPr>
          <w:p w14:paraId="4B1BB7BB">
            <w:pPr>
              <w:pBdr/>
              <w:spacing w:after="0" w:before="0" w:line="240" w:lineRule="auto"/>
              <w:ind/>
              <w:rPr>
                <w:color w:val="000000" w:themeColor="text1"/>
              </w:rPr>
            </w:pPr>
            <w:r>
              <w:rPr>
                <w:rFonts w:ascii="Arial" w:hAnsi="Arial" w:eastAsia="Arial" w:cs="Arial"/>
                <w:color w:val="000000" w:themeColor="text1"/>
                <w:sz w:val="21"/>
              </w:rPr>
              <w:t xml:space="preserve">11,276 UC images from 564 patients</w:t>
            </w:r>
            <w:r>
              <w:rPr>
                <w:color w:val="000000" w:themeColor="text1"/>
              </w:rPr>
            </w:r>
            <w:r>
              <w:rPr>
                <w:color w:val="000000" w:themeColor="text1"/>
              </w:rPr>
            </w:r>
          </w:p>
        </w:tc>
        <w:tc>
          <w:tcPr>
            <w:tcBorders/>
            <w:tcW w:w="2350" w:type="dxa"/>
            <w:textDirection w:val="lrTb"/>
            <w:noWrap w:val="false"/>
          </w:tcPr>
          <w:p w14:paraId="2E7C7021">
            <w:pPr>
              <w:pBdr/>
              <w:spacing w:after="0" w:before="0" w:line="240" w:lineRule="auto"/>
              <w:ind/>
              <w:rPr>
                <w:color w:val="000000" w:themeColor="text1"/>
              </w:rPr>
            </w:pPr>
            <w:r>
              <w:rPr>
                <w:rFonts w:ascii="Arial" w:hAnsi="Arial" w:eastAsia="Arial" w:cs="Arial"/>
                <w:color w:val="000000" w:themeColor="text1"/>
                <w:sz w:val="21"/>
              </w:rPr>
              <w:t xml:space="preserve">UC severity and ordinal evaluation anchor</w:t>
            </w:r>
            <w:r>
              <w:rPr>
                <w:color w:val="000000" w:themeColor="text1"/>
              </w:rPr>
            </w:r>
            <w:r>
              <w:rPr>
                <w:color w:val="000000" w:themeColor="text1"/>
              </w:rPr>
            </w:r>
          </w:p>
        </w:tc>
      </w:tr>
      <w:tr>
        <w:trPr/>
        <w:tc>
          <w:tcPr>
            <w:tcBorders/>
            <w:tcW w:w="2160" w:type="dxa"/>
            <w:textDirection w:val="lrTb"/>
            <w:noWrap w:val="false"/>
          </w:tcPr>
          <w:p w14:paraId="114104BD">
            <w:pPr>
              <w:pBdr/>
              <w:spacing w:after="0" w:before="0" w:line="240" w:lineRule="auto"/>
              <w:ind/>
              <w:rPr>
                <w:color w:val="000000" w:themeColor="text1"/>
              </w:rPr>
            </w:pPr>
            <w:r>
              <w:rPr>
                <w:rFonts w:ascii="Arial" w:hAnsi="Arial" w:eastAsia="Arial" w:cs="Arial"/>
                <w:color w:val="000000" w:themeColor="text1"/>
                <w:sz w:val="21"/>
              </w:rPr>
              <w:t xml:space="preserve">ImageCLEF MEDVQA-GI 2023 [22], [23]</w:t>
            </w:r>
            <w:r>
              <w:rPr>
                <w:color w:val="000000" w:themeColor="text1"/>
              </w:rPr>
            </w:r>
            <w:r>
              <w:rPr>
                <w:color w:val="000000" w:themeColor="text1"/>
              </w:rPr>
            </w:r>
          </w:p>
        </w:tc>
        <w:tc>
          <w:tcPr>
            <w:tcBorders/>
            <w:tcW w:w="1284" w:type="dxa"/>
            <w:textDirection w:val="lrTb"/>
            <w:noWrap w:val="false"/>
          </w:tcPr>
          <w:p w14:paraId="400DF52F">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3036" w:type="dxa"/>
            <w:textDirection w:val="lrTb"/>
            <w:noWrap w:val="false"/>
          </w:tcPr>
          <w:p w14:paraId="76158138">
            <w:pPr>
              <w:pBdr/>
              <w:spacing w:after="0" w:before="0" w:line="240" w:lineRule="auto"/>
              <w:ind/>
              <w:rPr>
                <w:color w:val="000000" w:themeColor="text1"/>
              </w:rPr>
            </w:pPr>
            <w:r>
              <w:rPr>
                <w:rFonts w:ascii="Arial" w:hAnsi="Arial" w:eastAsia="Arial" w:cs="Arial"/>
                <w:color w:val="000000" w:themeColor="text1"/>
                <w:sz w:val="21"/>
              </w:rPr>
              <w:t xml:space="preserve">Multi-subtask GI VQA/VQG/VLQA benchmark</w:t>
            </w:r>
            <w:r>
              <w:rPr>
                <w:color w:val="000000" w:themeColor="text1"/>
              </w:rPr>
            </w:r>
            <w:r>
              <w:rPr>
                <w:color w:val="000000" w:themeColor="text1"/>
              </w:rPr>
            </w:r>
          </w:p>
        </w:tc>
        <w:tc>
          <w:tcPr>
            <w:tcBorders/>
            <w:tcW w:w="2350" w:type="dxa"/>
            <w:textDirection w:val="lrTb"/>
            <w:noWrap w:val="false"/>
          </w:tcPr>
          <w:p w14:paraId="040B4C80">
            <w:pPr>
              <w:pBdr/>
              <w:spacing w:after="0" w:before="0" w:line="240" w:lineRule="auto"/>
              <w:ind/>
              <w:rPr>
                <w:color w:val="000000" w:themeColor="text1"/>
              </w:rPr>
            </w:pPr>
            <w:r>
              <w:rPr>
                <w:rFonts w:ascii="Arial" w:hAnsi="Arial" w:eastAsia="Arial" w:cs="Arial"/>
                <w:color w:val="000000" w:themeColor="text1"/>
                <w:sz w:val="21"/>
              </w:rPr>
              <w:t xml:space="preserve">First major GI-specific VQA shared-task setup</w:t>
            </w:r>
            <w:r>
              <w:rPr>
                <w:color w:val="000000" w:themeColor="text1"/>
              </w:rPr>
            </w:r>
            <w:r>
              <w:rPr>
                <w:color w:val="000000" w:themeColor="text1"/>
              </w:rPr>
            </w:r>
          </w:p>
        </w:tc>
      </w:tr>
      <w:tr>
        <w:trPr/>
        <w:tc>
          <w:tcPr>
            <w:tcBorders/>
            <w:tcW w:w="2160" w:type="dxa"/>
            <w:textDirection w:val="lrTb"/>
            <w:noWrap w:val="false"/>
          </w:tcPr>
          <w:p w14:paraId="58584226">
            <w:pPr>
              <w:pBdr/>
              <w:spacing w:after="0" w:before="0" w:line="240" w:lineRule="auto"/>
              <w:ind/>
              <w:rPr>
                <w:color w:val="000000" w:themeColor="text1"/>
              </w:rPr>
            </w:pPr>
            <w:r>
              <w:rPr>
                <w:rFonts w:ascii="Arial" w:hAnsi="Arial" w:eastAsia="Arial" w:cs="Arial"/>
                <w:color w:val="000000" w:themeColor="text1"/>
                <w:sz w:val="21"/>
              </w:rPr>
              <w:t xml:space="preserve">Kvasir-VQA [18], [19]</w:t>
            </w:r>
            <w:r>
              <w:rPr>
                <w:color w:val="000000" w:themeColor="text1"/>
              </w:rPr>
            </w:r>
            <w:r>
              <w:rPr>
                <w:color w:val="000000" w:themeColor="text1"/>
              </w:rPr>
            </w:r>
          </w:p>
        </w:tc>
        <w:tc>
          <w:tcPr>
            <w:tcBorders/>
            <w:tcW w:w="1284" w:type="dxa"/>
            <w:textDirection w:val="lrTb"/>
            <w:noWrap w:val="false"/>
          </w:tcPr>
          <w:p w14:paraId="277ECBDB">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5F99E10A">
            <w:pPr>
              <w:pBdr/>
              <w:spacing w:after="0" w:before="0" w:line="240" w:lineRule="auto"/>
              <w:ind/>
              <w:rPr>
                <w:color w:val="000000" w:themeColor="text1"/>
              </w:rPr>
            </w:pPr>
            <w:r>
              <w:rPr>
                <w:rFonts w:ascii="Arial" w:hAnsi="Arial" w:eastAsia="Arial" w:cs="Arial"/>
                <w:color w:val="000000" w:themeColor="text1"/>
                <w:sz w:val="21"/>
              </w:rPr>
              <w:t xml:space="preserve">6,500 images, 58,849 QA pairs</w:t>
            </w:r>
            <w:r>
              <w:rPr>
                <w:color w:val="000000" w:themeColor="text1"/>
              </w:rPr>
            </w:r>
            <w:r>
              <w:rPr>
                <w:color w:val="000000" w:themeColor="text1"/>
              </w:rPr>
            </w:r>
          </w:p>
        </w:tc>
        <w:tc>
          <w:tcPr>
            <w:tcBorders/>
            <w:tcW w:w="2350" w:type="dxa"/>
            <w:textDirection w:val="lrTb"/>
            <w:noWrap w:val="false"/>
          </w:tcPr>
          <w:p w14:paraId="38BDE9A3">
            <w:pPr>
              <w:pBdr/>
              <w:spacing w:after="0" w:before="0" w:line="240" w:lineRule="auto"/>
              <w:ind/>
              <w:rPr>
                <w:color w:val="000000" w:themeColor="text1"/>
              </w:rPr>
            </w:pPr>
            <w:r>
              <w:rPr>
                <w:rFonts w:ascii="Arial" w:hAnsi="Arial" w:eastAsia="Arial" w:cs="Arial"/>
                <w:color w:val="000000" w:themeColor="text1"/>
                <w:sz w:val="21"/>
              </w:rPr>
              <w:t xml:space="preserve">Main GI text-image pair benchmark</w:t>
            </w:r>
            <w:r>
              <w:rPr>
                <w:color w:val="000000" w:themeColor="text1"/>
              </w:rPr>
            </w:r>
            <w:r>
              <w:rPr>
                <w:color w:val="000000" w:themeColor="text1"/>
              </w:rPr>
            </w:r>
          </w:p>
        </w:tc>
      </w:tr>
      <w:tr>
        <w:trPr/>
        <w:tc>
          <w:tcPr>
            <w:tcBorders/>
            <w:tcW w:w="2160" w:type="dxa"/>
            <w:textDirection w:val="lrTb"/>
            <w:noWrap w:val="false"/>
          </w:tcPr>
          <w:p w14:paraId="59F6C93F">
            <w:pPr>
              <w:pBdr/>
              <w:spacing w:after="0" w:before="0" w:line="240" w:lineRule="auto"/>
              <w:ind/>
              <w:rPr>
                <w:color w:val="000000" w:themeColor="text1"/>
              </w:rPr>
            </w:pPr>
            <w:r>
              <w:rPr>
                <w:rFonts w:ascii="Arial" w:hAnsi="Arial" w:eastAsia="Arial" w:cs="Arial"/>
                <w:color w:val="000000" w:themeColor="text1"/>
                <w:sz w:val="21"/>
              </w:rPr>
              <w:t xml:space="preserve">ImageCLEF MEDVQA-GI 2024 [24]</w:t>
            </w:r>
            <w:r>
              <w:rPr>
                <w:color w:val="000000" w:themeColor="text1"/>
              </w:rPr>
            </w:r>
            <w:r>
              <w:rPr>
                <w:color w:val="000000" w:themeColor="text1"/>
              </w:rPr>
            </w:r>
          </w:p>
        </w:tc>
        <w:tc>
          <w:tcPr>
            <w:tcBorders/>
            <w:tcW w:w="1284" w:type="dxa"/>
            <w:textDirection w:val="lrTb"/>
            <w:noWrap w:val="false"/>
          </w:tcPr>
          <w:p w14:paraId="7D89580F">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3985609F">
            <w:pPr>
              <w:pBdr/>
              <w:spacing w:after="0" w:before="0" w:line="240" w:lineRule="auto"/>
              <w:ind/>
              <w:rPr>
                <w:color w:val="000000" w:themeColor="text1"/>
              </w:rPr>
            </w:pPr>
            <w:r>
              <w:rPr>
                <w:rFonts w:ascii="Arial" w:hAnsi="Arial" w:eastAsia="Arial" w:cs="Arial"/>
                <w:color w:val="000000" w:themeColor="text1"/>
                <w:sz w:val="21"/>
              </w:rPr>
              <w:t xml:space="preserve">Second-year challenge, synthesis-linked direction</w:t>
            </w:r>
            <w:r>
              <w:rPr>
                <w:color w:val="000000" w:themeColor="text1"/>
              </w:rPr>
            </w:r>
            <w:r>
              <w:rPr>
                <w:color w:val="000000" w:themeColor="text1"/>
              </w:rPr>
            </w:r>
          </w:p>
        </w:tc>
        <w:tc>
          <w:tcPr>
            <w:tcBorders/>
            <w:tcW w:w="2350" w:type="dxa"/>
            <w:textDirection w:val="lrTb"/>
            <w:noWrap w:val="false"/>
          </w:tcPr>
          <w:p w14:paraId="025EA6BB">
            <w:pPr>
              <w:pBdr/>
              <w:spacing w:after="0" w:before="0" w:line="240" w:lineRule="auto"/>
              <w:ind/>
              <w:rPr>
                <w:color w:val="000000" w:themeColor="text1"/>
              </w:rPr>
            </w:pPr>
            <w:r>
              <w:rPr>
                <w:rFonts w:ascii="Arial" w:hAnsi="Arial" w:eastAsia="Arial" w:cs="Arial"/>
                <w:color w:val="000000" w:themeColor="text1"/>
                <w:sz w:val="21"/>
              </w:rPr>
              <w:t xml:space="preserve">Signaled task broadening around synthetic workflows</w:t>
            </w:r>
            <w:r>
              <w:rPr>
                <w:color w:val="000000" w:themeColor="text1"/>
              </w:rPr>
            </w:r>
            <w:r>
              <w:rPr>
                <w:color w:val="000000" w:themeColor="text1"/>
              </w:rPr>
            </w:r>
          </w:p>
        </w:tc>
      </w:tr>
      <w:tr>
        <w:trPr/>
        <w:tc>
          <w:tcPr>
            <w:tcBorders/>
            <w:tcW w:w="2160" w:type="dxa"/>
            <w:textDirection w:val="lrTb"/>
            <w:noWrap w:val="false"/>
          </w:tcPr>
          <w:p w14:paraId="50D00535">
            <w:pPr>
              <w:pBdr/>
              <w:spacing w:after="0" w:before="0" w:line="240" w:lineRule="auto"/>
              <w:ind/>
              <w:rPr>
                <w:color w:val="000000" w:themeColor="text1"/>
              </w:rPr>
            </w:pPr>
            <w:r>
              <w:rPr>
                <w:rFonts w:ascii="Arial" w:hAnsi="Arial" w:eastAsia="Arial" w:cs="Arial"/>
                <w:color w:val="000000" w:themeColor="text1"/>
                <w:sz w:val="21"/>
              </w:rPr>
              <w:t xml:space="preserve">Kvasir-VQA-x1 [20], [21]</w:t>
            </w:r>
            <w:r>
              <w:rPr>
                <w:color w:val="000000" w:themeColor="text1"/>
              </w:rPr>
            </w:r>
            <w:r>
              <w:rPr>
                <w:color w:val="000000" w:themeColor="text1"/>
              </w:rPr>
            </w:r>
          </w:p>
        </w:tc>
        <w:tc>
          <w:tcPr>
            <w:tcBorders/>
            <w:tcW w:w="1284" w:type="dxa"/>
            <w:textDirection w:val="lrTb"/>
            <w:noWrap w:val="false"/>
          </w:tcPr>
          <w:p w14:paraId="53AF78C1">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328C0EC">
            <w:pPr>
              <w:pBdr/>
              <w:spacing w:after="0" w:before="0" w:line="240" w:lineRule="auto"/>
              <w:ind/>
              <w:rPr>
                <w:color w:val="000000" w:themeColor="text1"/>
              </w:rPr>
            </w:pPr>
            <w:r>
              <w:rPr>
                <w:rFonts w:ascii="Arial" w:hAnsi="Arial" w:eastAsia="Arial" w:cs="Arial"/>
                <w:color w:val="000000" w:themeColor="text1"/>
                <w:sz w:val="21"/>
              </w:rPr>
              <w:t xml:space="preserve">159,549 QA pairs with complexity levels and perturbations</w:t>
            </w:r>
            <w:r>
              <w:rPr>
                <w:color w:val="000000" w:themeColor="text1"/>
              </w:rPr>
            </w:r>
            <w:r>
              <w:rPr>
                <w:color w:val="000000" w:themeColor="text1"/>
              </w:rPr>
            </w:r>
          </w:p>
        </w:tc>
        <w:tc>
          <w:tcPr>
            <w:tcBorders/>
            <w:tcW w:w="2350" w:type="dxa"/>
            <w:textDirection w:val="lrTb"/>
            <w:noWrap w:val="false"/>
          </w:tcPr>
          <w:p w14:paraId="0124BE2E">
            <w:pPr>
              <w:pBdr/>
              <w:spacing w:after="0" w:before="0" w:line="240" w:lineRule="auto"/>
              <w:ind/>
              <w:rPr>
                <w:color w:val="000000" w:themeColor="text1"/>
              </w:rPr>
            </w:pPr>
            <w:r>
              <w:rPr>
                <w:rFonts w:ascii="Arial" w:hAnsi="Arial" w:eastAsia="Arial" w:cs="Arial"/>
                <w:color w:val="000000" w:themeColor="text1"/>
                <w:sz w:val="21"/>
              </w:rPr>
              <w:t xml:space="preserve">Stronger reasoning and robustness benchmark</w:t>
            </w:r>
            <w:r>
              <w:rPr>
                <w:color w:val="000000" w:themeColor="text1"/>
              </w:rPr>
            </w:r>
            <w:r>
              <w:rPr>
                <w:color w:val="000000" w:themeColor="text1"/>
              </w:rPr>
            </w:r>
          </w:p>
        </w:tc>
      </w:tr>
      <w:tr>
        <w:trPr/>
        <w:tc>
          <w:tcPr>
            <w:tcBorders/>
            <w:tcW w:w="2160" w:type="dxa"/>
            <w:textDirection w:val="lrTb"/>
            <w:noWrap w:val="false"/>
          </w:tcPr>
          <w:p w14:paraId="20BE4A8B">
            <w:pPr>
              <w:pBdr/>
              <w:spacing w:after="0" w:before="0" w:line="240" w:lineRule="auto"/>
              <w:ind/>
              <w:rPr>
                <w:color w:val="000000" w:themeColor="text1"/>
              </w:rPr>
            </w:pPr>
            <w:r>
              <w:rPr>
                <w:rFonts w:ascii="Arial" w:hAnsi="Arial" w:eastAsia="Arial" w:cs="Arial"/>
                <w:color w:val="000000" w:themeColor="text1"/>
                <w:sz w:val="21"/>
              </w:rPr>
              <w:t xml:space="preserve">ImageCLEF MEDVQA 2025 [25]</w:t>
            </w:r>
            <w:r>
              <w:rPr>
                <w:color w:val="000000" w:themeColor="text1"/>
              </w:rPr>
            </w:r>
            <w:r>
              <w:rPr>
                <w:color w:val="000000" w:themeColor="text1"/>
              </w:rPr>
            </w:r>
          </w:p>
        </w:tc>
        <w:tc>
          <w:tcPr>
            <w:tcBorders/>
            <w:tcW w:w="1284" w:type="dxa"/>
            <w:textDirection w:val="lrTb"/>
            <w:noWrap w:val="false"/>
          </w:tcPr>
          <w:p w14:paraId="06F97B9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6D731BCF">
            <w:pPr>
              <w:pBdr/>
              <w:spacing w:after="0" w:before="0" w:line="240" w:lineRule="auto"/>
              <w:ind/>
              <w:rPr>
                <w:color w:val="000000" w:themeColor="text1"/>
              </w:rPr>
            </w:pPr>
            <w:r>
              <w:rPr>
                <w:rFonts w:ascii="Arial" w:hAnsi="Arial" w:eastAsia="Arial" w:cs="Arial"/>
                <w:color w:val="000000" w:themeColor="text1"/>
                <w:sz w:val="21"/>
              </w:rPr>
              <w:t xml:space="preserve">Third-year challenge with synthetic GI integration</w:t>
            </w:r>
            <w:r>
              <w:rPr>
                <w:color w:val="000000" w:themeColor="text1"/>
              </w:rPr>
            </w:r>
            <w:r>
              <w:rPr>
                <w:color w:val="000000" w:themeColor="text1"/>
              </w:rPr>
            </w:r>
          </w:p>
        </w:tc>
        <w:tc>
          <w:tcPr>
            <w:tcBorders/>
            <w:tcW w:w="2350" w:type="dxa"/>
            <w:textDirection w:val="lrTb"/>
            <w:noWrap w:val="false"/>
          </w:tcPr>
          <w:p w14:paraId="5835FDB8">
            <w:pPr>
              <w:pBdr/>
              <w:spacing w:after="0" w:before="0" w:line="240" w:lineRule="auto"/>
              <w:ind/>
              <w:rPr>
                <w:color w:val="000000" w:themeColor="text1"/>
              </w:rPr>
            </w:pPr>
            <w:r>
              <w:rPr>
                <w:rFonts w:ascii="Arial" w:hAnsi="Arial" w:eastAsia="Arial" w:cs="Arial"/>
                <w:color w:val="000000" w:themeColor="text1"/>
                <w:sz w:val="21"/>
              </w:rPr>
              <w:t xml:space="preserve">Benchmark evolution toward real-synthetic design</w:t>
            </w:r>
            <w:r>
              <w:rPr>
                <w:color w:val="000000" w:themeColor="text1"/>
              </w:rPr>
            </w:r>
            <w:r>
              <w:rPr>
                <w:color w:val="000000" w:themeColor="text1"/>
              </w:rPr>
            </w:r>
          </w:p>
        </w:tc>
      </w:tr>
      <w:tr>
        <w:trPr/>
        <w:tc>
          <w:tcPr>
            <w:tcBorders/>
            <w:tcW w:w="2160" w:type="dxa"/>
            <w:textDirection w:val="lrTb"/>
            <w:noWrap w:val="false"/>
          </w:tcPr>
          <w:p w14:paraId="5DDDF95B">
            <w:pPr>
              <w:pBdr/>
              <w:spacing w:after="0" w:before="0" w:line="240" w:lineRule="auto"/>
              <w:ind/>
              <w:rPr>
                <w:color w:val="000000" w:themeColor="text1"/>
              </w:rPr>
            </w:pPr>
            <w:r>
              <w:rPr>
                <w:rFonts w:ascii="Arial" w:hAnsi="Arial" w:eastAsia="Arial" w:cs="Arial"/>
                <w:color w:val="000000" w:themeColor="text1"/>
                <w:sz w:val="21"/>
              </w:rPr>
              <w:t xml:space="preserve">MediaEval Medico 2025 [26], [27]</w:t>
            </w:r>
            <w:r>
              <w:rPr>
                <w:color w:val="000000" w:themeColor="text1"/>
              </w:rPr>
            </w:r>
            <w:r>
              <w:rPr>
                <w:color w:val="000000" w:themeColor="text1"/>
              </w:rPr>
            </w:r>
          </w:p>
        </w:tc>
        <w:tc>
          <w:tcPr>
            <w:tcBorders/>
            <w:tcW w:w="1284" w:type="dxa"/>
            <w:textDirection w:val="lrTb"/>
            <w:noWrap w:val="false"/>
          </w:tcPr>
          <w:p w14:paraId="7F5EA87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862A482">
            <w:pPr>
              <w:pBdr/>
              <w:spacing w:after="0" w:before="0" w:line="240" w:lineRule="auto"/>
              <w:ind/>
              <w:rPr>
                <w:color w:val="000000" w:themeColor="text1"/>
              </w:rPr>
            </w:pPr>
            <w:r>
              <w:rPr>
                <w:rFonts w:ascii="Arial" w:hAnsi="Arial" w:eastAsia="Arial" w:cs="Arial"/>
                <w:color w:val="000000" w:themeColor="text1"/>
                <w:sz w:val="21"/>
              </w:rPr>
              <w:t xml:space="preserve">GI VQA + multimodal explanation subtask</w:t>
            </w:r>
            <w:r>
              <w:rPr>
                <w:color w:val="000000" w:themeColor="text1"/>
              </w:rPr>
            </w:r>
            <w:r>
              <w:rPr>
                <w:color w:val="000000" w:themeColor="text1"/>
              </w:rPr>
            </w:r>
          </w:p>
        </w:tc>
        <w:tc>
          <w:tcPr>
            <w:tcBorders/>
            <w:tcW w:w="2350" w:type="dxa"/>
            <w:textDirection w:val="lrTb"/>
            <w:noWrap w:val="false"/>
          </w:tcPr>
          <w:p w14:paraId="570131B2">
            <w:pPr>
              <w:pBdr/>
              <w:spacing w:after="0" w:before="0" w:line="240" w:lineRule="auto"/>
              <w:ind/>
              <w:rPr>
                <w:color w:val="000000" w:themeColor="text1"/>
              </w:rPr>
            </w:pPr>
            <w:r>
              <w:rPr>
                <w:rFonts w:ascii="Arial" w:hAnsi="Arial" w:eastAsia="Arial" w:cs="Arial"/>
                <w:color w:val="000000" w:themeColor="text1"/>
                <w:sz w:val="21"/>
              </w:rPr>
              <w:t xml:space="preserve">Explicit shift toward explainable clinical interaction</w:t>
            </w:r>
            <w:r>
              <w:rPr>
                <w:color w:val="000000" w:themeColor="text1"/>
              </w:rPr>
            </w:r>
            <w:r>
              <w:rPr>
                <w:color w:val="000000" w:themeColor="text1"/>
              </w:rPr>
            </w:r>
          </w:p>
        </w:tc>
      </w:tr>
    </w:tbl>
    <w:p w14:paraId="16AE62F3">
      <w:pPr>
        <w:pStyle w:val="1056"/>
        <w:suppressLineNumbers w:val="false"/>
        <w:pBdr/>
        <w:spacing w:after="240" w:afterAutospacing="0" w:before="240" w:beforeAutospacing="0" w:line="300" w:lineRule="auto"/>
        <w:ind w:firstLine="0"/>
        <w:rPr>
          <w:rFonts w:ascii="Arial" w:hAnsi="Arial" w:eastAsia="Arial" w:cs="Arial"/>
          <w:b w:val="0"/>
          <w:bCs w:val="0"/>
          <w:i/>
          <w:caps w:val="0"/>
          <w:smallCaps w:val="0"/>
          <w:color w:val="000000" w:themeColor="text1" w:themeTint="FF" w:themeShade="FF"/>
          <w:sz w:val="22"/>
          <w:szCs w:val="22"/>
        </w:rPr>
      </w:pPr>
      <w:r>
        <w:rPr>
          <w:rFonts w:ascii="Arial" w:hAnsi="Arial" w:eastAsia="Arial" w:cs="Arial"/>
          <w:b/>
          <w:bCs/>
          <w:i/>
          <w:iCs/>
          <w:caps w:val="0"/>
          <w:smallCaps w:val="0"/>
          <w:color w:val="000000" w:themeColor="text1" w:themeTint="FF" w:themeShade="FF"/>
          <w:sz w:val="22"/>
          <w:szCs w:val="22"/>
        </w:rPr>
        <w:tab/>
      </w:r>
      <w:r>
        <w:rPr>
          <w:rFonts w:ascii="Arial" w:hAnsi="Arial" w:eastAsia="Arial" w:cs="Arial"/>
          <w:b w:val="0"/>
          <w:bCs w:val="0"/>
          <w:i/>
          <w:iCs/>
          <w:caps w:val="0"/>
          <w:smallCaps w:val="0"/>
          <w:color w:val="000000" w:themeColor="text1" w:themeTint="FF" w:themeShade="FF"/>
          <w:sz w:val="22"/>
          <w:szCs w:val="22"/>
        </w:rPr>
        <w:t xml:space="preserve">Table 2.5. GI Endoscopy Dataset Ecosystem Relevant to This Thesis</w:t>
      </w:r>
      <w:r>
        <w:rPr>
          <w:rFonts w:ascii="Arial" w:hAnsi="Arial" w:eastAsia="Arial" w:cs="Arial"/>
          <w:b w:val="0"/>
          <w:bCs w:val="0"/>
          <w:i/>
          <w:caps w:val="0"/>
          <w:smallCaps w:val="0"/>
          <w:color w:val="000000" w:themeColor="text1" w:themeTint="FF" w:themeShade="FF"/>
          <w:sz w:val="22"/>
          <w:szCs w:val="22"/>
        </w:rPr>
      </w:r>
      <w:r>
        <w:rPr>
          <w:rFonts w:ascii="Arial" w:hAnsi="Arial" w:eastAsia="Arial" w:cs="Arial"/>
          <w:b w:val="0"/>
          <w:bCs w:val="0"/>
          <w:i/>
          <w:caps w:val="0"/>
          <w:smallCaps w:val="0"/>
          <w:color w:val="000000" w:themeColor="text1" w:themeTint="FF" w:themeShade="FF"/>
          <w:sz w:val="22"/>
          <w:szCs w:val="22"/>
        </w:rPr>
      </w:r>
    </w:p>
    <w:p w14:paraId="13965CBD">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A</w:t>
      </w:r>
      <w:r>
        <w:rPr>
          <w:rFonts w:ascii="Arial" w:hAnsi="Arial" w:eastAsia="Arial" w:cs="Arial"/>
          <w:b w:val="0"/>
          <w:bCs w:val="0"/>
          <w:i w:val="0"/>
          <w:caps w:val="0"/>
          <w:smallCaps w:val="0"/>
          <w:color w:val="000000" w:themeColor="text1" w:themeTint="FF" w:themeShade="FF"/>
          <w:sz w:val="22"/>
          <w:szCs w:val="22"/>
        </w:rPr>
        <w:t xml:space="preserve">cross these resources, supervision and evaluation styles differ in ways that materially affect model interpretation. Kvasir-VQA and Kvasir-VQA-x1 primarily provide paired image-question-answer supervision with heterogeneous answer spaces (binary, count, at</w:t>
      </w: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ribute, and location), where lexical shortcuts and yes/no priors can inflate superficial performance [18], [20]. ImageCLEF and MediaEval tracks add challenge-level protocol constraints and broader metric bundles that include classification quality, overl</w:t>
      </w:r>
      <w:r>
        <w:rPr>
          <w:rFonts w:ascii="Arial" w:hAnsi="Arial" w:eastAsia="Arial" w:cs="Arial"/>
          <w:b w:val="0"/>
          <w:bCs w:val="0"/>
          <w:i w:val="0"/>
          <w:caps w:val="0"/>
          <w:smallCaps w:val="0"/>
          <w:color w:val="000000" w:themeColor="text1" w:themeTint="FF" w:themeShade="FF"/>
          <w:sz w:val="22"/>
          <w:szCs w:val="22"/>
        </w:rPr>
        <w:t xml:space="preserve">ap metrics, and explanation-oriented assessment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23], [26], [27]. For this thesis, these differences are treated as design constraints, not benchmark noise.</w:t>
      </w:r>
      <w:r>
        <w:rPr>
          <w:rFonts w:ascii="Arial" w:hAnsi="Arial" w:eastAsia="Arial" w:cs="Arial"/>
          <w:b w:val="0"/>
          <w:bCs w:val="0"/>
          <w:i w:val="0"/>
          <w:caps w:val="0"/>
          <w:smallCaps w:val="0"/>
          <w:color w:val="000000" w:themeColor="text1" w:themeTint="FF" w:themeShade="FF"/>
          <w:sz w:val="22"/>
          <w:szCs w:val="22"/>
        </w:rPr>
      </w:r>
      <w:r/>
    </w:p>
    <w:p w14:paraId="081D9D17">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2.4.3 Challenge-Level Benchmark Progression</w:t>
      </w:r>
      <w:r>
        <w:rPr>
          <w:b/>
          <w:bCs/>
        </w:rPr>
      </w:r>
      <w:r>
        <w:rPr>
          <w:b/>
          <w:bCs/>
        </w:rPr>
      </w:r>
    </w:p>
    <w:p w14:paraId="6D0005EA">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GI challenge ecosystem has progressed quickly:</w:t>
      </w:r>
      <w:r>
        <w:rPr>
          <w:rFonts w:ascii="Arial" w:hAnsi="Arial" w:eastAsia="Arial" w:cs="Arial"/>
          <w:b w:val="0"/>
          <w:bCs w:val="0"/>
          <w:i w:val="0"/>
          <w:caps w:val="0"/>
          <w:smallCaps w:val="0"/>
          <w:color w:val="000000" w:themeColor="text1" w:themeTint="FF" w:themeShade="FF"/>
          <w:sz w:val="22"/>
          <w:szCs w:val="22"/>
        </w:rPr>
      </w:r>
      <w:r/>
    </w:p>
    <w:p w14:paraId="47FC4BD0">
      <w:pPr>
        <w:pStyle w:val="1056"/>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2023: introduced GI VQA/VQG/VLQA as a dedicated challenge design [22], [23];</w:t>
      </w:r>
      <w:r/>
    </w:p>
    <w:p w14:paraId="500C5FAA">
      <w:pPr>
        <w:pStyle w:val="1056"/>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2024: expanded into synthetic-image-oriented workflows [24];</w:t>
      </w:r>
      <w:r/>
    </w:p>
    <w:p w14:paraId="6F3C7EF1">
      <w:pPr>
        <w:pStyle w:val="1056"/>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2025: formalized VQA with synthetic-real integration at ImageCLEF [25] and explainable GI VQA at MediaEval [26], [27].</w:t>
      </w:r>
      <w:r/>
    </w:p>
    <w:p w14:paraId="53C61CD9">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progression matters because it changes what "state-of-the-art" means. The comparison target is no longer only answer correctness; it increasingly includes explanation quality, visual grounding, and clinical relevance.</w:t>
      </w:r>
      <w:r>
        <w:rPr>
          <w:rFonts w:ascii="Arial" w:hAnsi="Arial" w:eastAsia="Arial" w:cs="Arial"/>
          <w:b w:val="0"/>
          <w:bCs w:val="0"/>
          <w:i w:val="0"/>
          <w:caps w:val="0"/>
          <w:smallCaps w:val="0"/>
          <w:color w:val="000000" w:themeColor="text1" w:themeTint="FF" w:themeShade="FF"/>
          <w:sz w:val="22"/>
          <w:szCs w:val="22"/>
        </w:rPr>
      </w:r>
      <w:r/>
    </w:p>
    <w:p w14:paraId="68399E99">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w:t>
      </w:r>
      <w:r>
        <w:rPr>
          <w:rFonts w:ascii="Arial" w:hAnsi="Arial" w:eastAsia="Arial" w:cs="Arial"/>
          <w:b/>
          <w:bCs/>
          <w:i w:val="0"/>
          <w:caps w:val="0"/>
          <w:smallCaps w:val="0"/>
          <w:color w:val="000000" w:themeColor="text1" w:themeTint="FF" w:themeShade="FF"/>
          <w:sz w:val="22"/>
          <w:szCs w:val="22"/>
          <w:lang w:val="en-US"/>
        </w:rPr>
        <w:t xml:space="preserve">4</w:t>
      </w:r>
      <w:r>
        <w:rPr>
          <w:rFonts w:ascii="Arial" w:hAnsi="Arial" w:eastAsia="Arial" w:cs="Arial"/>
          <w:b/>
          <w:bCs/>
          <w:i w:val="0"/>
          <w:caps w:val="0"/>
          <w:smallCaps w:val="0"/>
          <w:color w:val="000000" w:themeColor="text1" w:themeTint="FF" w:themeShade="FF"/>
          <w:sz w:val="22"/>
          <w:szCs w:val="22"/>
        </w:rPr>
        <w:t xml:space="preserve"> UC Severity Automation Literature Bridge</w:t>
      </w:r>
      <w:r>
        <w:rPr>
          <w:b/>
          <w:bCs/>
        </w:rPr>
      </w:r>
      <w:r>
        <w:rPr>
          <w:b/>
          <w:bCs/>
        </w:rPr>
      </w:r>
    </w:p>
    <w:p w14:paraId="2BEBB145">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U</w:t>
      </w:r>
      <w:r>
        <w:rPr>
          <w:rFonts w:ascii="Arial" w:hAnsi="Arial" w:eastAsia="Arial" w:cs="Arial"/>
          <w:b w:val="0"/>
          <w:bCs w:val="0"/>
          <w:i w:val="0"/>
          <w:caps w:val="0"/>
          <w:smallCaps w:val="0"/>
          <w:color w:val="000000" w:themeColor="text1" w:themeTint="FF" w:themeShade="FF"/>
          <w:sz w:val="22"/>
          <w:szCs w:val="22"/>
        </w:rPr>
        <w:t xml:space="preserve">C severity automation has a substantial pre-VQA literature, and this background is essential for correct novelty positioning. Representative studies include deep learning grading against human review in JAMA Network Open [42], CAD-based endoscopic activit</w:t>
      </w:r>
      <w:r>
        <w:rPr>
          <w:rFonts w:ascii="Arial" w:hAnsi="Arial" w:eastAsia="Arial" w:cs="Arial"/>
          <w:b w:val="0"/>
          <w:bCs w:val="0"/>
          <w:i w:val="0"/>
          <w:caps w:val="0"/>
          <w:smallCaps w:val="0"/>
          <w:color w:val="000000" w:themeColor="text1" w:themeTint="FF" w:themeShade="FF"/>
          <w:sz w:val="22"/>
          <w:szCs w:val="22"/>
        </w:rPr>
        <w:t xml:space="preserve">y scoring in Gastroenterology [43], prospective multicentre CAD for inflammatory activity in Gastrointestinal Endoscopy [44], and recent MES/UCEIS-focused deep neural modeling in Journal of Crohn's and Colitis [45].</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13"/>
        <w:tblInd w:w="-241" w:type="dxa"/>
        <w:tblW w:w="0" w:type="auto"/>
        <w:tblBorders/>
        <w:tblLayout w:type="fixed"/>
        <w:tblLook w:val="04A0" w:firstRow="1" w:lastRow="0" w:firstColumn="1" w:lastColumn="0" w:noHBand="0" w:noVBand="1"/>
      </w:tblPr>
      <w:tblGrid>
        <w:gridCol w:w="1969"/>
        <w:gridCol w:w="1728"/>
        <w:gridCol w:w="1728"/>
        <w:gridCol w:w="1728"/>
        <w:gridCol w:w="2201"/>
      </w:tblGrid>
      <w:tr>
        <w:trPr/>
        <w:tc>
          <w:tcPr>
            <w:tcBorders/>
            <w:tcW w:w="1969" w:type="dxa"/>
            <w:textDirection w:val="lrTb"/>
            <w:noWrap w:val="false"/>
          </w:tcPr>
          <w:p w14:paraId="7B34BA2E">
            <w:pPr>
              <w:pBdr/>
              <w:spacing w:after="0" w:before="0" w:line="240" w:lineRule="auto"/>
              <w:ind/>
              <w:rPr>
                <w:color w:val="000000" w:themeColor="text1"/>
              </w:rPr>
            </w:pPr>
            <w:r>
              <w:rPr>
                <w:rFonts w:ascii="Arial" w:hAnsi="Arial" w:eastAsia="Arial" w:cs="Arial"/>
                <w:b/>
                <w:color w:val="000000" w:themeColor="text1"/>
                <w:sz w:val="21"/>
              </w:rPr>
              <w:t xml:space="preserve">Study</w:t>
            </w:r>
            <w:r>
              <w:rPr>
                <w:color w:val="000000" w:themeColor="text1"/>
              </w:rPr>
            </w:r>
            <w:r>
              <w:rPr>
                <w:color w:val="000000" w:themeColor="text1"/>
              </w:rPr>
            </w:r>
          </w:p>
        </w:tc>
        <w:tc>
          <w:tcPr>
            <w:tcBorders/>
            <w:tcW w:w="1728" w:type="dxa"/>
            <w:textDirection w:val="lrTb"/>
            <w:noWrap w:val="false"/>
          </w:tcPr>
          <w:p w14:paraId="76C4B3E9">
            <w:pPr>
              <w:pBdr/>
              <w:spacing w:after="0" w:before="0" w:line="240" w:lineRule="auto"/>
              <w:ind/>
              <w:rPr>
                <w:color w:val="000000" w:themeColor="text1"/>
              </w:rPr>
            </w:pPr>
            <w:r>
              <w:rPr>
                <w:rFonts w:ascii="Arial" w:hAnsi="Arial" w:eastAsia="Arial" w:cs="Arial"/>
                <w:b/>
                <w:color w:val="000000" w:themeColor="text1"/>
                <w:sz w:val="21"/>
              </w:rPr>
              <w:t xml:space="preserve">Input type</w:t>
            </w:r>
            <w:r>
              <w:rPr>
                <w:color w:val="000000" w:themeColor="text1"/>
              </w:rPr>
            </w:r>
            <w:r>
              <w:rPr>
                <w:color w:val="000000" w:themeColor="text1"/>
              </w:rPr>
            </w:r>
          </w:p>
        </w:tc>
        <w:tc>
          <w:tcPr>
            <w:tcBorders/>
            <w:tcW w:w="1728" w:type="dxa"/>
            <w:textDirection w:val="lrTb"/>
            <w:noWrap w:val="false"/>
          </w:tcPr>
          <w:p w14:paraId="03337ECE">
            <w:pPr>
              <w:pBdr/>
              <w:spacing w:after="0" w:before="0" w:line="240" w:lineRule="auto"/>
              <w:ind/>
              <w:rPr>
                <w:color w:val="000000" w:themeColor="text1"/>
              </w:rPr>
            </w:pPr>
            <w:r>
              <w:rPr>
                <w:rFonts w:ascii="Arial" w:hAnsi="Arial" w:eastAsia="Arial" w:cs="Arial"/>
                <w:b/>
                <w:color w:val="000000" w:themeColor="text1"/>
                <w:sz w:val="21"/>
              </w:rPr>
              <w:t xml:space="preserve">Output target</w:t>
            </w:r>
            <w:r>
              <w:rPr>
                <w:color w:val="000000" w:themeColor="text1"/>
              </w:rPr>
            </w:r>
            <w:r>
              <w:rPr>
                <w:color w:val="000000" w:themeColor="text1"/>
              </w:rPr>
            </w:r>
          </w:p>
        </w:tc>
        <w:tc>
          <w:tcPr>
            <w:tcBorders/>
            <w:tcW w:w="1728" w:type="dxa"/>
            <w:textDirection w:val="lrTb"/>
            <w:noWrap w:val="false"/>
          </w:tcPr>
          <w:p w14:paraId="005C622D">
            <w:pPr>
              <w:pBdr/>
              <w:spacing w:after="0" w:before="0" w:line="240" w:lineRule="auto"/>
              <w:ind/>
              <w:rPr>
                <w:color w:val="000000" w:themeColor="text1"/>
              </w:rPr>
            </w:pPr>
            <w:r>
              <w:rPr>
                <w:rFonts w:ascii="Arial" w:hAnsi="Arial" w:eastAsia="Arial" w:cs="Arial"/>
                <w:b/>
                <w:color w:val="000000" w:themeColor="text1"/>
                <w:sz w:val="21"/>
              </w:rPr>
              <w:t xml:space="preserve">Main contribution</w:t>
            </w:r>
            <w:r>
              <w:rPr>
                <w:color w:val="000000" w:themeColor="text1"/>
              </w:rPr>
            </w:r>
            <w:r>
              <w:rPr>
                <w:color w:val="000000" w:themeColor="text1"/>
              </w:rPr>
            </w:r>
          </w:p>
        </w:tc>
        <w:tc>
          <w:tcPr>
            <w:tcBorders/>
            <w:tcW w:w="2201" w:type="dxa"/>
            <w:textDirection w:val="lrTb"/>
            <w:noWrap w:val="false"/>
          </w:tcPr>
          <w:p w14:paraId="36D2AFC3">
            <w:pPr>
              <w:pBdr/>
              <w:spacing w:after="0" w:before="0" w:line="240" w:lineRule="auto"/>
              <w:ind/>
              <w:rPr>
                <w:color w:val="000000" w:themeColor="text1"/>
              </w:rPr>
            </w:pPr>
            <w:r>
              <w:rPr>
                <w:rFonts w:ascii="Arial" w:hAnsi="Arial" w:eastAsia="Arial" w:cs="Arial"/>
                <w:b/>
                <w:color w:val="000000" w:themeColor="text1"/>
                <w:sz w:val="21"/>
              </w:rPr>
              <w:t xml:space="preserve">Remaining limitation for this thesis</w:t>
            </w:r>
            <w:r>
              <w:rPr>
                <w:color w:val="000000" w:themeColor="text1"/>
              </w:rPr>
            </w:r>
            <w:r>
              <w:rPr>
                <w:color w:val="000000" w:themeColor="text1"/>
              </w:rPr>
            </w:r>
          </w:p>
        </w:tc>
      </w:tr>
      <w:tr>
        <w:trPr/>
        <w:tc>
          <w:tcPr>
            <w:tcBorders/>
            <w:tcW w:w="1969" w:type="dxa"/>
            <w:textDirection w:val="lrTb"/>
            <w:noWrap w:val="false"/>
          </w:tcPr>
          <w:p w14:paraId="19BBABFC">
            <w:pPr>
              <w:pBdr/>
              <w:spacing w:after="0" w:before="0" w:line="240" w:lineRule="auto"/>
              <w:ind/>
              <w:rPr>
                <w:color w:val="000000" w:themeColor="text1"/>
              </w:rPr>
            </w:pPr>
            <w:r>
              <w:rPr>
                <w:rFonts w:ascii="Arial" w:hAnsi="Arial" w:eastAsia="Arial" w:cs="Arial"/>
                <w:color w:val="000000" w:themeColor="text1"/>
                <w:sz w:val="21"/>
              </w:rPr>
              <w:t xml:space="preserve">Stidham et al. [42]</w:t>
            </w:r>
            <w:r>
              <w:rPr>
                <w:color w:val="000000" w:themeColor="text1"/>
              </w:rPr>
            </w:r>
            <w:r>
              <w:rPr>
                <w:color w:val="000000" w:themeColor="text1"/>
              </w:rPr>
            </w:r>
          </w:p>
        </w:tc>
        <w:tc>
          <w:tcPr>
            <w:tcBorders/>
            <w:tcW w:w="1728" w:type="dxa"/>
            <w:textDirection w:val="lrTb"/>
            <w:noWrap w:val="false"/>
          </w:tcPr>
          <w:p w14:paraId="4F73CFE3">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1B10065">
            <w:pPr>
              <w:pBdr/>
              <w:spacing w:after="0" w:before="0" w:line="240" w:lineRule="auto"/>
              <w:ind/>
              <w:rPr>
                <w:color w:val="000000" w:themeColor="text1"/>
              </w:rPr>
            </w:pPr>
            <w:r>
              <w:rPr>
                <w:rFonts w:ascii="Arial" w:hAnsi="Arial" w:eastAsia="Arial" w:cs="Arial"/>
                <w:color w:val="000000" w:themeColor="text1"/>
                <w:sz w:val="21"/>
              </w:rPr>
              <w:t xml:space="preserve">Disease severity grade</w:t>
            </w:r>
            <w:r>
              <w:rPr>
                <w:color w:val="000000" w:themeColor="text1"/>
              </w:rPr>
            </w:r>
            <w:r>
              <w:rPr>
                <w:color w:val="000000" w:themeColor="text1"/>
              </w:rPr>
            </w:r>
          </w:p>
        </w:tc>
        <w:tc>
          <w:tcPr>
            <w:tcBorders/>
            <w:tcW w:w="1728" w:type="dxa"/>
            <w:textDirection w:val="lrTb"/>
            <w:noWrap w:val="false"/>
          </w:tcPr>
          <w:p w14:paraId="2FAFEA6D">
            <w:pPr>
              <w:pBdr/>
              <w:spacing w:after="0" w:before="0" w:line="240" w:lineRule="auto"/>
              <w:ind/>
              <w:rPr>
                <w:color w:val="000000" w:themeColor="text1"/>
              </w:rPr>
            </w:pPr>
            <w:r>
              <w:rPr>
                <w:rFonts w:ascii="Arial" w:hAnsi="Arial" w:eastAsia="Arial" w:cs="Arial"/>
                <w:color w:val="000000" w:themeColor="text1"/>
                <w:sz w:val="21"/>
              </w:rPr>
              <w:t xml:space="preserve">Human-level comparative severity scoring analysis</w:t>
            </w:r>
            <w:r>
              <w:rPr>
                <w:color w:val="000000" w:themeColor="text1"/>
              </w:rPr>
            </w:r>
            <w:r>
              <w:rPr>
                <w:color w:val="000000" w:themeColor="text1"/>
              </w:rPr>
            </w:r>
          </w:p>
        </w:tc>
        <w:tc>
          <w:tcPr>
            <w:tcBorders/>
            <w:tcW w:w="2201" w:type="dxa"/>
            <w:textDirection w:val="lrTb"/>
            <w:noWrap w:val="false"/>
          </w:tcPr>
          <w:p w14:paraId="21176513">
            <w:pPr>
              <w:pBdr/>
              <w:spacing w:after="0" w:before="0" w:line="240" w:lineRule="auto"/>
              <w:ind/>
              <w:rPr>
                <w:color w:val="000000" w:themeColor="text1"/>
              </w:rPr>
            </w:pPr>
            <w:r>
              <w:rPr>
                <w:rFonts w:ascii="Arial" w:hAnsi="Arial" w:eastAsia="Arial" w:cs="Arial"/>
                <w:color w:val="000000" w:themeColor="text1"/>
                <w:sz w:val="21"/>
              </w:rPr>
              <w:t xml:space="preserve">Limited interactive QA and evidence-linked outputs</w:t>
            </w:r>
            <w:r>
              <w:rPr>
                <w:color w:val="000000" w:themeColor="text1"/>
              </w:rPr>
            </w:r>
            <w:r>
              <w:rPr>
                <w:color w:val="000000" w:themeColor="text1"/>
              </w:rPr>
            </w:r>
          </w:p>
        </w:tc>
      </w:tr>
      <w:tr>
        <w:trPr/>
        <w:tc>
          <w:tcPr>
            <w:tcBorders/>
            <w:tcW w:w="1969" w:type="dxa"/>
            <w:textDirection w:val="lrTb"/>
            <w:noWrap w:val="false"/>
          </w:tcPr>
          <w:p w14:paraId="56861E28">
            <w:pPr>
              <w:pBdr/>
              <w:spacing w:after="0" w:before="0" w:line="240" w:lineRule="auto"/>
              <w:ind/>
              <w:rPr>
                <w:color w:val="000000" w:themeColor="text1"/>
              </w:rPr>
            </w:pPr>
            <w:r>
              <w:rPr>
                <w:rFonts w:ascii="Arial" w:hAnsi="Arial" w:eastAsia="Arial" w:cs="Arial"/>
                <w:color w:val="000000" w:themeColor="text1"/>
                <w:sz w:val="21"/>
              </w:rPr>
              <w:t xml:space="preserve">Ozawa et al. [43]</w:t>
            </w:r>
            <w:r>
              <w:rPr>
                <w:color w:val="000000" w:themeColor="text1"/>
              </w:rPr>
            </w:r>
            <w:r>
              <w:rPr>
                <w:color w:val="000000" w:themeColor="text1"/>
              </w:rPr>
            </w:r>
          </w:p>
        </w:tc>
        <w:tc>
          <w:tcPr>
            <w:tcBorders/>
            <w:tcW w:w="1728" w:type="dxa"/>
            <w:textDirection w:val="lrTb"/>
            <w:noWrap w:val="false"/>
          </w:tcPr>
          <w:p w14:paraId="500EA223">
            <w:pPr>
              <w:pBdr/>
              <w:spacing w:after="0" w:before="0" w:line="240" w:lineRule="auto"/>
              <w:ind/>
              <w:rPr>
                <w:color w:val="000000" w:themeColor="text1"/>
              </w:rPr>
            </w:pPr>
            <w:r>
              <w:rPr>
                <w:rFonts w:ascii="Arial" w:hAnsi="Arial" w:eastAsia="Arial" w:cs="Arial"/>
                <w:color w:val="000000" w:themeColor="text1"/>
                <w:sz w:val="21"/>
              </w:rPr>
              <w:t xml:space="preserve">Colonoscopy images</w:t>
            </w:r>
            <w:r>
              <w:rPr>
                <w:color w:val="000000" w:themeColor="text1"/>
              </w:rPr>
            </w:r>
            <w:r>
              <w:rPr>
                <w:color w:val="000000" w:themeColor="text1"/>
              </w:rPr>
            </w:r>
          </w:p>
        </w:tc>
        <w:tc>
          <w:tcPr>
            <w:tcBorders/>
            <w:tcW w:w="1728" w:type="dxa"/>
            <w:textDirection w:val="lrTb"/>
            <w:noWrap w:val="false"/>
          </w:tcPr>
          <w:p w14:paraId="1D0279A3">
            <w:pPr>
              <w:pBdr/>
              <w:spacing w:after="0" w:before="0" w:line="240" w:lineRule="auto"/>
              <w:ind/>
              <w:rPr>
                <w:color w:val="000000" w:themeColor="text1"/>
              </w:rPr>
            </w:pPr>
            <w:r>
              <w:rPr>
                <w:rFonts w:ascii="Arial" w:hAnsi="Arial" w:eastAsia="Arial" w:cs="Arial"/>
                <w:color w:val="000000" w:themeColor="text1"/>
                <w:sz w:val="21"/>
              </w:rPr>
              <w:t xml:space="preserve">Endoscopic disease activity</w:t>
            </w:r>
            <w:r>
              <w:rPr>
                <w:color w:val="000000" w:themeColor="text1"/>
              </w:rPr>
            </w:r>
            <w:r>
              <w:rPr>
                <w:color w:val="000000" w:themeColor="text1"/>
              </w:rPr>
            </w:r>
          </w:p>
        </w:tc>
        <w:tc>
          <w:tcPr>
            <w:tcBorders/>
            <w:tcW w:w="1728" w:type="dxa"/>
            <w:textDirection w:val="lrTb"/>
            <w:noWrap w:val="false"/>
          </w:tcPr>
          <w:p w14:paraId="75703A3E">
            <w:pPr>
              <w:pBdr/>
              <w:spacing w:after="0" w:before="0" w:line="240" w:lineRule="auto"/>
              <w:ind/>
              <w:rPr>
                <w:color w:val="000000" w:themeColor="text1"/>
              </w:rPr>
            </w:pPr>
            <w:r>
              <w:rPr>
                <w:rFonts w:ascii="Arial" w:hAnsi="Arial" w:eastAsia="Arial" w:cs="Arial"/>
                <w:color w:val="000000" w:themeColor="text1"/>
                <w:sz w:val="21"/>
              </w:rPr>
              <w:t xml:space="preserve">CAD feasibility for UC severity grading</w:t>
            </w:r>
            <w:r>
              <w:rPr>
                <w:color w:val="000000" w:themeColor="text1"/>
              </w:rPr>
            </w:r>
            <w:r>
              <w:rPr>
                <w:color w:val="000000" w:themeColor="text1"/>
              </w:rPr>
            </w:r>
          </w:p>
        </w:tc>
        <w:tc>
          <w:tcPr>
            <w:tcBorders/>
            <w:tcW w:w="2201" w:type="dxa"/>
            <w:textDirection w:val="lrTb"/>
            <w:noWrap w:val="false"/>
          </w:tcPr>
          <w:p w14:paraId="6D249C68">
            <w:pPr>
              <w:pBdr/>
              <w:spacing w:after="0" w:before="0" w:line="240" w:lineRule="auto"/>
              <w:ind/>
              <w:rPr>
                <w:color w:val="000000" w:themeColor="text1"/>
              </w:rPr>
            </w:pPr>
            <w:r>
              <w:rPr>
                <w:rFonts w:ascii="Arial" w:hAnsi="Arial" w:eastAsia="Arial" w:cs="Arial"/>
                <w:color w:val="000000" w:themeColor="text1"/>
                <w:sz w:val="21"/>
              </w:rPr>
              <w:t xml:space="preserve">Primarily fixed-score prediction interface</w:t>
            </w:r>
            <w:r>
              <w:rPr>
                <w:color w:val="000000" w:themeColor="text1"/>
              </w:rPr>
            </w:r>
            <w:r>
              <w:rPr>
                <w:color w:val="000000" w:themeColor="text1"/>
              </w:rPr>
            </w:r>
          </w:p>
        </w:tc>
      </w:tr>
      <w:tr>
        <w:trPr/>
        <w:tc>
          <w:tcPr>
            <w:tcBorders/>
            <w:tcW w:w="1969" w:type="dxa"/>
            <w:textDirection w:val="lrTb"/>
            <w:noWrap w:val="false"/>
          </w:tcPr>
          <w:p w14:paraId="258CF28B">
            <w:pPr>
              <w:pBdr/>
              <w:spacing w:after="0" w:before="0" w:line="240" w:lineRule="auto"/>
              <w:ind/>
              <w:rPr>
                <w:color w:val="000000" w:themeColor="text1"/>
              </w:rPr>
            </w:pPr>
            <w:r>
              <w:rPr>
                <w:rFonts w:ascii="Arial" w:hAnsi="Arial" w:eastAsia="Arial" w:cs="Arial"/>
                <w:color w:val="000000" w:themeColor="text1"/>
                <w:sz w:val="21"/>
              </w:rPr>
              <w:t xml:space="preserve">Yao et al. [44]</w:t>
            </w:r>
            <w:r>
              <w:rPr>
                <w:color w:val="000000" w:themeColor="text1"/>
              </w:rPr>
            </w:r>
            <w:r>
              <w:rPr>
                <w:color w:val="000000" w:themeColor="text1"/>
              </w:rPr>
            </w:r>
          </w:p>
        </w:tc>
        <w:tc>
          <w:tcPr>
            <w:tcBorders/>
            <w:tcW w:w="1728" w:type="dxa"/>
            <w:textDirection w:val="lrTb"/>
            <w:noWrap w:val="false"/>
          </w:tcPr>
          <w:p w14:paraId="36B21DA7">
            <w:pPr>
              <w:pBdr/>
              <w:spacing w:after="0" w:before="0" w:line="240" w:lineRule="auto"/>
              <w:ind/>
              <w:rPr>
                <w:color w:val="000000" w:themeColor="text1"/>
              </w:rPr>
            </w:pPr>
            <w:r>
              <w:rPr>
                <w:rFonts w:ascii="Arial" w:hAnsi="Arial" w:eastAsia="Arial" w:cs="Arial"/>
                <w:color w:val="000000" w:themeColor="text1"/>
                <w:sz w:val="21"/>
              </w:rPr>
              <w:t xml:space="preserve">Multicentre colonoscopy data</w:t>
            </w:r>
            <w:r>
              <w:rPr>
                <w:color w:val="000000" w:themeColor="text1"/>
              </w:rPr>
            </w:r>
            <w:r>
              <w:rPr>
                <w:color w:val="000000" w:themeColor="text1"/>
              </w:rPr>
            </w:r>
          </w:p>
        </w:tc>
        <w:tc>
          <w:tcPr>
            <w:tcBorders/>
            <w:tcW w:w="1728" w:type="dxa"/>
            <w:textDirection w:val="lrTb"/>
            <w:noWrap w:val="false"/>
          </w:tcPr>
          <w:p w14:paraId="2444B3FB">
            <w:pPr>
              <w:pBdr/>
              <w:spacing w:after="0" w:before="0" w:line="240" w:lineRule="auto"/>
              <w:ind/>
              <w:rPr>
                <w:color w:val="000000" w:themeColor="text1"/>
              </w:rPr>
            </w:pPr>
            <w:r>
              <w:rPr>
                <w:rFonts w:ascii="Arial" w:hAnsi="Arial" w:eastAsia="Arial" w:cs="Arial"/>
                <w:color w:val="000000" w:themeColor="text1"/>
                <w:sz w:val="21"/>
              </w:rPr>
              <w:t xml:space="preserve">Inflammatory activity</w:t>
            </w:r>
            <w:r>
              <w:rPr>
                <w:color w:val="000000" w:themeColor="text1"/>
              </w:rPr>
            </w:r>
            <w:r>
              <w:rPr>
                <w:color w:val="000000" w:themeColor="text1"/>
              </w:rPr>
            </w:r>
          </w:p>
        </w:tc>
        <w:tc>
          <w:tcPr>
            <w:tcBorders/>
            <w:tcW w:w="1728" w:type="dxa"/>
            <w:textDirection w:val="lrTb"/>
            <w:noWrap w:val="false"/>
          </w:tcPr>
          <w:p w14:paraId="3B97D438">
            <w:pPr>
              <w:pBdr/>
              <w:spacing w:after="0" w:before="0" w:line="240" w:lineRule="auto"/>
              <w:ind/>
              <w:rPr>
                <w:color w:val="000000" w:themeColor="text1"/>
              </w:rPr>
            </w:pPr>
            <w:r>
              <w:rPr>
                <w:rFonts w:ascii="Arial" w:hAnsi="Arial" w:eastAsia="Arial" w:cs="Arial"/>
                <w:color w:val="000000" w:themeColor="text1"/>
                <w:sz w:val="21"/>
              </w:rPr>
              <w:t xml:space="preserve">Prospective multicentre evaluation</w:t>
            </w:r>
            <w:r>
              <w:rPr>
                <w:color w:val="000000" w:themeColor="text1"/>
              </w:rPr>
            </w:r>
            <w:r>
              <w:rPr>
                <w:color w:val="000000" w:themeColor="text1"/>
              </w:rPr>
            </w:r>
          </w:p>
        </w:tc>
        <w:tc>
          <w:tcPr>
            <w:tcBorders/>
            <w:tcW w:w="2201" w:type="dxa"/>
            <w:textDirection w:val="lrTb"/>
            <w:noWrap w:val="false"/>
          </w:tcPr>
          <w:p w14:paraId="6373F56C">
            <w:pPr>
              <w:pBdr/>
              <w:spacing w:after="0" w:before="0" w:line="240" w:lineRule="auto"/>
              <w:ind/>
              <w:rPr>
                <w:color w:val="000000" w:themeColor="text1"/>
              </w:rPr>
            </w:pPr>
            <w:r>
              <w:rPr>
                <w:rFonts w:ascii="Arial" w:hAnsi="Arial" w:eastAsia="Arial" w:cs="Arial"/>
                <w:color w:val="000000" w:themeColor="text1"/>
                <w:sz w:val="21"/>
              </w:rPr>
              <w:t xml:space="preserve">Not structured around clinician question-answer workflows</w:t>
            </w:r>
            <w:r>
              <w:rPr>
                <w:color w:val="000000" w:themeColor="text1"/>
              </w:rPr>
            </w:r>
            <w:r>
              <w:rPr>
                <w:color w:val="000000" w:themeColor="text1"/>
              </w:rPr>
            </w:r>
          </w:p>
        </w:tc>
      </w:tr>
      <w:tr>
        <w:trPr/>
        <w:tc>
          <w:tcPr>
            <w:tcBorders/>
            <w:tcW w:w="1969" w:type="dxa"/>
            <w:textDirection w:val="lrTb"/>
            <w:noWrap w:val="false"/>
          </w:tcPr>
          <w:p w14:paraId="46DBDA50">
            <w:pPr>
              <w:pBdr/>
              <w:spacing w:after="0" w:before="0" w:line="240" w:lineRule="auto"/>
              <w:ind/>
              <w:rPr>
                <w:color w:val="000000" w:themeColor="text1"/>
              </w:rPr>
            </w:pPr>
            <w:r>
              <w:rPr>
                <w:rFonts w:ascii="Arial" w:hAnsi="Arial" w:eastAsia="Arial" w:cs="Arial"/>
                <w:color w:val="000000" w:themeColor="text1"/>
                <w:sz w:val="21"/>
              </w:rPr>
              <w:t xml:space="preserve">Takenaka et al. [45]</w:t>
            </w:r>
            <w:r>
              <w:rPr>
                <w:color w:val="000000" w:themeColor="text1"/>
              </w:rPr>
            </w:r>
            <w:r>
              <w:rPr>
                <w:color w:val="000000" w:themeColor="text1"/>
              </w:rPr>
            </w:r>
          </w:p>
        </w:tc>
        <w:tc>
          <w:tcPr>
            <w:tcBorders/>
            <w:tcW w:w="1728" w:type="dxa"/>
            <w:textDirection w:val="lrTb"/>
            <w:noWrap w:val="false"/>
          </w:tcPr>
          <w:p w14:paraId="3CCB31F6">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59CC311">
            <w:pPr>
              <w:pBdr/>
              <w:spacing w:after="0" w:before="0" w:line="240" w:lineRule="auto"/>
              <w:ind/>
              <w:rPr>
                <w:color w:val="000000" w:themeColor="text1"/>
              </w:rPr>
            </w:pPr>
            <w:r>
              <w:rPr>
                <w:rFonts w:ascii="Arial" w:hAnsi="Arial" w:eastAsia="Arial" w:cs="Arial"/>
                <w:color w:val="000000" w:themeColor="text1"/>
                <w:sz w:val="21"/>
              </w:rPr>
              <w:t xml:space="preserve">MES/UCEIS predictions</w:t>
            </w:r>
            <w:r>
              <w:rPr>
                <w:color w:val="000000" w:themeColor="text1"/>
              </w:rPr>
            </w:r>
            <w:r>
              <w:rPr>
                <w:color w:val="000000" w:themeColor="text1"/>
              </w:rPr>
            </w:r>
          </w:p>
        </w:tc>
        <w:tc>
          <w:tcPr>
            <w:tcBorders/>
            <w:tcW w:w="1728" w:type="dxa"/>
            <w:textDirection w:val="lrTb"/>
            <w:noWrap w:val="false"/>
          </w:tcPr>
          <w:p w14:paraId="60EBFBE1">
            <w:pPr>
              <w:pBdr/>
              <w:spacing w:after="0" w:before="0" w:line="240" w:lineRule="auto"/>
              <w:ind/>
              <w:rPr>
                <w:color w:val="000000" w:themeColor="text1"/>
              </w:rPr>
            </w:pPr>
            <w:r>
              <w:rPr>
                <w:rFonts w:ascii="Arial" w:hAnsi="Arial" w:eastAsia="Arial" w:cs="Arial"/>
                <w:color w:val="000000" w:themeColor="text1"/>
                <w:sz w:val="21"/>
              </w:rPr>
              <w:t xml:space="preserve">Strong recent MES/UCEIS-oriented deep model validation</w:t>
            </w:r>
            <w:r>
              <w:rPr>
                <w:color w:val="000000" w:themeColor="text1"/>
              </w:rPr>
            </w:r>
            <w:r>
              <w:rPr>
                <w:color w:val="000000" w:themeColor="text1"/>
              </w:rPr>
            </w:r>
          </w:p>
        </w:tc>
        <w:tc>
          <w:tcPr>
            <w:tcBorders/>
            <w:tcW w:w="2201" w:type="dxa"/>
            <w:textDirection w:val="lrTb"/>
            <w:noWrap w:val="false"/>
          </w:tcPr>
          <w:p w14:paraId="5EE41EBB">
            <w:pPr>
              <w:pBdr/>
              <w:spacing w:after="0" w:before="0" w:line="240" w:lineRule="auto"/>
              <w:ind/>
              <w:rPr>
                <w:color w:val="000000" w:themeColor="text1"/>
              </w:rPr>
            </w:pPr>
            <w:r>
              <w:rPr>
                <w:rFonts w:ascii="Arial" w:hAnsi="Arial" w:eastAsia="Arial" w:cs="Arial"/>
                <w:color w:val="000000" w:themeColor="text1"/>
                <w:sz w:val="21"/>
              </w:rPr>
              <w:t xml:space="preserve">No retrieval-grounded management response layer</w:t>
            </w:r>
            <w:r>
              <w:rPr>
                <w:color w:val="000000" w:themeColor="text1"/>
              </w:rPr>
            </w:r>
            <w:r>
              <w:rPr>
                <w:color w:val="000000" w:themeColor="text1"/>
              </w:rPr>
            </w:r>
          </w:p>
        </w:tc>
      </w:tr>
    </w:tbl>
    <w:p w14:paraId="1B09184C">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Table 2.</w:t>
      </w:r>
      <w:r>
        <w:rPr>
          <w:rFonts w:ascii="Arial" w:hAnsi="Arial" w:eastAsia="Arial" w:cs="Arial"/>
          <w:b w:val="0"/>
          <w:bCs w:val="0"/>
          <w:i w:val="0"/>
          <w:caps w:val="0"/>
          <w:smallCaps w:val="0"/>
          <w:color w:val="000000" w:themeColor="text1" w:themeTint="FF" w:themeShade="FF"/>
          <w:sz w:val="22"/>
          <w:szCs w:val="22"/>
          <w:lang w:val="en-US"/>
        </w:rPr>
        <w:t xml:space="preserve">6</w:t>
      </w: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A. Selected UC Severity Automation Studies (Pre-MedVQA Framing)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2C1BA4E">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258B1F98">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 xml:space="preserve">T</w:t>
      </w:r>
      <w:r>
        <w:rPr>
          <w:rFonts w:ascii="Arial" w:hAnsi="Arial" w:eastAsia="Arial" w:cs="Arial"/>
          <w:b w:val="0"/>
          <w:bCs w:val="0"/>
          <w:i w:val="0"/>
          <w:caps w:val="0"/>
          <w:smallCaps w:val="0"/>
          <w:color w:val="000000" w:themeColor="text1" w:themeTint="FF" w:themeShade="FF"/>
          <w:sz w:val="22"/>
          <w:szCs w:val="22"/>
          <w:highlight w:val="none"/>
        </w:rPr>
        <w:t xml:space="preserve">hese studies show that AI-based UC scoring is feasible, but they do not directly resolve the MedVQA challenge targeted in this dissertation: combining robust severity estimation with controlled interactive reasoning and evidence-grounded response generatio</w:t>
      </w:r>
      <w:r>
        <w:rPr>
          <w:rFonts w:ascii="Arial" w:hAnsi="Arial" w:eastAsia="Arial" w:cs="Arial"/>
          <w:b w:val="0"/>
          <w:bCs w:val="0"/>
          <w:i w:val="0"/>
          <w:caps w:val="0"/>
          <w:smallCaps w:val="0"/>
          <w:color w:val="000000" w:themeColor="text1" w:themeTint="FF" w:themeShade="FF"/>
          <w:sz w:val="22"/>
          <w:szCs w:val="22"/>
          <w:highlight w:val="none"/>
        </w:rPr>
        <w:t xml:space="preserve">n. Editorial and variability analyses reinforce this gap by highlighting persistent scoring heterogeneity and translational barriers [38], [39].</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EF78E8C">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1E692EB">
      <w:pPr>
        <w:pStyle w:val="1056"/>
        <w:suppressLineNumbers w:val="false"/>
        <w:pBdr/>
        <w:spacing w:after="240" w:afterAutospacing="0" w:before="240" w:beforeAutospacing="0" w:line="300" w:lineRule="auto"/>
        <w:ind w:firstLine="0"/>
        <w:rPr/>
      </w:pPr>
      <w:r/>
      <w:r/>
    </w:p>
    <w:p w14:paraId="5B81A01F">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4C58A63">
      <w:pPr>
        <w:pStyle w:val="1056"/>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2.5 Survey of Technique Families</w:t>
      </w:r>
      <w:r>
        <w:rPr>
          <w:b/>
          <w:bCs/>
          <w:sz w:val="28"/>
          <w:szCs w:val="28"/>
        </w:rPr>
      </w:r>
      <w:r>
        <w:rPr>
          <w:b/>
          <w:bCs/>
          <w:sz w:val="28"/>
          <w:szCs w:val="28"/>
        </w:rPr>
      </w:r>
    </w:p>
    <w:p w14:paraId="40DC849F">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section compares method families with specific attention to colonoscopy VQA requirements.</w:t>
      </w:r>
      <w:r>
        <w:rPr>
          <w:rFonts w:ascii="Arial" w:hAnsi="Arial" w:eastAsia="Arial" w:cs="Arial"/>
          <w:b w:val="0"/>
          <w:bCs w:val="0"/>
          <w:i w:val="0"/>
          <w:caps w:val="0"/>
          <w:smallCaps w:val="0"/>
          <w:color w:val="000000" w:themeColor="text1" w:themeTint="FF" w:themeShade="FF"/>
          <w:sz w:val="22"/>
          <w:szCs w:val="22"/>
        </w:rPr>
      </w:r>
      <w:r/>
    </w:p>
    <w:p w14:paraId="3FDA3691">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2.5.1 Rule-Based and Heuristic Logic</w:t>
      </w:r>
      <w:r>
        <w:rPr>
          <w:b/>
          <w:bCs/>
        </w:rPr>
      </w:r>
      <w:r>
        <w:rPr>
          <w:b/>
          <w:bCs/>
        </w:rPr>
      </w:r>
    </w:p>
    <w:p w14:paraId="7ADA17E5">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ule-based systems encode expert logic through handcrafted criteria (e.g., color thresholds, morphology cues, manually defined score rules). Their strengths are transparency and deterministic behavior. Their weaknesses are brittleness under visual variabili</w:t>
      </w:r>
      <w:r>
        <w:rPr>
          <w:rFonts w:ascii="Arial" w:hAnsi="Arial" w:eastAsia="Arial" w:cs="Arial"/>
          <w:b w:val="0"/>
          <w:bCs w:val="0"/>
          <w:i w:val="0"/>
          <w:caps w:val="0"/>
          <w:smallCaps w:val="0"/>
          <w:color w:val="000000" w:themeColor="text1" w:themeTint="FF" w:themeShade="FF"/>
          <w:sz w:val="22"/>
          <w:szCs w:val="22"/>
        </w:rPr>
        <w:t xml:space="preserve">ty and poor scalability to open-ended language.</w:t>
      </w:r>
      <w:r>
        <w:rPr>
          <w:rFonts w:ascii="Arial" w:hAnsi="Arial" w:eastAsia="Arial" w:cs="Arial"/>
          <w:b w:val="0"/>
          <w:bCs w:val="0"/>
          <w:i w:val="0"/>
          <w:caps w:val="0"/>
          <w:smallCaps w:val="0"/>
          <w:color w:val="000000" w:themeColor="text1" w:themeTint="FF" w:themeShade="FF"/>
          <w:sz w:val="22"/>
          <w:szCs w:val="22"/>
        </w:rPr>
      </w:r>
      <w:r/>
    </w:p>
    <w:p w14:paraId="4A5F2780">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colonoscopy, rule-based components can still be useful as auxiliary constraints (for quality filtering or post-hoc checks), but not as full MedVQA systems.</w:t>
      </w:r>
      <w:r>
        <w:rPr>
          <w:rFonts w:ascii="Arial" w:hAnsi="Arial" w:eastAsia="Arial" w:cs="Arial"/>
          <w:b w:val="0"/>
          <w:bCs w:val="0"/>
          <w:i w:val="0"/>
          <w:caps w:val="0"/>
          <w:smallCaps w:val="0"/>
          <w:color w:val="000000" w:themeColor="text1" w:themeTint="FF" w:themeShade="FF"/>
          <w:sz w:val="22"/>
          <w:szCs w:val="22"/>
        </w:rPr>
      </w:r>
      <w:r/>
    </w:p>
    <w:p w14:paraId="05A28930">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2.5.2 Discriminative CNN/RNN and Early Fusion Models</w:t>
      </w:r>
      <w:r>
        <w:rPr>
          <w:b/>
          <w:bCs/>
        </w:rPr>
      </w:r>
      <w:r>
        <w:rPr>
          <w:b/>
          <w:bCs/>
        </w:rPr>
      </w:r>
    </w:p>
    <w:p w14:paraId="0C9D50BD">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These pipelines encode image and question separately and perform fusion for closed-set prediction. They remain strong baselines for constrained yes/no or categorical tasks where label spaces are stable and deterministic output is preferred.</w:t>
      </w:r>
      <w:r>
        <w:rPr>
          <w:rFonts w:ascii="Arial" w:hAnsi="Arial" w:eastAsia="Arial" w:cs="Arial"/>
          <w:b w:val="0"/>
          <w:bCs w:val="0"/>
          <w:i w:val="0"/>
          <w:caps w:val="0"/>
          <w:smallCaps w:val="0"/>
          <w:color w:val="000000" w:themeColor="text1" w:themeTint="FF" w:themeShade="FF"/>
          <w:sz w:val="22"/>
          <w:szCs w:val="22"/>
        </w:rPr>
      </w:r>
      <w:r/>
    </w:p>
    <w:p w14:paraId="49E04B1A">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Limitations include weaker compositional reasoning and poor flexibility for long-form explanatory answers.</w:t>
      </w:r>
      <w:r>
        <w:rPr>
          <w:rFonts w:ascii="Arial" w:hAnsi="Arial" w:eastAsia="Arial" w:cs="Arial"/>
          <w:b w:val="0"/>
          <w:bCs w:val="0"/>
          <w:i w:val="0"/>
          <w:caps w:val="0"/>
          <w:smallCaps w:val="0"/>
          <w:color w:val="000000" w:themeColor="text1" w:themeTint="FF" w:themeShade="FF"/>
          <w:sz w:val="22"/>
          <w:szCs w:val="22"/>
        </w:rPr>
      </w:r>
      <w:r/>
    </w:p>
    <w:p w14:paraId="69E34D32">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2.5.3 Transformer-Based Multimodal Fusion</w:t>
      </w:r>
      <w:r>
        <w:rPr>
          <w:b/>
          <w:bCs/>
        </w:rPr>
      </w:r>
      <w:r>
        <w:rPr>
          <w:b/>
          <w:bCs/>
        </w:rPr>
      </w:r>
    </w:p>
    <w:p w14:paraId="552EC70B">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Transformers improved image-question alignment and contextual reasoning through cross-attention. Pretrained multimodal encoders can be adapted to clinical VQA with improved sample efficiency relative to training from scratch.</w:t>
      </w:r>
      <w:r>
        <w:rPr>
          <w:rFonts w:ascii="Arial" w:hAnsi="Arial" w:eastAsia="Arial" w:cs="Arial"/>
          <w:b w:val="0"/>
          <w:bCs w:val="0"/>
          <w:i w:val="0"/>
          <w:caps w:val="0"/>
          <w:smallCaps w:val="0"/>
          <w:color w:val="000000" w:themeColor="text1" w:themeTint="FF" w:themeShade="FF"/>
          <w:sz w:val="22"/>
          <w:szCs w:val="22"/>
        </w:rPr>
      </w:r>
      <w:r/>
    </w:p>
    <w:p w14:paraId="7CB8A122">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GI settings, this family often provides strong reliability on structured answer spaces, especially where question templates and answer ontologies are controlled.</w:t>
      </w:r>
      <w:r>
        <w:rPr>
          <w:rFonts w:ascii="Arial" w:hAnsi="Arial" w:eastAsia="Arial" w:cs="Arial"/>
          <w:b w:val="0"/>
          <w:bCs w:val="0"/>
          <w:i w:val="0"/>
          <w:caps w:val="0"/>
          <w:smallCaps w:val="0"/>
          <w:color w:val="000000" w:themeColor="text1" w:themeTint="FF" w:themeShade="FF"/>
          <w:sz w:val="22"/>
          <w:szCs w:val="22"/>
        </w:rPr>
      </w:r>
      <w:r/>
    </w:p>
    <w:p w14:paraId="752C673A">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2.5.4 Generative MLLM-Based MedVQA</w:t>
      </w:r>
      <w:r>
        <w:rPr>
          <w:b/>
          <w:bCs/>
        </w:rPr>
      </w:r>
      <w:r>
        <w:rPr>
          <w:b/>
          <w:bCs/>
        </w:rPr>
      </w:r>
    </w:p>
    <w:p w14:paraId="78B22732">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w:t>
      </w:r>
      <w:r>
        <w:rPr>
          <w:rFonts w:ascii="Arial" w:hAnsi="Arial" w:eastAsia="Arial" w:cs="Arial"/>
          <w:b w:val="0"/>
          <w:bCs w:val="0"/>
          <w:i w:val="0"/>
          <w:caps w:val="0"/>
          <w:smallCaps w:val="0"/>
          <w:color w:val="000000" w:themeColor="text1" w:themeTint="FF" w:themeShade="FF"/>
          <w:sz w:val="22"/>
          <w:szCs w:val="22"/>
        </w:rPr>
        <w:t xml:space="preserve">enerative approaches output free-text answers and support richer interaction. Key drivers include instruction tuning and parameter-efficient adaptation. Representative medical systems include LLaVA-Med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6], Med-Flamingo [7], and instruction-tuned large-s</w:t>
      </w:r>
      <w:r>
        <w:rPr>
          <w:rFonts w:ascii="Arial" w:hAnsi="Arial" w:eastAsia="Arial" w:cs="Arial"/>
          <w:b w:val="0"/>
          <w:bCs w:val="0"/>
          <w:i w:val="0"/>
          <w:caps w:val="0"/>
          <w:smallCaps w:val="0"/>
          <w:color w:val="000000" w:themeColor="text1" w:themeTint="FF" w:themeShade="FF"/>
          <w:sz w:val="22"/>
          <w:szCs w:val="22"/>
        </w:rPr>
        <w:t xml:space="preserve">cale resources such as PMC-VQA [5].</w:t>
      </w:r>
      <w:r>
        <w:rPr>
          <w:rFonts w:ascii="Arial" w:hAnsi="Arial" w:eastAsia="Arial" w:cs="Arial"/>
          <w:b w:val="0"/>
          <w:bCs w:val="0"/>
          <w:i w:val="0"/>
          <w:caps w:val="0"/>
          <w:smallCaps w:val="0"/>
          <w:color w:val="000000" w:themeColor="text1" w:themeTint="FF" w:themeShade="FF"/>
          <w:sz w:val="22"/>
          <w:szCs w:val="22"/>
        </w:rPr>
      </w:r>
      <w:r/>
    </w:p>
    <w:p w14:paraId="4C9413E0">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Benefits:</w:t>
      </w:r>
      <w:r>
        <w:rPr>
          <w:rFonts w:ascii="Arial" w:hAnsi="Arial" w:eastAsia="Arial" w:cs="Arial"/>
          <w:b w:val="0"/>
          <w:bCs w:val="0"/>
          <w:i w:val="0"/>
          <w:caps w:val="0"/>
          <w:smallCaps w:val="0"/>
          <w:color w:val="000000" w:themeColor="text1" w:themeTint="FF" w:themeShade="FF"/>
          <w:sz w:val="22"/>
          <w:szCs w:val="22"/>
        </w:rPr>
      </w:r>
      <w:r/>
    </w:p>
    <w:p w14:paraId="7497AF74">
      <w:pPr>
        <w:pStyle w:val="1056"/>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richer language output,</w:t>
      </w:r>
      <w:r/>
    </w:p>
    <w:p w14:paraId="285F14BD">
      <w:pPr>
        <w:pStyle w:val="1056"/>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support for rationale-like responses,</w:t>
      </w:r>
      <w:r/>
    </w:p>
    <w:p w14:paraId="196B858B">
      <w:pPr>
        <w:pStyle w:val="1056"/>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easier integration with conversational interfaces.</w:t>
      </w:r>
      <w:r>
        <w:rPr>
          <w:rFonts w:ascii="Arial" w:hAnsi="Arial" w:eastAsia="Arial" w:cs="Arial"/>
          <w:b w:val="0"/>
          <w:bCs w:val="0"/>
          <w:i w:val="0"/>
          <w:caps w:val="0"/>
          <w:smallCaps w:val="0"/>
          <w:color w:val="000000" w:themeColor="text1" w:themeTint="FF" w:themeShade="FF"/>
          <w:sz w:val="22"/>
          <w:szCs w:val="22"/>
        </w:rPr>
      </w:r>
      <w:r/>
    </w:p>
    <w:p w14:paraId="269D002F">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Risks:</w:t>
      </w:r>
      <w:r>
        <w:rPr>
          <w:rFonts w:ascii="Arial" w:hAnsi="Arial" w:eastAsia="Arial" w:cs="Arial"/>
          <w:b w:val="0"/>
          <w:bCs w:val="0"/>
          <w:i w:val="0"/>
          <w:caps w:val="0"/>
          <w:smallCaps w:val="0"/>
          <w:color w:val="000000" w:themeColor="text1" w:themeTint="FF" w:themeShade="FF"/>
          <w:sz w:val="22"/>
          <w:szCs w:val="22"/>
        </w:rPr>
      </w:r>
      <w:r/>
    </w:p>
    <w:p w14:paraId="0FD42ADC">
      <w:pPr>
        <w:pStyle w:val="1056"/>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hallucination,</w:t>
      </w:r>
      <w:r/>
    </w:p>
    <w:p w14:paraId="4E5B7570">
      <w:pPr>
        <w:pStyle w:val="1056"/>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weak visual grounding,</w:t>
      </w:r>
      <w:r/>
    </w:p>
    <w:p w14:paraId="64A5BB4A">
      <w:pPr>
        <w:pStyle w:val="1056"/>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answer-format instability on closed-label evaluations,</w:t>
      </w:r>
      <w:r/>
    </w:p>
    <w:p w14:paraId="761F87B9">
      <w:pPr>
        <w:pStyle w:val="1056"/>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and clinically ambiguous verbosity.</w:t>
      </w:r>
      <w:r>
        <w:rPr>
          <w:rFonts w:ascii="Arial" w:hAnsi="Arial" w:eastAsia="Arial" w:cs="Arial"/>
          <w:b w:val="0"/>
          <w:bCs w:val="0"/>
          <w:i w:val="0"/>
          <w:caps w:val="0"/>
          <w:smallCaps w:val="0"/>
          <w:color w:val="000000" w:themeColor="text1" w:themeTint="FF" w:themeShade="FF"/>
          <w:sz w:val="22"/>
          <w:szCs w:val="22"/>
        </w:rPr>
      </w:r>
      <w:r/>
    </w:p>
    <w:p w14:paraId="2E3D7179">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2.5.5 Explainable and Grounded MedVQA</w:t>
      </w:r>
      <w:r>
        <w:rPr>
          <w:b/>
          <w:bCs/>
        </w:rPr>
      </w:r>
      <w:r>
        <w:rPr>
          <w:b/>
          <w:bCs/>
        </w:rPr>
      </w:r>
    </w:p>
    <w:p w14:paraId="60A41A71">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Explainability has moved from optional add-on to benchmark-level requirement in GI challenges [26], [27]. The goal is not only to answer but to justify and localize reasoning cues in ways clinicians can audit.</w:t>
      </w:r>
      <w:r>
        <w:rPr>
          <w:rFonts w:ascii="Arial" w:hAnsi="Arial" w:eastAsia="Arial" w:cs="Arial"/>
          <w:b w:val="0"/>
          <w:bCs w:val="0"/>
          <w:i w:val="0"/>
          <w:caps w:val="0"/>
          <w:smallCaps w:val="0"/>
          <w:color w:val="000000" w:themeColor="text1" w:themeTint="FF" w:themeShade="FF"/>
          <w:sz w:val="22"/>
          <w:szCs w:val="22"/>
        </w:rPr>
      </w:r>
      <w:r/>
    </w:p>
    <w:p w14:paraId="5089DFAD">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work includes explicit multi-component explainability pipelines [15] and challenge systems combining QA, explanation generation, and localization [28].</w:t>
      </w:r>
      <w:r>
        <w:rPr>
          <w:rFonts w:ascii="Arial" w:hAnsi="Arial" w:eastAsia="Arial" w:cs="Arial"/>
          <w:b w:val="0"/>
          <w:bCs w:val="0"/>
          <w:i w:val="0"/>
          <w:caps w:val="0"/>
          <w:smallCaps w:val="0"/>
          <w:color w:val="000000" w:themeColor="text1" w:themeTint="FF" w:themeShade="FF"/>
          <w:sz w:val="22"/>
          <w:szCs w:val="22"/>
        </w:rPr>
      </w:r>
      <w:r/>
    </w:p>
    <w:p w14:paraId="3B1C8361">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2.5.6 Retrieval-Augmented and Evidence-Aware Methods</w:t>
      </w:r>
      <w:r>
        <w:rPr>
          <w:b/>
          <w:bCs/>
        </w:rPr>
      </w:r>
      <w:r>
        <w:rPr>
          <w:b/>
          <w:bCs/>
        </w:rPr>
      </w:r>
    </w:p>
    <w:p w14:paraId="0BCDD5D7">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etrieval augmentation is increasingly explored to ground answers in relevant examples or external evidence. Recent shared-task evidence in medical VQA (MEDIQA-WV 2025 overview and system reports) shows that retrieval-aware pipelines can improve schema adhe</w:t>
      </w:r>
      <w:r>
        <w:rPr>
          <w:rFonts w:ascii="Arial" w:hAnsi="Arial" w:eastAsia="Arial" w:cs="Arial"/>
          <w:b w:val="0"/>
          <w:bCs w:val="0"/>
          <w:i w:val="0"/>
          <w:caps w:val="0"/>
          <w:smallCaps w:val="0"/>
          <w:color w:val="000000" w:themeColor="text1" w:themeTint="FF" w:themeShade="FF"/>
          <w:sz w:val="22"/>
          <w:szCs w:val="22"/>
        </w:rPr>
        <w:t xml:space="preserve">rence and answer usefulness when retrieval quality is explicitly controlled [29], [30].</w:t>
      </w:r>
      <w:r>
        <w:rPr>
          <w:rFonts w:ascii="Arial" w:hAnsi="Arial" w:eastAsia="Arial" w:cs="Arial"/>
          <w:b w:val="0"/>
          <w:bCs w:val="0"/>
          <w:i w:val="0"/>
          <w:caps w:val="0"/>
          <w:smallCaps w:val="0"/>
          <w:color w:val="000000" w:themeColor="text1" w:themeTint="FF" w:themeShade="FF"/>
          <w:sz w:val="22"/>
          <w:szCs w:val="22"/>
        </w:rPr>
      </w:r>
      <w:r/>
    </w:p>
    <w:p w14:paraId="7A97DA52">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For this thesis, retrieval is decomposed into three operational modes:</w:t>
      </w:r>
      <w:r>
        <w:rPr>
          <w:rFonts w:ascii="Arial" w:hAnsi="Arial" w:eastAsia="Arial" w:cs="Arial"/>
          <w:b w:val="0"/>
          <w:bCs w:val="0"/>
          <w:i w:val="0"/>
          <w:caps w:val="0"/>
          <w:smallCaps w:val="0"/>
          <w:color w:val="000000" w:themeColor="text1" w:themeTint="FF" w:themeShade="FF"/>
          <w:sz w:val="22"/>
          <w:szCs w:val="22"/>
        </w:rPr>
      </w:r>
      <w:r/>
    </w:p>
    <w:p w14:paraId="44CCF777">
      <w:pPr>
        <w:pStyle w:val="1056"/>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Text-evidence retrieval: </w:t>
      </w:r>
      <w:r>
        <w:rPr>
          <w:rFonts w:ascii="Arial" w:hAnsi="Arial" w:eastAsia="Arial" w:cs="Arial"/>
          <w:b w:val="0"/>
          <w:bCs w:val="0"/>
          <w:i w:val="0"/>
          <w:caps w:val="0"/>
          <w:smallCaps w:val="0"/>
          <w:color w:val="000000" w:themeColor="text1" w:themeTint="FF" w:themeShade="FF"/>
          <w:sz w:val="22"/>
          <w:szCs w:val="22"/>
        </w:rPr>
        <w:t xml:space="preserve">guidelines, review papers, and trial summaries for management-style questions.</w:t>
      </w:r>
      <w:r/>
    </w:p>
    <w:p w14:paraId="68DD5253">
      <w:pPr>
        <w:pStyle w:val="1056"/>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Case-based retrieval:</w:t>
      </w:r>
      <w:r>
        <w:rPr>
          <w:rFonts w:ascii="Arial" w:hAnsi="Arial" w:eastAsia="Arial" w:cs="Arial"/>
          <w:b w:val="0"/>
          <w:bCs w:val="0"/>
          <w:i w:val="0"/>
          <w:caps w:val="0"/>
          <w:smallCaps w:val="0"/>
          <w:color w:val="000000" w:themeColor="text1" w:themeTint="FF" w:themeShade="FF"/>
          <w:sz w:val="22"/>
          <w:szCs w:val="22"/>
        </w:rPr>
        <w:t xml:space="preserve"> nearest-neighbor retrieval of visually similar prior GI cases for comparability support.</w:t>
      </w:r>
      <w:r/>
    </w:p>
    <w:p w14:paraId="436F4BDE">
      <w:pPr>
        <w:pStyle w:val="1056"/>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Hybrid multimodal retrieval:</w:t>
      </w:r>
      <w:r>
        <w:rPr>
          <w:rFonts w:ascii="Arial" w:hAnsi="Arial" w:eastAsia="Arial" w:cs="Arial"/>
          <w:b w:val="0"/>
          <w:bCs w:val="0"/>
          <w:i w:val="0"/>
          <w:caps w:val="0"/>
          <w:smallCaps w:val="0"/>
          <w:color w:val="000000" w:themeColor="text1" w:themeTint="FF" w:themeShade="FF"/>
          <w:sz w:val="22"/>
          <w:szCs w:val="22"/>
        </w:rPr>
        <w:t xml:space="preserve"> question intent + image cues used jointly to route evidence selection.</w:t>
      </w:r>
      <w:r/>
    </w:p>
    <w:p w14:paraId="3EEA142A">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his decomposition directly supports the Chapter 5 PICO-oriented wrapper. The visual module first answers image-grounded questions (for example severity), then the evidence module maps management queries into PICO slots and retrieves citation-linked support</w:t>
      </w:r>
      <w:r>
        <w:rPr>
          <w:rFonts w:ascii="Arial" w:hAnsi="Arial" w:eastAsia="Arial" w:cs="Arial"/>
          <w:b w:val="0"/>
          <w:bCs w:val="0"/>
          <w:i w:val="0"/>
          <w:caps w:val="0"/>
          <w:smallCaps w:val="0"/>
          <w:color w:val="000000" w:themeColor="text1" w:themeTint="FF" w:themeShade="FF"/>
          <w:sz w:val="22"/>
          <w:szCs w:val="22"/>
        </w:rPr>
        <w:t xml:space="preserve"> before response synthesis.</w:t>
      </w:r>
      <w:r/>
    </w:p>
    <w:p w14:paraId="4C3ACD63">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933CBC8">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For colonoscopy MedVQA, retrieval should therefore be treated as a controlled extension layer rather than a replacement for robust visual grounding.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1535247">
      <w:pPr>
        <w:pStyle w:val="1056"/>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rPr>
      </w:r>
      <w:r>
        <w:rPr>
          <w:rFonts w:ascii="Arial" w:hAnsi="Arial" w:eastAsia="Arial" w:cs="Arial"/>
          <w:b/>
          <w:bCs/>
          <w:i w:val="0"/>
          <w:caps w:val="0"/>
          <w:smallCaps w:val="0"/>
          <w:color w:val="000000" w:themeColor="text1" w:themeTint="FF" w:themeShade="FF"/>
          <w:sz w:val="22"/>
          <w:szCs w:val="22"/>
        </w:rPr>
        <w:t xml:space="preserve">2.5.7 Comparative Family-Level Synthesis</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62FB16C8">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13"/>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6D87AFBD">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1728" w:type="dxa"/>
            <w:textDirection w:val="lrTb"/>
            <w:noWrap w:val="false"/>
          </w:tcPr>
          <w:p w14:paraId="69EBBB36">
            <w:pPr>
              <w:pBdr/>
              <w:spacing w:after="0" w:before="0" w:line="240" w:lineRule="auto"/>
              <w:ind/>
              <w:rPr>
                <w:color w:val="000000" w:themeColor="text1"/>
              </w:rPr>
            </w:pPr>
            <w:r>
              <w:rPr>
                <w:rFonts w:ascii="Arial" w:hAnsi="Arial" w:eastAsia="Arial" w:cs="Arial"/>
                <w:b/>
                <w:color w:val="000000" w:themeColor="text1"/>
                <w:sz w:val="21"/>
              </w:rPr>
              <w:t xml:space="preserve">Typical output mode</w:t>
            </w:r>
            <w:r>
              <w:rPr>
                <w:color w:val="000000" w:themeColor="text1"/>
              </w:rPr>
            </w:r>
            <w:r>
              <w:rPr>
                <w:color w:val="000000" w:themeColor="text1"/>
              </w:rPr>
            </w:r>
          </w:p>
        </w:tc>
        <w:tc>
          <w:tcPr>
            <w:tcBorders/>
            <w:tcW w:w="1728" w:type="dxa"/>
            <w:textDirection w:val="lrTb"/>
            <w:noWrap w:val="false"/>
          </w:tcPr>
          <w:p w14:paraId="263B3A95">
            <w:pPr>
              <w:pBdr/>
              <w:spacing w:after="0" w:before="0" w:line="240" w:lineRule="auto"/>
              <w:ind/>
              <w:rPr>
                <w:color w:val="000000" w:themeColor="text1"/>
              </w:rPr>
            </w:pPr>
            <w:r>
              <w:rPr>
                <w:rFonts w:ascii="Arial" w:hAnsi="Arial" w:eastAsia="Arial" w:cs="Arial"/>
                <w:b/>
                <w:color w:val="000000" w:themeColor="text1"/>
                <w:sz w:val="21"/>
              </w:rPr>
              <w:t xml:space="preserve">Key strengths</w:t>
            </w:r>
            <w:r>
              <w:rPr>
                <w:color w:val="000000" w:themeColor="text1"/>
              </w:rPr>
            </w:r>
            <w:r>
              <w:rPr>
                <w:color w:val="000000" w:themeColor="text1"/>
              </w:rPr>
            </w:r>
          </w:p>
        </w:tc>
        <w:tc>
          <w:tcPr>
            <w:tcBorders/>
            <w:tcW w:w="1728" w:type="dxa"/>
            <w:textDirection w:val="lrTb"/>
            <w:noWrap w:val="false"/>
          </w:tcPr>
          <w:p w14:paraId="4AA51791">
            <w:pPr>
              <w:pBdr/>
              <w:spacing w:after="0" w:before="0" w:line="240" w:lineRule="auto"/>
              <w:ind/>
              <w:rPr>
                <w:color w:val="000000" w:themeColor="text1"/>
              </w:rPr>
            </w:pPr>
            <w:r>
              <w:rPr>
                <w:rFonts w:ascii="Arial" w:hAnsi="Arial" w:eastAsia="Arial" w:cs="Arial"/>
                <w:b/>
                <w:color w:val="000000" w:themeColor="text1"/>
                <w:sz w:val="21"/>
              </w:rPr>
              <w:t xml:space="preserve">Main risks</w:t>
            </w:r>
            <w:r>
              <w:rPr>
                <w:color w:val="000000" w:themeColor="text1"/>
              </w:rPr>
            </w:r>
            <w:r>
              <w:rPr>
                <w:color w:val="000000" w:themeColor="text1"/>
              </w:rPr>
            </w:r>
          </w:p>
        </w:tc>
        <w:tc>
          <w:tcPr>
            <w:tcBorders/>
            <w:tcW w:w="1728" w:type="dxa"/>
            <w:textDirection w:val="lrTb"/>
            <w:noWrap w:val="false"/>
          </w:tcPr>
          <w:p w14:paraId="41EB907B">
            <w:pPr>
              <w:pBdr/>
              <w:spacing w:after="0" w:before="0" w:line="240" w:lineRule="auto"/>
              <w:ind/>
              <w:rPr>
                <w:color w:val="000000" w:themeColor="text1"/>
              </w:rPr>
            </w:pPr>
            <w:r>
              <w:rPr>
                <w:rFonts w:ascii="Arial" w:hAnsi="Arial" w:eastAsia="Arial" w:cs="Arial"/>
                <w:b/>
                <w:color w:val="000000" w:themeColor="text1"/>
                <w:sz w:val="21"/>
              </w:rPr>
              <w:t xml:space="preserve">Best-fit scenarios</w:t>
            </w:r>
            <w:r>
              <w:rPr>
                <w:color w:val="000000" w:themeColor="text1"/>
              </w:rPr>
            </w:r>
            <w:r>
              <w:rPr>
                <w:color w:val="000000" w:themeColor="text1"/>
              </w:rPr>
            </w:r>
          </w:p>
        </w:tc>
      </w:tr>
      <w:tr>
        <w:trPr/>
        <w:tc>
          <w:tcPr>
            <w:tcBorders/>
            <w:tcW w:w="1728" w:type="dxa"/>
            <w:textDirection w:val="lrTb"/>
            <w:noWrap w:val="false"/>
          </w:tcPr>
          <w:p w14:paraId="63177AC3">
            <w:pPr>
              <w:pBdr/>
              <w:spacing w:after="0" w:before="0" w:line="240" w:lineRule="auto"/>
              <w:ind/>
              <w:rPr>
                <w:color w:val="000000" w:themeColor="text1"/>
              </w:rPr>
            </w:pPr>
            <w:r>
              <w:rPr>
                <w:rFonts w:ascii="Arial" w:hAnsi="Arial" w:eastAsia="Arial" w:cs="Arial"/>
                <w:color w:val="000000" w:themeColor="text1"/>
                <w:sz w:val="21"/>
              </w:rPr>
              <w:t xml:space="preserve">Rule-based / heuristics</w:t>
            </w:r>
            <w:r>
              <w:rPr>
                <w:color w:val="000000" w:themeColor="text1"/>
              </w:rPr>
            </w:r>
            <w:r>
              <w:rPr>
                <w:color w:val="000000" w:themeColor="text1"/>
              </w:rPr>
            </w:r>
          </w:p>
        </w:tc>
        <w:tc>
          <w:tcPr>
            <w:tcBorders/>
            <w:tcW w:w="1728" w:type="dxa"/>
            <w:textDirection w:val="lrTb"/>
            <w:noWrap w:val="false"/>
          </w:tcPr>
          <w:p w14:paraId="0B301CBD">
            <w:pPr>
              <w:pBdr/>
              <w:spacing w:after="0" w:before="0" w:line="240" w:lineRule="auto"/>
              <w:ind/>
              <w:rPr>
                <w:color w:val="000000" w:themeColor="text1"/>
              </w:rPr>
            </w:pPr>
            <w:r>
              <w:rPr>
                <w:rFonts w:ascii="Arial" w:hAnsi="Arial" w:eastAsia="Arial" w:cs="Arial"/>
                <w:color w:val="000000" w:themeColor="text1"/>
                <w:sz w:val="21"/>
              </w:rPr>
              <w:t xml:space="preserve">Deterministic labels/rules</w:t>
            </w:r>
            <w:r>
              <w:rPr>
                <w:color w:val="000000" w:themeColor="text1"/>
              </w:rPr>
            </w:r>
            <w:r>
              <w:rPr>
                <w:color w:val="000000" w:themeColor="text1"/>
              </w:rPr>
            </w:r>
          </w:p>
        </w:tc>
        <w:tc>
          <w:tcPr>
            <w:tcBorders/>
            <w:tcW w:w="1728" w:type="dxa"/>
            <w:textDirection w:val="lrTb"/>
            <w:noWrap w:val="false"/>
          </w:tcPr>
          <w:p w14:paraId="560330FF">
            <w:pPr>
              <w:pBdr/>
              <w:spacing w:after="0" w:before="0" w:line="240" w:lineRule="auto"/>
              <w:ind/>
              <w:rPr>
                <w:color w:val="000000" w:themeColor="text1"/>
              </w:rPr>
            </w:pPr>
            <w:r>
              <w:rPr>
                <w:rFonts w:ascii="Arial" w:hAnsi="Arial" w:eastAsia="Arial" w:cs="Arial"/>
                <w:color w:val="000000" w:themeColor="text1"/>
                <w:sz w:val="21"/>
              </w:rPr>
              <w:t xml:space="preserve">Transparent, predictable</w:t>
            </w:r>
            <w:r>
              <w:rPr>
                <w:color w:val="000000" w:themeColor="text1"/>
              </w:rPr>
            </w:r>
            <w:r>
              <w:rPr>
                <w:color w:val="000000" w:themeColor="text1"/>
              </w:rPr>
            </w:r>
          </w:p>
        </w:tc>
        <w:tc>
          <w:tcPr>
            <w:tcBorders/>
            <w:tcW w:w="1728" w:type="dxa"/>
            <w:textDirection w:val="lrTb"/>
            <w:noWrap w:val="false"/>
          </w:tcPr>
          <w:p w14:paraId="1CE3BC48">
            <w:pPr>
              <w:pBdr/>
              <w:spacing w:after="0" w:before="0" w:line="240" w:lineRule="auto"/>
              <w:ind/>
              <w:rPr>
                <w:color w:val="000000" w:themeColor="text1"/>
              </w:rPr>
            </w:pPr>
            <w:r>
              <w:rPr>
                <w:rFonts w:ascii="Arial" w:hAnsi="Arial" w:eastAsia="Arial" w:cs="Arial"/>
                <w:color w:val="000000" w:themeColor="text1"/>
                <w:sz w:val="21"/>
              </w:rPr>
              <w:t xml:space="preserve">Brittle under visual variation</w:t>
            </w:r>
            <w:r>
              <w:rPr>
                <w:color w:val="000000" w:themeColor="text1"/>
              </w:rPr>
            </w:r>
            <w:r>
              <w:rPr>
                <w:color w:val="000000" w:themeColor="text1"/>
              </w:rPr>
            </w:r>
          </w:p>
        </w:tc>
        <w:tc>
          <w:tcPr>
            <w:tcBorders/>
            <w:tcW w:w="1728" w:type="dxa"/>
            <w:textDirection w:val="lrTb"/>
            <w:noWrap w:val="false"/>
          </w:tcPr>
          <w:p w14:paraId="5261D345">
            <w:pPr>
              <w:pBdr/>
              <w:spacing w:after="0" w:before="0" w:line="240" w:lineRule="auto"/>
              <w:ind/>
              <w:rPr>
                <w:color w:val="000000" w:themeColor="text1"/>
              </w:rPr>
            </w:pPr>
            <w:r>
              <w:rPr>
                <w:rFonts w:ascii="Arial" w:hAnsi="Arial" w:eastAsia="Arial" w:cs="Arial"/>
                <w:color w:val="000000" w:themeColor="text1"/>
                <w:sz w:val="21"/>
              </w:rPr>
              <w:t xml:space="preserve">Narrow quality-control checks</w:t>
            </w:r>
            <w:r>
              <w:rPr>
                <w:color w:val="000000" w:themeColor="text1"/>
              </w:rPr>
            </w:r>
            <w:r>
              <w:rPr>
                <w:color w:val="000000" w:themeColor="text1"/>
              </w:rPr>
            </w:r>
          </w:p>
        </w:tc>
      </w:tr>
      <w:tr>
        <w:trPr/>
        <w:tc>
          <w:tcPr>
            <w:tcBorders/>
            <w:tcW w:w="1728" w:type="dxa"/>
            <w:textDirection w:val="lrTb"/>
            <w:noWrap w:val="false"/>
          </w:tcPr>
          <w:p w14:paraId="2D89261C">
            <w:pPr>
              <w:pBdr/>
              <w:spacing w:after="0" w:before="0" w:line="240" w:lineRule="auto"/>
              <w:ind/>
              <w:rPr>
                <w:color w:val="000000" w:themeColor="text1"/>
              </w:rPr>
            </w:pPr>
            <w:r>
              <w:rPr>
                <w:rFonts w:ascii="Arial" w:hAnsi="Arial" w:eastAsia="Arial" w:cs="Arial"/>
                <w:color w:val="000000" w:themeColor="text1"/>
                <w:sz w:val="21"/>
              </w:rPr>
              <w:t xml:space="preserve">CNN/RNN discriminative</w:t>
            </w:r>
            <w:r>
              <w:rPr>
                <w:color w:val="000000" w:themeColor="text1"/>
              </w:rPr>
            </w:r>
            <w:r>
              <w:rPr>
                <w:color w:val="000000" w:themeColor="text1"/>
              </w:rPr>
            </w:r>
          </w:p>
        </w:tc>
        <w:tc>
          <w:tcPr>
            <w:tcBorders/>
            <w:tcW w:w="1728" w:type="dxa"/>
            <w:textDirection w:val="lrTb"/>
            <w:noWrap w:val="false"/>
          </w:tcPr>
          <w:p w14:paraId="289498D7">
            <w:pPr>
              <w:pBdr/>
              <w:spacing w:after="0" w:before="0" w:line="240" w:lineRule="auto"/>
              <w:ind/>
              <w:rPr>
                <w:color w:val="000000" w:themeColor="text1"/>
              </w:rPr>
            </w:pPr>
            <w:r>
              <w:rPr>
                <w:rFonts w:ascii="Arial" w:hAnsi="Arial" w:eastAsia="Arial" w:cs="Arial"/>
                <w:color w:val="000000" w:themeColor="text1"/>
                <w:sz w:val="21"/>
              </w:rPr>
              <w:t xml:space="preserve">Closed-set labels</w:t>
            </w:r>
            <w:r>
              <w:rPr>
                <w:color w:val="000000" w:themeColor="text1"/>
              </w:rPr>
            </w:r>
            <w:r>
              <w:rPr>
                <w:color w:val="000000" w:themeColor="text1"/>
              </w:rPr>
            </w:r>
          </w:p>
        </w:tc>
        <w:tc>
          <w:tcPr>
            <w:tcBorders/>
            <w:tcW w:w="1728" w:type="dxa"/>
            <w:textDirection w:val="lrTb"/>
            <w:noWrap w:val="false"/>
          </w:tcPr>
          <w:p w14:paraId="0D8E6960">
            <w:pPr>
              <w:pBdr/>
              <w:spacing w:after="0" w:before="0" w:line="240" w:lineRule="auto"/>
              <w:ind/>
              <w:rPr>
                <w:color w:val="000000" w:themeColor="text1"/>
              </w:rPr>
            </w:pPr>
            <w:r>
              <w:rPr>
                <w:rFonts w:ascii="Arial" w:hAnsi="Arial" w:eastAsia="Arial" w:cs="Arial"/>
                <w:color w:val="000000" w:themeColor="text1"/>
                <w:sz w:val="21"/>
              </w:rPr>
              <w:t xml:space="preserve">Stable on constrained tasks, efficient</w:t>
            </w:r>
            <w:r>
              <w:rPr>
                <w:color w:val="000000" w:themeColor="text1"/>
              </w:rPr>
            </w:r>
            <w:r>
              <w:rPr>
                <w:color w:val="000000" w:themeColor="text1"/>
              </w:rPr>
            </w:r>
          </w:p>
        </w:tc>
        <w:tc>
          <w:tcPr>
            <w:tcBorders/>
            <w:tcW w:w="1728" w:type="dxa"/>
            <w:textDirection w:val="lrTb"/>
            <w:noWrap w:val="false"/>
          </w:tcPr>
          <w:p w14:paraId="5F6597A5">
            <w:pPr>
              <w:pBdr/>
              <w:spacing w:after="0" w:before="0" w:line="240" w:lineRule="auto"/>
              <w:ind/>
              <w:rPr>
                <w:color w:val="000000" w:themeColor="text1"/>
              </w:rPr>
            </w:pPr>
            <w:r>
              <w:rPr>
                <w:rFonts w:ascii="Arial" w:hAnsi="Arial" w:eastAsia="Arial" w:cs="Arial"/>
                <w:color w:val="000000" w:themeColor="text1"/>
                <w:sz w:val="21"/>
              </w:rPr>
              <w:t xml:space="preserve">Limited compositional reasoning</w:t>
            </w:r>
            <w:r>
              <w:rPr>
                <w:color w:val="000000" w:themeColor="text1"/>
              </w:rPr>
            </w:r>
            <w:r>
              <w:rPr>
                <w:color w:val="000000" w:themeColor="text1"/>
              </w:rPr>
            </w:r>
          </w:p>
        </w:tc>
        <w:tc>
          <w:tcPr>
            <w:tcBorders/>
            <w:tcW w:w="1728" w:type="dxa"/>
            <w:textDirection w:val="lrTb"/>
            <w:noWrap w:val="false"/>
          </w:tcPr>
          <w:p w14:paraId="51188C23">
            <w:pPr>
              <w:pBdr/>
              <w:spacing w:after="0" w:before="0" w:line="240" w:lineRule="auto"/>
              <w:ind/>
              <w:rPr>
                <w:color w:val="000000" w:themeColor="text1"/>
              </w:rPr>
            </w:pPr>
            <w:r>
              <w:rPr>
                <w:rFonts w:ascii="Arial" w:hAnsi="Arial" w:eastAsia="Arial" w:cs="Arial"/>
                <w:color w:val="000000" w:themeColor="text1"/>
                <w:sz w:val="21"/>
              </w:rPr>
              <w:t xml:space="preserve">Binary/attribute tasks with fixed ontology</w:t>
            </w:r>
            <w:r>
              <w:rPr>
                <w:color w:val="000000" w:themeColor="text1"/>
              </w:rPr>
            </w:r>
            <w:r>
              <w:rPr>
                <w:color w:val="000000" w:themeColor="text1"/>
              </w:rPr>
            </w:r>
          </w:p>
        </w:tc>
      </w:tr>
      <w:tr>
        <w:trPr/>
        <w:tc>
          <w:tcPr>
            <w:tcBorders/>
            <w:tcW w:w="1728" w:type="dxa"/>
            <w:textDirection w:val="lrTb"/>
            <w:noWrap w:val="false"/>
          </w:tcPr>
          <w:p w14:paraId="618B63E2">
            <w:pPr>
              <w:pBdr/>
              <w:spacing w:after="0" w:before="0" w:line="240" w:lineRule="auto"/>
              <w:ind/>
              <w:rPr>
                <w:color w:val="000000" w:themeColor="text1"/>
              </w:rPr>
            </w:pPr>
            <w:r>
              <w:rPr>
                <w:rFonts w:ascii="Arial" w:hAnsi="Arial" w:eastAsia="Arial" w:cs="Arial"/>
                <w:color w:val="000000" w:themeColor="text1"/>
                <w:sz w:val="21"/>
              </w:rPr>
              <w:t xml:space="preserve">Transformer fusion</w:t>
            </w:r>
            <w:r>
              <w:rPr>
                <w:color w:val="000000" w:themeColor="text1"/>
              </w:rPr>
            </w:r>
            <w:r>
              <w:rPr>
                <w:color w:val="000000" w:themeColor="text1"/>
              </w:rPr>
            </w:r>
          </w:p>
        </w:tc>
        <w:tc>
          <w:tcPr>
            <w:tcBorders/>
            <w:tcW w:w="1728" w:type="dxa"/>
            <w:textDirection w:val="lrTb"/>
            <w:noWrap w:val="false"/>
          </w:tcPr>
          <w:p w14:paraId="11AABEE4">
            <w:pPr>
              <w:pBdr/>
              <w:spacing w:after="0" w:before="0" w:line="240" w:lineRule="auto"/>
              <w:ind/>
              <w:rPr>
                <w:color w:val="000000" w:themeColor="text1"/>
              </w:rPr>
            </w:pPr>
            <w:r>
              <w:rPr>
                <w:rFonts w:ascii="Arial" w:hAnsi="Arial" w:eastAsia="Arial" w:cs="Arial"/>
                <w:color w:val="000000" w:themeColor="text1"/>
                <w:sz w:val="21"/>
              </w:rPr>
              <w:t xml:space="preserve">Closed-set or short text</w:t>
            </w:r>
            <w:r>
              <w:rPr>
                <w:color w:val="000000" w:themeColor="text1"/>
              </w:rPr>
            </w:r>
            <w:r>
              <w:rPr>
                <w:color w:val="000000" w:themeColor="text1"/>
              </w:rPr>
            </w:r>
          </w:p>
        </w:tc>
        <w:tc>
          <w:tcPr>
            <w:tcBorders/>
            <w:tcW w:w="1728" w:type="dxa"/>
            <w:textDirection w:val="lrTb"/>
            <w:noWrap w:val="false"/>
          </w:tcPr>
          <w:p w14:paraId="7E11914C">
            <w:pPr>
              <w:pBdr/>
              <w:spacing w:after="0" w:before="0" w:line="240" w:lineRule="auto"/>
              <w:ind/>
              <w:rPr>
                <w:color w:val="000000" w:themeColor="text1"/>
              </w:rPr>
            </w:pPr>
            <w:r>
              <w:rPr>
                <w:rFonts w:ascii="Arial" w:hAnsi="Arial" w:eastAsia="Arial" w:cs="Arial"/>
                <w:color w:val="000000" w:themeColor="text1"/>
                <w:sz w:val="21"/>
              </w:rPr>
              <w:t xml:space="preserve">Strong image-question alignment</w:t>
            </w:r>
            <w:r>
              <w:rPr>
                <w:color w:val="000000" w:themeColor="text1"/>
              </w:rPr>
            </w:r>
            <w:r>
              <w:rPr>
                <w:color w:val="000000" w:themeColor="text1"/>
              </w:rPr>
            </w:r>
          </w:p>
        </w:tc>
        <w:tc>
          <w:tcPr>
            <w:tcBorders/>
            <w:tcW w:w="1728" w:type="dxa"/>
            <w:textDirection w:val="lrTb"/>
            <w:noWrap w:val="false"/>
          </w:tcPr>
          <w:p w14:paraId="256BAFF2">
            <w:pPr>
              <w:pBdr/>
              <w:spacing w:after="0" w:before="0" w:line="240" w:lineRule="auto"/>
              <w:ind/>
              <w:rPr>
                <w:color w:val="000000" w:themeColor="text1"/>
              </w:rPr>
            </w:pPr>
            <w:r>
              <w:rPr>
                <w:rFonts w:ascii="Arial" w:hAnsi="Arial" w:eastAsia="Arial" w:cs="Arial"/>
                <w:color w:val="000000" w:themeColor="text1"/>
                <w:sz w:val="21"/>
              </w:rPr>
              <w:t xml:space="preserve">Data and tuning sensitivity</w:t>
            </w:r>
            <w:r>
              <w:rPr>
                <w:color w:val="000000" w:themeColor="text1"/>
              </w:rPr>
            </w:r>
            <w:r>
              <w:rPr>
                <w:color w:val="000000" w:themeColor="text1"/>
              </w:rPr>
            </w:r>
          </w:p>
        </w:tc>
        <w:tc>
          <w:tcPr>
            <w:tcBorders/>
            <w:tcW w:w="1728" w:type="dxa"/>
            <w:textDirection w:val="lrTb"/>
            <w:noWrap w:val="false"/>
          </w:tcPr>
          <w:p w14:paraId="70516D11">
            <w:pPr>
              <w:pBdr/>
              <w:spacing w:after="0" w:before="0" w:line="240" w:lineRule="auto"/>
              <w:ind/>
              <w:rPr>
                <w:color w:val="000000" w:themeColor="text1"/>
              </w:rPr>
            </w:pPr>
            <w:r>
              <w:rPr>
                <w:rFonts w:ascii="Arial" w:hAnsi="Arial" w:eastAsia="Arial" w:cs="Arial"/>
                <w:color w:val="000000" w:themeColor="text1"/>
                <w:sz w:val="21"/>
              </w:rPr>
              <w:t xml:space="preserve">Multi-category constrained QA</w:t>
            </w:r>
            <w:r>
              <w:rPr>
                <w:color w:val="000000" w:themeColor="text1"/>
              </w:rPr>
            </w:r>
            <w:r>
              <w:rPr>
                <w:color w:val="000000" w:themeColor="text1"/>
              </w:rPr>
            </w:r>
          </w:p>
        </w:tc>
      </w:tr>
      <w:tr>
        <w:trPr/>
        <w:tc>
          <w:tcPr>
            <w:tcBorders/>
            <w:tcW w:w="1728" w:type="dxa"/>
            <w:textDirection w:val="lrTb"/>
            <w:noWrap w:val="false"/>
          </w:tcPr>
          <w:p w14:paraId="5A31F17B">
            <w:pPr>
              <w:pBdr/>
              <w:spacing w:after="0" w:before="0" w:line="240" w:lineRule="auto"/>
              <w:ind/>
              <w:rPr>
                <w:color w:val="000000" w:themeColor="text1"/>
              </w:rPr>
            </w:pPr>
            <w:r>
              <w:rPr>
                <w:rFonts w:ascii="Arial" w:hAnsi="Arial" w:eastAsia="Arial" w:cs="Arial"/>
                <w:color w:val="000000" w:themeColor="text1"/>
                <w:sz w:val="21"/>
              </w:rPr>
              <w:t xml:space="preserve">Generative MLLM</w:t>
            </w:r>
            <w:r>
              <w:rPr>
                <w:color w:val="000000" w:themeColor="text1"/>
              </w:rPr>
            </w:r>
            <w:r>
              <w:rPr>
                <w:color w:val="000000" w:themeColor="text1"/>
              </w:rPr>
            </w:r>
          </w:p>
        </w:tc>
        <w:tc>
          <w:tcPr>
            <w:tcBorders/>
            <w:tcW w:w="1728" w:type="dxa"/>
            <w:textDirection w:val="lrTb"/>
            <w:noWrap w:val="false"/>
          </w:tcPr>
          <w:p w14:paraId="6EC078E0">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c>
          <w:tcPr>
            <w:tcBorders/>
            <w:tcW w:w="1728" w:type="dxa"/>
            <w:textDirection w:val="lrTb"/>
            <w:noWrap w:val="false"/>
          </w:tcPr>
          <w:p w14:paraId="2AD226A0">
            <w:pPr>
              <w:pBdr/>
              <w:spacing w:after="0" w:before="0" w:line="240" w:lineRule="auto"/>
              <w:ind/>
              <w:rPr>
                <w:color w:val="000000" w:themeColor="text1"/>
              </w:rPr>
            </w:pPr>
            <w:r>
              <w:rPr>
                <w:rFonts w:ascii="Arial" w:hAnsi="Arial" w:eastAsia="Arial" w:cs="Arial"/>
                <w:color w:val="000000" w:themeColor="text1"/>
                <w:sz w:val="21"/>
              </w:rPr>
              <w:t xml:space="preserve">Rich interaction and explanation potential</w:t>
            </w:r>
            <w:r>
              <w:rPr>
                <w:color w:val="000000" w:themeColor="text1"/>
              </w:rPr>
            </w:r>
            <w:r>
              <w:rPr>
                <w:color w:val="000000" w:themeColor="text1"/>
              </w:rPr>
            </w:r>
          </w:p>
        </w:tc>
        <w:tc>
          <w:tcPr>
            <w:tcBorders/>
            <w:tcW w:w="1728" w:type="dxa"/>
            <w:textDirection w:val="lrTb"/>
            <w:noWrap w:val="false"/>
          </w:tcPr>
          <w:p w14:paraId="5DB33AAF">
            <w:pPr>
              <w:pBdr/>
              <w:spacing w:after="0" w:before="0" w:line="240" w:lineRule="auto"/>
              <w:ind/>
              <w:rPr>
                <w:color w:val="000000" w:themeColor="text1"/>
              </w:rPr>
            </w:pPr>
            <w:r>
              <w:rPr>
                <w:rFonts w:ascii="Arial" w:hAnsi="Arial" w:eastAsia="Arial" w:cs="Arial"/>
                <w:color w:val="000000" w:themeColor="text1"/>
                <w:sz w:val="21"/>
              </w:rPr>
              <w:t xml:space="preserve">Hallucination, lexical drift</w:t>
            </w:r>
            <w:r>
              <w:rPr>
                <w:color w:val="000000" w:themeColor="text1"/>
              </w:rPr>
            </w:r>
            <w:r>
              <w:rPr>
                <w:color w:val="000000" w:themeColor="text1"/>
              </w:rPr>
            </w:r>
          </w:p>
        </w:tc>
        <w:tc>
          <w:tcPr>
            <w:tcBorders/>
            <w:tcW w:w="1728" w:type="dxa"/>
            <w:textDirection w:val="lrTb"/>
            <w:noWrap w:val="false"/>
          </w:tcPr>
          <w:p w14:paraId="38C7A26A">
            <w:pPr>
              <w:pBdr/>
              <w:spacing w:after="0" w:before="0" w:line="240" w:lineRule="auto"/>
              <w:ind/>
              <w:rPr>
                <w:color w:val="000000" w:themeColor="text1"/>
              </w:rPr>
            </w:pPr>
            <w:r>
              <w:rPr>
                <w:rFonts w:ascii="Arial" w:hAnsi="Arial" w:eastAsia="Arial" w:cs="Arial"/>
                <w:color w:val="000000" w:themeColor="text1"/>
                <w:sz w:val="21"/>
              </w:rPr>
              <w:t xml:space="preserve">Narrative support with safeguards</w:t>
            </w:r>
            <w:r>
              <w:rPr>
                <w:color w:val="000000" w:themeColor="text1"/>
              </w:rPr>
            </w:r>
            <w:r>
              <w:rPr>
                <w:color w:val="000000" w:themeColor="text1"/>
              </w:rPr>
            </w:r>
          </w:p>
        </w:tc>
      </w:tr>
      <w:tr>
        <w:trPr/>
        <w:tc>
          <w:tcPr>
            <w:tcBorders/>
            <w:tcW w:w="1728" w:type="dxa"/>
            <w:textDirection w:val="lrTb"/>
            <w:noWrap w:val="false"/>
          </w:tcPr>
          <w:p w14:paraId="7FF72C4F">
            <w:pPr>
              <w:pBdr/>
              <w:spacing w:after="0" w:before="0" w:line="240" w:lineRule="auto"/>
              <w:ind/>
              <w:rPr>
                <w:color w:val="000000" w:themeColor="text1"/>
              </w:rPr>
            </w:pPr>
            <w:r>
              <w:rPr>
                <w:rFonts w:ascii="Arial" w:hAnsi="Arial" w:eastAsia="Arial" w:cs="Arial"/>
                <w:color w:val="000000" w:themeColor="text1"/>
                <w:sz w:val="21"/>
              </w:rPr>
              <w:t xml:space="preserve">Explainable MedVQA</w:t>
            </w:r>
            <w:r>
              <w:rPr>
                <w:color w:val="000000" w:themeColor="text1"/>
              </w:rPr>
            </w:r>
            <w:r>
              <w:rPr>
                <w:color w:val="000000" w:themeColor="text1"/>
              </w:rPr>
            </w:r>
          </w:p>
        </w:tc>
        <w:tc>
          <w:tcPr>
            <w:tcBorders/>
            <w:tcW w:w="1728" w:type="dxa"/>
            <w:textDirection w:val="lrTb"/>
            <w:noWrap w:val="false"/>
          </w:tcPr>
          <w:p w14:paraId="18694A1C">
            <w:pPr>
              <w:pBdr/>
              <w:spacing w:after="0" w:before="0" w:line="240" w:lineRule="auto"/>
              <w:ind/>
              <w:rPr>
                <w:color w:val="000000" w:themeColor="text1"/>
              </w:rPr>
            </w:pPr>
            <w:r>
              <w:rPr>
                <w:rFonts w:ascii="Arial" w:hAnsi="Arial" w:eastAsia="Arial" w:cs="Arial"/>
                <w:color w:val="000000" w:themeColor="text1"/>
                <w:sz w:val="21"/>
              </w:rPr>
              <w:t xml:space="preserve">Answer + rationale/grounding</w:t>
            </w:r>
            <w:r>
              <w:rPr>
                <w:color w:val="000000" w:themeColor="text1"/>
              </w:rPr>
            </w:r>
            <w:r>
              <w:rPr>
                <w:color w:val="000000" w:themeColor="text1"/>
              </w:rPr>
            </w:r>
          </w:p>
        </w:tc>
        <w:tc>
          <w:tcPr>
            <w:tcBorders/>
            <w:tcW w:w="1728" w:type="dxa"/>
            <w:textDirection w:val="lrTb"/>
            <w:noWrap w:val="false"/>
          </w:tcPr>
          <w:p w14:paraId="68C60D51">
            <w:pPr>
              <w:pBdr/>
              <w:spacing w:after="0" w:before="0" w:line="240" w:lineRule="auto"/>
              <w:ind/>
              <w:rPr>
                <w:color w:val="000000" w:themeColor="text1"/>
              </w:rPr>
            </w:pPr>
            <w:r>
              <w:rPr>
                <w:rFonts w:ascii="Arial" w:hAnsi="Arial" w:eastAsia="Arial" w:cs="Arial"/>
                <w:color w:val="000000" w:themeColor="text1"/>
                <w:sz w:val="21"/>
              </w:rPr>
              <w:t xml:space="preserve">Improves trust and auditability</w:t>
            </w:r>
            <w:r>
              <w:rPr>
                <w:color w:val="000000" w:themeColor="text1"/>
              </w:rPr>
            </w:r>
            <w:r>
              <w:rPr>
                <w:color w:val="000000" w:themeColor="text1"/>
              </w:rPr>
            </w:r>
          </w:p>
        </w:tc>
        <w:tc>
          <w:tcPr>
            <w:tcBorders/>
            <w:tcW w:w="1728" w:type="dxa"/>
            <w:textDirection w:val="lrTb"/>
            <w:noWrap w:val="false"/>
          </w:tcPr>
          <w:p w14:paraId="788CFB03">
            <w:pPr>
              <w:pBdr/>
              <w:spacing w:after="0" w:before="0" w:line="240" w:lineRule="auto"/>
              <w:ind/>
              <w:rPr>
                <w:color w:val="000000" w:themeColor="text1"/>
              </w:rPr>
            </w:pPr>
            <w:r>
              <w:rPr>
                <w:rFonts w:ascii="Arial" w:hAnsi="Arial" w:eastAsia="Arial" w:cs="Arial"/>
                <w:color w:val="000000" w:themeColor="text1"/>
                <w:sz w:val="21"/>
              </w:rPr>
              <w:t xml:space="preserve">Evaluation standardization still maturing</w:t>
            </w:r>
            <w:r>
              <w:rPr>
                <w:color w:val="000000" w:themeColor="text1"/>
              </w:rPr>
            </w:r>
            <w:r>
              <w:rPr>
                <w:color w:val="000000" w:themeColor="text1"/>
              </w:rPr>
            </w:r>
          </w:p>
        </w:tc>
        <w:tc>
          <w:tcPr>
            <w:tcBorders/>
            <w:tcW w:w="1728" w:type="dxa"/>
            <w:textDirection w:val="lrTb"/>
            <w:noWrap w:val="false"/>
          </w:tcPr>
          <w:p w14:paraId="2D72CAF5">
            <w:pPr>
              <w:pBdr/>
              <w:spacing w:after="0" w:before="0" w:line="240" w:lineRule="auto"/>
              <w:ind/>
              <w:rPr>
                <w:color w:val="000000" w:themeColor="text1"/>
              </w:rPr>
            </w:pPr>
            <w:r>
              <w:rPr>
                <w:rFonts w:ascii="Arial" w:hAnsi="Arial" w:eastAsia="Arial" w:cs="Arial"/>
                <w:color w:val="000000" w:themeColor="text1"/>
                <w:sz w:val="21"/>
              </w:rPr>
              <w:t xml:space="preserve">Clinician-facing decision support</w:t>
            </w:r>
            <w:r>
              <w:rPr>
                <w:color w:val="000000" w:themeColor="text1"/>
              </w:rPr>
            </w:r>
            <w:r>
              <w:rPr>
                <w:color w:val="000000" w:themeColor="text1"/>
              </w:rPr>
            </w:r>
          </w:p>
        </w:tc>
      </w:tr>
      <w:tr>
        <w:trPr/>
        <w:tc>
          <w:tcPr>
            <w:tcBorders/>
            <w:tcW w:w="1728" w:type="dxa"/>
            <w:textDirection w:val="lrTb"/>
            <w:noWrap w:val="false"/>
          </w:tcPr>
          <w:p w14:paraId="375EFBF6">
            <w:pPr>
              <w:pBdr/>
              <w:spacing w:after="0" w:before="0" w:line="240" w:lineRule="auto"/>
              <w:ind/>
              <w:rPr>
                <w:color w:val="000000" w:themeColor="text1"/>
              </w:rPr>
            </w:pPr>
            <w:r>
              <w:rPr>
                <w:rFonts w:ascii="Arial" w:hAnsi="Arial" w:eastAsia="Arial" w:cs="Arial"/>
                <w:color w:val="000000" w:themeColor="text1"/>
                <w:sz w:val="21"/>
              </w:rPr>
              <w:t xml:space="preserve">Retrieval-augmented</w:t>
            </w:r>
            <w:r>
              <w:rPr>
                <w:color w:val="000000" w:themeColor="text1"/>
              </w:rPr>
            </w:r>
            <w:r>
              <w:rPr>
                <w:color w:val="000000" w:themeColor="text1"/>
              </w:rPr>
            </w:r>
          </w:p>
        </w:tc>
        <w:tc>
          <w:tcPr>
            <w:tcBorders/>
            <w:tcW w:w="1728" w:type="dxa"/>
            <w:textDirection w:val="lrTb"/>
            <w:noWrap w:val="false"/>
          </w:tcPr>
          <w:p w14:paraId="32891EC5">
            <w:pPr>
              <w:pBdr/>
              <w:spacing w:after="0" w:before="0" w:line="240" w:lineRule="auto"/>
              <w:ind/>
              <w:rPr>
                <w:color w:val="000000" w:themeColor="text1"/>
              </w:rPr>
            </w:pPr>
            <w:r>
              <w:rPr>
                <w:rFonts w:ascii="Arial" w:hAnsi="Arial" w:eastAsia="Arial" w:cs="Arial"/>
                <w:color w:val="000000" w:themeColor="text1"/>
                <w:sz w:val="21"/>
              </w:rPr>
              <w:t xml:space="preserve">Answer + retrieved evidence</w:t>
            </w:r>
            <w:r>
              <w:rPr>
                <w:color w:val="000000" w:themeColor="text1"/>
              </w:rPr>
            </w:r>
            <w:r>
              <w:rPr>
                <w:color w:val="000000" w:themeColor="text1"/>
              </w:rPr>
            </w:r>
          </w:p>
        </w:tc>
        <w:tc>
          <w:tcPr>
            <w:tcBorders/>
            <w:tcW w:w="1728" w:type="dxa"/>
            <w:textDirection w:val="lrTb"/>
            <w:noWrap w:val="false"/>
          </w:tcPr>
          <w:p w14:paraId="1AD39BF8">
            <w:pPr>
              <w:pBdr/>
              <w:spacing w:after="0" w:before="0" w:line="240" w:lineRule="auto"/>
              <w:ind/>
              <w:rPr>
                <w:color w:val="000000" w:themeColor="text1"/>
              </w:rPr>
            </w:pPr>
            <w:r>
              <w:rPr>
                <w:rFonts w:ascii="Arial" w:hAnsi="Arial" w:eastAsia="Arial" w:cs="Arial"/>
                <w:color w:val="000000" w:themeColor="text1"/>
                <w:sz w:val="21"/>
              </w:rPr>
              <w:t xml:space="preserve">Better factual anchoring in some settings</w:t>
            </w:r>
            <w:r>
              <w:rPr>
                <w:color w:val="000000" w:themeColor="text1"/>
              </w:rPr>
            </w:r>
            <w:r>
              <w:rPr>
                <w:color w:val="000000" w:themeColor="text1"/>
              </w:rPr>
            </w:r>
          </w:p>
        </w:tc>
        <w:tc>
          <w:tcPr>
            <w:tcBorders/>
            <w:tcW w:w="1728" w:type="dxa"/>
            <w:textDirection w:val="lrTb"/>
            <w:noWrap w:val="false"/>
          </w:tcPr>
          <w:p w14:paraId="6CF89FEF">
            <w:pPr>
              <w:pBdr/>
              <w:spacing w:after="0" w:before="0" w:line="240" w:lineRule="auto"/>
              <w:ind/>
              <w:rPr>
                <w:color w:val="000000" w:themeColor="text1"/>
              </w:rPr>
            </w:pPr>
            <w:r>
              <w:rPr>
                <w:rFonts w:ascii="Arial" w:hAnsi="Arial" w:eastAsia="Arial" w:cs="Arial"/>
                <w:color w:val="000000" w:themeColor="text1"/>
                <w:sz w:val="21"/>
              </w:rPr>
              <w:t xml:space="preserve">Retrieval error propagates to answer</w:t>
            </w:r>
            <w:r>
              <w:rPr>
                <w:color w:val="000000" w:themeColor="text1"/>
              </w:rPr>
            </w:r>
            <w:r>
              <w:rPr>
                <w:color w:val="000000" w:themeColor="text1"/>
              </w:rPr>
            </w:r>
          </w:p>
        </w:tc>
        <w:tc>
          <w:tcPr>
            <w:tcBorders/>
            <w:tcW w:w="1728" w:type="dxa"/>
            <w:textDirection w:val="lrTb"/>
            <w:noWrap w:val="false"/>
          </w:tcPr>
          <w:p w14:paraId="380D6144">
            <w:pPr>
              <w:pBdr/>
              <w:spacing w:after="0" w:before="0" w:line="240" w:lineRule="auto"/>
              <w:ind/>
              <w:rPr>
                <w:color w:val="000000" w:themeColor="text1"/>
              </w:rPr>
            </w:pPr>
            <w:r>
              <w:rPr>
                <w:rFonts w:ascii="Arial" w:hAnsi="Arial" w:eastAsia="Arial" w:cs="Arial"/>
                <w:color w:val="000000" w:themeColor="text1"/>
                <w:sz w:val="21"/>
              </w:rPr>
              <w:t xml:space="preserve">Evidence-linked higher-level queries</w:t>
            </w:r>
            <w:r>
              <w:rPr>
                <w:color w:val="000000" w:themeColor="text1"/>
              </w:rPr>
            </w:r>
            <w:r>
              <w:rPr>
                <w:color w:val="000000" w:themeColor="text1"/>
              </w:rPr>
            </w:r>
          </w:p>
        </w:tc>
      </w:tr>
    </w:tbl>
    <w:p w14:paraId="71B0FABE">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highlight w:val="none"/>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tab/>
      </w:r>
      <w:r>
        <w:rPr>
          <w:rFonts w:ascii="Arial" w:hAnsi="Arial" w:eastAsia="Arial" w:cs="Arial"/>
          <w:b w:val="0"/>
          <w:bCs w:val="0"/>
          <w:i w:val="0"/>
          <w:caps w:val="0"/>
          <w:smallCaps w:val="0"/>
          <w:color w:val="000000" w:themeColor="text1"/>
          <w:sz w:val="22"/>
          <w:szCs w:val="22"/>
          <w:highlight w:val="none"/>
        </w:rPr>
        <w:t xml:space="preserve">Table 2.6. Technique Family Comparison for Colonoscopy MedVQA</w:t>
      </w: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r>
    </w:p>
    <w:p w14:paraId="7DD4480F">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78AC52B9">
      <w:pPr>
        <w:pStyle w:val="1056"/>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sz w:val="28"/>
          <w:szCs w:val="28"/>
          <w:highlight w:val="none"/>
        </w:rPr>
        <w:t xml:space="preserve">2.6 Evaluation Practices in the Literature</w:t>
      </w:r>
      <w:r>
        <w:rPr>
          <w:b/>
          <w:bCs/>
          <w:sz w:val="28"/>
          <w:szCs w:val="28"/>
        </w:rPr>
      </w:r>
      <w:r>
        <w:rPr>
          <w:b/>
          <w:bCs/>
          <w:sz w:val="28"/>
          <w:szCs w:val="28"/>
        </w:rPr>
      </w:r>
    </w:p>
    <w:p w14:paraId="26E3CE47">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A central finding of this survey is that evaluation practice is often the bottleneck, not only model architecture.</w:t>
      </w:r>
      <w:r>
        <w:rPr>
          <w:rFonts w:ascii="Arial" w:hAnsi="Arial" w:eastAsia="Arial" w:cs="Arial"/>
          <w:b w:val="0"/>
          <w:bCs w:val="0"/>
          <w:i w:val="0"/>
          <w:caps w:val="0"/>
          <w:smallCaps w:val="0"/>
          <w:color w:val="000000" w:themeColor="text1"/>
          <w:sz w:val="22"/>
          <w:szCs w:val="22"/>
          <w:highlight w:val="none"/>
        </w:rPr>
      </w:r>
      <w:r/>
    </w:p>
    <w:p w14:paraId="0FB0614D">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2.6.1 Classification Metrics vs Clinical Risk</w:t>
      </w:r>
      <w:r>
        <w:rPr>
          <w:b/>
          <w:bCs/>
        </w:rPr>
      </w:r>
      <w:r>
        <w:rPr>
          <w:b/>
          <w:bCs/>
        </w:rPr>
      </w:r>
    </w:p>
    <w:p w14:paraId="73B78DE7">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M</w:t>
      </w:r>
      <w:r>
        <w:rPr>
          <w:rFonts w:ascii="Arial" w:hAnsi="Arial" w:eastAsia="Arial" w:cs="Arial"/>
          <w:b w:val="0"/>
          <w:bCs w:val="0"/>
          <w:i w:val="0"/>
          <w:caps w:val="0"/>
          <w:smallCaps w:val="0"/>
          <w:color w:val="000000" w:themeColor="text1"/>
          <w:sz w:val="22"/>
          <w:szCs w:val="22"/>
          <w:highlight w:val="none"/>
        </w:rPr>
        <w:t xml:space="preserve">any MedVQA papers report accuracy and macro-F1. These are necessary but insufficient for clinical decision support. In imbalanced settings, aggregate metrics can obscure severe-class failure. This concern is consistent with broader medical-AI metric guidan</w:t>
      </w:r>
      <w:r>
        <w:rPr>
          <w:rFonts w:ascii="Arial" w:hAnsi="Arial" w:eastAsia="Arial" w:cs="Arial"/>
          <w:b w:val="0"/>
          <w:bCs w:val="0"/>
          <w:i w:val="0"/>
          <w:caps w:val="0"/>
          <w:smallCaps w:val="0"/>
          <w:color w:val="000000" w:themeColor="text1"/>
          <w:sz w:val="22"/>
          <w:szCs w:val="22"/>
          <w:highlight w:val="none"/>
        </w:rPr>
        <w:t xml:space="preserve">ce that emphasizes task-risk alignment over single-score reporting [36].</w:t>
      </w:r>
      <w:r>
        <w:rPr>
          <w:rFonts w:ascii="Arial" w:hAnsi="Arial" w:eastAsia="Arial" w:cs="Arial"/>
          <w:b w:val="0"/>
          <w:bCs w:val="0"/>
          <w:i w:val="0"/>
          <w:caps w:val="0"/>
          <w:smallCaps w:val="0"/>
          <w:color w:val="000000" w:themeColor="text1"/>
          <w:sz w:val="22"/>
          <w:szCs w:val="22"/>
          <w:highlight w:val="none"/>
        </w:rPr>
      </w:r>
      <w:r/>
    </w:p>
    <w:p w14:paraId="6C353084">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2.6.2 Generative Metrics and Their Limits</w:t>
      </w:r>
      <w:r>
        <w:rPr>
          <w:b/>
          <w:bCs/>
        </w:rPr>
      </w:r>
      <w:r>
        <w:rPr>
          <w:b/>
          <w:bCs/>
        </w:rPr>
      </w:r>
    </w:p>
    <w:p w14:paraId="7016AF83">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BLEU, ROUGE, METEOR, CIDEr, ANLS, token-F1, and exact match are useful for text overlap but do not directly guarantee clinical correctness. A linguistically similar answer can still be clinically wrong.</w:t>
      </w:r>
      <w:r>
        <w:rPr>
          <w:rFonts w:ascii="Arial" w:hAnsi="Arial" w:eastAsia="Arial" w:cs="Arial"/>
          <w:b w:val="0"/>
          <w:bCs w:val="0"/>
          <w:i w:val="0"/>
          <w:caps w:val="0"/>
          <w:smallCaps w:val="0"/>
          <w:color w:val="000000" w:themeColor="text1"/>
          <w:sz w:val="22"/>
          <w:szCs w:val="22"/>
          <w:highlight w:val="none"/>
        </w:rPr>
      </w:r>
      <w:r/>
    </w:p>
    <w:p w14:paraId="721E45E4">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2.6.3 Calibration, Uncertainty, and Significance</w:t>
      </w:r>
      <w:r>
        <w:rPr>
          <w:b/>
          <w:bCs/>
        </w:rPr>
      </w:r>
      <w:r>
        <w:rPr>
          <w:b/>
          <w:bCs/>
        </w:rPr>
      </w:r>
    </w:p>
    <w:p w14:paraId="46B25589">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Clinical deployment requires uncertainty-aware behavior. Yet many papers omit calibration diagnostics (e.g., expected calibration error) and significance testing. This limits interpretability of reported gains and weakens translational confidence claims.</w:t>
      </w:r>
      <w:r>
        <w:rPr>
          <w:rFonts w:ascii="Arial" w:hAnsi="Arial" w:eastAsia="Arial" w:cs="Arial"/>
          <w:b w:val="0"/>
          <w:bCs w:val="0"/>
          <w:i w:val="0"/>
          <w:caps w:val="0"/>
          <w:smallCaps w:val="0"/>
          <w:color w:val="000000" w:themeColor="text1"/>
          <w:sz w:val="22"/>
          <w:szCs w:val="22"/>
          <w:highlight w:val="none"/>
        </w:rPr>
      </w:r>
      <w:r/>
    </w:p>
    <w:p w14:paraId="5EDF035C">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2.6.4 Challenge Metric Profiles</w:t>
      </w:r>
      <w:r>
        <w:rPr>
          <w:b/>
          <w:bCs/>
        </w:rPr>
      </w:r>
      <w:r>
        <w:rPr>
          <w:b/>
          <w:bCs/>
        </w:rPr>
      </w:r>
    </w:p>
    <w:p w14:paraId="2A3ACD85">
      <w:pPr>
        <w:pStyle w:val="1056"/>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ImageCLEF GI tracks include classification and segmentation-oriented metrics (e.g., accuracy/F1/MCC and region metrics where relevant) [22], [23].</w:t>
      </w:r>
      <w:r/>
    </w:p>
    <w:p w14:paraId="5488D940">
      <w:pPr>
        <w:pStyle w:val="1056"/>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MediaEval Medico 2025 includes text-overlap metrics plus expert-assessed clinical relevance and explainability components </w:t>
      </w:r>
      <w:r>
        <w:rPr>
          <w:rFonts w:ascii="Arial" w:hAnsi="Arial" w:eastAsia="Arial" w:cs="Arial"/>
          <w:b w:val="0"/>
          <w:bCs w:val="0"/>
          <w:i w:val="0"/>
          <w:caps w:val="0"/>
          <w:smallCaps w:val="0"/>
          <w:color w:val="000000" w:themeColor="text1"/>
          <w:sz w:val="22"/>
          <w:szCs w:val="22"/>
          <w:highlight w:val="none"/>
          <w:lang w:val="en-US"/>
        </w:rPr>
        <w:t xml:space="preserve">[</w:t>
      </w:r>
      <w:r>
        <w:rPr>
          <w:rFonts w:ascii="Arial" w:hAnsi="Arial" w:eastAsia="Arial" w:cs="Arial"/>
          <w:b w:val="0"/>
          <w:bCs w:val="0"/>
          <w:i w:val="0"/>
          <w:caps w:val="0"/>
          <w:smallCaps w:val="0"/>
          <w:color w:val="000000" w:themeColor="text1"/>
          <w:sz w:val="22"/>
          <w:szCs w:val="22"/>
          <w:highlight w:val="none"/>
        </w:rPr>
        <w:t xml:space="preserve">26], [27].</w:t>
      </w:r>
      <w:r/>
    </w:p>
    <w:p w14:paraId="3C1A7C85">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2.6.5 Recommended Metric Bundle for This Thesis</w:t>
      </w:r>
      <w:r>
        <w:rPr>
          <w:b/>
          <w:bCs/>
        </w:rPr>
      </w:r>
      <w:r>
        <w:rPr>
          <w:b/>
          <w:bCs/>
        </w:rPr>
      </w:r>
    </w:p>
    <w:p w14:paraId="6B3F0C07">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This thesis uses a multi-layer metric strategy:</w:t>
      </w:r>
      <w:r>
        <w:rPr>
          <w:rFonts w:ascii="Arial" w:hAnsi="Arial" w:eastAsia="Arial" w:cs="Arial"/>
          <w:b w:val="0"/>
          <w:bCs w:val="0"/>
          <w:i w:val="0"/>
          <w:caps w:val="0"/>
          <w:smallCaps w:val="0"/>
          <w:color w:val="000000" w:themeColor="text1"/>
          <w:sz w:val="22"/>
          <w:szCs w:val="22"/>
          <w:highlight w:val="none"/>
        </w:rPr>
      </w:r>
      <w:r/>
    </w:p>
    <w:p w14:paraId="41D52663">
      <w:pPr>
        <w:pStyle w:val="1056"/>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closed-set performance: accuracy, macro-F1, MCC, balanced accuracy;</w:t>
      </w:r>
      <w:r/>
    </w:p>
    <w:p w14:paraId="71F2FE56">
      <w:pPr>
        <w:pStyle w:val="1056"/>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generative overlap (where applicable): BLEU/ROUGE/METEOR, token-F1/ANLS;</w:t>
      </w:r>
      <w:r/>
    </w:p>
    <w:p w14:paraId="11A1FE43">
      <w:pPr>
        <w:pStyle w:val="1056"/>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severity-aware evaluation: QWK, remission sensitivity/specificity for UC slices;</w:t>
      </w:r>
      <w:r/>
    </w:p>
    <w:p w14:paraId="5D41F07A">
      <w:pPr>
        <w:pStyle w:val="1056"/>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reliability diagnostics: confidence intervals, paired tests, calibration where available;</w:t>
      </w:r>
      <w:r/>
    </w:p>
    <w:p w14:paraId="59FC3442">
      <w:pPr>
        <w:pStyle w:val="1056"/>
        <w:numPr>
          <w:ilvl w:val="0"/>
          <w:numId w:val="31"/>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t xml:space="preserve">scenario-level checks: high-risk error counts and acceptance criteria.</w:t>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4F53EE7D">
      <w:pPr>
        <w:pStyle w:val="1056"/>
        <w:suppressLineNumbers w:val="false"/>
        <w:pBdr/>
        <w:spacing w:after="240" w:afterAutospacing="0" w:before="240" w:beforeAutospacing="0" w:line="24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D74D84F">
            <w:pPr>
              <w:pBdr/>
              <w:spacing w:after="0" w:before="0" w:line="240" w:lineRule="auto"/>
              <w:ind/>
              <w:rPr>
                <w:color w:val="000000" w:themeColor="text1"/>
              </w:rPr>
            </w:pPr>
            <w:r>
              <w:rPr>
                <w:rFonts w:ascii="Arial" w:hAnsi="Arial" w:eastAsia="Arial" w:cs="Arial"/>
                <w:b/>
                <w:color w:val="000000" w:themeColor="text1"/>
                <w:sz w:val="21"/>
              </w:rPr>
              <w:t xml:space="preserve">Metric family</w:t>
            </w:r>
            <w:r>
              <w:rPr>
                <w:color w:val="000000" w:themeColor="text1"/>
              </w:rPr>
            </w:r>
            <w:r>
              <w:rPr>
                <w:color w:val="000000" w:themeColor="text1"/>
              </w:rPr>
            </w:r>
          </w:p>
        </w:tc>
        <w:tc>
          <w:tcPr>
            <w:tcBorders/>
            <w:tcW w:w="2160" w:type="dxa"/>
            <w:textDirection w:val="lrTb"/>
            <w:noWrap w:val="false"/>
          </w:tcPr>
          <w:p w14:paraId="02E9C9CB">
            <w:pPr>
              <w:pBdr/>
              <w:spacing w:after="0" w:before="0" w:line="240" w:lineRule="auto"/>
              <w:ind/>
              <w:rPr>
                <w:color w:val="000000" w:themeColor="text1"/>
              </w:rPr>
            </w:pPr>
            <w:r>
              <w:rPr>
                <w:rFonts w:ascii="Arial" w:hAnsi="Arial" w:eastAsia="Arial" w:cs="Arial"/>
                <w:b/>
                <w:color w:val="000000" w:themeColor="text1"/>
                <w:sz w:val="21"/>
              </w:rPr>
              <w:t xml:space="preserve">Example metrics</w:t>
            </w:r>
            <w:r>
              <w:rPr>
                <w:color w:val="000000" w:themeColor="text1"/>
              </w:rPr>
            </w:r>
            <w:r>
              <w:rPr>
                <w:color w:val="000000" w:themeColor="text1"/>
              </w:rPr>
            </w:r>
          </w:p>
        </w:tc>
        <w:tc>
          <w:tcPr>
            <w:tcBorders/>
            <w:tcW w:w="2160" w:type="dxa"/>
            <w:textDirection w:val="lrTb"/>
            <w:noWrap w:val="false"/>
          </w:tcPr>
          <w:p w14:paraId="426FE6DE">
            <w:pPr>
              <w:pBdr/>
              <w:spacing w:after="0" w:before="0" w:line="240" w:lineRule="auto"/>
              <w:ind/>
              <w:rPr>
                <w:color w:val="000000" w:themeColor="text1"/>
              </w:rPr>
            </w:pPr>
            <w:r>
              <w:rPr>
                <w:rFonts w:ascii="Arial" w:hAnsi="Arial" w:eastAsia="Arial" w:cs="Arial"/>
                <w:b/>
                <w:color w:val="000000" w:themeColor="text1"/>
                <w:sz w:val="21"/>
              </w:rPr>
              <w:t xml:space="preserve">Useful for</w:t>
            </w:r>
            <w:r>
              <w:rPr>
                <w:color w:val="000000" w:themeColor="text1"/>
              </w:rPr>
            </w:r>
            <w:r>
              <w:rPr>
                <w:color w:val="000000" w:themeColor="text1"/>
              </w:rPr>
            </w:r>
          </w:p>
        </w:tc>
        <w:tc>
          <w:tcPr>
            <w:tcBorders/>
            <w:tcW w:w="2160" w:type="dxa"/>
            <w:textDirection w:val="lrTb"/>
            <w:noWrap w:val="false"/>
          </w:tcPr>
          <w:p w14:paraId="78B27887">
            <w:pPr>
              <w:pBdr/>
              <w:spacing w:after="0" w:before="0" w:line="240" w:lineRule="auto"/>
              <w:ind/>
              <w:rPr>
                <w:color w:val="000000" w:themeColor="text1"/>
              </w:rPr>
            </w:pPr>
            <w:r>
              <w:rPr>
                <w:rFonts w:ascii="Arial" w:hAnsi="Arial" w:eastAsia="Arial" w:cs="Arial"/>
                <w:b/>
                <w:color w:val="000000" w:themeColor="text1"/>
                <w:sz w:val="21"/>
              </w:rPr>
              <w:t xml:space="preserve">Known blind spot</w:t>
            </w:r>
            <w:r>
              <w:rPr>
                <w:color w:val="000000" w:themeColor="text1"/>
              </w:rPr>
            </w:r>
            <w:r>
              <w:rPr>
                <w:color w:val="000000" w:themeColor="text1"/>
              </w:rPr>
            </w:r>
          </w:p>
        </w:tc>
      </w:tr>
      <w:tr>
        <w:trPr/>
        <w:tc>
          <w:tcPr>
            <w:tcBorders/>
            <w:tcW w:w="2160" w:type="dxa"/>
            <w:textDirection w:val="lrTb"/>
            <w:noWrap w:val="false"/>
          </w:tcPr>
          <w:p w14:paraId="49CC3C1F">
            <w:pPr>
              <w:pBdr/>
              <w:spacing w:after="0" w:before="0" w:line="240" w:lineRule="auto"/>
              <w:ind/>
              <w:rPr>
                <w:color w:val="000000" w:themeColor="text1"/>
              </w:rPr>
            </w:pPr>
            <w:r>
              <w:rPr>
                <w:rFonts w:ascii="Arial" w:hAnsi="Arial" w:eastAsia="Arial" w:cs="Arial"/>
                <w:color w:val="000000" w:themeColor="text1"/>
                <w:sz w:val="21"/>
              </w:rPr>
              <w:t xml:space="preserve">Closed-set classification</w:t>
            </w:r>
            <w:r>
              <w:rPr>
                <w:color w:val="000000" w:themeColor="text1"/>
              </w:rPr>
            </w:r>
            <w:r>
              <w:rPr>
                <w:color w:val="000000" w:themeColor="text1"/>
              </w:rPr>
            </w:r>
          </w:p>
        </w:tc>
        <w:tc>
          <w:tcPr>
            <w:tcBorders/>
            <w:tcW w:w="2160" w:type="dxa"/>
            <w:textDirection w:val="lrTb"/>
            <w:noWrap w:val="false"/>
          </w:tcPr>
          <w:p w14:paraId="3E351A26">
            <w:pPr>
              <w:pBdr/>
              <w:spacing w:after="0" w:before="0" w:line="240" w:lineRule="auto"/>
              <w:ind/>
              <w:rPr>
                <w:color w:val="000000" w:themeColor="text1"/>
              </w:rPr>
            </w:pPr>
            <w:r>
              <w:rPr>
                <w:rFonts w:ascii="Arial" w:hAnsi="Arial" w:eastAsia="Arial" w:cs="Arial"/>
                <w:color w:val="000000" w:themeColor="text1"/>
                <w:sz w:val="21"/>
              </w:rPr>
              <w:t xml:space="preserve">Accuracy, macro-F1, MCC, kappa</w:t>
            </w:r>
            <w:r>
              <w:rPr>
                <w:color w:val="000000" w:themeColor="text1"/>
              </w:rPr>
            </w:r>
            <w:r>
              <w:rPr>
                <w:color w:val="000000" w:themeColor="text1"/>
              </w:rPr>
            </w:r>
          </w:p>
        </w:tc>
        <w:tc>
          <w:tcPr>
            <w:tcBorders/>
            <w:tcW w:w="2160" w:type="dxa"/>
            <w:textDirection w:val="lrTb"/>
            <w:noWrap w:val="false"/>
          </w:tcPr>
          <w:p w14:paraId="5D228952">
            <w:pPr>
              <w:pBdr/>
              <w:spacing w:after="0" w:before="0" w:line="240" w:lineRule="auto"/>
              <w:ind/>
              <w:rPr>
                <w:color w:val="000000" w:themeColor="text1"/>
              </w:rPr>
            </w:pPr>
            <w:r>
              <w:rPr>
                <w:rFonts w:ascii="Arial" w:hAnsi="Arial" w:eastAsia="Arial" w:cs="Arial"/>
                <w:color w:val="000000" w:themeColor="text1"/>
                <w:sz w:val="21"/>
              </w:rPr>
              <w:t xml:space="preserve">Deterministic QA evaluation</w:t>
            </w:r>
            <w:r>
              <w:rPr>
                <w:color w:val="000000" w:themeColor="text1"/>
              </w:rPr>
            </w:r>
            <w:r>
              <w:rPr>
                <w:color w:val="000000" w:themeColor="text1"/>
              </w:rPr>
            </w:r>
          </w:p>
        </w:tc>
        <w:tc>
          <w:tcPr>
            <w:tcBorders/>
            <w:tcW w:w="2160" w:type="dxa"/>
            <w:textDirection w:val="lrTb"/>
            <w:noWrap w:val="false"/>
          </w:tcPr>
          <w:p w14:paraId="45E00FB5">
            <w:pPr>
              <w:pBdr/>
              <w:spacing w:after="0" w:before="0" w:line="240" w:lineRule="auto"/>
              <w:ind/>
              <w:rPr>
                <w:color w:val="000000" w:themeColor="text1"/>
              </w:rPr>
            </w:pPr>
            <w:r>
              <w:rPr>
                <w:rFonts w:ascii="Arial" w:hAnsi="Arial" w:eastAsia="Arial" w:cs="Arial"/>
                <w:color w:val="000000" w:themeColor="text1"/>
                <w:sz w:val="21"/>
              </w:rPr>
              <w:t xml:space="preserve">Can hide minority severe-class failures if reported alone</w:t>
            </w:r>
            <w:r>
              <w:rPr>
                <w:color w:val="000000" w:themeColor="text1"/>
              </w:rPr>
            </w:r>
            <w:r>
              <w:rPr>
                <w:color w:val="000000" w:themeColor="text1"/>
              </w:rPr>
            </w:r>
          </w:p>
        </w:tc>
      </w:tr>
      <w:tr>
        <w:trPr/>
        <w:tc>
          <w:tcPr>
            <w:tcBorders/>
            <w:tcW w:w="2160" w:type="dxa"/>
            <w:textDirection w:val="lrTb"/>
            <w:noWrap w:val="false"/>
          </w:tcPr>
          <w:p w14:paraId="69B6B3F6">
            <w:pPr>
              <w:pBdr/>
              <w:spacing w:after="0" w:before="0" w:line="240" w:lineRule="auto"/>
              <w:ind/>
              <w:rPr>
                <w:color w:val="000000" w:themeColor="text1"/>
              </w:rPr>
            </w:pPr>
            <w:r>
              <w:rPr>
                <w:rFonts w:ascii="Arial" w:hAnsi="Arial" w:eastAsia="Arial" w:cs="Arial"/>
                <w:color w:val="000000" w:themeColor="text1"/>
                <w:sz w:val="21"/>
              </w:rPr>
              <w:t xml:space="preserve">Generative overlap</w:t>
            </w:r>
            <w:r>
              <w:rPr>
                <w:color w:val="000000" w:themeColor="text1"/>
              </w:rPr>
            </w:r>
            <w:r>
              <w:rPr>
                <w:color w:val="000000" w:themeColor="text1"/>
              </w:rPr>
            </w:r>
          </w:p>
        </w:tc>
        <w:tc>
          <w:tcPr>
            <w:tcBorders/>
            <w:tcW w:w="2160" w:type="dxa"/>
            <w:textDirection w:val="lrTb"/>
            <w:noWrap w:val="false"/>
          </w:tcPr>
          <w:p w14:paraId="7A379C7A">
            <w:pPr>
              <w:pBdr/>
              <w:spacing w:after="0" w:before="0" w:line="240" w:lineRule="auto"/>
              <w:ind/>
              <w:rPr>
                <w:color w:val="000000" w:themeColor="text1"/>
              </w:rPr>
            </w:pPr>
            <w:r>
              <w:rPr>
                <w:rFonts w:ascii="Arial" w:hAnsi="Arial" w:eastAsia="Arial" w:cs="Arial"/>
                <w:color w:val="000000" w:themeColor="text1"/>
                <w:sz w:val="21"/>
              </w:rPr>
              <w:t xml:space="preserve">BLEU, ROUGE-L, METEOR, ANLS, token-F1</w:t>
            </w:r>
            <w:r>
              <w:rPr>
                <w:color w:val="000000" w:themeColor="text1"/>
              </w:rPr>
            </w:r>
            <w:r>
              <w:rPr>
                <w:color w:val="000000" w:themeColor="text1"/>
              </w:rPr>
            </w:r>
          </w:p>
        </w:tc>
        <w:tc>
          <w:tcPr>
            <w:tcBorders/>
            <w:tcW w:w="2160" w:type="dxa"/>
            <w:textDirection w:val="lrTb"/>
            <w:noWrap w:val="false"/>
          </w:tcPr>
          <w:p w14:paraId="289D6FD9">
            <w:pPr>
              <w:pBdr/>
              <w:spacing w:after="0" w:before="0" w:line="240" w:lineRule="auto"/>
              <w:ind/>
              <w:rPr>
                <w:color w:val="000000" w:themeColor="text1"/>
              </w:rPr>
            </w:pPr>
            <w:r>
              <w:rPr>
                <w:rFonts w:ascii="Arial" w:hAnsi="Arial" w:eastAsia="Arial" w:cs="Arial"/>
                <w:color w:val="000000" w:themeColor="text1"/>
                <w:sz w:val="21"/>
              </w:rPr>
              <w:t xml:space="preserve">Text quality comparison</w:t>
            </w:r>
            <w:r>
              <w:rPr>
                <w:color w:val="000000" w:themeColor="text1"/>
              </w:rPr>
            </w:r>
            <w:r>
              <w:rPr>
                <w:color w:val="000000" w:themeColor="text1"/>
              </w:rPr>
            </w:r>
          </w:p>
        </w:tc>
        <w:tc>
          <w:tcPr>
            <w:tcBorders/>
            <w:tcW w:w="2160" w:type="dxa"/>
            <w:textDirection w:val="lrTb"/>
            <w:noWrap w:val="false"/>
          </w:tcPr>
          <w:p w14:paraId="352B194E">
            <w:pPr>
              <w:pBdr/>
              <w:spacing w:after="0" w:before="0" w:line="240" w:lineRule="auto"/>
              <w:ind/>
              <w:rPr>
                <w:color w:val="000000" w:themeColor="text1"/>
              </w:rPr>
            </w:pPr>
            <w:r>
              <w:rPr>
                <w:rFonts w:ascii="Arial" w:hAnsi="Arial" w:eastAsia="Arial" w:cs="Arial"/>
                <w:color w:val="000000" w:themeColor="text1"/>
                <w:sz w:val="21"/>
              </w:rPr>
              <w:t xml:space="preserve">Weak proxy for clinical correctness</w:t>
            </w:r>
            <w:r>
              <w:rPr>
                <w:color w:val="000000" w:themeColor="text1"/>
              </w:rPr>
            </w:r>
            <w:r>
              <w:rPr>
                <w:color w:val="000000" w:themeColor="text1"/>
              </w:rPr>
            </w:r>
          </w:p>
        </w:tc>
      </w:tr>
      <w:tr>
        <w:trPr/>
        <w:tc>
          <w:tcPr>
            <w:tcBorders/>
            <w:tcW w:w="2160" w:type="dxa"/>
            <w:textDirection w:val="lrTb"/>
            <w:noWrap w:val="false"/>
          </w:tcPr>
          <w:p w14:paraId="4FBF7B39">
            <w:pPr>
              <w:pBdr/>
              <w:spacing w:after="0" w:before="0" w:line="240" w:lineRule="auto"/>
              <w:ind/>
              <w:rPr>
                <w:color w:val="000000" w:themeColor="text1"/>
              </w:rPr>
            </w:pPr>
            <w:r>
              <w:rPr>
                <w:rFonts w:ascii="Arial" w:hAnsi="Arial" w:eastAsia="Arial" w:cs="Arial"/>
                <w:color w:val="000000" w:themeColor="text1"/>
                <w:sz w:val="21"/>
              </w:rPr>
              <w:t xml:space="preserve">Ordinal/severity</w:t>
            </w:r>
            <w:r>
              <w:rPr>
                <w:color w:val="000000" w:themeColor="text1"/>
              </w:rPr>
            </w:r>
            <w:r>
              <w:rPr>
                <w:color w:val="000000" w:themeColor="text1"/>
              </w:rPr>
            </w:r>
          </w:p>
        </w:tc>
        <w:tc>
          <w:tcPr>
            <w:tcBorders/>
            <w:tcW w:w="2160" w:type="dxa"/>
            <w:textDirection w:val="lrTb"/>
            <w:noWrap w:val="false"/>
          </w:tcPr>
          <w:p w14:paraId="4DA485AF">
            <w:pPr>
              <w:pBdr/>
              <w:spacing w:after="0" w:before="0" w:line="240" w:lineRule="auto"/>
              <w:ind/>
              <w:rPr>
                <w:color w:val="000000" w:themeColor="text1"/>
              </w:rPr>
            </w:pPr>
            <w:r>
              <w:rPr>
                <w:rFonts w:ascii="Arial" w:hAnsi="Arial" w:eastAsia="Arial" w:cs="Arial"/>
                <w:color w:val="000000" w:themeColor="text1"/>
                <w:sz w:val="21"/>
              </w:rPr>
              <w:t xml:space="preserve">QWK, MAE/RMSE over ordinal labels</w:t>
            </w:r>
            <w:r>
              <w:rPr>
                <w:color w:val="000000" w:themeColor="text1"/>
              </w:rPr>
            </w:r>
            <w:r>
              <w:rPr>
                <w:color w:val="000000" w:themeColor="text1"/>
              </w:rPr>
            </w:r>
          </w:p>
        </w:tc>
        <w:tc>
          <w:tcPr>
            <w:tcBorders/>
            <w:tcW w:w="2160" w:type="dxa"/>
            <w:textDirection w:val="lrTb"/>
            <w:noWrap w:val="false"/>
          </w:tcPr>
          <w:p w14:paraId="5A6DDE57">
            <w:pPr>
              <w:pBdr/>
              <w:spacing w:after="0" w:before="0" w:line="240" w:lineRule="auto"/>
              <w:ind/>
              <w:rPr>
                <w:color w:val="000000" w:themeColor="text1"/>
              </w:rPr>
            </w:pPr>
            <w:r>
              <w:rPr>
                <w:rFonts w:ascii="Arial" w:hAnsi="Arial" w:eastAsia="Arial" w:cs="Arial"/>
                <w:color w:val="000000" w:themeColor="text1"/>
                <w:sz w:val="21"/>
              </w:rPr>
              <w:t xml:space="preserve">Severity grading behavior</w:t>
            </w:r>
            <w:r>
              <w:rPr>
                <w:color w:val="000000" w:themeColor="text1"/>
              </w:rPr>
            </w:r>
            <w:r>
              <w:rPr>
                <w:color w:val="000000" w:themeColor="text1"/>
              </w:rPr>
            </w:r>
          </w:p>
        </w:tc>
        <w:tc>
          <w:tcPr>
            <w:tcBorders/>
            <w:tcW w:w="2160" w:type="dxa"/>
            <w:textDirection w:val="lrTb"/>
            <w:noWrap w:val="false"/>
          </w:tcPr>
          <w:p w14:paraId="0D279F57">
            <w:pPr>
              <w:pBdr/>
              <w:spacing w:after="0" w:before="0" w:line="240" w:lineRule="auto"/>
              <w:ind/>
              <w:rPr>
                <w:color w:val="000000" w:themeColor="text1"/>
              </w:rPr>
            </w:pPr>
            <w:r>
              <w:rPr>
                <w:rFonts w:ascii="Arial" w:hAnsi="Arial" w:eastAsia="Arial" w:cs="Arial"/>
                <w:color w:val="000000" w:themeColor="text1"/>
                <w:sz w:val="21"/>
              </w:rPr>
              <w:t xml:space="preserve">Not reported consistently across papers</w:t>
            </w:r>
            <w:r>
              <w:rPr>
                <w:color w:val="000000" w:themeColor="text1"/>
              </w:rPr>
            </w:r>
            <w:r>
              <w:rPr>
                <w:color w:val="000000" w:themeColor="text1"/>
              </w:rPr>
            </w:r>
          </w:p>
        </w:tc>
      </w:tr>
      <w:tr>
        <w:trPr/>
        <w:tc>
          <w:tcPr>
            <w:tcBorders/>
            <w:tcW w:w="2160" w:type="dxa"/>
            <w:textDirection w:val="lrTb"/>
            <w:noWrap w:val="false"/>
          </w:tcPr>
          <w:p w14:paraId="7BB3420C">
            <w:pPr>
              <w:pBdr/>
              <w:spacing w:after="0" w:before="0" w:line="240" w:lineRule="auto"/>
              <w:ind/>
              <w:rPr>
                <w:color w:val="000000" w:themeColor="text1"/>
              </w:rPr>
            </w:pPr>
            <w:r>
              <w:rPr>
                <w:rFonts w:ascii="Arial" w:hAnsi="Arial" w:eastAsia="Arial" w:cs="Arial"/>
                <w:color w:val="000000" w:themeColor="text1"/>
                <w:sz w:val="21"/>
              </w:rPr>
              <w:t xml:space="preserve">Calibration/uncertainty</w:t>
            </w:r>
            <w:r>
              <w:rPr>
                <w:color w:val="000000" w:themeColor="text1"/>
              </w:rPr>
            </w:r>
            <w:r>
              <w:rPr>
                <w:color w:val="000000" w:themeColor="text1"/>
              </w:rPr>
            </w:r>
          </w:p>
        </w:tc>
        <w:tc>
          <w:tcPr>
            <w:tcBorders/>
            <w:tcW w:w="2160" w:type="dxa"/>
            <w:textDirection w:val="lrTb"/>
            <w:noWrap w:val="false"/>
          </w:tcPr>
          <w:p w14:paraId="0DF28921">
            <w:pPr>
              <w:pBdr/>
              <w:spacing w:after="0" w:before="0" w:line="240" w:lineRule="auto"/>
              <w:ind/>
              <w:rPr>
                <w:color w:val="000000" w:themeColor="text1"/>
              </w:rPr>
            </w:pPr>
            <w:r>
              <w:rPr>
                <w:rFonts w:ascii="Arial" w:hAnsi="Arial" w:eastAsia="Arial" w:cs="Arial"/>
                <w:color w:val="000000" w:themeColor="text1"/>
                <w:sz w:val="21"/>
              </w:rPr>
              <w:t xml:space="preserve">ECE, reliability slices</w:t>
            </w:r>
            <w:r>
              <w:rPr>
                <w:color w:val="000000" w:themeColor="text1"/>
              </w:rPr>
            </w:r>
            <w:r>
              <w:rPr>
                <w:color w:val="000000" w:themeColor="text1"/>
              </w:rPr>
            </w:r>
          </w:p>
        </w:tc>
        <w:tc>
          <w:tcPr>
            <w:tcBorders/>
            <w:tcW w:w="2160" w:type="dxa"/>
            <w:textDirection w:val="lrTb"/>
            <w:noWrap w:val="false"/>
          </w:tcPr>
          <w:p w14:paraId="7DF74719">
            <w:pPr>
              <w:pBdr/>
              <w:spacing w:after="0" w:before="0" w:line="240" w:lineRule="auto"/>
              <w:ind/>
              <w:rPr>
                <w:color w:val="000000" w:themeColor="text1"/>
              </w:rPr>
            </w:pPr>
            <w:r>
              <w:rPr>
                <w:rFonts w:ascii="Arial" w:hAnsi="Arial" w:eastAsia="Arial" w:cs="Arial"/>
                <w:color w:val="000000" w:themeColor="text1"/>
                <w:sz w:val="21"/>
              </w:rPr>
              <w:t xml:space="preserve">Risk-aware deployment analysis</w:t>
            </w:r>
            <w:r>
              <w:rPr>
                <w:color w:val="000000" w:themeColor="text1"/>
              </w:rPr>
            </w:r>
            <w:r>
              <w:rPr>
                <w:color w:val="000000" w:themeColor="text1"/>
              </w:rPr>
            </w:r>
          </w:p>
        </w:tc>
        <w:tc>
          <w:tcPr>
            <w:tcBorders/>
            <w:tcW w:w="2160" w:type="dxa"/>
            <w:textDirection w:val="lrTb"/>
            <w:noWrap w:val="false"/>
          </w:tcPr>
          <w:p w14:paraId="17570E7B">
            <w:pPr>
              <w:pBdr/>
              <w:spacing w:after="0" w:before="0" w:line="240" w:lineRule="auto"/>
              <w:ind/>
              <w:rPr>
                <w:color w:val="000000" w:themeColor="text1"/>
              </w:rPr>
            </w:pPr>
            <w:r>
              <w:rPr>
                <w:rFonts w:ascii="Arial" w:hAnsi="Arial" w:eastAsia="Arial" w:cs="Arial"/>
                <w:color w:val="000000" w:themeColor="text1"/>
                <w:sz w:val="21"/>
              </w:rPr>
              <w:t xml:space="preserve">Still rare in MedVQA reporting</w:t>
            </w:r>
            <w:r>
              <w:rPr>
                <w:color w:val="000000" w:themeColor="text1"/>
              </w:rPr>
            </w:r>
            <w:r>
              <w:rPr>
                <w:color w:val="000000" w:themeColor="text1"/>
              </w:rPr>
            </w:r>
          </w:p>
        </w:tc>
      </w:tr>
      <w:tr>
        <w:trPr/>
        <w:tc>
          <w:tcPr>
            <w:tcBorders/>
            <w:tcW w:w="2160" w:type="dxa"/>
            <w:textDirection w:val="lrTb"/>
            <w:noWrap w:val="false"/>
          </w:tcPr>
          <w:p w14:paraId="5AFED250">
            <w:pPr>
              <w:pBdr/>
              <w:spacing w:after="0" w:before="0" w:line="240" w:lineRule="auto"/>
              <w:ind/>
              <w:rPr>
                <w:color w:val="000000" w:themeColor="text1"/>
              </w:rPr>
            </w:pPr>
            <w:r>
              <w:rPr>
                <w:rFonts w:ascii="Arial" w:hAnsi="Arial" w:eastAsia="Arial" w:cs="Arial"/>
                <w:color w:val="000000" w:themeColor="text1"/>
                <w:sz w:val="21"/>
              </w:rPr>
              <w:t xml:space="preserve">Statistical robustness</w:t>
            </w:r>
            <w:r>
              <w:rPr>
                <w:color w:val="000000" w:themeColor="text1"/>
              </w:rPr>
            </w:r>
            <w:r>
              <w:rPr>
                <w:color w:val="000000" w:themeColor="text1"/>
              </w:rPr>
            </w:r>
          </w:p>
        </w:tc>
        <w:tc>
          <w:tcPr>
            <w:tcBorders/>
            <w:tcW w:w="2160" w:type="dxa"/>
            <w:textDirection w:val="lrTb"/>
            <w:noWrap w:val="false"/>
          </w:tcPr>
          <w:p w14:paraId="693ACD02">
            <w:pPr>
              <w:pBdr/>
              <w:spacing w:after="0" w:before="0" w:line="240" w:lineRule="auto"/>
              <w:ind/>
              <w:rPr>
                <w:color w:val="000000" w:themeColor="text1"/>
              </w:rPr>
            </w:pPr>
            <w:r>
              <w:rPr>
                <w:rFonts w:ascii="Arial" w:hAnsi="Arial" w:eastAsia="Arial" w:cs="Arial"/>
                <w:color w:val="000000" w:themeColor="text1"/>
                <w:sz w:val="21"/>
              </w:rPr>
              <w:t xml:space="preserve">CIs, McNemar/paired tests</w:t>
            </w:r>
            <w:r>
              <w:rPr>
                <w:color w:val="000000" w:themeColor="text1"/>
              </w:rPr>
            </w:r>
            <w:r>
              <w:rPr>
                <w:color w:val="000000" w:themeColor="text1"/>
              </w:rPr>
            </w:r>
          </w:p>
        </w:tc>
        <w:tc>
          <w:tcPr>
            <w:tcBorders/>
            <w:tcW w:w="2160" w:type="dxa"/>
            <w:textDirection w:val="lrTb"/>
            <w:noWrap w:val="false"/>
          </w:tcPr>
          <w:p w14:paraId="53540D89">
            <w:pPr>
              <w:pBdr/>
              <w:spacing w:after="0" w:before="0" w:line="240" w:lineRule="auto"/>
              <w:ind/>
              <w:rPr>
                <w:color w:val="000000" w:themeColor="text1"/>
              </w:rPr>
            </w:pPr>
            <w:r>
              <w:rPr>
                <w:rFonts w:ascii="Arial" w:hAnsi="Arial" w:eastAsia="Arial" w:cs="Arial"/>
                <w:color w:val="000000" w:themeColor="text1"/>
                <w:sz w:val="21"/>
              </w:rPr>
              <w:t xml:space="preserve">Claim stability and significance</w:t>
            </w:r>
            <w:r>
              <w:rPr>
                <w:color w:val="000000" w:themeColor="text1"/>
              </w:rPr>
            </w:r>
            <w:r>
              <w:rPr>
                <w:color w:val="000000" w:themeColor="text1"/>
              </w:rPr>
            </w:r>
          </w:p>
        </w:tc>
        <w:tc>
          <w:tcPr>
            <w:tcBorders/>
            <w:tcW w:w="2160" w:type="dxa"/>
            <w:textDirection w:val="lrTb"/>
            <w:noWrap w:val="false"/>
          </w:tcPr>
          <w:p w14:paraId="256B9F7B">
            <w:pPr>
              <w:pBdr/>
              <w:spacing w:after="0" w:before="0" w:line="240" w:lineRule="auto"/>
              <w:ind/>
              <w:rPr>
                <w:color w:val="000000" w:themeColor="text1"/>
              </w:rPr>
            </w:pPr>
            <w:r>
              <w:rPr>
                <w:rFonts w:ascii="Arial" w:hAnsi="Arial" w:eastAsia="Arial" w:cs="Arial"/>
                <w:color w:val="000000" w:themeColor="text1"/>
                <w:sz w:val="21"/>
              </w:rPr>
              <w:t xml:space="preserve">Frequently missing in benchmark papers</w:t>
            </w:r>
            <w:r>
              <w:rPr>
                <w:color w:val="000000" w:themeColor="text1"/>
              </w:rPr>
            </w:r>
            <w:r>
              <w:rPr>
                <w:color w:val="000000" w:themeColor="text1"/>
              </w:rPr>
            </w:r>
          </w:p>
        </w:tc>
      </w:tr>
      <w:tr>
        <w:trPr/>
        <w:tc>
          <w:tcPr>
            <w:tcBorders/>
            <w:tcW w:w="2160" w:type="dxa"/>
            <w:textDirection w:val="lrTb"/>
            <w:noWrap w:val="false"/>
          </w:tcPr>
          <w:p w14:paraId="38907ECB">
            <w:pPr>
              <w:pBdr/>
              <w:spacing w:after="0" w:before="0" w:line="240" w:lineRule="auto"/>
              <w:ind/>
              <w:rPr>
                <w:color w:val="000000" w:themeColor="text1"/>
              </w:rPr>
            </w:pPr>
            <w:r>
              <w:rPr>
                <w:rFonts w:ascii="Arial" w:hAnsi="Arial" w:eastAsia="Arial" w:cs="Arial"/>
                <w:color w:val="000000" w:themeColor="text1"/>
                <w:sz w:val="21"/>
              </w:rPr>
              <w:t xml:space="preserve">Expert review / explainability</w:t>
            </w:r>
            <w:r>
              <w:rPr>
                <w:color w:val="000000" w:themeColor="text1"/>
              </w:rPr>
            </w:r>
            <w:r>
              <w:rPr>
                <w:color w:val="000000" w:themeColor="text1"/>
              </w:rPr>
            </w:r>
          </w:p>
        </w:tc>
        <w:tc>
          <w:tcPr>
            <w:tcBorders/>
            <w:tcW w:w="2160" w:type="dxa"/>
            <w:textDirection w:val="lrTb"/>
            <w:noWrap w:val="false"/>
          </w:tcPr>
          <w:p w14:paraId="13BCC17B">
            <w:pPr>
              <w:pBdr/>
              <w:spacing w:after="0" w:before="0" w:line="240" w:lineRule="auto"/>
              <w:ind/>
              <w:rPr>
                <w:color w:val="000000" w:themeColor="text1"/>
              </w:rPr>
            </w:pPr>
            <w:r>
              <w:rPr>
                <w:rFonts w:ascii="Arial" w:hAnsi="Arial" w:eastAsia="Arial" w:cs="Arial"/>
                <w:color w:val="000000" w:themeColor="text1"/>
                <w:sz w:val="21"/>
              </w:rPr>
              <w:t xml:space="preserve">Clinician relevance ratings, grounding checks</w:t>
            </w:r>
            <w:r>
              <w:rPr>
                <w:color w:val="000000" w:themeColor="text1"/>
              </w:rPr>
            </w:r>
            <w:r>
              <w:rPr>
                <w:color w:val="000000" w:themeColor="text1"/>
              </w:rPr>
            </w:r>
          </w:p>
        </w:tc>
        <w:tc>
          <w:tcPr>
            <w:tcBorders/>
            <w:tcW w:w="2160" w:type="dxa"/>
            <w:textDirection w:val="lrTb"/>
            <w:noWrap w:val="false"/>
          </w:tcPr>
          <w:p w14:paraId="79474FD0">
            <w:pPr>
              <w:pBdr/>
              <w:spacing w:after="0" w:before="0" w:line="240" w:lineRule="auto"/>
              <w:ind/>
              <w:rPr>
                <w:color w:val="000000" w:themeColor="text1"/>
              </w:rPr>
            </w:pPr>
            <w:r>
              <w:rPr>
                <w:rFonts w:ascii="Arial" w:hAnsi="Arial" w:eastAsia="Arial" w:cs="Arial"/>
                <w:color w:val="000000" w:themeColor="text1"/>
                <w:sz w:val="21"/>
              </w:rPr>
              <w:t xml:space="preserve">Clinical usability and trust</w:t>
            </w:r>
            <w:r>
              <w:rPr>
                <w:color w:val="000000" w:themeColor="text1"/>
              </w:rPr>
            </w:r>
            <w:r>
              <w:rPr>
                <w:color w:val="000000" w:themeColor="text1"/>
              </w:rPr>
            </w:r>
          </w:p>
        </w:tc>
        <w:tc>
          <w:tcPr>
            <w:tcBorders/>
            <w:tcW w:w="2160" w:type="dxa"/>
            <w:textDirection w:val="lrTb"/>
            <w:noWrap w:val="false"/>
          </w:tcPr>
          <w:p w14:paraId="290A133C">
            <w:pPr>
              <w:pBdr/>
              <w:spacing w:after="0" w:before="0" w:line="240" w:lineRule="auto"/>
              <w:ind/>
              <w:rPr>
                <w:color w:val="000000" w:themeColor="text1"/>
              </w:rPr>
            </w:pPr>
            <w:r>
              <w:rPr>
                <w:rFonts w:ascii="Arial" w:hAnsi="Arial" w:eastAsia="Arial" w:cs="Arial"/>
                <w:color w:val="000000" w:themeColor="text1"/>
                <w:sz w:val="21"/>
              </w:rPr>
              <w:t xml:space="preserve">Higher annotation effort, protocol variability</w:t>
            </w:r>
            <w:r>
              <w:rPr>
                <w:color w:val="000000" w:themeColor="text1"/>
              </w:rPr>
            </w:r>
            <w:r>
              <w:rPr>
                <w:color w:val="000000" w:themeColor="text1"/>
              </w:rPr>
            </w:r>
          </w:p>
        </w:tc>
      </w:tr>
    </w:tbl>
    <w:p w14:paraId="2FB4A3C9">
      <w:pPr>
        <w:pStyle w:val="1056"/>
        <w:suppressLineNumbers w:val="false"/>
        <w:pBdr/>
        <w:spacing w:after="240" w:afterAutospacing="0" w:before="240" w:beforeAutospacing="0" w:line="300" w:lineRule="auto"/>
        <w:ind w:right="0" w:firstLine="810" w:left="0"/>
        <w:rPr>
          <w:b/>
          <w:bCs/>
          <w:sz w:val="28"/>
          <w:szCs w:val="28"/>
          <w:highlight w:val="none"/>
        </w:rPr>
      </w:pPr>
      <w:r>
        <w:rPr>
          <w:rFonts w:ascii="Arial" w:hAnsi="Arial" w:eastAsia="Arial" w:cs="Arial"/>
          <w:b/>
          <w:bCs/>
          <w:i w:val="0"/>
          <w:caps w:val="0"/>
          <w:smallCaps w:val="0"/>
          <w:color w:val="000000" w:themeColor="text1" w:themeTint="FF" w:themeShade="FF"/>
          <w:sz w:val="28"/>
          <w:szCs w:val="28"/>
          <w:highlight w:val="none"/>
        </w:rPr>
      </w:r>
      <w:r>
        <mc:AlternateContent>
          <mc:Choice Requires="wpg">
            <w:drawing>
              <wp:inline xmlns:wp="http://schemas.openxmlformats.org/drawingml/2006/wordprocessingDrawing" distT="0" distB="0" distL="0" distR="0">
                <wp:extent cx="4324350" cy="7019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7797" name=""/>
                        <pic:cNvPicPr>
                          <a:picLocks noChangeAspect="1"/>
                        </pic:cNvPicPr>
                        <pic:nvPr/>
                      </pic:nvPicPr>
                      <pic:blipFill rotWithShape="1">
                        <a:blip r:embed="rId14"/>
                        <a:stretch/>
                      </pic:blipFill>
                      <pic:spPr bwMode="auto">
                        <a:xfrm>
                          <a:off x="0" y="0"/>
                          <a:ext cx="4324349" cy="7019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0.50pt;height:552.75pt;mso-wrap-distance-left:0.00pt;mso-wrap-distance-top:0.00pt;mso-wrap-distance-right:0.00pt;mso-wrap-distance-bottom:0.00pt;z-index:1;" stroked="false">
                <v:imagedata r:id="rId14" o:title=""/>
                <o:lock v:ext="edit" rotation="t"/>
              </v:shape>
            </w:pict>
          </mc:Fallback>
        </mc:AlternateContent>
      </w:r>
      <w:r>
        <w:rPr>
          <w:b/>
          <w:bCs/>
          <w:sz w:val="28"/>
          <w:szCs w:val="28"/>
          <w:highlight w:val="none"/>
        </w:rPr>
      </w:r>
      <w:r>
        <w:rPr>
          <w:b/>
          <w:bCs/>
          <w:sz w:val="28"/>
          <w:szCs w:val="28"/>
          <w:highlight w:val="none"/>
        </w:rPr>
      </w:r>
    </w:p>
    <w:p w14:paraId="492ED957">
      <w:pPr>
        <w:pStyle w:val="1056"/>
        <w:suppressLineNumbers w:val="false"/>
        <w:pBdr/>
        <w:spacing w:after="240" w:afterAutospacing="0" w:before="240" w:beforeAutospacing="0" w:line="300" w:lineRule="auto"/>
        <w:ind w:firstLine="0"/>
        <w:rPr>
          <w:b w:val="0"/>
          <w:bCs/>
          <w:i/>
          <w:sz w:val="22"/>
          <w:szCs w:val="22"/>
        </w:rPr>
      </w:pPr>
      <w:r>
        <w:rPr>
          <w:b w:val="0"/>
          <w:bCs w:val="0"/>
          <w:i/>
          <w:iCs/>
          <w:sz w:val="22"/>
          <w:szCs w:val="22"/>
          <w:lang w:val="en-US"/>
        </w:rPr>
        <w:t xml:space="preserve"> </w:t>
        <w:tab/>
        <w:tab/>
      </w:r>
      <w:r>
        <w:rPr>
          <w:b w:val="0"/>
          <w:bCs w:val="0"/>
          <w:i/>
          <w:iCs/>
          <w:sz w:val="22"/>
          <w:szCs w:val="22"/>
          <w:lang w:val="en-US"/>
        </w:rPr>
        <w:t xml:space="preserve">Figure 2.1: Hybrid Decision Support Routing Diagram</w:t>
      </w:r>
      <w:r>
        <w:rPr>
          <w:b w:val="0"/>
          <w:bCs/>
          <w:i/>
          <w:sz w:val="22"/>
          <w:szCs w:val="22"/>
        </w:rPr>
      </w:r>
      <w:r>
        <w:rPr>
          <w:b w:val="0"/>
          <w:bCs/>
          <w:i/>
          <w:sz w:val="22"/>
          <w:szCs w:val="22"/>
        </w:rPr>
      </w:r>
    </w:p>
    <w:p w14:paraId="05315A0F">
      <w:pPr>
        <w:pStyle w:val="1056"/>
        <w:suppressLineNumbers w:val="false"/>
        <w:pBdr/>
        <w:spacing w:after="240" w:afterAutospacing="0" w:before="240" w:beforeAutospacing="0" w:line="300" w:lineRule="auto"/>
        <w:ind w:firstLine="0"/>
        <w:rPr>
          <w:b/>
          <w:bCs/>
          <w:sz w:val="28"/>
          <w:szCs w:val="28"/>
        </w:rPr>
      </w:pPr>
      <w:r>
        <w:rPr>
          <w:b/>
          <w:bCs/>
          <w:sz w:val="28"/>
          <w:szCs w:val="28"/>
        </w:rPr>
      </w:r>
      <w:r>
        <w:rPr>
          <w:b/>
          <w:bCs/>
          <w:sz w:val="28"/>
          <w:szCs w:val="28"/>
        </w:rPr>
      </w:r>
      <w:r>
        <w:rPr>
          <w:b/>
          <w:bCs/>
          <w:sz w:val="28"/>
          <w:szCs w:val="28"/>
        </w:rPr>
      </w:r>
    </w:p>
    <w:p w14:paraId="4BE9E4EC">
      <w:pPr>
        <w:pStyle w:val="1056"/>
        <w:suppressLineNumbers w:val="false"/>
        <w:pBdr/>
        <w:spacing w:after="240" w:afterAutospacing="0" w:before="240" w:beforeAutospacing="0" w:line="300" w:lineRule="auto"/>
        <w:ind w:firstLine="0"/>
        <w:rPr>
          <w:b/>
          <w:bCs/>
          <w:sz w:val="28"/>
          <w:szCs w:val="28"/>
        </w:rPr>
      </w:pPr>
      <w:r>
        <w:rPr>
          <w:b/>
          <w:bCs/>
          <w:sz w:val="28"/>
          <w:szCs w:val="28"/>
          <w:highlight w:val="none"/>
        </w:rPr>
      </w:r>
      <w:r>
        <w:rPr>
          <w:b/>
          <w:bCs/>
          <w:sz w:val="28"/>
          <w:szCs w:val="28"/>
        </w:rPr>
      </w:r>
      <w:r>
        <w:rPr>
          <w:b/>
          <w:bCs/>
          <w:sz w:val="28"/>
          <w:szCs w:val="28"/>
        </w:rPr>
      </w:r>
    </w:p>
    <w:p w14:paraId="320AB516">
      <w:pPr>
        <w:pStyle w:val="1056"/>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2.7 Scenario-Oriented Technique Suitability for Colonoscopy</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16EE40D0">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A clinically useful survey should map model families to concrete clinical scenarios.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0BE7839">
            <w:pPr>
              <w:pBdr/>
              <w:spacing w:after="0" w:before="0" w:line="240" w:lineRule="auto"/>
              <w:ind/>
              <w:rPr>
                <w:color w:val="000000" w:themeColor="text1"/>
              </w:rPr>
            </w:pPr>
            <w:r>
              <w:rPr>
                <w:rFonts w:ascii="Arial" w:hAnsi="Arial" w:eastAsia="Arial" w:cs="Arial"/>
                <w:b/>
                <w:color w:val="000000" w:themeColor="text1"/>
                <w:sz w:val="21"/>
              </w:rPr>
              <w:t xml:space="preserve">Colonoscopy scenario</w:t>
            </w:r>
            <w:r>
              <w:rPr>
                <w:color w:val="000000" w:themeColor="text1"/>
              </w:rPr>
            </w:r>
            <w:r>
              <w:rPr>
                <w:color w:val="000000" w:themeColor="text1"/>
              </w:rPr>
            </w:r>
          </w:p>
        </w:tc>
        <w:tc>
          <w:tcPr>
            <w:tcBorders/>
            <w:tcW w:w="2160" w:type="dxa"/>
            <w:textDirection w:val="lrTb"/>
            <w:noWrap w:val="false"/>
          </w:tcPr>
          <w:p w14:paraId="43EADFE2">
            <w:pPr>
              <w:pBdr/>
              <w:spacing w:after="0" w:before="0" w:line="240" w:lineRule="auto"/>
              <w:ind/>
              <w:rPr>
                <w:color w:val="000000" w:themeColor="text1"/>
              </w:rPr>
            </w:pPr>
            <w:r>
              <w:rPr>
                <w:rFonts w:ascii="Arial" w:hAnsi="Arial" w:eastAsia="Arial" w:cs="Arial"/>
                <w:b/>
                <w:color w:val="000000" w:themeColor="text1"/>
                <w:sz w:val="21"/>
              </w:rPr>
              <w:t xml:space="preserve">Dominant question type</w:t>
            </w:r>
            <w:r>
              <w:rPr>
                <w:color w:val="000000" w:themeColor="text1"/>
              </w:rPr>
            </w:r>
            <w:r>
              <w:rPr>
                <w:color w:val="000000" w:themeColor="text1"/>
              </w:rPr>
            </w:r>
          </w:p>
        </w:tc>
        <w:tc>
          <w:tcPr>
            <w:tcBorders/>
            <w:tcW w:w="2160" w:type="dxa"/>
            <w:textDirection w:val="lrTb"/>
            <w:noWrap w:val="false"/>
          </w:tcPr>
          <w:p w14:paraId="4007C733">
            <w:pPr>
              <w:pBdr/>
              <w:spacing w:after="0" w:before="0" w:line="240" w:lineRule="auto"/>
              <w:ind/>
              <w:rPr>
                <w:color w:val="000000" w:themeColor="text1"/>
              </w:rPr>
            </w:pPr>
            <w:r>
              <w:rPr>
                <w:rFonts w:ascii="Arial" w:hAnsi="Arial" w:eastAsia="Arial" w:cs="Arial"/>
                <w:b/>
                <w:color w:val="000000" w:themeColor="text1"/>
                <w:sz w:val="21"/>
              </w:rPr>
              <w:t xml:space="preserve">Preferred method profile</w:t>
            </w:r>
            <w:r>
              <w:rPr>
                <w:color w:val="000000" w:themeColor="text1"/>
              </w:rPr>
            </w:r>
            <w:r>
              <w:rPr>
                <w:color w:val="000000" w:themeColor="text1"/>
              </w:rPr>
            </w:r>
          </w:p>
        </w:tc>
        <w:tc>
          <w:tcPr>
            <w:tcBorders/>
            <w:tcW w:w="2160" w:type="dxa"/>
            <w:textDirection w:val="lrTb"/>
            <w:noWrap w:val="false"/>
          </w:tcPr>
          <w:p w14:paraId="39B2A421">
            <w:pPr>
              <w:pBdr/>
              <w:spacing w:after="0" w:before="0" w:line="240" w:lineRule="auto"/>
              <w:ind/>
              <w:rPr>
                <w:color w:val="000000" w:themeColor="text1"/>
              </w:rPr>
            </w:pPr>
            <w:r>
              <w:rPr>
                <w:rFonts w:ascii="Arial" w:hAnsi="Arial" w:eastAsia="Arial" w:cs="Arial"/>
                <w:b/>
                <w:color w:val="000000" w:themeColor="text1"/>
                <w:sz w:val="21"/>
              </w:rPr>
              <w:t xml:space="preserve">Reason</w:t>
            </w:r>
            <w:r>
              <w:rPr>
                <w:color w:val="000000" w:themeColor="text1"/>
              </w:rPr>
            </w:r>
            <w:r>
              <w:rPr>
                <w:color w:val="000000" w:themeColor="text1"/>
              </w:rPr>
            </w:r>
          </w:p>
        </w:tc>
      </w:tr>
      <w:tr>
        <w:trPr/>
        <w:tc>
          <w:tcPr>
            <w:tcBorders/>
            <w:tcW w:w="2160" w:type="dxa"/>
            <w:textDirection w:val="lrTb"/>
            <w:noWrap w:val="false"/>
          </w:tcPr>
          <w:p w14:paraId="0C8AD04D">
            <w:pPr>
              <w:pBdr/>
              <w:spacing w:after="0" w:before="0" w:line="240" w:lineRule="auto"/>
              <w:ind/>
              <w:rPr>
                <w:color w:val="000000" w:themeColor="text1"/>
              </w:rPr>
            </w:pPr>
            <w:r>
              <w:rPr>
                <w:rFonts w:ascii="Arial" w:hAnsi="Arial" w:eastAsia="Arial" w:cs="Arial"/>
                <w:color w:val="000000" w:themeColor="text1"/>
                <w:sz w:val="21"/>
              </w:rPr>
              <w:t xml:space="preserve">Finding presence/absence</w:t>
            </w:r>
            <w:r>
              <w:rPr>
                <w:color w:val="000000" w:themeColor="text1"/>
              </w:rPr>
            </w:r>
            <w:r>
              <w:rPr>
                <w:color w:val="000000" w:themeColor="text1"/>
              </w:rPr>
            </w:r>
          </w:p>
        </w:tc>
        <w:tc>
          <w:tcPr>
            <w:tcBorders/>
            <w:tcW w:w="2160" w:type="dxa"/>
            <w:textDirection w:val="lrTb"/>
            <w:noWrap w:val="false"/>
          </w:tcPr>
          <w:p w14:paraId="220F3AA5">
            <w:pPr>
              <w:pBdr/>
              <w:spacing w:after="0" w:before="0" w:line="240" w:lineRule="auto"/>
              <w:ind/>
              <w:rPr>
                <w:color w:val="000000" w:themeColor="text1"/>
              </w:rPr>
            </w:pPr>
            <w:r>
              <w:rPr>
                <w:rFonts w:ascii="Arial" w:hAnsi="Arial" w:eastAsia="Arial" w:cs="Arial"/>
                <w:color w:val="000000" w:themeColor="text1"/>
                <w:sz w:val="21"/>
              </w:rPr>
              <w:t xml:space="preserve">Binary</w:t>
            </w:r>
            <w:r>
              <w:rPr>
                <w:color w:val="000000" w:themeColor="text1"/>
              </w:rPr>
            </w:r>
            <w:r>
              <w:rPr>
                <w:color w:val="000000" w:themeColor="text1"/>
              </w:rPr>
            </w:r>
          </w:p>
        </w:tc>
        <w:tc>
          <w:tcPr>
            <w:tcBorders/>
            <w:tcW w:w="2160" w:type="dxa"/>
            <w:textDirection w:val="lrTb"/>
            <w:noWrap w:val="false"/>
          </w:tcPr>
          <w:p w14:paraId="3C0A61DD">
            <w:pPr>
              <w:pBdr/>
              <w:spacing w:after="0" w:before="0" w:line="240" w:lineRule="auto"/>
              <w:ind/>
              <w:rPr>
                <w:color w:val="000000" w:themeColor="text1"/>
              </w:rPr>
            </w:pPr>
            <w:r>
              <w:rPr>
                <w:rFonts w:ascii="Arial" w:hAnsi="Arial" w:eastAsia="Arial" w:cs="Arial"/>
                <w:color w:val="000000" w:themeColor="text1"/>
                <w:sz w:val="21"/>
              </w:rPr>
              <w:t xml:space="preserve">Constrained discriminative or transformer classifier</w:t>
            </w:r>
            <w:r>
              <w:rPr>
                <w:color w:val="000000" w:themeColor="text1"/>
              </w:rPr>
            </w:r>
            <w:r>
              <w:rPr>
                <w:color w:val="000000" w:themeColor="text1"/>
              </w:rPr>
            </w:r>
          </w:p>
        </w:tc>
        <w:tc>
          <w:tcPr>
            <w:tcBorders/>
            <w:tcW w:w="2160" w:type="dxa"/>
            <w:textDirection w:val="lrTb"/>
            <w:noWrap w:val="false"/>
          </w:tcPr>
          <w:p w14:paraId="326A4C48">
            <w:pPr>
              <w:pBdr/>
              <w:spacing w:after="0" w:before="0" w:line="240" w:lineRule="auto"/>
              <w:ind/>
              <w:rPr>
                <w:color w:val="000000" w:themeColor="text1"/>
              </w:rPr>
            </w:pPr>
            <w:r>
              <w:rPr>
                <w:rFonts w:ascii="Arial" w:hAnsi="Arial" w:eastAsia="Arial" w:cs="Arial"/>
                <w:color w:val="000000" w:themeColor="text1"/>
                <w:sz w:val="21"/>
              </w:rPr>
              <w:t xml:space="preserve">Stable labels, high reliability requirements</w:t>
            </w:r>
            <w:r>
              <w:rPr>
                <w:color w:val="000000" w:themeColor="text1"/>
              </w:rPr>
            </w:r>
            <w:r>
              <w:rPr>
                <w:color w:val="000000" w:themeColor="text1"/>
              </w:rPr>
            </w:r>
          </w:p>
        </w:tc>
      </w:tr>
      <w:tr>
        <w:trPr/>
        <w:tc>
          <w:tcPr>
            <w:tcBorders/>
            <w:tcW w:w="2160" w:type="dxa"/>
            <w:textDirection w:val="lrTb"/>
            <w:noWrap w:val="false"/>
          </w:tcPr>
          <w:p w14:paraId="6FA8346F">
            <w:pPr>
              <w:pBdr/>
              <w:spacing w:after="0" w:before="0" w:line="240" w:lineRule="auto"/>
              <w:ind/>
              <w:rPr>
                <w:color w:val="000000" w:themeColor="text1"/>
              </w:rPr>
            </w:pPr>
            <w:r>
              <w:rPr>
                <w:rFonts w:ascii="Arial" w:hAnsi="Arial" w:eastAsia="Arial" w:cs="Arial"/>
                <w:color w:val="000000" w:themeColor="text1"/>
                <w:sz w:val="21"/>
              </w:rPr>
              <w:t xml:space="preserve">Counting findings/instruments</w:t>
            </w:r>
            <w:r>
              <w:rPr>
                <w:color w:val="000000" w:themeColor="text1"/>
              </w:rPr>
            </w:r>
            <w:r>
              <w:rPr>
                <w:color w:val="000000" w:themeColor="text1"/>
              </w:rPr>
            </w:r>
          </w:p>
        </w:tc>
        <w:tc>
          <w:tcPr>
            <w:tcBorders/>
            <w:tcW w:w="2160" w:type="dxa"/>
            <w:textDirection w:val="lrTb"/>
            <w:noWrap w:val="false"/>
          </w:tcPr>
          <w:p w14:paraId="57BE367B">
            <w:pPr>
              <w:pBdr/>
              <w:spacing w:after="0" w:before="0" w:line="240" w:lineRule="auto"/>
              <w:ind/>
              <w:rPr>
                <w:color w:val="000000" w:themeColor="text1"/>
              </w:rPr>
            </w:pPr>
            <w:r>
              <w:rPr>
                <w:rFonts w:ascii="Arial" w:hAnsi="Arial" w:eastAsia="Arial" w:cs="Arial"/>
                <w:color w:val="000000" w:themeColor="text1"/>
                <w:sz w:val="21"/>
              </w:rPr>
              <w:t xml:space="preserve">Count + structured category</w:t>
            </w:r>
            <w:r>
              <w:rPr>
                <w:color w:val="000000" w:themeColor="text1"/>
              </w:rPr>
            </w:r>
            <w:r>
              <w:rPr>
                <w:color w:val="000000" w:themeColor="text1"/>
              </w:rPr>
            </w:r>
          </w:p>
        </w:tc>
        <w:tc>
          <w:tcPr>
            <w:tcBorders/>
            <w:tcW w:w="2160" w:type="dxa"/>
            <w:textDirection w:val="lrTb"/>
            <w:noWrap w:val="false"/>
          </w:tcPr>
          <w:p w14:paraId="6EFCB403">
            <w:pPr>
              <w:pBdr/>
              <w:spacing w:after="0" w:before="0" w:line="240" w:lineRule="auto"/>
              <w:ind/>
              <w:rPr>
                <w:color w:val="000000" w:themeColor="text1"/>
              </w:rPr>
            </w:pPr>
            <w:r>
              <w:rPr>
                <w:rFonts w:ascii="Arial" w:hAnsi="Arial" w:eastAsia="Arial" w:cs="Arial"/>
                <w:color w:val="000000" w:themeColor="text1"/>
                <w:sz w:val="21"/>
              </w:rPr>
              <w:t xml:space="preserve">Transformer with constrained decoding</w:t>
            </w:r>
            <w:r>
              <w:rPr>
                <w:color w:val="000000" w:themeColor="text1"/>
              </w:rPr>
            </w:r>
            <w:r>
              <w:rPr>
                <w:color w:val="000000" w:themeColor="text1"/>
              </w:rPr>
            </w:r>
          </w:p>
        </w:tc>
        <w:tc>
          <w:tcPr>
            <w:tcBorders/>
            <w:tcW w:w="2160" w:type="dxa"/>
            <w:textDirection w:val="lrTb"/>
            <w:noWrap w:val="false"/>
          </w:tcPr>
          <w:p w14:paraId="0C473FD4">
            <w:pPr>
              <w:pBdr/>
              <w:spacing w:after="0" w:before="0" w:line="240" w:lineRule="auto"/>
              <w:ind/>
              <w:rPr>
                <w:color w:val="000000" w:themeColor="text1"/>
              </w:rPr>
            </w:pPr>
            <w:r>
              <w:rPr>
                <w:rFonts w:ascii="Arial" w:hAnsi="Arial" w:eastAsia="Arial" w:cs="Arial"/>
                <w:color w:val="000000" w:themeColor="text1"/>
                <w:sz w:val="21"/>
              </w:rPr>
              <w:t xml:space="preserve">Better visual alignment than shallow fusion</w:t>
            </w:r>
            <w:r>
              <w:rPr>
                <w:color w:val="000000" w:themeColor="text1"/>
              </w:rPr>
            </w:r>
            <w:r>
              <w:rPr>
                <w:color w:val="000000" w:themeColor="text1"/>
              </w:rPr>
            </w:r>
          </w:p>
        </w:tc>
      </w:tr>
      <w:tr>
        <w:trPr/>
        <w:tc>
          <w:tcPr>
            <w:tcBorders/>
            <w:tcW w:w="2160" w:type="dxa"/>
            <w:textDirection w:val="lrTb"/>
            <w:noWrap w:val="false"/>
          </w:tcPr>
          <w:p w14:paraId="6D53ED7E">
            <w:pPr>
              <w:pBdr/>
              <w:spacing w:after="0" w:before="0" w:line="240" w:lineRule="auto"/>
              <w:ind/>
              <w:rPr>
                <w:color w:val="000000" w:themeColor="text1"/>
              </w:rPr>
            </w:pPr>
            <w:r>
              <w:rPr>
                <w:rFonts w:ascii="Arial" w:hAnsi="Arial" w:eastAsia="Arial" w:cs="Arial"/>
                <w:color w:val="000000" w:themeColor="text1"/>
                <w:sz w:val="21"/>
              </w:rPr>
              <w:t xml:space="preserve">Lesion location description</w:t>
            </w:r>
            <w:r>
              <w:rPr>
                <w:color w:val="000000" w:themeColor="text1"/>
              </w:rPr>
            </w:r>
            <w:r>
              <w:rPr>
                <w:color w:val="000000" w:themeColor="text1"/>
              </w:rPr>
            </w:r>
          </w:p>
        </w:tc>
        <w:tc>
          <w:tcPr>
            <w:tcBorders/>
            <w:tcW w:w="2160" w:type="dxa"/>
            <w:textDirection w:val="lrTb"/>
            <w:noWrap w:val="false"/>
          </w:tcPr>
          <w:p w14:paraId="4EAC14A6">
            <w:pPr>
              <w:pBdr/>
              <w:spacing w:after="0" w:before="0" w:line="240" w:lineRule="auto"/>
              <w:ind/>
              <w:rPr>
                <w:color w:val="000000" w:themeColor="text1"/>
              </w:rPr>
            </w:pPr>
            <w:r>
              <w:rPr>
                <w:rFonts w:ascii="Arial" w:hAnsi="Arial" w:eastAsia="Arial" w:cs="Arial"/>
                <w:color w:val="000000" w:themeColor="text1"/>
                <w:sz w:val="21"/>
              </w:rPr>
              <w:t xml:space="preserve">Spatial text/category</w:t>
            </w:r>
            <w:r>
              <w:rPr>
                <w:color w:val="000000" w:themeColor="text1"/>
              </w:rPr>
            </w:r>
            <w:r>
              <w:rPr>
                <w:color w:val="000000" w:themeColor="text1"/>
              </w:rPr>
            </w:r>
          </w:p>
        </w:tc>
        <w:tc>
          <w:tcPr>
            <w:tcBorders/>
            <w:tcW w:w="2160" w:type="dxa"/>
            <w:textDirection w:val="lrTb"/>
            <w:noWrap w:val="false"/>
          </w:tcPr>
          <w:p w14:paraId="34413069">
            <w:pPr>
              <w:pBdr/>
              <w:spacing w:after="0" w:before="0" w:line="240" w:lineRule="auto"/>
              <w:ind/>
              <w:rPr>
                <w:color w:val="000000" w:themeColor="text1"/>
              </w:rPr>
            </w:pPr>
            <w:r>
              <w:rPr>
                <w:rFonts w:ascii="Arial" w:hAnsi="Arial" w:eastAsia="Arial" w:cs="Arial"/>
                <w:color w:val="000000" w:themeColor="text1"/>
                <w:sz w:val="21"/>
              </w:rPr>
              <w:t xml:space="preserve">Transformer + localization-aware head</w:t>
            </w:r>
            <w:r>
              <w:rPr>
                <w:color w:val="000000" w:themeColor="text1"/>
              </w:rPr>
            </w:r>
            <w:r>
              <w:rPr>
                <w:color w:val="000000" w:themeColor="text1"/>
              </w:rPr>
            </w:r>
          </w:p>
        </w:tc>
        <w:tc>
          <w:tcPr>
            <w:tcBorders/>
            <w:tcW w:w="2160" w:type="dxa"/>
            <w:textDirection w:val="lrTb"/>
            <w:noWrap w:val="false"/>
          </w:tcPr>
          <w:p w14:paraId="686E89A1">
            <w:pPr>
              <w:pBdr/>
              <w:spacing w:after="0" w:before="0" w:line="240" w:lineRule="auto"/>
              <w:ind/>
              <w:rPr>
                <w:color w:val="000000" w:themeColor="text1"/>
              </w:rPr>
            </w:pPr>
            <w:r>
              <w:rPr>
                <w:rFonts w:ascii="Arial" w:hAnsi="Arial" w:eastAsia="Arial" w:cs="Arial"/>
                <w:color w:val="000000" w:themeColor="text1"/>
                <w:sz w:val="21"/>
              </w:rPr>
              <w:t xml:space="preserve">Requires spatial grounding consistency</w:t>
            </w:r>
            <w:r>
              <w:rPr>
                <w:color w:val="000000" w:themeColor="text1"/>
              </w:rPr>
            </w:r>
            <w:r>
              <w:rPr>
                <w:color w:val="000000" w:themeColor="text1"/>
              </w:rPr>
            </w:r>
          </w:p>
        </w:tc>
      </w:tr>
      <w:tr>
        <w:trPr/>
        <w:tc>
          <w:tcPr>
            <w:tcBorders/>
            <w:tcW w:w="2160" w:type="dxa"/>
            <w:textDirection w:val="lrTb"/>
            <w:noWrap w:val="false"/>
          </w:tcPr>
          <w:p w14:paraId="2A131031">
            <w:pPr>
              <w:pBdr/>
              <w:spacing w:after="0" w:before="0" w:line="240" w:lineRule="auto"/>
              <w:ind/>
              <w:rPr>
                <w:color w:val="000000" w:themeColor="text1"/>
              </w:rPr>
            </w:pPr>
            <w:r>
              <w:rPr>
                <w:rFonts w:ascii="Arial" w:hAnsi="Arial" w:eastAsia="Arial" w:cs="Arial"/>
                <w:color w:val="000000" w:themeColor="text1"/>
                <w:sz w:val="21"/>
              </w:rPr>
              <w:t xml:space="preserve">UC severity grading</w:t>
            </w:r>
            <w:r>
              <w:rPr>
                <w:color w:val="000000" w:themeColor="text1"/>
              </w:rPr>
            </w:r>
            <w:r>
              <w:rPr>
                <w:color w:val="000000" w:themeColor="text1"/>
              </w:rPr>
            </w:r>
          </w:p>
        </w:tc>
        <w:tc>
          <w:tcPr>
            <w:tcBorders/>
            <w:tcW w:w="2160" w:type="dxa"/>
            <w:textDirection w:val="lrTb"/>
            <w:noWrap w:val="false"/>
          </w:tcPr>
          <w:p w14:paraId="4D8085A7">
            <w:pPr>
              <w:pBdr/>
              <w:spacing w:after="0" w:before="0" w:line="240" w:lineRule="auto"/>
              <w:ind/>
              <w:rPr>
                <w:color w:val="000000" w:themeColor="text1"/>
              </w:rPr>
            </w:pPr>
            <w:r>
              <w:rPr>
                <w:rFonts w:ascii="Arial" w:hAnsi="Arial" w:eastAsia="Arial" w:cs="Arial"/>
                <w:color w:val="000000" w:themeColor="text1"/>
                <w:sz w:val="21"/>
              </w:rPr>
              <w:t xml:space="preserve">Ordinal category</w:t>
            </w:r>
            <w:r>
              <w:rPr>
                <w:color w:val="000000" w:themeColor="text1"/>
              </w:rPr>
            </w:r>
            <w:r>
              <w:rPr>
                <w:color w:val="000000" w:themeColor="text1"/>
              </w:rPr>
            </w:r>
          </w:p>
        </w:tc>
        <w:tc>
          <w:tcPr>
            <w:tcBorders/>
            <w:tcW w:w="2160" w:type="dxa"/>
            <w:textDirection w:val="lrTb"/>
            <w:noWrap w:val="false"/>
          </w:tcPr>
          <w:p w14:paraId="4B2E3DE7">
            <w:pPr>
              <w:pBdr/>
              <w:spacing w:after="0" w:before="0" w:line="240" w:lineRule="auto"/>
              <w:ind/>
              <w:rPr>
                <w:color w:val="000000" w:themeColor="text1"/>
              </w:rPr>
            </w:pPr>
            <w:r>
              <w:rPr>
                <w:rFonts w:ascii="Arial" w:hAnsi="Arial" w:eastAsia="Arial" w:cs="Arial"/>
                <w:color w:val="000000" w:themeColor="text1"/>
                <w:sz w:val="21"/>
              </w:rPr>
              <w:t xml:space="preserve">Fine-tuned visual backbone + constrained QA interface</w:t>
            </w:r>
            <w:r>
              <w:rPr>
                <w:color w:val="000000" w:themeColor="text1"/>
              </w:rPr>
            </w:r>
            <w:r>
              <w:rPr>
                <w:color w:val="000000" w:themeColor="text1"/>
              </w:rPr>
            </w:r>
          </w:p>
        </w:tc>
        <w:tc>
          <w:tcPr>
            <w:tcBorders/>
            <w:tcW w:w="2160" w:type="dxa"/>
            <w:textDirection w:val="lrTb"/>
            <w:noWrap w:val="false"/>
          </w:tcPr>
          <w:p w14:paraId="1C6071C5">
            <w:pPr>
              <w:pBdr/>
              <w:spacing w:after="0" w:before="0" w:line="240" w:lineRule="auto"/>
              <w:ind/>
              <w:rPr>
                <w:color w:val="000000" w:themeColor="text1"/>
              </w:rPr>
            </w:pPr>
            <w:r>
              <w:rPr>
                <w:rFonts w:ascii="Arial" w:hAnsi="Arial" w:eastAsia="Arial" w:cs="Arial"/>
                <w:color w:val="000000" w:themeColor="text1"/>
                <w:sz w:val="21"/>
              </w:rPr>
              <w:t xml:space="preserve">Ordinal robustness and severe-class control</w:t>
            </w:r>
            <w:r>
              <w:rPr>
                <w:color w:val="000000" w:themeColor="text1"/>
              </w:rPr>
            </w:r>
            <w:r>
              <w:rPr>
                <w:color w:val="000000" w:themeColor="text1"/>
              </w:rPr>
            </w:r>
          </w:p>
        </w:tc>
      </w:tr>
      <w:tr>
        <w:trPr/>
        <w:tc>
          <w:tcPr>
            <w:tcBorders/>
            <w:tcW w:w="2160" w:type="dxa"/>
            <w:textDirection w:val="lrTb"/>
            <w:noWrap w:val="false"/>
          </w:tcPr>
          <w:p w14:paraId="636DB0FA">
            <w:pPr>
              <w:pBdr/>
              <w:spacing w:after="0" w:before="0" w:line="240" w:lineRule="auto"/>
              <w:ind/>
              <w:rPr>
                <w:color w:val="000000" w:themeColor="text1"/>
              </w:rPr>
            </w:pPr>
            <w:r>
              <w:rPr>
                <w:rFonts w:ascii="Arial" w:hAnsi="Arial" w:eastAsia="Arial" w:cs="Arial"/>
                <w:color w:val="000000" w:themeColor="text1"/>
                <w:sz w:val="21"/>
              </w:rPr>
              <w:t xml:space="preserve">Narrative explanation for clinician</w:t>
            </w:r>
            <w:r>
              <w:rPr>
                <w:color w:val="000000" w:themeColor="text1"/>
              </w:rPr>
            </w:r>
            <w:r>
              <w:rPr>
                <w:color w:val="000000" w:themeColor="text1"/>
              </w:rPr>
            </w:r>
          </w:p>
        </w:tc>
        <w:tc>
          <w:tcPr>
            <w:tcBorders/>
            <w:tcW w:w="2160" w:type="dxa"/>
            <w:textDirection w:val="lrTb"/>
            <w:noWrap w:val="false"/>
          </w:tcPr>
          <w:p w14:paraId="56B2AB92">
            <w:pPr>
              <w:pBdr/>
              <w:spacing w:after="0" w:before="0" w:line="240" w:lineRule="auto"/>
              <w:ind/>
              <w:rPr>
                <w:color w:val="000000" w:themeColor="text1"/>
              </w:rPr>
            </w:pPr>
            <w:r>
              <w:rPr>
                <w:rFonts w:ascii="Arial" w:hAnsi="Arial" w:eastAsia="Arial" w:cs="Arial"/>
                <w:color w:val="000000" w:themeColor="text1"/>
                <w:sz w:val="21"/>
              </w:rPr>
              <w:t xml:space="preserve">Open text</w:t>
            </w:r>
            <w:r>
              <w:rPr>
                <w:color w:val="000000" w:themeColor="text1"/>
              </w:rPr>
            </w:r>
            <w:r>
              <w:rPr>
                <w:color w:val="000000" w:themeColor="text1"/>
              </w:rPr>
            </w:r>
          </w:p>
        </w:tc>
        <w:tc>
          <w:tcPr>
            <w:tcBorders/>
            <w:tcW w:w="2160" w:type="dxa"/>
            <w:textDirection w:val="lrTb"/>
            <w:noWrap w:val="false"/>
          </w:tcPr>
          <w:p w14:paraId="6CE9D064">
            <w:pPr>
              <w:pBdr/>
              <w:spacing w:after="0" w:before="0" w:line="240" w:lineRule="auto"/>
              <w:ind/>
              <w:rPr>
                <w:color w:val="000000" w:themeColor="text1"/>
              </w:rPr>
            </w:pPr>
            <w:r>
              <w:rPr>
                <w:rFonts w:ascii="Arial" w:hAnsi="Arial" w:eastAsia="Arial" w:cs="Arial"/>
                <w:color w:val="000000" w:themeColor="text1"/>
                <w:sz w:val="21"/>
              </w:rPr>
              <w:t xml:space="preserve">Generative MLLM with grounding checks</w:t>
            </w:r>
            <w:r>
              <w:rPr>
                <w:color w:val="000000" w:themeColor="text1"/>
              </w:rPr>
            </w:r>
            <w:r>
              <w:rPr>
                <w:color w:val="000000" w:themeColor="text1"/>
              </w:rPr>
            </w:r>
          </w:p>
        </w:tc>
        <w:tc>
          <w:tcPr>
            <w:tcBorders/>
            <w:tcW w:w="2160" w:type="dxa"/>
            <w:textDirection w:val="lrTb"/>
            <w:noWrap w:val="false"/>
          </w:tcPr>
          <w:p w14:paraId="7ADFDE73">
            <w:pPr>
              <w:pBdr/>
              <w:spacing w:after="0" w:before="0" w:line="240" w:lineRule="auto"/>
              <w:ind/>
              <w:rPr>
                <w:color w:val="000000" w:themeColor="text1"/>
              </w:rPr>
            </w:pPr>
            <w:r>
              <w:rPr>
                <w:rFonts w:ascii="Arial" w:hAnsi="Arial" w:eastAsia="Arial" w:cs="Arial"/>
                <w:color w:val="000000" w:themeColor="text1"/>
                <w:sz w:val="21"/>
              </w:rPr>
              <w:t xml:space="preserve">Better usability, but must be constrained</w:t>
            </w:r>
            <w:r>
              <w:rPr>
                <w:color w:val="000000" w:themeColor="text1"/>
              </w:rPr>
            </w:r>
            <w:r>
              <w:rPr>
                <w:color w:val="000000" w:themeColor="text1"/>
              </w:rPr>
            </w:r>
          </w:p>
        </w:tc>
      </w:tr>
      <w:tr>
        <w:trPr/>
        <w:tc>
          <w:tcPr>
            <w:tcBorders/>
            <w:tcW w:w="2160" w:type="dxa"/>
            <w:textDirection w:val="lrTb"/>
            <w:noWrap w:val="false"/>
          </w:tcPr>
          <w:p w14:paraId="2E97B688">
            <w:pPr>
              <w:pBdr/>
              <w:spacing w:after="0" w:before="0" w:line="240" w:lineRule="auto"/>
              <w:ind/>
              <w:rPr>
                <w:color w:val="000000" w:themeColor="text1"/>
              </w:rPr>
            </w:pPr>
            <w:r>
              <w:rPr>
                <w:rFonts w:ascii="Arial" w:hAnsi="Arial" w:eastAsia="Arial" w:cs="Arial"/>
                <w:color w:val="000000" w:themeColor="text1"/>
                <w:sz w:val="21"/>
              </w:rPr>
              <w:t xml:space="preserve">Evidence-linked management query</w:t>
            </w:r>
            <w:r>
              <w:rPr>
                <w:color w:val="000000" w:themeColor="text1"/>
              </w:rPr>
            </w:r>
            <w:r>
              <w:rPr>
                <w:color w:val="000000" w:themeColor="text1"/>
              </w:rPr>
            </w:r>
          </w:p>
        </w:tc>
        <w:tc>
          <w:tcPr>
            <w:tcBorders/>
            <w:tcW w:w="2160" w:type="dxa"/>
            <w:textDirection w:val="lrTb"/>
            <w:noWrap w:val="false"/>
          </w:tcPr>
          <w:p w14:paraId="6C05A3D2">
            <w:pPr>
              <w:pBdr/>
              <w:spacing w:after="0" w:before="0" w:line="240" w:lineRule="auto"/>
              <w:ind/>
              <w:rPr>
                <w:color w:val="000000" w:themeColor="text1"/>
              </w:rPr>
            </w:pPr>
            <w:r>
              <w:rPr>
                <w:rFonts w:ascii="Arial" w:hAnsi="Arial" w:eastAsia="Arial" w:cs="Arial"/>
                <w:color w:val="000000" w:themeColor="text1"/>
                <w:sz w:val="21"/>
              </w:rPr>
              <w:t xml:space="preserve">Open text + evidence</w:t>
            </w:r>
            <w:r>
              <w:rPr>
                <w:color w:val="000000" w:themeColor="text1"/>
              </w:rPr>
            </w:r>
            <w:r>
              <w:rPr>
                <w:color w:val="000000" w:themeColor="text1"/>
              </w:rPr>
            </w:r>
          </w:p>
        </w:tc>
        <w:tc>
          <w:tcPr>
            <w:tcBorders/>
            <w:tcW w:w="2160" w:type="dxa"/>
            <w:textDirection w:val="lrTb"/>
            <w:noWrap w:val="false"/>
          </w:tcPr>
          <w:p w14:paraId="303A9E0B">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generation</w:t>
            </w:r>
            <w:r>
              <w:rPr>
                <w:color w:val="000000" w:themeColor="text1"/>
              </w:rPr>
            </w:r>
            <w:r>
              <w:rPr>
                <w:color w:val="000000" w:themeColor="text1"/>
              </w:rPr>
            </w:r>
          </w:p>
        </w:tc>
        <w:tc>
          <w:tcPr>
            <w:tcBorders/>
            <w:tcW w:w="2160" w:type="dxa"/>
            <w:textDirection w:val="lrTb"/>
            <w:noWrap w:val="false"/>
          </w:tcPr>
          <w:p w14:paraId="53586723">
            <w:pPr>
              <w:pBdr/>
              <w:spacing w:after="0" w:before="0" w:line="240" w:lineRule="auto"/>
              <w:ind/>
              <w:rPr>
                <w:color w:val="000000" w:themeColor="text1"/>
              </w:rPr>
            </w:pPr>
            <w:r>
              <w:rPr>
                <w:rFonts w:ascii="Arial" w:hAnsi="Arial" w:eastAsia="Arial" w:cs="Arial"/>
                <w:color w:val="000000" w:themeColor="text1"/>
                <w:sz w:val="21"/>
              </w:rPr>
              <w:t xml:space="preserve">Useful only when core visual answer is reliable</w:t>
            </w:r>
            <w:r>
              <w:rPr>
                <w:color w:val="000000" w:themeColor="text1"/>
              </w:rPr>
            </w:r>
            <w:r>
              <w:rPr>
                <w:color w:val="000000" w:themeColor="text1"/>
              </w:rPr>
            </w:r>
          </w:p>
        </w:tc>
      </w:tr>
    </w:tbl>
    <w:p w14:paraId="3C813162">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14E5259">
      <w:pPr>
        <w:pStyle w:val="1056"/>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2.8 2024-2026 Trends in MedVQA Research</w:t>
      </w:r>
      <w:r>
        <w:rPr>
          <w:b/>
          <w:bCs/>
          <w:sz w:val="28"/>
          <w:szCs w:val="28"/>
        </w:rPr>
      </w:r>
      <w:r>
        <w:rPr>
          <w:b/>
          <w:bCs/>
          <w:sz w:val="28"/>
          <w:szCs w:val="28"/>
        </w:rPr>
      </w:r>
    </w:p>
    <w:p w14:paraId="5CE47346">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literature indicates several important shifts.</w:t>
      </w:r>
      <w:r>
        <w:rPr>
          <w:rFonts w:ascii="Arial" w:hAnsi="Arial" w:eastAsia="Arial" w:cs="Arial"/>
          <w:b w:val="0"/>
          <w:bCs w:val="0"/>
          <w:i w:val="0"/>
          <w:caps w:val="0"/>
          <w:smallCaps w:val="0"/>
          <w:color w:val="000000" w:themeColor="text1" w:themeTint="FF" w:themeShade="FF"/>
          <w:sz w:val="22"/>
          <w:szCs w:val="22"/>
        </w:rPr>
      </w:r>
      <w:r/>
    </w:p>
    <w:p w14:paraId="47E90F30">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2.8.1 From Single-Image QA to Multi-Image Reasoning</w:t>
      </w:r>
      <w:r>
        <w:rPr>
          <w:b/>
          <w:bCs/>
        </w:rPr>
      </w:r>
      <w:r>
        <w:rPr>
          <w:b/>
          <w:bCs/>
        </w:rPr>
      </w:r>
    </w:p>
    <w:p w14:paraId="67782F47">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MedFrameQA shows that multi-image clinical reasoning remains difficult for current MLLMs and exposes a gap between benchmark fluency and longitudinal diagnostic reasoning; notably, the benchmark received an updated arXiv revision in February 2026 [10].</w:t>
      </w:r>
      <w:r>
        <w:rPr>
          <w:rFonts w:ascii="Arial" w:hAnsi="Arial" w:eastAsia="Arial" w:cs="Arial"/>
          <w:b w:val="0"/>
          <w:bCs w:val="0"/>
          <w:i w:val="0"/>
          <w:caps w:val="0"/>
          <w:smallCaps w:val="0"/>
          <w:color w:val="000000" w:themeColor="text1" w:themeTint="FF" w:themeShade="FF"/>
          <w:sz w:val="22"/>
          <w:szCs w:val="22"/>
        </w:rPr>
      </w:r>
      <w:r/>
    </w:p>
    <w:p w14:paraId="32AEA805">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2.8.2 From Benchmark Accuracy to Reliability Stress Testing</w:t>
      </w:r>
      <w:r>
        <w:rPr>
          <w:b/>
          <w:bCs/>
        </w:rPr>
      </w:r>
      <w:r>
        <w:rPr>
          <w:b/>
          <w:bCs/>
        </w:rPr>
      </w:r>
    </w:p>
    <w:p w14:paraId="70990B2A">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ProbMed-style probing demonstrates that high benchmark scores can hide brittle behavior under controlled perturbations [11]. SMMILE similarly highlights fragility in multimodal in-context learning [12].</w:t>
      </w:r>
      <w:r>
        <w:rPr>
          <w:rFonts w:ascii="Arial" w:hAnsi="Arial" w:eastAsia="Arial" w:cs="Arial"/>
          <w:b w:val="0"/>
          <w:bCs w:val="0"/>
          <w:i w:val="0"/>
          <w:caps w:val="0"/>
          <w:smallCaps w:val="0"/>
          <w:color w:val="000000" w:themeColor="text1" w:themeTint="FF" w:themeShade="FF"/>
          <w:sz w:val="22"/>
          <w:szCs w:val="22"/>
        </w:rPr>
      </w:r>
      <w:r/>
    </w:p>
    <w:p w14:paraId="32582EF2">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2.8.3 Data-Centric Expansion and Synthetic Pipelines</w:t>
      </w:r>
      <w:r>
        <w:rPr>
          <w:b/>
          <w:bCs/>
        </w:rPr>
      </w:r>
      <w:r>
        <w:rPr>
          <w:b/>
          <w:bCs/>
        </w:rPr>
      </w:r>
    </w:p>
    <w:p w14:paraId="34F47E7A">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New resources increasingly use automated or semi-automated pipelines to scale MedVQA data. This is seen in MedVLSynther-like generator-verifier approaches [13] and challenge tracks that explicitly integrate synthetic data [25].</w:t>
      </w:r>
      <w:r>
        <w:rPr>
          <w:rFonts w:ascii="Arial" w:hAnsi="Arial" w:eastAsia="Arial" w:cs="Arial"/>
          <w:b w:val="0"/>
          <w:bCs w:val="0"/>
          <w:i w:val="0"/>
          <w:caps w:val="0"/>
          <w:smallCaps w:val="0"/>
          <w:color w:val="000000" w:themeColor="text1" w:themeTint="FF" w:themeShade="FF"/>
          <w:sz w:val="22"/>
          <w:szCs w:val="22"/>
        </w:rPr>
      </w:r>
      <w:r/>
    </w:p>
    <w:p w14:paraId="2163B0FB">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2.8.4 Scaling Unified Medical VLMs</w:t>
      </w:r>
      <w:r>
        <w:rPr>
          <w:b/>
          <w:bCs/>
        </w:rPr>
      </w:r>
      <w:r>
        <w:rPr>
          <w:b/>
          <w:bCs/>
        </w:rPr>
      </w:r>
    </w:p>
    <w:p w14:paraId="137344B4">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OmniV-Med and related work aim at unified multimodal medical understanding across 2D/3D/video settings [14]. These models are promising for broad capability, but consistent clinical robustness on specialized GI QA remains an open question.</w:t>
      </w:r>
      <w:r>
        <w:rPr>
          <w:rFonts w:ascii="Arial" w:hAnsi="Arial" w:eastAsia="Arial" w:cs="Arial"/>
          <w:b w:val="0"/>
          <w:bCs w:val="0"/>
          <w:i w:val="0"/>
          <w:caps w:val="0"/>
          <w:smallCaps w:val="0"/>
          <w:color w:val="000000" w:themeColor="text1" w:themeTint="FF" w:themeShade="FF"/>
          <w:sz w:val="22"/>
          <w:szCs w:val="22"/>
        </w:rPr>
      </w:r>
      <w:r/>
    </w:p>
    <w:p w14:paraId="342CD601">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2.8.5 Explainability as a First-Class Objective</w:t>
      </w:r>
      <w:r>
        <w:rPr>
          <w:b/>
          <w:bCs/>
        </w:rPr>
      </w:r>
      <w:r>
        <w:rPr>
          <w:b/>
          <w:bCs/>
        </w:rPr>
      </w:r>
    </w:p>
    <w:p w14:paraId="0D167F3D">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GI challenge design in 2025 formalized explanation quality and clinical relevance as evaluation targets, not optional analysis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lang w:val="en-US"/>
        </w:rPr>
        <w:t xml:space="preserve">2</w:t>
      </w:r>
      <w:r>
        <w:rPr>
          <w:rFonts w:ascii="Arial" w:hAnsi="Arial" w:eastAsia="Arial" w:cs="Arial"/>
          <w:b w:val="0"/>
          <w:bCs w:val="0"/>
          <w:i w:val="0"/>
          <w:caps w:val="0"/>
          <w:smallCaps w:val="0"/>
          <w:color w:val="000000" w:themeColor="text1" w:themeTint="FF" w:themeShade="FF"/>
          <w:sz w:val="22"/>
          <w:szCs w:val="22"/>
        </w:rPr>
        <w:t xml:space="preserve">6], [27]. This marks a practical shift toward clinician-facing trust criteria.</w:t>
      </w:r>
      <w:r>
        <w:rPr>
          <w:rFonts w:ascii="Arial" w:hAnsi="Arial" w:eastAsia="Arial" w:cs="Arial"/>
          <w:b w:val="0"/>
          <w:bCs w:val="0"/>
          <w:i w:val="0"/>
          <w:caps w:val="0"/>
          <w:smallCaps w:val="0"/>
          <w:color w:val="000000" w:themeColor="text1" w:themeTint="FF" w:themeShade="FF"/>
          <w:sz w:val="22"/>
          <w:szCs w:val="22"/>
        </w:rPr>
      </w:r>
      <w:r/>
    </w:p>
    <w:p w14:paraId="1440D9B2">
      <w:pPr>
        <w:pStyle w:val="1056"/>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2.9 Evidence Triangulation with Repository Results</w:t>
      </w:r>
      <w:r>
        <w:rPr>
          <w:b/>
          <w:bCs/>
          <w:sz w:val="28"/>
          <w:szCs w:val="28"/>
        </w:rPr>
      </w:r>
      <w:r>
        <w:rPr>
          <w:b/>
          <w:bCs/>
          <w:sz w:val="28"/>
          <w:szCs w:val="28"/>
        </w:rPr>
      </w:r>
    </w:p>
    <w:p w14:paraId="13C8F58F">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To avoid a purely narrative survey, this section triangulates literature findings with local persisted artifacts.</w:t>
      </w:r>
      <w:r/>
    </w:p>
    <w:tbl>
      <w:tblPr>
        <w:tblStyle w:val="1113"/>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6BA113AD">
            <w:pPr>
              <w:pBdr/>
              <w:spacing w:after="0" w:before="0" w:line="240" w:lineRule="auto"/>
              <w:ind/>
              <w:rPr>
                <w:color w:val="000000" w:themeColor="text1"/>
              </w:rPr>
            </w:pPr>
            <w:r>
              <w:rPr>
                <w:rFonts w:ascii="Arial" w:hAnsi="Arial" w:eastAsia="Arial" w:cs="Arial"/>
                <w:b/>
                <w:color w:val="000000" w:themeColor="text1"/>
                <w:sz w:val="21"/>
              </w:rPr>
              <w:t xml:space="preserve">Dataset/task (local report)</w:t>
            </w:r>
            <w:r>
              <w:rPr>
                <w:color w:val="000000" w:themeColor="text1"/>
              </w:rPr>
            </w:r>
            <w:r>
              <w:rPr>
                <w:color w:val="000000" w:themeColor="text1"/>
              </w:rPr>
            </w:r>
          </w:p>
        </w:tc>
        <w:tc>
          <w:tcPr>
            <w:tcBorders/>
            <w:tcW w:w="2880" w:type="dxa"/>
            <w:textDirection w:val="lrTb"/>
            <w:noWrap w:val="false"/>
          </w:tcPr>
          <w:p w14:paraId="6DFE6D1F">
            <w:pPr>
              <w:pBdr/>
              <w:spacing w:after="0" w:before="0" w:line="240" w:lineRule="auto"/>
              <w:ind/>
              <w:rPr>
                <w:color w:val="000000" w:themeColor="text1"/>
              </w:rPr>
            </w:pPr>
            <w:r>
              <w:rPr>
                <w:rFonts w:ascii="Arial" w:hAnsi="Arial" w:eastAsia="Arial" w:cs="Arial"/>
                <w:b/>
                <w:color w:val="000000" w:themeColor="text1"/>
                <w:sz w:val="21"/>
              </w:rPr>
              <w:t xml:space="preserve">Representative local signal</w:t>
            </w:r>
            <w:r>
              <w:rPr>
                <w:color w:val="000000" w:themeColor="text1"/>
              </w:rPr>
            </w:r>
            <w:r>
              <w:rPr>
                <w:color w:val="000000" w:themeColor="text1"/>
              </w:rPr>
            </w:r>
          </w:p>
        </w:tc>
        <w:tc>
          <w:tcPr>
            <w:tcBorders/>
            <w:tcW w:w="2880" w:type="dxa"/>
            <w:textDirection w:val="lrTb"/>
            <w:noWrap w:val="false"/>
          </w:tcPr>
          <w:p w14:paraId="57DFACB7">
            <w:pPr>
              <w:pBdr/>
              <w:spacing w:after="0" w:before="0" w:line="240" w:lineRule="auto"/>
              <w:ind/>
              <w:rPr>
                <w:color w:val="000000" w:themeColor="text1"/>
              </w:rPr>
            </w:pPr>
            <w:r>
              <w:rPr>
                <w:rFonts w:ascii="Arial" w:hAnsi="Arial" w:eastAsia="Arial" w:cs="Arial"/>
                <w:b/>
                <w:color w:val="000000" w:themeColor="text1"/>
                <w:sz w:val="21"/>
              </w:rPr>
              <w:t xml:space="preserve">Method implication</w:t>
            </w:r>
            <w:r>
              <w:rPr>
                <w:color w:val="000000" w:themeColor="text1"/>
              </w:rPr>
            </w:r>
            <w:r>
              <w:rPr>
                <w:color w:val="000000" w:themeColor="text1"/>
              </w:rPr>
            </w:r>
          </w:p>
        </w:tc>
      </w:tr>
      <w:tr>
        <w:trPr/>
        <w:tc>
          <w:tcPr>
            <w:tcBorders/>
            <w:tcW w:w="2880" w:type="dxa"/>
            <w:textDirection w:val="lrTb"/>
            <w:noWrap w:val="false"/>
          </w:tcPr>
          <w:p w14:paraId="542604F6">
            <w:pPr>
              <w:pBdr/>
              <w:spacing w:after="0" w:before="0" w:line="240" w:lineRule="auto"/>
              <w:ind/>
              <w:rPr>
                <w:color w:val="000000" w:themeColor="text1"/>
              </w:rPr>
            </w:pPr>
            <w:r>
              <w:rPr>
                <w:rFonts w:ascii="Arial" w:hAnsi="Arial" w:eastAsia="Arial" w:cs="Arial"/>
                <w:color w:val="000000" w:themeColor="text1"/>
                <w:sz w:val="21"/>
              </w:rPr>
              <w:t xml:space="preserve">ImageCLEF MEDVQA-GI 2023 </w:t>
            </w:r>
            <w:r>
              <w:rPr>
                <w:color w:val="000000" w:themeColor="text1"/>
              </w:rPr>
            </w:r>
            <w:r>
              <w:rPr>
                <w:color w:val="000000" w:themeColor="text1"/>
              </w:rPr>
            </w:r>
          </w:p>
        </w:tc>
        <w:tc>
          <w:tcPr>
            <w:tcBorders/>
            <w:tcW w:w="2880" w:type="dxa"/>
            <w:textDirection w:val="lrTb"/>
            <w:noWrap w:val="false"/>
          </w:tcPr>
          <w:p w14:paraId="3B140E70">
            <w:pPr>
              <w:pBdr/>
              <w:spacing w:after="0" w:before="0" w:line="240" w:lineRule="auto"/>
              <w:ind/>
              <w:rPr>
                <w:color w:val="000000" w:themeColor="text1"/>
              </w:rPr>
            </w:pPr>
            <w:r>
              <w:rPr>
                <w:rFonts w:ascii="Arial" w:hAnsi="Arial" w:eastAsia="Arial" w:cs="Arial"/>
                <w:color w:val="000000" w:themeColor="text1"/>
                <w:sz w:val="21"/>
              </w:rPr>
              <w:t xml:space="preserve">ViLT fine-tune val accuracy 0.9089, macro-F1 0.5823; zero-shot Qwen raw near-zero accuracy</w:t>
            </w:r>
            <w:r>
              <w:rPr>
                <w:color w:val="000000" w:themeColor="text1"/>
              </w:rPr>
            </w:r>
            <w:r>
              <w:rPr>
                <w:color w:val="000000" w:themeColor="text1"/>
              </w:rPr>
            </w:r>
          </w:p>
        </w:tc>
        <w:tc>
          <w:tcPr>
            <w:tcBorders/>
            <w:tcW w:w="2880" w:type="dxa"/>
            <w:textDirection w:val="lrTb"/>
            <w:noWrap w:val="false"/>
          </w:tcPr>
          <w:p w14:paraId="5D93638D">
            <w:pPr>
              <w:pBdr/>
              <w:spacing w:after="0" w:before="0" w:line="240" w:lineRule="auto"/>
              <w:ind/>
              <w:rPr>
                <w:color w:val="000000" w:themeColor="text1"/>
              </w:rPr>
            </w:pPr>
            <w:r>
              <w:rPr>
                <w:rFonts w:ascii="Arial" w:hAnsi="Arial" w:eastAsia="Arial" w:cs="Arial"/>
                <w:color w:val="000000" w:themeColor="text1"/>
                <w:sz w:val="21"/>
              </w:rPr>
              <w:t xml:space="preserve">Closed-set tuned models remain stronger than raw zero-shot generation in this setting</w:t>
            </w:r>
            <w:r>
              <w:rPr>
                <w:color w:val="000000" w:themeColor="text1"/>
              </w:rPr>
            </w:r>
            <w:r>
              <w:rPr>
                <w:color w:val="000000" w:themeColor="text1"/>
              </w:rPr>
            </w:r>
          </w:p>
        </w:tc>
      </w:tr>
      <w:tr>
        <w:trPr/>
        <w:tc>
          <w:tcPr>
            <w:tcBorders/>
            <w:tcW w:w="2880" w:type="dxa"/>
            <w:textDirection w:val="lrTb"/>
            <w:noWrap w:val="false"/>
          </w:tcPr>
          <w:p w14:paraId="5BE04B67">
            <w:pPr>
              <w:pBdr/>
              <w:spacing w:after="0" w:before="0" w:line="240" w:lineRule="auto"/>
              <w:ind/>
              <w:rPr>
                <w:color w:val="000000" w:themeColor="text1"/>
              </w:rPr>
            </w:pPr>
            <w:r>
              <w:rPr>
                <w:rFonts w:ascii="Arial" w:hAnsi="Arial" w:eastAsia="Arial" w:cs="Arial"/>
                <w:color w:val="000000" w:themeColor="text1"/>
                <w:sz w:val="21"/>
              </w:rPr>
              <w:t xml:space="preserve">HyperKvasir 23-class </w:t>
            </w:r>
            <w:r>
              <w:rPr>
                <w:color w:val="000000" w:themeColor="text1"/>
              </w:rPr>
            </w:r>
            <w:r>
              <w:rPr>
                <w:color w:val="000000" w:themeColor="text1"/>
              </w:rPr>
            </w:r>
          </w:p>
        </w:tc>
        <w:tc>
          <w:tcPr>
            <w:tcBorders/>
            <w:tcW w:w="2880" w:type="dxa"/>
            <w:textDirection w:val="lrTb"/>
            <w:noWrap w:val="false"/>
          </w:tcPr>
          <w:p w14:paraId="3D35F28A">
            <w:pPr>
              <w:pBdr/>
              <w:spacing w:after="0" w:before="0" w:line="240" w:lineRule="auto"/>
              <w:ind/>
              <w:rPr>
                <w:color w:val="000000" w:themeColor="text1"/>
              </w:rPr>
            </w:pPr>
            <w:r>
              <w:rPr>
                <w:rFonts w:ascii="Arial" w:hAnsi="Arial" w:eastAsia="Arial" w:cs="Arial"/>
                <w:color w:val="000000" w:themeColor="text1"/>
                <w:sz w:val="21"/>
              </w:rPr>
              <w:t xml:space="preserve">ResNet50 supervised outperforms saved zero-shot generative baseline by large margin</w:t>
            </w:r>
            <w:r>
              <w:rPr>
                <w:color w:val="000000" w:themeColor="text1"/>
              </w:rPr>
            </w:r>
            <w:r>
              <w:rPr>
                <w:color w:val="000000" w:themeColor="text1"/>
              </w:rPr>
            </w:r>
          </w:p>
        </w:tc>
        <w:tc>
          <w:tcPr>
            <w:tcBorders/>
            <w:tcW w:w="2880" w:type="dxa"/>
            <w:textDirection w:val="lrTb"/>
            <w:noWrap w:val="false"/>
          </w:tcPr>
          <w:p w14:paraId="04298FF7">
            <w:pPr>
              <w:pBdr/>
              <w:spacing w:after="0" w:before="0" w:line="240" w:lineRule="auto"/>
              <w:ind/>
              <w:rPr>
                <w:color w:val="000000" w:themeColor="text1"/>
              </w:rPr>
            </w:pPr>
            <w:r>
              <w:rPr>
                <w:rFonts w:ascii="Arial" w:hAnsi="Arial" w:eastAsia="Arial" w:cs="Arial"/>
                <w:color w:val="000000" w:themeColor="text1"/>
                <w:sz w:val="21"/>
              </w:rPr>
              <w:t xml:space="preserve">Robust supervised visual encoders remain critical for GI grounding</w:t>
            </w:r>
            <w:r>
              <w:rPr>
                <w:color w:val="000000" w:themeColor="text1"/>
              </w:rPr>
            </w:r>
            <w:r>
              <w:rPr>
                <w:color w:val="000000" w:themeColor="text1"/>
              </w:rPr>
            </w:r>
          </w:p>
        </w:tc>
      </w:tr>
      <w:tr>
        <w:trPr/>
        <w:tc>
          <w:tcPr>
            <w:tcBorders/>
            <w:tcW w:w="2880" w:type="dxa"/>
            <w:textDirection w:val="lrTb"/>
            <w:noWrap w:val="false"/>
          </w:tcPr>
          <w:p w14:paraId="5FFC5727">
            <w:pPr>
              <w:pBdr/>
              <w:spacing w:after="0" w:before="0" w:line="240" w:lineRule="auto"/>
              <w:ind/>
              <w:rPr>
                <w:color w:val="000000" w:themeColor="text1"/>
              </w:rPr>
            </w:pPr>
            <w:r>
              <w:rPr>
                <w:rFonts w:ascii="Arial" w:hAnsi="Arial" w:eastAsia="Arial" w:cs="Arial"/>
                <w:color w:val="000000" w:themeColor="text1"/>
                <w:sz w:val="21"/>
              </w:rPr>
              <w:t xml:space="preserve">Kvasir-VQA </w:t>
            </w:r>
            <w:r>
              <w:rPr>
                <w:color w:val="000000" w:themeColor="text1"/>
              </w:rPr>
            </w:r>
            <w:r>
              <w:rPr>
                <w:color w:val="000000" w:themeColor="text1"/>
              </w:rPr>
            </w:r>
          </w:p>
        </w:tc>
        <w:tc>
          <w:tcPr>
            <w:tcBorders/>
            <w:tcW w:w="2880" w:type="dxa"/>
            <w:textDirection w:val="lrTb"/>
            <w:noWrap w:val="false"/>
          </w:tcPr>
          <w:p w14:paraId="51D58709">
            <w:pPr>
              <w:pBdr/>
              <w:spacing w:after="0" w:before="0" w:line="240" w:lineRule="auto"/>
              <w:ind/>
              <w:rPr>
                <w:color w:val="000000" w:themeColor="text1"/>
              </w:rPr>
            </w:pPr>
            <w:r>
              <w:rPr>
                <w:rFonts w:ascii="Arial" w:hAnsi="Arial" w:eastAsia="Arial" w:cs="Arial"/>
                <w:color w:val="000000" w:themeColor="text1"/>
                <w:sz w:val="21"/>
              </w:rPr>
              <w:t xml:space="preserve">ResNet+GRU yes/no subset reaches high reliability; free generation runs can collapse to unknown outputs</w:t>
            </w:r>
            <w:r>
              <w:rPr>
                <w:color w:val="000000" w:themeColor="text1"/>
              </w:rPr>
            </w:r>
            <w:r>
              <w:rPr>
                <w:color w:val="000000" w:themeColor="text1"/>
              </w:rPr>
            </w:r>
          </w:p>
        </w:tc>
        <w:tc>
          <w:tcPr>
            <w:tcBorders/>
            <w:tcW w:w="2880" w:type="dxa"/>
            <w:textDirection w:val="lrTb"/>
            <w:noWrap w:val="false"/>
          </w:tcPr>
          <w:p w14:paraId="45F660E5">
            <w:pPr>
              <w:pBdr/>
              <w:spacing w:after="0" w:before="0" w:line="240" w:lineRule="auto"/>
              <w:ind/>
              <w:rPr>
                <w:color w:val="000000" w:themeColor="text1"/>
              </w:rPr>
            </w:pPr>
            <w:r>
              <w:rPr>
                <w:rFonts w:ascii="Arial" w:hAnsi="Arial" w:eastAsia="Arial" w:cs="Arial"/>
                <w:color w:val="000000" w:themeColor="text1"/>
                <w:sz w:val="21"/>
              </w:rPr>
              <w:t xml:space="preserve">Constrained answer spaces remain highly effective for deterministic clinical sub-questions</w:t>
            </w:r>
            <w:r>
              <w:rPr>
                <w:color w:val="000000" w:themeColor="text1"/>
              </w:rPr>
            </w:r>
            <w:r>
              <w:rPr>
                <w:color w:val="000000" w:themeColor="text1"/>
              </w:rPr>
            </w:r>
          </w:p>
        </w:tc>
      </w:tr>
      <w:tr>
        <w:trPr/>
        <w:tc>
          <w:tcPr>
            <w:tcBorders/>
            <w:tcW w:w="2880" w:type="dxa"/>
            <w:textDirection w:val="lrTb"/>
            <w:noWrap w:val="false"/>
          </w:tcPr>
          <w:p w14:paraId="13C4E16E">
            <w:pPr>
              <w:pBdr/>
              <w:spacing w:after="0" w:before="0" w:line="240" w:lineRule="auto"/>
              <w:ind/>
              <w:rPr>
                <w:color w:val="000000" w:themeColor="text1"/>
              </w:rPr>
            </w:pPr>
            <w:r>
              <w:rPr>
                <w:rFonts w:ascii="Arial" w:hAnsi="Arial" w:eastAsia="Arial" w:cs="Arial"/>
                <w:color w:val="000000" w:themeColor="text1"/>
                <w:sz w:val="21"/>
              </w:rPr>
              <w:t xml:space="preserve">Kvasir-VQA-x1 </w:t>
            </w:r>
            <w:r>
              <w:rPr>
                <w:color w:val="000000" w:themeColor="text1"/>
              </w:rPr>
            </w:r>
            <w:r>
              <w:rPr>
                <w:color w:val="000000" w:themeColor="text1"/>
              </w:rPr>
            </w:r>
          </w:p>
        </w:tc>
        <w:tc>
          <w:tcPr>
            <w:tcBorders/>
            <w:tcW w:w="2880" w:type="dxa"/>
            <w:textDirection w:val="lrTb"/>
            <w:noWrap w:val="false"/>
          </w:tcPr>
          <w:p w14:paraId="54B34E26">
            <w:pPr>
              <w:pBdr/>
              <w:spacing w:after="0" w:before="0" w:line="240" w:lineRule="auto"/>
              <w:ind/>
              <w:rPr>
                <w:color w:val="000000" w:themeColor="text1"/>
              </w:rPr>
            </w:pPr>
            <w:r>
              <w:rPr>
                <w:rFonts w:ascii="Arial" w:hAnsi="Arial" w:eastAsia="Arial" w:cs="Arial"/>
                <w:color w:val="000000" w:themeColor="text1"/>
                <w:sz w:val="21"/>
              </w:rPr>
              <w:t xml:space="preserve">LoRA improves token-level generative metrics; exact-match remains challenging</w:t>
            </w:r>
            <w:r>
              <w:rPr>
                <w:color w:val="000000" w:themeColor="text1"/>
              </w:rPr>
            </w:r>
            <w:r>
              <w:rPr>
                <w:color w:val="000000" w:themeColor="text1"/>
              </w:rPr>
            </w:r>
          </w:p>
        </w:tc>
        <w:tc>
          <w:tcPr>
            <w:tcBorders/>
            <w:tcW w:w="2880" w:type="dxa"/>
            <w:textDirection w:val="lrTb"/>
            <w:noWrap w:val="false"/>
          </w:tcPr>
          <w:p w14:paraId="1E686707">
            <w:pPr>
              <w:pBdr/>
              <w:spacing w:after="0" w:before="0" w:line="240" w:lineRule="auto"/>
              <w:ind/>
              <w:rPr>
                <w:color w:val="000000" w:themeColor="text1"/>
              </w:rPr>
            </w:pPr>
            <w:r>
              <w:rPr>
                <w:rFonts w:ascii="Arial" w:hAnsi="Arial" w:eastAsia="Arial" w:cs="Arial"/>
                <w:color w:val="000000" w:themeColor="text1"/>
                <w:sz w:val="21"/>
              </w:rPr>
              <w:t xml:space="preserve">Reasoning-rich QA increases complexity; output normalization and grounding are central</w:t>
            </w:r>
            <w:r>
              <w:rPr>
                <w:color w:val="000000" w:themeColor="text1"/>
              </w:rPr>
            </w:r>
            <w:r>
              <w:rPr>
                <w:color w:val="000000" w:themeColor="text1"/>
              </w:rPr>
            </w:r>
          </w:p>
        </w:tc>
      </w:tr>
      <w:tr>
        <w:trPr/>
        <w:tc>
          <w:tcPr>
            <w:tcBorders/>
            <w:tcW w:w="2880" w:type="dxa"/>
            <w:textDirection w:val="lrTb"/>
            <w:noWrap w:val="false"/>
          </w:tcPr>
          <w:p w14:paraId="467BFADC">
            <w:pPr>
              <w:pBdr/>
              <w:spacing w:after="0" w:before="0" w:line="240" w:lineRule="auto"/>
              <w:ind/>
              <w:rPr>
                <w:color w:val="000000" w:themeColor="text1"/>
              </w:rPr>
            </w:pPr>
            <w:r>
              <w:rPr>
                <w:rFonts w:ascii="Arial" w:hAnsi="Arial" w:eastAsia="Arial" w:cs="Arial"/>
                <w:color w:val="000000" w:themeColor="text1"/>
                <w:sz w:val="21"/>
              </w:rPr>
              <w:t xml:space="preserve">LIMUC severity </w:t>
            </w:r>
            <w:r>
              <w:rPr>
                <w:color w:val="000000" w:themeColor="text1"/>
              </w:rPr>
            </w:r>
            <w:r>
              <w:rPr>
                <w:color w:val="000000" w:themeColor="text1"/>
              </w:rPr>
            </w:r>
          </w:p>
        </w:tc>
        <w:tc>
          <w:tcPr>
            <w:tcBorders/>
            <w:tcW w:w="2880" w:type="dxa"/>
            <w:textDirection w:val="lrTb"/>
            <w:noWrap w:val="false"/>
          </w:tcPr>
          <w:p w14:paraId="3E42BFC8">
            <w:pPr>
              <w:pBdr/>
              <w:spacing w:after="0" w:before="0" w:line="240" w:lineRule="auto"/>
              <w:ind/>
              <w:rPr>
                <w:color w:val="000000" w:themeColor="text1"/>
              </w:rPr>
            </w:pPr>
            <w:r>
              <w:rPr>
                <w:rFonts w:ascii="Arial" w:hAnsi="Arial" w:eastAsia="Arial" w:cs="Arial"/>
                <w:color w:val="000000" w:themeColor="text1"/>
                <w:sz w:val="21"/>
              </w:rPr>
              <w:t xml:space="preserve">Fine-tuned ResNet50 leads macro-F1 and QWK; zero-shot VLM underperforms severe-class reliability</w:t>
            </w:r>
            <w:r>
              <w:rPr>
                <w:color w:val="000000" w:themeColor="text1"/>
              </w:rPr>
            </w:r>
            <w:r>
              <w:rPr>
                <w:color w:val="000000" w:themeColor="text1"/>
              </w:rPr>
            </w:r>
          </w:p>
        </w:tc>
        <w:tc>
          <w:tcPr>
            <w:tcBorders/>
            <w:tcW w:w="2880" w:type="dxa"/>
            <w:textDirection w:val="lrTb"/>
            <w:noWrap w:val="false"/>
          </w:tcPr>
          <w:p w14:paraId="7A08B005">
            <w:pPr>
              <w:pBdr/>
              <w:spacing w:after="0" w:before="0" w:line="240" w:lineRule="auto"/>
              <w:ind/>
              <w:rPr>
                <w:color w:val="000000" w:themeColor="text1"/>
              </w:rPr>
            </w:pPr>
            <w:r>
              <w:rPr>
                <w:rFonts w:ascii="Arial" w:hAnsi="Arial" w:eastAsia="Arial" w:cs="Arial"/>
                <w:color w:val="000000" w:themeColor="text1"/>
                <w:sz w:val="21"/>
              </w:rPr>
              <w:t xml:space="preserve">UC severity tasks favor domain-tuned supervised pipelines with ordinal-aware evaluation</w:t>
            </w:r>
            <w:r>
              <w:rPr>
                <w:color w:val="000000" w:themeColor="text1"/>
              </w:rPr>
            </w:r>
            <w:r>
              <w:rPr>
                <w:color w:val="000000" w:themeColor="text1"/>
              </w:rPr>
            </w:r>
          </w:p>
        </w:tc>
      </w:tr>
    </w:tbl>
    <w:p w14:paraId="7E82BEBE">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tab/>
      </w:r>
      <w:r>
        <w:rPr>
          <w:rFonts w:ascii="Arial" w:hAnsi="Arial" w:eastAsia="Arial" w:cs="Arial"/>
          <w:b w:val="0"/>
          <w:bCs w:val="0"/>
          <w:i w:val="0"/>
          <w:caps w:val="0"/>
          <w:smallCaps w:val="0"/>
          <w:color w:val="000000" w:themeColor="text1" w:themeTint="FF" w:themeShade="FF"/>
          <w:sz w:val="22"/>
          <w:szCs w:val="22"/>
        </w:rPr>
        <w:t xml:space="preserve">Table 2.9. Repository Evidence Snapshot and Method Implications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851EB46">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2.9.2 Interpretation</w:t>
      </w:r>
      <w:r>
        <w:rPr>
          <w:b/>
          <w:bCs/>
        </w:rPr>
      </w:r>
      <w:r>
        <w:rPr>
          <w:b/>
          <w:bCs/>
        </w:rPr>
      </w:r>
    </w:p>
    <w:p w14:paraId="1ECA3693">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local results align with broader literature:</w:t>
      </w:r>
      <w:r>
        <w:rPr>
          <w:rFonts w:ascii="Arial" w:hAnsi="Arial" w:eastAsia="Arial" w:cs="Arial"/>
          <w:b w:val="0"/>
          <w:bCs w:val="0"/>
          <w:i w:val="0"/>
          <w:caps w:val="0"/>
          <w:smallCaps w:val="0"/>
          <w:color w:val="000000" w:themeColor="text1" w:themeTint="FF" w:themeShade="FF"/>
          <w:sz w:val="22"/>
          <w:szCs w:val="22"/>
        </w:rPr>
      </w:r>
      <w:r/>
    </w:p>
    <w:p w14:paraId="7CB992DC">
      <w:pPr>
        <w:pStyle w:val="1056"/>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constrained/fine-tuned pipelines are still the reliability baseline in GI tasks;</w:t>
      </w:r>
      <w:r/>
    </w:p>
    <w:p w14:paraId="4EF1847C">
      <w:pPr>
        <w:pStyle w:val="1056"/>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models provide flexibility but require strict controls;</w:t>
      </w:r>
      <w:r/>
    </w:p>
    <w:p w14:paraId="26F1D129">
      <w:pPr>
        <w:pStyle w:val="1056"/>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evaluation must emphasize classwise and severity-aware behavior, not only aggregate scores.</w:t>
      </w:r>
      <w:r/>
    </w:p>
    <w:p w14:paraId="2F6E378E">
      <w:pPr>
        <w:pStyle w:val="1056"/>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2.10 Key Gaps and Open Problems</w:t>
      </w:r>
      <w:r>
        <w:rPr>
          <w:b/>
          <w:bCs/>
          <w:sz w:val="28"/>
          <w:szCs w:val="28"/>
        </w:rPr>
      </w:r>
      <w:r>
        <w:rPr>
          <w:b/>
          <w:bCs/>
          <w:sz w:val="28"/>
          <w:szCs w:val="28"/>
        </w:rPr>
      </w:r>
    </w:p>
    <w:p w14:paraId="165A343F">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2.10.1 Data and Annotation Gaps</w:t>
      </w:r>
      <w:r>
        <w:rPr>
          <w:b/>
          <w:bCs/>
        </w:rPr>
      </w:r>
      <w:r>
        <w:rPr>
          <w:b/>
          <w:bCs/>
        </w:rPr>
      </w:r>
    </w:p>
    <w:p w14:paraId="736F5294">
      <w:pPr>
        <w:pStyle w:val="1056"/>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Severe-class and rare-finding imbalance remains substantial.</w:t>
      </w:r>
      <w:r/>
    </w:p>
    <w:p w14:paraId="007DEECA">
      <w:pPr>
        <w:pStyle w:val="1056"/>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Cross-center, cross-device robustness evidence is still limited for GI VQA.</w:t>
      </w:r>
      <w:r/>
    </w:p>
    <w:p w14:paraId="359BBA8D">
      <w:pPr>
        <w:pStyle w:val="1056"/>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Multi-image/video QA is growing but still comparatively immature.</w:t>
      </w:r>
      <w:r/>
    </w:p>
    <w:p w14:paraId="275BD225">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2.10.2 Model and Grounding Gaps</w:t>
      </w:r>
      <w:r>
        <w:rPr>
          <w:b/>
          <w:bCs/>
        </w:rPr>
      </w:r>
      <w:r>
        <w:rPr>
          <w:b/>
          <w:bCs/>
        </w:rPr>
      </w:r>
    </w:p>
    <w:p w14:paraId="02D2C820">
      <w:pPr>
        <w:pStyle w:val="1056"/>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Open-ended outputs often outpace grounding reliability.</w:t>
      </w:r>
      <w:r/>
    </w:p>
    <w:p w14:paraId="5462D4E3">
      <w:pPr>
        <w:pStyle w:val="1056"/>
        <w:numPr>
          <w:ilvl w:val="0"/>
          <w:numId w:val="35"/>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General-domain zero-shot transfer remains unstable for specialized GI semantics.</w:t>
      </w:r>
      <w:r/>
    </w:p>
    <w:p w14:paraId="604F3B6D">
      <w:pPr>
        <w:pStyle w:val="1056"/>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Explainability outputs are not yet standardized across benchmarks.</w:t>
      </w:r>
      <w:r/>
    </w:p>
    <w:p w14:paraId="2E4EAA34">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2.10.3 Evaluation and Reproducibility Gaps</w:t>
      </w:r>
      <w:r>
        <w:rPr>
          <w:b/>
          <w:bCs/>
        </w:rPr>
      </w:r>
      <w:r>
        <w:rPr>
          <w:b/>
          <w:bCs/>
        </w:rPr>
      </w:r>
    </w:p>
    <w:p w14:paraId="21F7ACDF">
      <w:pPr>
        <w:pStyle w:val="1056"/>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Metric heterogeneity hinders fair cross-study comparison.</w:t>
      </w:r>
      <w:r/>
    </w:p>
    <w:p w14:paraId="3F8EFE60">
      <w:pPr>
        <w:pStyle w:val="1056"/>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Many studies still lack calibration and statistical confidence reporting.</w:t>
      </w:r>
      <w:r/>
    </w:p>
    <w:p w14:paraId="4ACECCA9">
      <w:pPr>
        <w:pStyle w:val="1056"/>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Clinical utility is often inferred indirectly from generic NLP overlap metrics.</w:t>
      </w:r>
      <w:r/>
    </w:p>
    <w:p w14:paraId="49E9E979">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2.10.4 Translational Gaps</w:t>
      </w:r>
      <w:r>
        <w:rPr>
          <w:b/>
          <w:bCs/>
        </w:rPr>
      </w:r>
      <w:r>
        <w:rPr>
          <w:b/>
          <w:bCs/>
        </w:rPr>
      </w:r>
    </w:p>
    <w:p w14:paraId="056EF50C">
      <w:pPr>
        <w:pStyle w:val="1056"/>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Few studies evaluate full clinician-in-the-loop workflows.</w:t>
      </w:r>
      <w:r/>
    </w:p>
    <w:p w14:paraId="58C61128">
      <w:pPr>
        <w:pStyle w:val="1056"/>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Escalation policies for uncertain/high-risk outputs are seldom formalized.</w:t>
      </w:r>
      <w:r/>
    </w:p>
    <w:p w14:paraId="45C18330">
      <w:pPr>
        <w:pStyle w:val="1056"/>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Evidence-aware QA in GI remains promising but early-stage.</w:t>
      </w:r>
      <w:r/>
    </w:p>
    <w:p w14:paraId="422A64BE">
      <w:pPr>
        <w:pStyle w:val="1056"/>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2.10.5 Threats to Validity (for This Survey and Downstream Design)</w:t>
      </w:r>
      <w:r>
        <w:rPr>
          <w:b/>
          <w:bCs/>
        </w:rPr>
      </w:r>
      <w:r>
        <w:rPr>
          <w:b/>
          <w:bCs/>
        </w:rPr>
      </w:r>
    </w:p>
    <w:p w14:paraId="72CE43EA">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he main validity threats relevant to this chapter are: (1) dataset shift across devices/centers and acquisition protocols, (2) annotation variability in endoscopic severity labels, (3) question ambiguity and answer-space normalization effects in generative</w:t>
      </w:r>
      <w:r>
        <w:rPr>
          <w:rFonts w:ascii="Arial" w:hAnsi="Arial" w:eastAsia="Arial" w:cs="Arial"/>
          <w:b w:val="0"/>
          <w:bCs w:val="0"/>
          <w:i w:val="0"/>
          <w:caps w:val="0"/>
          <w:smallCaps w:val="0"/>
          <w:color w:val="000000" w:themeColor="text1" w:themeTint="FF" w:themeShade="FF"/>
          <w:sz w:val="22"/>
          <w:szCs w:val="22"/>
        </w:rPr>
        <w:t xml:space="preserve"> </w:t>
      </w:r>
      <w:r>
        <w:rPr>
          <w:rFonts w:ascii="Arial" w:hAnsi="Arial" w:eastAsia="Arial" w:cs="Arial"/>
          <w:b w:val="0"/>
          <w:bCs w:val="0"/>
          <w:i w:val="0"/>
          <w:caps w:val="0"/>
          <w:smallCaps w:val="0"/>
          <w:color w:val="000000" w:themeColor="text1" w:themeTint="FF" w:themeShade="FF"/>
          <w:sz w:val="22"/>
          <w:szCs w:val="22"/>
        </w:rPr>
        <w:t xml:space="preserve">settings, and (4) metric mismatch, where linguistic overlap does not guarantee clinical correctness. These threats are explicitly carried into the empirical design in later chapters through split-aware evaluation, classwise analysis, and scenario-level acc</w:t>
      </w:r>
      <w:r>
        <w:rPr>
          <w:rFonts w:ascii="Arial" w:hAnsi="Arial" w:eastAsia="Arial" w:cs="Arial"/>
          <w:b w:val="0"/>
          <w:bCs w:val="0"/>
          <w:i w:val="0"/>
          <w:caps w:val="0"/>
          <w:smallCaps w:val="0"/>
          <w:color w:val="000000" w:themeColor="text1" w:themeTint="FF" w:themeShade="FF"/>
          <w:sz w:val="22"/>
          <w:szCs w:val="22"/>
        </w:rPr>
        <w:t xml:space="preserve">eptance checks.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16D49ED8">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13"/>
        <w:tblW w:w="0" w:type="auto"/>
        <w:tblBorders/>
        <w:tblLayout w:type="fixed"/>
        <w:tblLook w:val="04A0" w:firstRow="1" w:lastRow="0" w:firstColumn="1" w:lastColumn="0" w:noHBand="0" w:noVBand="1"/>
      </w:tblPr>
      <w:tblGrid>
        <w:gridCol w:w="2880"/>
        <w:gridCol w:w="5383"/>
      </w:tblGrid>
      <w:tr>
        <w:trPr/>
        <w:tc>
          <w:tcPr>
            <w:tcBorders/>
            <w:tcW w:w="2880" w:type="dxa"/>
            <w:textDirection w:val="lrTb"/>
            <w:noWrap w:val="false"/>
          </w:tcPr>
          <w:p w14:paraId="69C80FCB">
            <w:pPr>
              <w:pBdr/>
              <w:spacing w:after="0" w:before="0" w:line="240" w:lineRule="auto"/>
              <w:ind/>
              <w:rPr>
                <w:color w:val="000000" w:themeColor="text1"/>
              </w:rPr>
            </w:pPr>
            <w:r>
              <w:rPr>
                <w:rFonts w:ascii="Arial" w:hAnsi="Arial" w:eastAsia="Arial" w:cs="Arial"/>
                <w:b/>
                <w:color w:val="000000" w:themeColor="text1"/>
                <w:sz w:val="21"/>
              </w:rPr>
              <w:t xml:space="preserve">Observed gap</w:t>
            </w:r>
            <w:r>
              <w:rPr>
                <w:color w:val="000000" w:themeColor="text1"/>
              </w:rPr>
            </w:r>
            <w:r>
              <w:rPr>
                <w:color w:val="000000" w:themeColor="text1"/>
              </w:rPr>
            </w:r>
          </w:p>
        </w:tc>
        <w:tc>
          <w:tcPr>
            <w:tcBorders/>
            <w:tcW w:w="5383" w:type="dxa"/>
            <w:textDirection w:val="lrTb"/>
            <w:noWrap w:val="false"/>
          </w:tcPr>
          <w:p w14:paraId="28A62CF4">
            <w:pPr>
              <w:pBdr/>
              <w:spacing w:after="0" w:before="0" w:line="240" w:lineRule="auto"/>
              <w:ind/>
              <w:rPr>
                <w:color w:val="000000" w:themeColor="text1"/>
              </w:rPr>
            </w:pPr>
            <w:r>
              <w:rPr>
                <w:rFonts w:ascii="Arial" w:hAnsi="Arial" w:eastAsia="Arial" w:cs="Arial"/>
                <w:b/>
                <w:color w:val="000000" w:themeColor="text1"/>
                <w:sz w:val="21"/>
              </w:rPr>
              <w:t xml:space="preserve">Mitigation in this dissertation</w:t>
            </w:r>
            <w:r>
              <w:rPr>
                <w:color w:val="000000" w:themeColor="text1"/>
              </w:rPr>
            </w:r>
            <w:r>
              <w:rPr>
                <w:color w:val="000000" w:themeColor="text1"/>
              </w:rPr>
            </w:r>
          </w:p>
        </w:tc>
      </w:tr>
      <w:tr>
        <w:trPr/>
        <w:tc>
          <w:tcPr>
            <w:tcBorders/>
            <w:tcW w:w="2880" w:type="dxa"/>
            <w:textDirection w:val="lrTb"/>
            <w:noWrap w:val="false"/>
          </w:tcPr>
          <w:p w14:paraId="268E40AF">
            <w:pPr>
              <w:pBdr/>
              <w:spacing w:after="0" w:before="0" w:line="240" w:lineRule="auto"/>
              <w:ind/>
              <w:rPr>
                <w:color w:val="000000" w:themeColor="text1"/>
              </w:rPr>
            </w:pPr>
            <w:r>
              <w:rPr>
                <w:rFonts w:ascii="Arial" w:hAnsi="Arial" w:eastAsia="Arial" w:cs="Arial"/>
                <w:color w:val="000000" w:themeColor="text1"/>
                <w:sz w:val="21"/>
              </w:rPr>
              <w:t xml:space="preserve">Long-tail severe-class weakness</w:t>
            </w:r>
            <w:r>
              <w:rPr>
                <w:color w:val="000000" w:themeColor="text1"/>
              </w:rPr>
            </w:r>
            <w:r>
              <w:rPr>
                <w:color w:val="000000" w:themeColor="text1"/>
              </w:rPr>
            </w:r>
          </w:p>
        </w:tc>
        <w:tc>
          <w:tcPr>
            <w:tcBorders/>
            <w:tcW w:w="5383" w:type="dxa"/>
            <w:textDirection w:val="lrTb"/>
            <w:noWrap w:val="false"/>
          </w:tcPr>
          <w:p w14:paraId="638AB2E8">
            <w:pPr>
              <w:pBdr/>
              <w:spacing w:after="0" w:before="0" w:line="240" w:lineRule="auto"/>
              <w:ind/>
              <w:rPr>
                <w:color w:val="000000" w:themeColor="text1"/>
              </w:rPr>
            </w:pPr>
            <w:r>
              <w:rPr>
                <w:rFonts w:ascii="Arial" w:hAnsi="Arial" w:eastAsia="Arial" w:cs="Arial"/>
                <w:color w:val="000000" w:themeColor="text1"/>
                <w:sz w:val="21"/>
              </w:rPr>
              <w:t xml:space="preserve">Class-aware and severity-aware evaluation slices (Chapter 3, Chapter 4)</w:t>
            </w:r>
            <w:r>
              <w:rPr>
                <w:color w:val="000000" w:themeColor="text1"/>
              </w:rPr>
            </w:r>
            <w:r>
              <w:rPr>
                <w:color w:val="000000" w:themeColor="text1"/>
              </w:rPr>
            </w:r>
          </w:p>
        </w:tc>
      </w:tr>
      <w:tr>
        <w:trPr/>
        <w:tc>
          <w:tcPr>
            <w:tcBorders/>
            <w:tcW w:w="2880" w:type="dxa"/>
            <w:textDirection w:val="lrTb"/>
            <w:noWrap w:val="false"/>
          </w:tcPr>
          <w:p w14:paraId="55988CCD">
            <w:pPr>
              <w:pBdr/>
              <w:spacing w:after="0" w:before="0" w:line="240" w:lineRule="auto"/>
              <w:ind/>
              <w:rPr>
                <w:color w:val="000000" w:themeColor="text1"/>
              </w:rPr>
            </w:pPr>
            <w:r>
              <w:rPr>
                <w:rFonts w:ascii="Arial" w:hAnsi="Arial" w:eastAsia="Arial" w:cs="Arial"/>
                <w:color w:val="000000" w:themeColor="text1"/>
                <w:sz w:val="21"/>
              </w:rPr>
              <w:t xml:space="preserve">Zero-shot instability in GI</w:t>
            </w:r>
            <w:r>
              <w:rPr>
                <w:color w:val="000000" w:themeColor="text1"/>
              </w:rPr>
            </w:r>
            <w:r>
              <w:rPr>
                <w:color w:val="000000" w:themeColor="text1"/>
              </w:rPr>
            </w:r>
          </w:p>
        </w:tc>
        <w:tc>
          <w:tcPr>
            <w:tcBorders/>
            <w:tcW w:w="5383" w:type="dxa"/>
            <w:textDirection w:val="lrTb"/>
            <w:noWrap w:val="false"/>
          </w:tcPr>
          <w:p w14:paraId="70F9ABCB">
            <w:pPr>
              <w:pBdr/>
              <w:spacing w:after="0" w:before="0" w:line="240" w:lineRule="auto"/>
              <w:ind/>
              <w:rPr>
                <w:color w:val="000000" w:themeColor="text1"/>
              </w:rPr>
            </w:pPr>
            <w:r>
              <w:rPr>
                <w:rFonts w:ascii="Arial" w:hAnsi="Arial" w:eastAsia="Arial" w:cs="Arial"/>
                <w:color w:val="000000" w:themeColor="text1"/>
                <w:sz w:val="21"/>
              </w:rPr>
              <w:t xml:space="preserve">Strong supervised and constrained baselines before open generation extensions</w:t>
            </w:r>
            <w:r>
              <w:rPr>
                <w:color w:val="000000" w:themeColor="text1"/>
              </w:rPr>
            </w:r>
            <w:r>
              <w:rPr>
                <w:color w:val="000000" w:themeColor="text1"/>
              </w:rPr>
            </w:r>
          </w:p>
        </w:tc>
      </w:tr>
      <w:tr>
        <w:trPr/>
        <w:tc>
          <w:tcPr>
            <w:tcBorders/>
            <w:tcW w:w="2880" w:type="dxa"/>
            <w:textDirection w:val="lrTb"/>
            <w:noWrap w:val="false"/>
          </w:tcPr>
          <w:p w14:paraId="5A4ACED5">
            <w:pPr>
              <w:pBdr/>
              <w:spacing w:after="0" w:before="0" w:line="240" w:lineRule="auto"/>
              <w:ind/>
              <w:rPr>
                <w:color w:val="000000" w:themeColor="text1"/>
              </w:rPr>
            </w:pPr>
            <w:r>
              <w:rPr>
                <w:rFonts w:ascii="Arial" w:hAnsi="Arial" w:eastAsia="Arial" w:cs="Arial"/>
                <w:color w:val="000000" w:themeColor="text1"/>
                <w:sz w:val="21"/>
              </w:rPr>
              <w:t xml:space="preserve">Metric mismatch with clinical risk</w:t>
            </w:r>
            <w:r>
              <w:rPr>
                <w:color w:val="000000" w:themeColor="text1"/>
              </w:rPr>
            </w:r>
            <w:r>
              <w:rPr>
                <w:color w:val="000000" w:themeColor="text1"/>
              </w:rPr>
            </w:r>
          </w:p>
        </w:tc>
        <w:tc>
          <w:tcPr>
            <w:tcBorders/>
            <w:tcW w:w="5383" w:type="dxa"/>
            <w:textDirection w:val="lrTb"/>
            <w:noWrap w:val="false"/>
          </w:tcPr>
          <w:p w14:paraId="57B83473">
            <w:pPr>
              <w:pBdr/>
              <w:spacing w:after="0" w:before="0" w:line="240" w:lineRule="auto"/>
              <w:ind/>
              <w:rPr>
                <w:color w:val="000000" w:themeColor="text1"/>
              </w:rPr>
            </w:pPr>
            <w:r>
              <w:rPr>
                <w:rFonts w:ascii="Arial" w:hAnsi="Arial" w:eastAsia="Arial" w:cs="Arial"/>
                <w:color w:val="000000" w:themeColor="text1"/>
                <w:sz w:val="21"/>
              </w:rPr>
              <w:t xml:space="preserve">Multi-layer evaluation protocol with ordinal and imbalance-aware metrics</w:t>
            </w:r>
            <w:r>
              <w:rPr>
                <w:color w:val="000000" w:themeColor="text1"/>
              </w:rPr>
            </w:r>
            <w:r>
              <w:rPr>
                <w:color w:val="000000" w:themeColor="text1"/>
              </w:rPr>
            </w:r>
          </w:p>
        </w:tc>
      </w:tr>
      <w:tr>
        <w:trPr/>
        <w:tc>
          <w:tcPr>
            <w:tcBorders/>
            <w:tcW w:w="2880" w:type="dxa"/>
            <w:textDirection w:val="lrTb"/>
            <w:noWrap w:val="false"/>
          </w:tcPr>
          <w:p w14:paraId="510211C7">
            <w:pPr>
              <w:pBdr/>
              <w:spacing w:after="0" w:before="0" w:line="240" w:lineRule="auto"/>
              <w:ind/>
              <w:rPr>
                <w:color w:val="000000" w:themeColor="text1"/>
              </w:rPr>
            </w:pPr>
            <w:r>
              <w:rPr>
                <w:rFonts w:ascii="Arial" w:hAnsi="Arial" w:eastAsia="Arial" w:cs="Arial"/>
                <w:color w:val="000000" w:themeColor="text1"/>
                <w:sz w:val="21"/>
              </w:rPr>
              <w:t xml:space="preserve">Explainability without standard criteria</w:t>
            </w:r>
            <w:r>
              <w:rPr>
                <w:color w:val="000000" w:themeColor="text1"/>
              </w:rPr>
            </w:r>
            <w:r>
              <w:rPr>
                <w:color w:val="000000" w:themeColor="text1"/>
              </w:rPr>
            </w:r>
          </w:p>
        </w:tc>
        <w:tc>
          <w:tcPr>
            <w:tcBorders/>
            <w:tcW w:w="5383" w:type="dxa"/>
            <w:textDirection w:val="lrTb"/>
            <w:noWrap w:val="false"/>
          </w:tcPr>
          <w:p w14:paraId="36E19839">
            <w:pPr>
              <w:pBdr/>
              <w:spacing w:after="0" w:before="0" w:line="240" w:lineRule="auto"/>
              <w:ind/>
              <w:rPr>
                <w:color w:val="000000" w:themeColor="text1"/>
              </w:rPr>
            </w:pPr>
            <w:r>
              <w:rPr>
                <w:rFonts w:ascii="Arial" w:hAnsi="Arial" w:eastAsia="Arial" w:cs="Arial"/>
                <w:color w:val="000000" w:themeColor="text1"/>
                <w:sz w:val="21"/>
              </w:rPr>
              <w:t xml:space="preserve">Scenario-specific explanation requirements and clinician-oriented quality checks</w:t>
            </w:r>
            <w:r>
              <w:rPr>
                <w:color w:val="000000" w:themeColor="text1"/>
              </w:rPr>
            </w:r>
            <w:r>
              <w:rPr>
                <w:color w:val="000000" w:themeColor="text1"/>
              </w:rPr>
            </w:r>
          </w:p>
        </w:tc>
      </w:tr>
      <w:tr>
        <w:trPr/>
        <w:tc>
          <w:tcPr>
            <w:tcBorders/>
            <w:tcW w:w="2880" w:type="dxa"/>
            <w:textDirection w:val="lrTb"/>
            <w:noWrap w:val="false"/>
          </w:tcPr>
          <w:p w14:paraId="50C1AF2A">
            <w:pPr>
              <w:pBdr/>
              <w:spacing w:after="0" w:before="0" w:line="240" w:lineRule="auto"/>
              <w:ind/>
              <w:rPr>
                <w:color w:val="000000" w:themeColor="text1"/>
              </w:rPr>
            </w:pPr>
            <w:r>
              <w:rPr>
                <w:rFonts w:ascii="Arial" w:hAnsi="Arial" w:eastAsia="Arial" w:cs="Arial"/>
                <w:color w:val="000000" w:themeColor="text1"/>
                <w:sz w:val="21"/>
              </w:rPr>
              <w:t xml:space="preserve">Weak evidence linkage</w:t>
            </w:r>
            <w:r>
              <w:rPr>
                <w:color w:val="000000" w:themeColor="text1"/>
              </w:rPr>
            </w:r>
            <w:r>
              <w:rPr>
                <w:color w:val="000000" w:themeColor="text1"/>
              </w:rPr>
            </w:r>
          </w:p>
        </w:tc>
        <w:tc>
          <w:tcPr>
            <w:tcBorders/>
            <w:tcW w:w="5383" w:type="dxa"/>
            <w:textDirection w:val="lrTb"/>
            <w:noWrap w:val="false"/>
          </w:tcPr>
          <w:p w14:paraId="20A17AA6">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extension with guardrails</w:t>
            </w:r>
            <w:r>
              <w:rPr>
                <w:color w:val="000000" w:themeColor="text1"/>
              </w:rPr>
            </w:r>
            <w:r>
              <w:rPr>
                <w:color w:val="000000" w:themeColor="text1"/>
              </w:rPr>
            </w:r>
          </w:p>
        </w:tc>
      </w:tr>
    </w:tbl>
    <w:p w14:paraId="6DFFAD4F">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ab/>
        <w:tab/>
        <w:tab/>
      </w:r>
      <w:r>
        <w:rPr>
          <w:rFonts w:ascii="Arial" w:hAnsi="Arial" w:eastAsia="Arial" w:cs="Arial"/>
          <w:b w:val="0"/>
          <w:bCs w:val="0"/>
          <w:i w:val="0"/>
          <w:caps w:val="0"/>
          <w:smallCaps w:val="0"/>
          <w:color w:val="000000" w:themeColor="text1" w:themeTint="FF" w:themeShade="FF"/>
          <w:sz w:val="22"/>
          <w:szCs w:val="22"/>
          <w:highlight w:val="none"/>
        </w:rPr>
        <w:t xml:space="preserve">Table 2.10. Gap-to-Thesis Mitigation Map</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8F87AB6">
      <w:pPr>
        <w:pStyle w:val="1056"/>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2.11 Chapter Summary and Transition</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7BB0A700">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chapter surveyed MedVQA techniques with a colonoscopy-oriented lens and synthesized evidence from both external literature and local repository artifacts.</w:t>
      </w:r>
      <w:r>
        <w:rPr>
          <w:rFonts w:ascii="Arial" w:hAnsi="Arial" w:eastAsia="Arial" w:cs="Arial"/>
          <w:b w:val="0"/>
          <w:bCs w:val="0"/>
          <w:i w:val="0"/>
          <w:caps w:val="0"/>
          <w:smallCaps w:val="0"/>
          <w:color w:val="000000" w:themeColor="text1" w:themeTint="FF" w:themeShade="FF"/>
          <w:sz w:val="22"/>
          <w:szCs w:val="22"/>
        </w:rPr>
      </w:r>
      <w:r/>
    </w:p>
    <w:p w14:paraId="03930055">
      <w:pPr>
        <w:pStyle w:val="1056"/>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main conclusions are:</w:t>
      </w:r>
      <w:r>
        <w:rPr>
          <w:rFonts w:ascii="Arial" w:hAnsi="Arial" w:eastAsia="Arial" w:cs="Arial"/>
          <w:b w:val="0"/>
          <w:bCs w:val="0"/>
          <w:i w:val="0"/>
          <w:caps w:val="0"/>
          <w:smallCaps w:val="0"/>
          <w:color w:val="000000" w:themeColor="text1" w:themeTint="FF" w:themeShade="FF"/>
          <w:sz w:val="22"/>
          <w:szCs w:val="22"/>
        </w:rPr>
      </w:r>
      <w:r/>
    </w:p>
    <w:p w14:paraId="56228F2C">
      <w:pPr>
        <w:pStyle w:val="1056"/>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MedVQA has moved from fixed-label discriminative models toward generative and explainability-aware multimodal systems.</w:t>
      </w:r>
      <w:r/>
    </w:p>
    <w:p w14:paraId="0E005737">
      <w:pPr>
        <w:pStyle w:val="1056"/>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GI benchmark resources have matured rapidly from 2023 onward, enabling more realistic evaluation.</w:t>
      </w:r>
      <w:r/>
    </w:p>
    <w:p w14:paraId="5B80C107">
      <w:pPr>
        <w:pStyle w:val="1056"/>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For high-risk colonoscopy scenarios, constrained and domain-tuned methods currently provide the most reliable core behavior.</w:t>
      </w:r>
      <w:r/>
    </w:p>
    <w:p w14:paraId="0F73E8B5">
      <w:pPr>
        <w:pStyle w:val="1056"/>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and retrieval-enhanced methods are valuable extensions, but only when anchored by robust visual grounding and strict evaluation controls.</w:t>
      </w:r>
      <w:r/>
    </w:p>
    <w:p w14:paraId="0AA0E5BC">
      <w:pPr>
        <w:pStyle w:val="1056"/>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Scenario-driven, clinically aligned evaluation is essential for translational relevance.</w:t>
      </w:r>
      <w:r/>
    </w:p>
    <w:p w14:paraId="2B2A2702">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These conclusions motivate Chapter 3, which shifts from literature synthesis to empirical investigation of existing model families using the datasets and persisted outputs available in this repository.</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0410D68">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49C28EF">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E596078">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2E945D0">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F519A07">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5FDAC90">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9B7DF26">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0DF1259">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79F432F">
      <w:pPr>
        <w:pStyle w:val="1056"/>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6EE41FF" w14:textId="531B8834">
      <w:pPr>
        <w:pStyle w:val="1043"/>
        <w:suppressLineNumbers w:val="false"/>
        <w:pBdr/>
        <w:spacing w:line="300" w:lineRule="auto"/>
        <w:ind/>
        <w:rPr/>
      </w:pPr>
      <w:r>
        <w:br/>
      </w:r>
      <w:r>
        <w:br/>
      </w:r>
      <w:r>
        <w:t xml:space="preserve">Investigating Existing VQA Techniques Across GI-Endoscopy Datasets</w:t>
      </w:r>
      <w:r/>
    </w:p>
    <w:p w14:paraId="62020F09">
      <w:pPr>
        <w:pStyle w:val="1044"/>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8"/>
          <w:szCs w:val="28"/>
        </w:rPr>
      </w:pPr>
      <w:r>
        <w:rPr>
          <w:rFonts w:ascii="Arial" w:hAnsi="Arial" w:eastAsia="Arial" w:cs="Arial"/>
          <w:b/>
          <w:color w:val="000000" w:themeColor="text1"/>
          <w:sz w:val="28"/>
          <w:szCs w:val="28"/>
        </w:rPr>
        <w:t xml:space="preserve">3.1 Chapter Overview and Evaluation Goal</w:t>
      </w:r>
      <w:r>
        <w:rPr>
          <w:color w:val="000000" w:themeColor="text1"/>
          <w:sz w:val="28"/>
          <w:szCs w:val="28"/>
        </w:rPr>
      </w:r>
      <w:r>
        <w:rPr>
          <w:color w:val="000000" w:themeColor="text1"/>
          <w:sz w:val="28"/>
          <w:szCs w:val="28"/>
        </w:rPr>
      </w:r>
    </w:p>
    <w:p w14:paraId="29A8F49D">
      <w:pPr>
        <w:pStyle w:val="1056"/>
        <w:suppressLineNumbers w:val="false"/>
        <w:pBdr/>
        <w:spacing w:line="300" w:lineRule="auto"/>
        <w:ind/>
        <w:rPr/>
      </w:pPr>
      <w:r>
        <w:rPr>
          <w:lang w:val="en-CA"/>
        </w:rPr>
        <w:t xml:space="preserve">C</w:t>
      </w:r>
      <w:r>
        <w:rPr>
          <w:lang w:val="en-CA"/>
        </w:rPr>
        <w:t xml:space="preserve">hapter 2 surveyed medical VQA technique families and highlighted a central translational gap for GI endoscopy: strong benchmark scores do not automatically imply clinically reliable behavior, especially under class imbalance, domain shift, and high-consequ</w:t>
      </w:r>
      <w:r>
        <w:rPr>
          <w:lang w:val="en-CA"/>
        </w:rPr>
        <w:t xml:space="preserve">e</w:t>
      </w:r>
      <w:r>
        <w:rPr>
          <w:lang w:val="en-CA"/>
        </w:rPr>
        <w:t xml:space="preserve">nce failure modes</w:t>
      </w:r>
      <w:r>
        <w:rPr>
          <w:lang w:val="en-US"/>
        </w:rPr>
        <w:t xml:space="preserve">[56], [57]</w:t>
      </w:r>
      <w:r>
        <w:rPr>
          <w:lang w:val="en-CA"/>
        </w:rPr>
        <w:t xml:space="preserve">. Chapter 3 addresses that gap empirically by auditing persisted experimental artifacts available in this thesis repository and summarizing how model families behave under the dataset constraints that currently exist for colonoscopy-orient</w:t>
      </w:r>
      <w:r>
        <w:rPr>
          <w:lang w:val="en-CA"/>
        </w:rPr>
        <w:t xml:space="preserve">ed MedVQA.</w:t>
      </w:r>
      <w:r>
        <w:rPr>
          <w:lang w:val="en-CA"/>
        </w:rPr>
      </w:r>
      <w:r/>
    </w:p>
    <w:p w14:paraId="2E3BE1AB">
      <w:pPr>
        <w:pStyle w:val="1056"/>
        <w:suppressLineNumbers w:val="false"/>
        <w:pBdr/>
        <w:spacing w:line="300" w:lineRule="auto"/>
        <w:ind/>
        <w:rPr/>
      </w:pPr>
      <w:r>
        <w:rPr>
          <w:lang w:val="en-CA"/>
        </w:rPr>
        <w:t xml:space="preserve">T</w:t>
      </w:r>
      <w:r>
        <w:rPr>
          <w:lang w:val="en-CA"/>
        </w:rPr>
        <w:t xml:space="preserve">his chapter is designed as the empirical turning point of the dissertation. The guiding question is not only which model achieves higher aggregate scores, but which model behaviors remain reliable enough to be considered as building blocks for clinician-fa</w:t>
      </w:r>
      <w:r>
        <w:rPr>
          <w:lang w:val="en-CA"/>
        </w:rPr>
        <w:t xml:space="preserve">cing decision support. To answer that question, this chapter evaluates reliability across heterogeneous task regimes that occur in GI MedVQA: (i) closed-label prediction, (ii) open-ended generation, and (iii) ordinal severity assessment.</w:t>
      </w:r>
      <w:r/>
    </w:p>
    <w:p w14:paraId="5FA2EAAD">
      <w:pPr>
        <w:pStyle w:val="1056"/>
        <w:suppressLineNumbers w:val="false"/>
        <w:pBdr/>
        <w:spacing w:line="300" w:lineRule="auto"/>
        <w:ind w:firstLine="0"/>
        <w:rPr>
          <w:b/>
          <w:bCs/>
        </w:rPr>
      </w:pPr>
      <w:r>
        <w:rPr>
          <w:b/>
          <w:bCs/>
          <w:lang w:val="en-CA"/>
        </w:rPr>
        <w:t xml:space="preserve">Chapter 3 </w:t>
      </w:r>
      <w:r>
        <w:rPr>
          <w:b/>
          <w:bCs/>
          <w:lang w:val="en-US"/>
        </w:rPr>
        <w:t xml:space="preserve">overview</w:t>
      </w:r>
      <w:r>
        <w:rPr>
          <w:b/>
          <w:bCs/>
          <w:lang w:val="en-CA"/>
        </w:rPr>
        <w:t xml:space="preserve"> (reader preview)</w:t>
      </w:r>
      <w:r>
        <w:rPr>
          <w:b/>
          <w:bCs/>
        </w:rPr>
      </w:r>
      <w:r>
        <w:rPr>
          <w:b/>
          <w:bCs/>
        </w:rPr>
      </w:r>
    </w:p>
    <w:p w14:paraId="48BF6074">
      <w:pPr>
        <w:pStyle w:val="1056"/>
        <w:suppressLineNumbers w:val="false"/>
        <w:pBdr/>
        <w:spacing w:line="300" w:lineRule="auto"/>
        <w:ind/>
        <w:rPr/>
      </w:pPr>
      <w:r>
        <w:rPr>
          <w:lang w:val="en-CA"/>
        </w:rPr>
        <w:t xml:space="preserve">Across the datasets in this repository, the chapter provides a reproducible comparison of:</w:t>
      </w:r>
      <w:r/>
    </w:p>
    <w:p w14:paraId="5565F7B0">
      <w:pPr>
        <w:pStyle w:val="1056"/>
        <w:numPr>
          <w:ilvl w:val="0"/>
          <w:numId w:val="52"/>
        </w:numPr>
        <w:suppressLineNumbers w:val="false"/>
        <w:pBdr/>
        <w:spacing w:line="300" w:lineRule="auto"/>
        <w:ind/>
        <w:rPr/>
      </w:pPr>
      <w:r>
        <w:rPr>
          <w:lang w:val="en-CA"/>
        </w:rPr>
        <w:t xml:space="preserve">constrained or supervised pipelines vs. raw zero-shot generative outputs,</w:t>
      </w:r>
      <w:r/>
    </w:p>
    <w:p w14:paraId="270C981C">
      <w:pPr>
        <w:pStyle w:val="1056"/>
        <w:numPr>
          <w:ilvl w:val="0"/>
          <w:numId w:val="52"/>
        </w:numPr>
        <w:suppressLineNumbers w:val="false"/>
        <w:pBdr/>
        <w:spacing w:line="300" w:lineRule="auto"/>
        <w:ind/>
        <w:rPr/>
      </w:pPr>
      <w:r>
        <w:rPr>
          <w:lang w:val="en-CA"/>
        </w:rPr>
        <w:t xml:space="preserve">dataset- and question-family-specific failure modes (imbalance, format drift, mapping fragility), and</w:t>
      </w:r>
      <w:r/>
    </w:p>
    <w:p w14:paraId="7398088B">
      <w:pPr>
        <w:pStyle w:val="1056"/>
        <w:numPr>
          <w:ilvl w:val="0"/>
          <w:numId w:val="52"/>
        </w:numPr>
        <w:suppressLineNumbers w:val="false"/>
        <w:pBdr/>
        <w:spacing w:line="300" w:lineRule="auto"/>
        <w:ind/>
        <w:rPr/>
      </w:pPr>
      <w:r>
        <w:rPr>
          <w:lang w:val="en-CA"/>
        </w:rPr>
        <w:t xml:space="preserve">severity-oriented reliability under ordinal and clinically meaningful slices (e.g., remission vs. non-remission).</w:t>
      </w:r>
      <w:r/>
    </w:p>
    <w:p w14:paraId="2CE33C9C">
      <w:pPr>
        <w:pStyle w:val="1056"/>
        <w:suppressLineNumbers w:val="false"/>
        <w:pBdr/>
        <w:spacing w:line="300" w:lineRule="auto"/>
        <w:ind/>
        <w:rPr/>
      </w:pPr>
      <w:r>
        <w:rPr>
          <w:lang w:val="en-CA"/>
        </w:rPr>
        <w:t xml:space="preserve">I</w:t>
      </w:r>
      <w:r>
        <w:rPr>
          <w:lang w:val="en-CA"/>
        </w:rPr>
        <w:t xml:space="preserve">mportantly, Chapter 3 is reproducibility-first: it reports outcomes only where persisted artifacts exist. Where only configuration or status files are present (e.g., scenario YAML definitions), the chapter reports configuration only and does not claim scen</w:t>
      </w:r>
      <w:r>
        <w:rPr>
          <w:lang w:val="en-CA"/>
        </w:rPr>
        <w:t xml:space="preserve">ario-level performance</w:t>
      </w:r>
      <w:r>
        <w:rPr>
          <w:lang w:val="en-US"/>
        </w:rPr>
        <w:t xml:space="preserve">[72]</w:t>
      </w:r>
      <w:r>
        <w:rPr>
          <w:lang w:val="en-CA"/>
        </w:rPr>
        <w:t xml:space="preserve">.</w:t>
      </w:r>
      <w:r/>
    </w:p>
    <w:p w14:paraId="06469AB2">
      <w:pPr>
        <w:pStyle w:val="1056"/>
        <w:suppressLineNumbers w:val="false"/>
        <w:pBdr/>
        <w:spacing w:line="300" w:lineRule="auto"/>
        <w:ind/>
        <w:rPr/>
      </w:pPr>
      <w:r>
        <w:rPr>
          <w:lang w:val="en-CA"/>
        </w:rPr>
      </w:r>
      <w:r/>
    </w:p>
    <w:p w14:paraId="63B94992">
      <w:pPr>
        <w:pStyle w:val="1056"/>
        <w:suppressLineNumbers w:val="false"/>
        <w:pBdr/>
        <w:spacing w:line="300" w:lineRule="auto"/>
        <w:ind/>
        <w:rPr/>
      </w:pPr>
      <w:r>
        <w:rPr>
          <w:lang w:val="en-CA"/>
        </w:rPr>
        <w:t xml:space="preserve">Concretely, the objective is to determine, with traceable local evidence, how existing model families behave across:</w:t>
      </w:r>
      <w:r>
        <w:rPr>
          <w:lang w:val="en-CA"/>
        </w:rPr>
      </w:r>
      <w:r/>
    </w:p>
    <w:p w14:paraId="09DA30E9">
      <w:pPr>
        <w:pStyle w:val="1056"/>
        <w:numPr>
          <w:ilvl w:val="0"/>
          <w:numId w:val="53"/>
        </w:numPr>
        <w:suppressLineNumbers w:val="false"/>
        <w:pBdr/>
        <w:spacing w:line="120" w:lineRule="auto"/>
        <w:ind/>
        <w:rPr/>
      </w:pPr>
      <w:r>
        <w:rPr>
          <w:lang w:val="en-CA"/>
        </w:rPr>
        <w:t xml:space="preserve">closed-set and binary clinical question answering,</w:t>
      </w:r>
      <w:r>
        <w:rPr>
          <w:lang w:val="en-CA"/>
        </w:rPr>
      </w:r>
      <w:r/>
    </w:p>
    <w:p w14:paraId="512B1169">
      <w:pPr>
        <w:pStyle w:val="1056"/>
        <w:numPr>
          <w:ilvl w:val="0"/>
          <w:numId w:val="53"/>
        </w:numPr>
        <w:suppressLineNumbers w:val="false"/>
        <w:pBdr/>
        <w:spacing w:line="120" w:lineRule="auto"/>
        <w:ind/>
        <w:rPr/>
      </w:pPr>
      <w:r>
        <w:rPr>
          <w:lang w:val="en-CA"/>
        </w:rPr>
        <w:t xml:space="preserve">open-ended generative answering,</w:t>
      </w:r>
      <w:r>
        <w:rPr>
          <w:lang w:val="en-CA"/>
        </w:rPr>
      </w:r>
      <w:r/>
    </w:p>
    <w:p w14:paraId="3DAD708F">
      <w:pPr>
        <w:pStyle w:val="1056"/>
        <w:numPr>
          <w:ilvl w:val="0"/>
          <w:numId w:val="53"/>
        </w:numPr>
        <w:suppressLineNumbers w:val="false"/>
        <w:pBdr/>
        <w:spacing w:line="120" w:lineRule="auto"/>
        <w:ind/>
        <w:rPr/>
      </w:pPr>
      <w:r>
        <w:rPr>
          <w:lang w:val="en-CA"/>
        </w:rPr>
        <w:t xml:space="preserve">severity-oriented ordinal assessment,</w:t>
      </w:r>
      <w:r>
        <w:rPr>
          <w:lang w:val="en-CA"/>
        </w:rPr>
      </w:r>
      <w:r/>
    </w:p>
    <w:p w14:paraId="75B256FB">
      <w:pPr>
        <w:pStyle w:val="1056"/>
        <w:numPr>
          <w:ilvl w:val="0"/>
          <w:numId w:val="53"/>
        </w:numPr>
        <w:suppressLineNumbers w:val="false"/>
        <w:pBdr/>
        <w:spacing w:line="120" w:lineRule="auto"/>
        <w:ind/>
        <w:rPr/>
      </w:pPr>
      <w:r>
        <w:rPr>
          <w:lang w:val="en-CA"/>
        </w:rPr>
        <w:t xml:space="preserve">class-imbalance stress conditions, and</w:t>
      </w:r>
      <w:r>
        <w:rPr>
          <w:lang w:val="en-CA"/>
        </w:rPr>
      </w:r>
      <w:r/>
    </w:p>
    <w:p w14:paraId="6A4AB6F8">
      <w:pPr>
        <w:pStyle w:val="1056"/>
        <w:numPr>
          <w:ilvl w:val="0"/>
          <w:numId w:val="53"/>
        </w:numPr>
        <w:suppressLineNumbers w:val="false"/>
        <w:pBdr/>
        <w:spacing w:line="120" w:lineRule="auto"/>
        <w:ind/>
        <w:rPr/>
      </w:pPr>
      <w:r>
        <w:rPr>
          <w:lang w:val="en-CA"/>
        </w:rPr>
        <w:t xml:space="preserve">scenario-level stress-test protocol definitions for clinically relevant failure probing.</w:t>
      </w:r>
      <w:r>
        <w:rPr>
          <w:lang w:val="en-CA"/>
        </w:rPr>
      </w:r>
      <w:r/>
    </w:p>
    <w:p w14:paraId="2745FC6E">
      <w:pPr>
        <w:pStyle w:val="1056"/>
        <w:suppressLineNumbers w:val="false"/>
        <w:pBdr/>
        <w:spacing w:line="300" w:lineRule="auto"/>
        <w:ind/>
        <w:rPr/>
      </w:pPr>
      <w:r>
        <w:rPr>
          <w:lang w:val="en-CA"/>
        </w:rPr>
        <w:t xml:space="preserve">U</w:t>
      </w:r>
      <w:r>
        <w:rPr>
          <w:lang w:val="en-CA"/>
        </w:rPr>
        <w:t xml:space="preserve">nlike Chapter 2 (literature synthesis), Chapter 3 is artifact-driven: all results are compiled from saved outputs in the repository, not from newly run training or undocumented reruns</w:t>
      </w:r>
      <w:r>
        <w:rPr>
          <w:lang w:val="en-US"/>
        </w:rPr>
        <w:t xml:space="preserve">[66] - [73]</w:t>
      </w:r>
      <w:r>
        <w:rPr>
          <w:lang w:val="en-CA"/>
        </w:rPr>
        <w:t xml:space="preserve">. Where a metric requires predictions that are not persisted, the metric </w:t>
      </w:r>
      <w:r>
        <w:rPr>
          <w:lang w:val="en-CA"/>
        </w:rPr>
        <w:t xml:space="preserve">is not reported.</w:t>
      </w:r>
      <w:r>
        <w:rPr>
          <w:lang w:val="en-CA"/>
        </w:rPr>
      </w:r>
      <w:r/>
    </w:p>
    <w:p w14:paraId="1D416CB2">
      <w:pPr>
        <w:pStyle w:val="1056"/>
        <w:suppressLineNumbers w:val="false"/>
        <w:pBdr/>
        <w:spacing w:line="300" w:lineRule="auto"/>
        <w:ind/>
        <w:rPr/>
      </w:pPr>
      <w:r>
        <w:rPr>
          <w:lang w:val="en-CA"/>
        </w:rPr>
        <w:t xml:space="preserve">This chapter serves three thesis-level functions:</w:t>
      </w:r>
      <w:r/>
    </w:p>
    <w:p w14:paraId="551E486B">
      <w:pPr>
        <w:pStyle w:val="1056"/>
        <w:numPr>
          <w:ilvl w:val="0"/>
          <w:numId w:val="54"/>
        </w:numPr>
        <w:suppressLineNumbers w:val="false"/>
        <w:pBdr/>
        <w:spacing w:line="300" w:lineRule="auto"/>
        <w:ind/>
        <w:rPr/>
      </w:pPr>
      <w:r>
        <w:rPr>
          <w:lang w:val="en-CA"/>
        </w:rPr>
        <w:t xml:space="preserve">Establish a reproducible baseline of current GI MedVQA behavior before introducing new methods.</w:t>
      </w:r>
      <w:r/>
    </w:p>
    <w:p w14:paraId="195ECAA5">
      <w:pPr>
        <w:pStyle w:val="1056"/>
        <w:numPr>
          <w:ilvl w:val="0"/>
          <w:numId w:val="54"/>
        </w:numPr>
        <w:suppressLineNumbers w:val="false"/>
        <w:pBdr/>
        <w:spacing w:line="300" w:lineRule="auto"/>
        <w:ind/>
        <w:rPr/>
      </w:pPr>
      <w:r>
        <w:rPr>
          <w:lang w:val="en-CA"/>
        </w:rPr>
        <w:t xml:space="preserve">Identify practical reliability bottlenecks (imbalance sensitivity, answer-format instability, lexical/OOV mapping fragility, and clinical threshold failures).</w:t>
      </w:r>
      <w:r/>
    </w:p>
    <w:p w14:paraId="3F6A3371">
      <w:pPr>
        <w:pStyle w:val="1056"/>
        <w:numPr>
          <w:ilvl w:val="0"/>
          <w:numId w:val="54"/>
        </w:numPr>
        <w:suppressLineNumbers w:val="false"/>
        <w:pBdr/>
        <w:spacing w:line="300" w:lineRule="auto"/>
        <w:ind/>
        <w:rPr/>
      </w:pPr>
      <w:r>
        <w:rPr>
          <w:lang w:val="en-CA"/>
        </w:rPr>
        <w:t xml:space="preserve">Provide a defensible empirical bridge to Chapter 4, where controlled generative approaches are developed for clinically grounded UC severity rating and later extended toward evidence-aware answering.</w:t>
      </w:r>
      <w:r>
        <w:rPr>
          <w:lang w:val="en-CA"/>
        </w:rPr>
      </w:r>
      <w:r/>
    </w:p>
    <w:p w14:paraId="4BD0CAC8" w14:textId="6F4B7348">
      <w:pPr>
        <w:pStyle w:val="1056"/>
        <w:suppressLineNumbers w:val="false"/>
        <w:pBdr/>
        <w:spacing w:line="300" w:lineRule="auto"/>
        <w:ind/>
        <w:rPr>
          <w:lang w:val="en-CA"/>
        </w:rPr>
      </w:pPr>
      <w:r>
        <w:rPr>
          <w:lang w:val="en-CA"/>
        </w:rPr>
        <w:t xml:space="preserve">S</w:t>
      </w:r>
      <w:r>
        <w:rPr>
          <w:lang w:val="en-CA"/>
        </w:rPr>
        <w:t xml:space="preserve">tructurally, Section 3.1 defines evidence boundaries and research coverage, Section 3.2 formalizes datasets and model regimes, Section 3.3 specifies evaluation metrics and caveats, Section 3.4 presents dataset-wise results, and Section 3.5 synthesizes cros</w:t>
      </w:r>
      <w:r>
        <w:rPr>
          <w:lang w:val="en-CA"/>
        </w:rPr>
        <w:t xml:space="preserve">s-dataset findings into thesis-level conclusions.</w:t>
      </w:r>
      <w:r>
        <w:rPr>
          <w:lang w:val="en-CA"/>
        </w:rPr>
      </w:r>
      <w:r>
        <w:rPr>
          <w:lang w:val="en-CA"/>
        </w:rPr>
      </w:r>
    </w:p>
    <w:p w14:paraId="1F17CEC8">
      <w:pPr>
        <w:pStyle w:val="1056"/>
        <w:suppressLineNumbers w:val="false"/>
        <w:pBdr/>
        <w:spacing w:line="300" w:lineRule="auto"/>
        <w:ind w:firstLine="0"/>
        <w:rPr/>
      </w:pPr>
      <w:r>
        <w:rPr>
          <w:b/>
          <w:bCs/>
          <w:sz w:val="28"/>
          <w:szCs w:val="28"/>
          <w:highlight w:val="none"/>
        </w:rPr>
      </w:r>
      <w:r>
        <w:rPr>
          <w:b/>
          <w:bCs/>
          <w:sz w:val="28"/>
          <w:szCs w:val="28"/>
          <w:highlight w:val="none"/>
        </w:rPr>
      </w:r>
      <w:r/>
    </w:p>
    <w:p w14:paraId="03C3260E">
      <w:pPr>
        <w:pStyle w:val="1056"/>
        <w:suppressLineNumbers w:val="false"/>
        <w:pBdr/>
        <w:spacing w:line="300" w:lineRule="auto"/>
        <w:ind w:firstLine="0"/>
        <w:rPr>
          <w:highlight w:val="none"/>
        </w:rPr>
      </w:pPr>
      <w:r>
        <w:rPr>
          <w:lang w:val="en-CA"/>
        </w:rPr>
      </w:r>
      <w:r>
        <w:rPr>
          <w:b/>
          <w:bCs/>
          <w:sz w:val="28"/>
          <w:szCs w:val="28"/>
        </w:rPr>
        <w:t xml:space="preserve">3.1.1 Evidence Boundary and Reproduc</w:t>
      </w:r>
      <w:r>
        <w:rPr>
          <w:b/>
          <w:bCs/>
          <w:sz w:val="28"/>
          <w:szCs w:val="28"/>
          <w:lang w:val="en-US"/>
        </w:rPr>
        <w:t xml:space="preserve">i</w:t>
      </w:r>
      <w:r>
        <w:rPr>
          <w:b/>
          <w:bCs/>
          <w:sz w:val="28"/>
          <w:szCs w:val="28"/>
        </w:rPr>
        <w:t xml:space="preserve">bility Scope</w:t>
      </w:r>
      <w:r>
        <w:rPr>
          <w:highlight w:val="none"/>
        </w:rPr>
      </w:r>
      <w:r>
        <w:rPr>
          <w:highlight w:val="none"/>
        </w:rPr>
      </w:r>
    </w:p>
    <w:p w14:paraId="6B58DC25">
      <w:pPr>
        <w:pStyle w:val="1056"/>
        <w:suppressLineNumbers w:val="false"/>
        <w:pBdr/>
        <w:spacing w:line="300" w:lineRule="auto"/>
        <w:ind/>
        <w:rPr>
          <w:lang w:val="en-CA"/>
        </w:rPr>
      </w:pPr>
      <w:r>
        <w:rPr>
          <w:lang w:val="en-CA"/>
        </w:rPr>
      </w:r>
      <w:r>
        <w:t xml:space="preserve">Table 3.1 documents the provenance of all primary evidence used in this chapter. For each dataset block, the chapter’s results are compiled from the corresponding report file under the Prototyping_reformat/ tree and the associated persisted outputs referen</w:t>
      </w:r>
      <w:r>
        <w:t xml:space="preserve">ced by that report</w:t>
      </w:r>
      <w:r>
        <w:rPr>
          <w:lang w:val="en-US"/>
        </w:rPr>
        <w:t xml:space="preserve">[66] - [73]</w:t>
      </w:r>
      <w:r>
        <w:t xml:space="preserve">.</w:t>
      </w:r>
      <w:r>
        <w:rPr>
          <w:lang w:val="en-CA"/>
        </w:rPr>
      </w:r>
      <w:r>
        <w:rPr>
          <w:lang w:val="en-CA"/>
        </w:rPr>
      </w:r>
    </w:p>
    <w:p w14:paraId="37D50FCD">
      <w:pPr>
        <w:pStyle w:val="1056"/>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E44EAA5">
      <w:pPr>
        <w:pStyle w:val="1056"/>
        <w:suppressLineNumbers w:val="false"/>
        <w:pBdr/>
        <w:spacing w:line="300" w:lineRule="auto"/>
        <w:ind w:firstLine="0"/>
        <w:rPr>
          <w:b/>
          <w:bCs/>
          <w:sz w:val="28"/>
          <w:szCs w:val="28"/>
          <w:highlight w:val="none"/>
        </w:rPr>
      </w:pPr>
      <w:r>
        <w:rPr>
          <w:highlight w:val="none"/>
        </w:rPr>
      </w:r>
      <w:r>
        <w:rPr>
          <w:b/>
          <w:bCs/>
          <w:sz w:val="28"/>
          <w:szCs w:val="28"/>
          <w:highlight w:val="none"/>
        </w:rPr>
      </w:r>
      <w:r>
        <w:rPr>
          <w:b/>
          <w:bCs/>
          <w:sz w:val="28"/>
          <w:szCs w:val="28"/>
          <w:highlight w:val="none"/>
        </w:rPr>
      </w:r>
    </w:p>
    <w:p w14:paraId="7C666E0E">
      <w:pPr>
        <w:pStyle w:val="1056"/>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tbl>
      <w:tblPr>
        <w:tblStyle w:val="1113"/>
        <w:tblInd w:w="-666" w:type="dxa"/>
        <w:tblW w:w="0" w:type="auto"/>
        <w:tblBorders/>
        <w:tblLayout w:type="fixed"/>
        <w:tblLook w:val="04A0" w:firstRow="1" w:lastRow="0" w:firstColumn="1" w:lastColumn="0" w:noHBand="0" w:noVBand="1"/>
      </w:tblPr>
      <w:tblGrid>
        <w:gridCol w:w="1417"/>
        <w:gridCol w:w="3260"/>
        <w:gridCol w:w="3260"/>
        <w:gridCol w:w="2126"/>
      </w:tblGrid>
      <w:tr>
        <w:trPr/>
        <w:tc>
          <w:tcPr>
            <w:tcBorders/>
            <w:tcW w:w="1417" w:type="dxa"/>
            <w:textDirection w:val="lrTb"/>
            <w:noWrap w:val="false"/>
          </w:tcPr>
          <w:p w14:paraId="638F6120">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 / analysis block</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3E7652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report file</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F2BFEE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Persisted artifact roots</w:t>
            </w:r>
            <w:r>
              <w:rPr>
                <w:rFonts w:ascii="Arial" w:hAnsi="Arial" w:cs="Arial"/>
                <w:color w:val="000000" w:themeColor="text1"/>
              </w:rPr>
            </w:r>
            <w:r>
              <w:rPr>
                <w:rFonts w:ascii="Arial" w:hAnsi="Arial" w:cs="Arial"/>
                <w:color w:val="000000" w:themeColor="text1"/>
              </w:rPr>
            </w:r>
          </w:p>
        </w:tc>
        <w:tc>
          <w:tcPr>
            <w:tcBorders/>
            <w:tcW w:w="2126" w:type="dxa"/>
            <w:textDirection w:val="lrTb"/>
            <w:noWrap w:val="false"/>
          </w:tcPr>
          <w:p w14:paraId="7F81F58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task style</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9B57A8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444EE83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Prototyping_reformat/DatasetAnalysis/HyperKvasir/HyperKvasir.md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4D48276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DE0EA5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23-class visual classification</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348A8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1FE948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Prototyping_reformat/DatasetAnalysis/ImageCLEF_MEDVQA_GI_2023/ImageCLEF_MEDVQA_GI_2023.md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7A0F5F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BBD5F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closed-label GI VQA</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E5424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010607D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Prototyping_reformat/DatasetAnalysis/Kvasir_VQA/Kvasir_VQA.md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56D72E7A">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F3BBC7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 and attribute subsets</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FF9D33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48C10D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Prototyping_reformat/DatasetAnalysis/Kvasir_VQA_x1/Kvasir_VQA_x1.md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D425BCF">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0DDDA91">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large-scale generative + mapped closed-set</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F5B43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623EF96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Prototyping_reformat/DatasetAnalysis/LIMUC/LIMUC.md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88CAFF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41E4FA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Mayo severity (ordinal 0-3)</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2FA3092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Kvasir-SEG (supporting)</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F0913F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Prototyping_reformat/DatasetAnalysis/Kvasir_SEG/Kvasir_SEG.md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7DFDE21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Prototyping_reformat/DatasetAnalysis/Kvasir_SEG/0_dataset_prep/**</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1AF01D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morphology and mask statistics</w:t>
            </w:r>
            <w:r>
              <w:rPr>
                <w:rFonts w:ascii="Arial" w:hAnsi="Arial" w:cs="Arial"/>
                <w:color w:val="000000" w:themeColor="text1"/>
              </w:rPr>
            </w:r>
            <w:r>
              <w:rPr>
                <w:rFonts w:ascii="Arial" w:hAnsi="Arial" w:cs="Arial"/>
                <w:color w:val="000000" w:themeColor="text1"/>
              </w:rPr>
            </w:r>
          </w:p>
        </w:tc>
      </w:tr>
      <w:tr>
        <w:trPr>
          <w:trHeight w:val="1135"/>
        </w:trPr>
        <w:tc>
          <w:tcPr>
            <w:tcBorders/>
            <w:tcW w:w="1417" w:type="dxa"/>
            <w:textDirection w:val="lrTb"/>
            <w:noWrap w:val="false"/>
          </w:tcPr>
          <w:p w14:paraId="4DEFC6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protocol configuration</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9C70649">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Prototyping_reformat/DatasetAnalysis/Kvasir_VQA/evaluation_comparison/scenarios/scenarios.yaml</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2BB7F17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F5AC6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micro-scenario stress-test definition (configuration only)</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BEFE3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Legacy UC generative runtime snapshot (reformatted)</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0832CE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Prototyping_reformat/DatasetAnalysis/Kvasir_VQA/evaluation_comparison/phase3_results/summary_uc_phase3.csv</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726D6B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Prototyping_reformat/DatasetAnalysis/Kvasir_VQA/evaluation_comparison/phase3_results/*.csv</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1768F2F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open-ended response artifact status</w:t>
            </w:r>
            <w:r>
              <w:rPr>
                <w:rFonts w:ascii="Arial" w:hAnsi="Arial" w:cs="Arial"/>
                <w:color w:val="000000" w:themeColor="text1"/>
              </w:rPr>
            </w:r>
            <w:r>
              <w:rPr>
                <w:rFonts w:ascii="Arial" w:hAnsi="Arial" w:cs="Arial"/>
                <w:color w:val="000000" w:themeColor="text1"/>
              </w:rPr>
            </w:r>
          </w:p>
        </w:tc>
      </w:tr>
    </w:tbl>
    <w:p w14:paraId="39A63E7B">
      <w:pPr>
        <w:pStyle w:val="1056"/>
        <w:suppressLineNumbers w:val="false"/>
        <w:pBdr/>
        <w:spacing w:line="300" w:lineRule="auto"/>
        <w:ind w:firstLine="720"/>
        <w:rPr>
          <w:bCs/>
          <w:i/>
        </w:rPr>
      </w:pPr>
      <w:r>
        <w:rPr>
          <w:i/>
          <w:iCs/>
          <w:lang w:val="en-US"/>
        </w:rPr>
        <w:t xml:space="preserve">        </w:t>
      </w:r>
      <w:r>
        <w:rPr>
          <w:i/>
          <w:iCs/>
        </w:rPr>
        <w:t xml:space="preserve">Table 3.1. Primary Evidence Sources Used in Chapter 3</w:t>
      </w:r>
      <w:r>
        <w:rPr>
          <w:bCs/>
          <w:i/>
        </w:rPr>
      </w:r>
      <w:r>
        <w:rPr>
          <w:bCs/>
          <w:i/>
        </w:rPr>
      </w:r>
    </w:p>
    <w:p w14:paraId="6EE6A2B9">
      <w:pPr>
        <w:pStyle w:val="1056"/>
        <w:suppressLineNumbers w:val="false"/>
        <w:pBdr/>
        <w:spacing w:line="300" w:lineRule="auto"/>
        <w:ind w:firstLine="0"/>
        <w:rPr/>
      </w:pPr>
      <w:r>
        <w:rPr>
          <w:highlight w:val="none"/>
        </w:rPr>
      </w:r>
      <w:r>
        <w:rPr>
          <w:highlight w:val="none"/>
        </w:rPr>
      </w:r>
      <w:r/>
    </w:p>
    <w:p w14:paraId="18A23A64">
      <w:pPr>
        <w:pStyle w:val="1056"/>
        <w:suppressLineNumbers w:val="false"/>
        <w:pBdr/>
        <w:spacing w:line="300" w:lineRule="auto"/>
        <w:ind w:firstLine="0"/>
        <w:rPr>
          <w:b/>
          <w:bCs/>
          <w:highlight w:val="none"/>
        </w:rPr>
      </w:pPr>
      <w:r>
        <w:rPr>
          <w:b/>
          <w:bCs/>
        </w:rPr>
        <w:t xml:space="preserve">Reproducibility rules used throughout Chapter 3</w:t>
      </w:r>
      <w:r>
        <w:rPr>
          <w:b/>
          <w:bCs/>
          <w:highlight w:val="none"/>
        </w:rPr>
      </w:r>
      <w:r>
        <w:rPr>
          <w:b/>
          <w:bCs/>
          <w:highlight w:val="none"/>
        </w:rPr>
      </w:r>
    </w:p>
    <w:p w14:paraId="5EEE92C3">
      <w:pPr>
        <w:pStyle w:val="1056"/>
        <w:numPr>
          <w:ilvl w:val="0"/>
          <w:numId w:val="55"/>
        </w:numPr>
        <w:suppressLineNumbers w:val="false"/>
        <w:pBdr/>
        <w:spacing w:line="300" w:lineRule="auto"/>
        <w:ind/>
        <w:rPr/>
      </w:pPr>
      <w:r>
        <w:t xml:space="preserve">No undocumented reruns: the chapter reports only what is present in persisted artifacts and their compiled report files.</w:t>
      </w:r>
      <w:r/>
    </w:p>
    <w:p w14:paraId="04A5442F">
      <w:pPr>
        <w:pStyle w:val="1056"/>
        <w:numPr>
          <w:ilvl w:val="0"/>
          <w:numId w:val="55"/>
        </w:numPr>
        <w:suppressLineNumbers w:val="false"/>
        <w:pBdr/>
        <w:spacing w:line="300" w:lineRule="auto"/>
        <w:ind/>
        <w:rPr/>
      </w:pPr>
      <w:r>
        <w:t xml:space="preserve">Report-first compilation: each dataset subsection in Section 3.4 is compiled from the dataset’s *.md report file first, then supported by any persisted visualizations or summary outputs referenced by that report.</w:t>
      </w:r>
      <w:r/>
    </w:p>
    <w:p w14:paraId="7B00204B">
      <w:pPr>
        <w:pStyle w:val="1056"/>
        <w:numPr>
          <w:ilvl w:val="0"/>
          <w:numId w:val="55"/>
        </w:numPr>
        <w:suppressLineNumbers w:val="false"/>
        <w:pBdr/>
        <w:spacing w:line="300" w:lineRule="auto"/>
        <w:ind/>
        <w:rPr/>
      </w:pPr>
      <w:r>
        <w:t xml:space="preserve">No fabricated comparisons: where a model’s predictions, labels, or scoring outputs are missing, the chapter does not infer or reconstruct results.</w:t>
      </w:r>
      <w:r/>
    </w:p>
    <w:p w14:paraId="7319DD82">
      <w:pPr>
        <w:pStyle w:val="1056"/>
        <w:numPr>
          <w:ilvl w:val="0"/>
          <w:numId w:val="55"/>
        </w:numPr>
        <w:suppressLineNumbers w:val="false"/>
        <w:pBdr/>
        <w:spacing w:line="300" w:lineRule="auto"/>
        <w:ind/>
        <w:rPr/>
      </w:pPr>
      <w:r>
        <w:t xml:space="preserve">Configuration-only evidence is treated as configuration: scenario YAML files are reported as protocol definitions, not as evaluated outcomes.</w:t>
      </w:r>
      <w:r/>
    </w:p>
    <w:p w14:paraId="670F2401">
      <w:pPr>
        <w:pStyle w:val="1056"/>
        <w:numPr>
          <w:ilvl w:val="0"/>
          <w:numId w:val="55"/>
        </w:numPr>
        <w:suppressLineNumbers w:val="false"/>
        <w:pBdr/>
        <w:spacing w:line="300" w:lineRule="auto"/>
        <w:ind/>
        <w:rPr/>
      </w:pPr>
      <w:r>
        <w:t xml:space="preserve">Local-report cardinalities: dataset sizes shown in this chapter reflect the counts recorded in the local report artifacts and may differ from official dataset descriptor totals due to subset selection, filtering, or split definitions.</w:t>
      </w:r>
      <w:r/>
    </w:p>
    <w:p w14:paraId="1A8182A1">
      <w:pPr>
        <w:pStyle w:val="1056"/>
        <w:suppressLineNumbers w:val="false"/>
        <w:pBdr/>
        <w:spacing w:line="300" w:lineRule="auto"/>
        <w:ind w:firstLine="0"/>
        <w:rPr>
          <w:b/>
          <w:bCs/>
        </w:rPr>
      </w:pPr>
      <w:r>
        <w:rPr>
          <w:b/>
          <w:bCs/>
        </w:rPr>
        <w:t xml:space="preserve">3.1.2 Research Questions Addressed in This Chapter</w:t>
      </w:r>
      <w:r>
        <w:rPr>
          <w:b/>
          <w:bCs/>
        </w:rPr>
      </w:r>
      <w:r>
        <w:rPr>
          <w:b/>
          <w:bCs/>
        </w:rPr>
      </w:r>
    </w:p>
    <w:p w14:paraId="357FD5AF">
      <w:pPr>
        <w:pStyle w:val="1056"/>
        <w:suppressLineNumbers w:val="false"/>
        <w:pBdr/>
        <w:spacing w:after="240" w:before="120" w:line="240" w:lineRule="auto"/>
        <w:ind/>
        <w:rPr/>
      </w:pPr>
      <w:r>
        <w:t xml:space="preserve">Chapter 3 provides empirical evidence relevant to the following research questions defined in Chapter 1:</w:t>
      </w:r>
      <w:r/>
    </w:p>
    <w:p w14:paraId="0006ED89">
      <w:pPr>
        <w:pStyle w:val="1056"/>
        <w:numPr>
          <w:ilvl w:val="0"/>
          <w:numId w:val="56"/>
        </w:numPr>
        <w:suppressLineNumbers w:val="false"/>
        <w:pBdr/>
        <w:spacing w:after="240" w:before="120" w:line="240" w:lineRule="auto"/>
        <w:ind/>
        <w:rPr/>
      </w:pPr>
      <w:r>
        <w:rPr>
          <w:b/>
          <w:bCs/>
        </w:rPr>
        <w:t xml:space="preserve">RQ2 (comparative reliability):</w:t>
      </w:r>
      <w:r>
        <w:t xml:space="preserve"> Do constrained/discriminative pipelines remain more reliable than raw zero-shot generative outputs for current GI MedVQA tasks?</w:t>
      </w:r>
      <w:r/>
    </w:p>
    <w:p w14:paraId="44A1FD67">
      <w:pPr>
        <w:pStyle w:val="1056"/>
        <w:numPr>
          <w:ilvl w:val="0"/>
          <w:numId w:val="56"/>
        </w:numPr>
        <w:suppressLineNumbers w:val="false"/>
        <w:pBdr/>
        <w:spacing w:after="240" w:before="120" w:line="240" w:lineRule="auto"/>
        <w:ind/>
        <w:rPr/>
      </w:pPr>
      <w:r>
        <w:rPr>
          <w:b/>
          <w:bCs/>
        </w:rPr>
        <w:t xml:space="preserve">RQ3 (failure modes):</w:t>
      </w:r>
      <w:r>
        <w:t xml:space="preserve"> Which failure modes dominate across datasets and task styles (e.g., imbalance collapse, lexical drift, mapping fragility, question-family brittleness)?</w:t>
      </w:r>
      <w:r/>
    </w:p>
    <w:p w14:paraId="1AC8A246">
      <w:pPr>
        <w:pStyle w:val="1056"/>
        <w:numPr>
          <w:ilvl w:val="0"/>
          <w:numId w:val="56"/>
        </w:numPr>
        <w:suppressLineNumbers w:val="false"/>
        <w:pBdr/>
        <w:spacing w:after="240" w:before="120" w:line="240" w:lineRule="auto"/>
        <w:ind/>
        <w:rPr/>
      </w:pPr>
      <w:r>
        <w:rPr>
          <w:b/>
          <w:bCs/>
        </w:rPr>
        <w:t xml:space="preserve">RQ4 (severity robustness):</w:t>
      </w:r>
      <w:r>
        <w:t xml:space="preserve"> How reliably can models support UC severity-oriented question answering under ordinal structure and severe-class imbalance?</w:t>
      </w:r>
      <w:r/>
    </w:p>
    <w:p w14:paraId="08A7AFC5">
      <w:pPr>
        <w:pStyle w:val="1056"/>
        <w:numPr>
          <w:ilvl w:val="0"/>
          <w:numId w:val="56"/>
        </w:numPr>
        <w:suppressLineNumbers w:val="false"/>
        <w:pBdr/>
        <w:spacing w:after="240" w:before="120" w:line="240" w:lineRule="auto"/>
        <w:ind/>
        <w:rPr/>
      </w:pPr>
      <w:r>
        <w:rPr>
          <w:b/>
          <w:bCs/>
        </w:rPr>
        <w:t xml:space="preserve">RQ5 (clinical output format)</w:t>
      </w:r>
      <w:r>
        <w:t xml:space="preserve"> – protocol support only: Chapter 3 includes scenario protocol definitions that inform later clinician-facing evaluation logic, but it does not report scenario outcome metrics unless scored predictions are persisted.</w:t>
      </w:r>
      <w:r/>
    </w:p>
    <w:p w14:paraId="2BABE7BE">
      <w:pPr>
        <w:pStyle w:val="1056"/>
        <w:suppressLineNumbers w:val="false"/>
        <w:pBdr/>
        <w:spacing w:after="240" w:before="120" w:line="240" w:lineRule="auto"/>
        <w:ind w:firstLine="720" w:left="0"/>
        <w:rPr/>
      </w:pPr>
      <w:r>
        <w:t xml:space="preserve">To keep the evidence boundary explicit, scenario-level conclusions are deferred when only scenario configuration is present.</w:t>
      </w:r>
      <w:r/>
    </w:p>
    <w:p w14:paraId="120850EE">
      <w:pPr>
        <w:pStyle w:val="1056"/>
        <w:suppressLineNumbers w:val="false"/>
        <w:pBdr/>
        <w:spacing w:line="300" w:lineRule="auto"/>
        <w:ind w:firstLine="0"/>
        <w:rPr/>
      </w:pPr>
      <w:r>
        <w:rPr>
          <w:highlight w:val="none"/>
        </w:rPr>
      </w:r>
      <w:r>
        <w:rPr>
          <w:highlight w:val="none"/>
        </w:rPr>
      </w:r>
      <w:r/>
    </w:p>
    <w:p w14:paraId="68CC8585">
      <w:pPr>
        <w:pStyle w:val="1056"/>
        <w:suppressLineNumbers w:val="false"/>
        <w:pBdr/>
        <w:spacing w:line="300" w:lineRule="auto"/>
        <w:ind w:firstLine="720"/>
        <w:rPr>
          <w:highlight w:val="none"/>
        </w:rPr>
      </w:pPr>
      <w:r>
        <w:t xml:space="preserve">C</w:t>
      </w:r>
      <w:r>
        <w:t xml:space="preserve">hapter 2 established the technique landscape (discriminative fusion models, transformer-based multimodal encoders, generative multimodal models, and retrieval-augmented directions) and emphasized that evaluation must be aligned with clinical risk</w:t>
      </w:r>
      <w:r>
        <w:rPr>
          <w:lang w:val="en-US"/>
        </w:rPr>
        <w:t xml:space="preserve">[57], [58], [59]</w:t>
      </w:r>
      <w:r>
        <w:t xml:space="preserve">. Chapter </w:t>
      </w:r>
      <w:r>
        <w:t xml:space="preserve">3</w:t>
      </w:r>
      <w:r>
        <w:t xml:space="preserve"> operationalizes that principle by evaluating model families using the datasets and artifact outputs available in this repository. The chapter therefore functions as the thesis’s empirical “reality check”: it identifies what is currently reliable under GI-</w:t>
      </w:r>
      <w:r>
        <w:t xml:space="preserve">specific constraints and what failure patterns must be addressed before introducing controlled generative and evidence-aware extensions in subsequent chapters.</w:t>
      </w:r>
      <w:r>
        <w:rPr>
          <w:highlight w:val="none"/>
        </w:rPr>
      </w:r>
      <w:r>
        <w:rPr>
          <w:highlight w:val="none"/>
        </w:rPr>
      </w:r>
    </w:p>
    <w:p w14:paraId="05ABBC3F">
      <w:pPr>
        <w:pStyle w:val="1056"/>
        <w:suppressLineNumbers w:val="false"/>
        <w:pBdr/>
        <w:spacing w:line="300" w:lineRule="auto"/>
        <w:ind w:firstLine="720"/>
        <w:rPr>
          <w:highlight w:val="none"/>
        </w:rPr>
      </w:pPr>
      <w:r>
        <w:rPr>
          <w:highlight w:val="none"/>
        </w:rPr>
      </w:r>
      <w:r>
        <w:rPr>
          <w:highlight w:val="none"/>
        </w:rPr>
      </w:r>
      <w:r>
        <w:rPr>
          <w:highlight w:val="none"/>
        </w:rPr>
      </w:r>
    </w:p>
    <w:p w14:paraId="15B1179A">
      <w:pPr>
        <w:pStyle w:val="1056"/>
        <w:suppressLineNumbers w:val="false"/>
        <w:pBdr/>
        <w:spacing w:line="300" w:lineRule="auto"/>
        <w:ind w:firstLine="0"/>
        <w:rPr>
          <w:highlight w:val="none"/>
        </w:rPr>
      </w:pPr>
      <w:r>
        <w:rPr>
          <w:lang w:val="en-CA"/>
        </w:rPr>
      </w:r>
      <w:r>
        <w:rPr>
          <w:b/>
          <w:bCs/>
          <w:sz w:val="28"/>
          <w:szCs w:val="28"/>
        </w:rPr>
        <w:t xml:space="preserve">3.</w:t>
      </w:r>
      <w:r>
        <w:rPr>
          <w:b/>
          <w:bCs/>
          <w:sz w:val="28"/>
          <w:szCs w:val="28"/>
          <w:lang w:val="en-US"/>
        </w:rPr>
        <w:t xml:space="preserve">2</w:t>
      </w:r>
      <w:r>
        <w:rPr>
          <w:b/>
          <w:bCs/>
          <w:sz w:val="28"/>
          <w:szCs w:val="28"/>
        </w:rPr>
        <w:t xml:space="preserve"> </w:t>
      </w:r>
      <w:r>
        <w:rPr>
          <w:b/>
          <w:bCs/>
          <w:sz w:val="28"/>
          <w:szCs w:val="28"/>
        </w:rPr>
        <w:t xml:space="preserve">Experimental Scenarios and Data Regimes</w:t>
      </w:r>
      <w:r>
        <w:rPr>
          <w:highlight w:val="none"/>
        </w:rPr>
      </w:r>
      <w:r>
        <w:rPr>
          <w:highlight w:val="none"/>
        </w:rPr>
      </w:r>
    </w:p>
    <w:p w14:paraId="4A9FCE10">
      <w:pPr>
        <w:pStyle w:val="1056"/>
        <w:suppressLineNumbers w:val="false"/>
        <w:pBdr/>
        <w:spacing w:line="300" w:lineRule="auto"/>
        <w:ind w:firstLine="720"/>
        <w:rPr>
          <w:highlight w:val="none"/>
        </w:rPr>
      </w:pPr>
      <w:r>
        <w:rPr>
          <w:highlight w:val="none"/>
        </w:rPr>
      </w:r>
      <w:r>
        <w:t xml:space="preserve">Section 3.2 defines the empirical scope: which datasets are evaluated, what task styles they represent, and which model families are compared. The aim is not to claim universal generalization across all GI settings, but to characterize reliability patterns</w:t>
      </w:r>
      <w:r>
        <w:t xml:space="preserve"> within the available artifact evidence and across diverse task regimes (closed-label, generative, ordinal).</w:t>
      </w:r>
      <w:r>
        <w:rPr>
          <w:highlight w:val="none"/>
        </w:rPr>
      </w:r>
      <w:r>
        <w:rPr>
          <w:highlight w:val="none"/>
        </w:rPr>
      </w:r>
    </w:p>
    <w:p w14:paraId="67978EC4">
      <w:pPr>
        <w:pStyle w:val="1044"/>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2"/>
          <w:szCs w:val="22"/>
        </w:rPr>
      </w:pPr>
      <w:r>
        <w:rPr>
          <w:rFonts w:ascii="Arial" w:hAnsi="Arial" w:eastAsia="Arial" w:cs="Arial"/>
          <w:b/>
          <w:color w:val="000000" w:themeColor="text1"/>
          <w:sz w:val="22"/>
          <w:szCs w:val="22"/>
        </w:rPr>
        <w:t xml:space="preserve">3.</w:t>
      </w:r>
      <w:r>
        <w:rPr>
          <w:rFonts w:ascii="Arial" w:hAnsi="Arial" w:eastAsia="Arial" w:cs="Arial"/>
          <w:b/>
          <w:color w:val="000000" w:themeColor="text1"/>
          <w:sz w:val="22"/>
          <w:szCs w:val="22"/>
          <w:lang w:val="en-US"/>
        </w:rPr>
        <w:t xml:space="preserve">2.</w:t>
      </w:r>
      <w:r>
        <w:rPr>
          <w:rFonts w:ascii="Arial" w:hAnsi="Arial" w:eastAsia="Arial" w:cs="Arial"/>
          <w:b/>
          <w:color w:val="000000" w:themeColor="text1"/>
          <w:sz w:val="22"/>
          <w:szCs w:val="22"/>
        </w:rPr>
        <w:t xml:space="preserve">1 </w:t>
      </w:r>
      <w:r>
        <w:rPr>
          <w:rFonts w:ascii="Arial" w:hAnsi="Arial" w:eastAsia="Arial" w:cs="Arial"/>
          <w:b/>
          <w:color w:val="000000" w:themeColor="text1"/>
          <w:sz w:val="22"/>
          <w:szCs w:val="22"/>
        </w:rPr>
        <w:t xml:space="preserve">Dataset-Task Matrix</w:t>
      </w:r>
      <w:r>
        <w:rPr>
          <w:color w:val="000000" w:themeColor="text1"/>
          <w:sz w:val="22"/>
          <w:szCs w:val="22"/>
        </w:rPr>
      </w:r>
      <w:r>
        <w:rPr>
          <w:color w:val="000000" w:themeColor="text1"/>
          <w:sz w:val="22"/>
          <w:szCs w:val="22"/>
        </w:rPr>
      </w:r>
    </w:p>
    <w:p w14:paraId="72558BFC">
      <w:pPr>
        <w:pStyle w:val="1056"/>
        <w:suppressLineNumbers w:val="false"/>
        <w:pBdr/>
        <w:spacing w:line="300" w:lineRule="auto"/>
        <w:ind w:firstLine="0"/>
        <w:rPr>
          <w:b w:val="0"/>
          <w:bCs w:val="0"/>
        </w:rPr>
      </w:pPr>
      <w:r>
        <w:rPr>
          <w:b w:val="0"/>
          <w:bCs w:val="0"/>
          <w:highlight w:val="none"/>
        </w:rPr>
      </w:r>
      <w:r>
        <w:rPr>
          <w:highlight w:val="none"/>
        </w:rPr>
        <w:t xml:space="preserve">Table 3.2 summarizes the datasets included in Chapter 3 and the primary role each dataset plays in the evaluation. The “cardinality” values reflect the counts recorded in the local report files used for this chapter</w:t>
      </w:r>
      <w:r>
        <w:rPr>
          <w:highlight w:val="none"/>
          <w:lang w:val="en-US"/>
        </w:rPr>
        <w:t xml:space="preserve">[66]-[70]</w:t>
      </w:r>
      <w:r>
        <w:rPr>
          <w:highlight w:val="none"/>
        </w:rPr>
        <w:t xml:space="preserve">.</w:t>
      </w:r>
      <w:r>
        <w:rPr>
          <w:b w:val="0"/>
          <w:bCs w:val="0"/>
        </w:rPr>
      </w:r>
      <w:r>
        <w:rPr>
          <w:b w:val="0"/>
          <w:bCs w:val="0"/>
        </w:rPr>
      </w:r>
    </w:p>
    <w:tbl>
      <w:tblPr>
        <w:tblStyle w:val="1113"/>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5C92282">
            <w:pPr>
              <w:pBdr/>
              <w:spacing w:after="0" w:before="0" w:line="240" w:lineRule="auto"/>
              <w:ind/>
              <w:rPr>
                <w:color w:val="000000" w:themeColor="text1"/>
              </w:rPr>
            </w:pPr>
            <w:r>
              <w:rPr>
                <w:rFonts w:ascii="Arial" w:hAnsi="Arial" w:eastAsia="Arial" w:cs="Arial"/>
                <w:b/>
                <w:color w:val="000000" w:themeColor="text1"/>
                <w:sz w:val="21"/>
              </w:rPr>
              <w:t xml:space="preserve">Dataset</w:t>
            </w:r>
            <w:r>
              <w:rPr>
                <w:color w:val="000000" w:themeColor="text1"/>
              </w:rPr>
            </w:r>
            <w:r>
              <w:rPr>
                <w:color w:val="000000" w:themeColor="text1"/>
              </w:rPr>
            </w:r>
          </w:p>
        </w:tc>
        <w:tc>
          <w:tcPr>
            <w:tcBorders/>
            <w:tcW w:w="1728" w:type="dxa"/>
            <w:textDirection w:val="lrTb"/>
            <w:noWrap w:val="false"/>
          </w:tcPr>
          <w:p w14:paraId="0BFB1AFF">
            <w:pPr>
              <w:pBdr/>
              <w:spacing w:after="0" w:before="0" w:line="240" w:lineRule="auto"/>
              <w:ind/>
              <w:jc w:val="right"/>
              <w:rPr>
                <w:color w:val="000000" w:themeColor="text1"/>
              </w:rPr>
            </w:pPr>
            <w:r>
              <w:rPr>
                <w:rFonts w:ascii="Arial" w:hAnsi="Arial" w:eastAsia="Arial" w:cs="Arial"/>
                <w:b/>
                <w:color w:val="000000" w:themeColor="text1"/>
                <w:sz w:val="21"/>
              </w:rPr>
              <w:t xml:space="preserve">Cardinality in local report</w:t>
            </w:r>
            <w:r>
              <w:rPr>
                <w:color w:val="000000" w:themeColor="text1"/>
              </w:rPr>
            </w:r>
            <w:r>
              <w:rPr>
                <w:color w:val="000000" w:themeColor="text1"/>
              </w:rPr>
            </w:r>
          </w:p>
        </w:tc>
        <w:tc>
          <w:tcPr>
            <w:tcBorders/>
            <w:tcW w:w="1728" w:type="dxa"/>
            <w:textDirection w:val="lrTb"/>
            <w:noWrap w:val="false"/>
          </w:tcPr>
          <w:p w14:paraId="48B77D1C">
            <w:pPr>
              <w:pBdr/>
              <w:spacing w:after="0" w:before="0" w:line="240" w:lineRule="auto"/>
              <w:ind/>
              <w:rPr>
                <w:color w:val="000000" w:themeColor="text1"/>
              </w:rPr>
            </w:pPr>
            <w:r>
              <w:rPr>
                <w:rFonts w:ascii="Arial" w:hAnsi="Arial" w:eastAsia="Arial" w:cs="Arial"/>
                <w:b/>
                <w:color w:val="000000" w:themeColor="text1"/>
                <w:sz w:val="21"/>
              </w:rPr>
              <w:t xml:space="preserve">Core outputs</w:t>
            </w:r>
            <w:r>
              <w:rPr>
                <w:color w:val="000000" w:themeColor="text1"/>
              </w:rPr>
            </w:r>
            <w:r>
              <w:rPr>
                <w:color w:val="000000" w:themeColor="text1"/>
              </w:rPr>
            </w:r>
          </w:p>
        </w:tc>
        <w:tc>
          <w:tcPr>
            <w:tcBorders/>
            <w:tcW w:w="1728" w:type="dxa"/>
            <w:textDirection w:val="lrTb"/>
            <w:noWrap w:val="false"/>
          </w:tcPr>
          <w:p w14:paraId="763910D0">
            <w:pPr>
              <w:pBdr/>
              <w:spacing w:after="0" w:before="0" w:line="240" w:lineRule="auto"/>
              <w:ind/>
              <w:rPr>
                <w:color w:val="000000" w:themeColor="text1"/>
              </w:rPr>
            </w:pPr>
            <w:r>
              <w:rPr>
                <w:rFonts w:ascii="Arial" w:hAnsi="Arial" w:eastAsia="Arial" w:cs="Arial"/>
                <w:b/>
                <w:color w:val="000000" w:themeColor="text1"/>
                <w:sz w:val="21"/>
              </w:rPr>
              <w:t xml:space="preserve">Main evaluation axis</w:t>
            </w:r>
            <w:r>
              <w:rPr>
                <w:color w:val="000000" w:themeColor="text1"/>
              </w:rPr>
            </w:r>
            <w:r>
              <w:rPr>
                <w:color w:val="000000" w:themeColor="text1"/>
              </w:rPr>
            </w:r>
          </w:p>
        </w:tc>
        <w:tc>
          <w:tcPr>
            <w:tcBorders/>
            <w:tcW w:w="1728" w:type="dxa"/>
            <w:textDirection w:val="lrTb"/>
            <w:noWrap w:val="false"/>
          </w:tcPr>
          <w:p w14:paraId="10FE9F15">
            <w:pPr>
              <w:pBdr/>
              <w:spacing w:after="0" w:before="0" w:line="240" w:lineRule="auto"/>
              <w:ind/>
              <w:rPr>
                <w:color w:val="000000" w:themeColor="text1"/>
              </w:rPr>
            </w:pPr>
            <w:r>
              <w:rPr>
                <w:rFonts w:ascii="Arial" w:hAnsi="Arial" w:eastAsia="Arial" w:cs="Arial"/>
                <w:b/>
                <w:color w:val="000000" w:themeColor="text1"/>
                <w:sz w:val="21"/>
              </w:rPr>
              <w:t xml:space="preserve">Clinical relevance</w:t>
            </w:r>
            <w:r>
              <w:rPr>
                <w:color w:val="000000" w:themeColor="text1"/>
              </w:rPr>
            </w:r>
            <w:r>
              <w:rPr>
                <w:color w:val="000000" w:themeColor="text1"/>
              </w:rPr>
            </w:r>
          </w:p>
        </w:tc>
      </w:tr>
      <w:tr>
        <w:trPr/>
        <w:tc>
          <w:tcPr>
            <w:tcBorders/>
            <w:tcW w:w="1728" w:type="dxa"/>
            <w:textDirection w:val="lrTb"/>
            <w:noWrap w:val="false"/>
          </w:tcPr>
          <w:p w14:paraId="3388AA29">
            <w:pPr>
              <w:pBdr/>
              <w:spacing w:after="0" w:before="0" w:line="240" w:lineRule="auto"/>
              <w:ind/>
              <w:rPr>
                <w:color w:val="000000" w:themeColor="text1"/>
              </w:rPr>
            </w:pPr>
            <w:r>
              <w:rPr>
                <w:rFonts w:ascii="Arial" w:hAnsi="Arial" w:eastAsia="Arial" w:cs="Arial"/>
                <w:color w:val="000000" w:themeColor="text1"/>
                <w:sz w:val="21"/>
              </w:rPr>
              <w:t xml:space="preserve">HyperKvasir</w:t>
            </w:r>
            <w:r>
              <w:rPr>
                <w:color w:val="000000" w:themeColor="text1"/>
              </w:rPr>
            </w:r>
            <w:r>
              <w:rPr>
                <w:color w:val="000000" w:themeColor="text1"/>
              </w:rPr>
            </w:r>
          </w:p>
        </w:tc>
        <w:tc>
          <w:tcPr>
            <w:tcBorders/>
            <w:tcW w:w="1728" w:type="dxa"/>
            <w:textDirection w:val="lrTb"/>
            <w:noWrap w:val="false"/>
          </w:tcPr>
          <w:p w14:paraId="38057AF4">
            <w:pPr>
              <w:pBdr/>
              <w:spacing w:after="0" w:before="0" w:line="240" w:lineRule="auto"/>
              <w:ind/>
              <w:jc w:val="right"/>
              <w:rPr>
                <w:color w:val="000000" w:themeColor="text1"/>
              </w:rPr>
            </w:pPr>
            <w:r>
              <w:rPr>
                <w:rFonts w:ascii="Arial" w:hAnsi="Arial" w:eastAsia="Arial" w:cs="Arial"/>
                <w:color w:val="000000" w:themeColor="text1"/>
                <w:sz w:val="21"/>
              </w:rPr>
              <w:t xml:space="preserve">10,662 images, 23 classes</w:t>
            </w:r>
            <w:r>
              <w:rPr>
                <w:color w:val="000000" w:themeColor="text1"/>
              </w:rPr>
            </w:r>
            <w:r>
              <w:rPr>
                <w:color w:val="000000" w:themeColor="text1"/>
              </w:rPr>
            </w:r>
          </w:p>
        </w:tc>
        <w:tc>
          <w:tcPr>
            <w:tcBorders/>
            <w:tcW w:w="1728" w:type="dxa"/>
            <w:textDirection w:val="lrTb"/>
            <w:noWrap w:val="false"/>
          </w:tcPr>
          <w:p w14:paraId="27E23BF3">
            <w:pPr>
              <w:pBdr/>
              <w:spacing w:after="0" w:before="0" w:line="240" w:lineRule="auto"/>
              <w:ind/>
              <w:rPr>
                <w:color w:val="000000" w:themeColor="text1"/>
              </w:rPr>
            </w:pPr>
            <w:r>
              <w:rPr>
                <w:rFonts w:ascii="Arial" w:hAnsi="Arial" w:eastAsia="Arial" w:cs="Arial"/>
                <w:color w:val="000000" w:themeColor="text1"/>
                <w:sz w:val="21"/>
              </w:rPr>
              <w:t xml:space="preserve">class labels</w:t>
            </w:r>
            <w:r>
              <w:rPr>
                <w:color w:val="000000" w:themeColor="text1"/>
              </w:rPr>
            </w:r>
            <w:r>
              <w:rPr>
                <w:color w:val="000000" w:themeColor="text1"/>
              </w:rPr>
            </w:r>
          </w:p>
        </w:tc>
        <w:tc>
          <w:tcPr>
            <w:tcBorders/>
            <w:tcW w:w="1728" w:type="dxa"/>
            <w:textDirection w:val="lrTb"/>
            <w:noWrap w:val="false"/>
          </w:tcPr>
          <w:p w14:paraId="1A53FC12">
            <w:pPr>
              <w:pBdr/>
              <w:spacing w:after="0" w:before="0" w:line="240" w:lineRule="auto"/>
              <w:ind/>
              <w:rPr>
                <w:color w:val="000000" w:themeColor="text1"/>
              </w:rPr>
            </w:pPr>
            <w:r>
              <w:rPr>
                <w:rFonts w:ascii="Arial" w:hAnsi="Arial" w:eastAsia="Arial" w:cs="Arial"/>
                <w:color w:val="000000" w:themeColor="text1"/>
                <w:sz w:val="21"/>
              </w:rPr>
              <w:t xml:space="preserve">multiclass reliability under imbalance</w:t>
            </w:r>
            <w:r>
              <w:rPr>
                <w:color w:val="000000" w:themeColor="text1"/>
              </w:rPr>
            </w:r>
            <w:r>
              <w:rPr>
                <w:color w:val="000000" w:themeColor="text1"/>
              </w:rPr>
            </w:r>
          </w:p>
        </w:tc>
        <w:tc>
          <w:tcPr>
            <w:tcBorders/>
            <w:tcW w:w="1728" w:type="dxa"/>
            <w:textDirection w:val="lrTb"/>
            <w:noWrap w:val="false"/>
          </w:tcPr>
          <w:p w14:paraId="14618D38">
            <w:pPr>
              <w:pBdr/>
              <w:spacing w:after="0" w:before="0" w:line="240" w:lineRule="auto"/>
              <w:ind/>
              <w:rPr>
                <w:color w:val="000000" w:themeColor="text1"/>
              </w:rPr>
            </w:pPr>
            <w:r>
              <w:rPr>
                <w:rFonts w:ascii="Arial" w:hAnsi="Arial" w:eastAsia="Arial" w:cs="Arial"/>
                <w:color w:val="000000" w:themeColor="text1"/>
                <w:sz w:val="21"/>
              </w:rPr>
              <w:t xml:space="preserve">broad GI visual grounding</w:t>
            </w:r>
            <w:r>
              <w:rPr>
                <w:color w:val="000000" w:themeColor="text1"/>
              </w:rPr>
            </w:r>
            <w:r>
              <w:rPr>
                <w:color w:val="000000" w:themeColor="text1"/>
              </w:rPr>
            </w:r>
          </w:p>
        </w:tc>
      </w:tr>
      <w:tr>
        <w:trPr/>
        <w:tc>
          <w:tcPr>
            <w:tcBorders/>
            <w:tcW w:w="1728" w:type="dxa"/>
            <w:textDirection w:val="lrTb"/>
            <w:noWrap w:val="false"/>
          </w:tcPr>
          <w:p w14:paraId="4597C240">
            <w:pPr>
              <w:pBdr/>
              <w:spacing w:after="0" w:before="0" w:line="240" w:lineRule="auto"/>
              <w:ind/>
              <w:rPr>
                <w:color w:val="000000" w:themeColor="text1"/>
              </w:rPr>
            </w:pPr>
            <w:r>
              <w:rPr>
                <w:rFonts w:ascii="Arial" w:hAnsi="Arial" w:eastAsia="Arial" w:cs="Arial"/>
                <w:color w:val="000000" w:themeColor="text1"/>
                <w:sz w:val="21"/>
              </w:rPr>
              <w:t xml:space="preserve">ImageCLEF MEDVQA-GI 2023</w:t>
            </w:r>
            <w:r>
              <w:rPr>
                <w:color w:val="000000" w:themeColor="text1"/>
              </w:rPr>
            </w:r>
            <w:r>
              <w:rPr>
                <w:color w:val="000000" w:themeColor="text1"/>
              </w:rPr>
            </w:r>
          </w:p>
        </w:tc>
        <w:tc>
          <w:tcPr>
            <w:tcBorders/>
            <w:tcW w:w="1728" w:type="dxa"/>
            <w:textDirection w:val="lrTb"/>
            <w:noWrap w:val="false"/>
          </w:tcPr>
          <w:p w14:paraId="3138B9F4">
            <w:pPr>
              <w:pBdr/>
              <w:spacing w:after="0" w:before="0" w:line="240" w:lineRule="auto"/>
              <w:ind/>
              <w:jc w:val="right"/>
              <w:rPr>
                <w:color w:val="000000" w:themeColor="text1"/>
              </w:rPr>
            </w:pPr>
            <w:r>
              <w:rPr>
                <w:rFonts w:ascii="Arial" w:hAnsi="Arial" w:eastAsia="Arial" w:cs="Arial"/>
                <w:color w:val="000000" w:themeColor="text1"/>
                <w:sz w:val="21"/>
              </w:rPr>
              <w:t xml:space="preserve">36,683 QA rows (29,351 train, 7,332 val)</w:t>
            </w:r>
            <w:r>
              <w:rPr>
                <w:color w:val="000000" w:themeColor="text1"/>
              </w:rPr>
            </w:r>
            <w:r>
              <w:rPr>
                <w:color w:val="000000" w:themeColor="text1"/>
              </w:rPr>
            </w:r>
          </w:p>
        </w:tc>
        <w:tc>
          <w:tcPr>
            <w:tcBorders/>
            <w:tcW w:w="1728" w:type="dxa"/>
            <w:textDirection w:val="lrTb"/>
            <w:noWrap w:val="false"/>
          </w:tcPr>
          <w:p w14:paraId="5E578420">
            <w:pPr>
              <w:pBdr/>
              <w:spacing w:after="0" w:before="0" w:line="240" w:lineRule="auto"/>
              <w:ind/>
              <w:rPr>
                <w:color w:val="000000" w:themeColor="text1"/>
              </w:rPr>
            </w:pPr>
            <w:r>
              <w:rPr>
                <w:rFonts w:ascii="Arial" w:hAnsi="Arial" w:eastAsia="Arial" w:cs="Arial"/>
                <w:color w:val="000000" w:themeColor="text1"/>
                <w:sz w:val="21"/>
              </w:rPr>
              <w:t xml:space="preserve">label IDs per question</w:t>
            </w:r>
            <w:r>
              <w:rPr>
                <w:color w:val="000000" w:themeColor="text1"/>
              </w:rPr>
            </w:r>
            <w:r>
              <w:rPr>
                <w:color w:val="000000" w:themeColor="text1"/>
              </w:rPr>
            </w:r>
          </w:p>
        </w:tc>
        <w:tc>
          <w:tcPr>
            <w:tcBorders/>
            <w:tcW w:w="1728" w:type="dxa"/>
            <w:textDirection w:val="lrTb"/>
            <w:noWrap w:val="false"/>
          </w:tcPr>
          <w:p w14:paraId="4EAD7FF8">
            <w:pPr>
              <w:pBdr/>
              <w:spacing w:after="0" w:before="0" w:line="240" w:lineRule="auto"/>
              <w:ind/>
              <w:rPr>
                <w:color w:val="000000" w:themeColor="text1"/>
              </w:rPr>
            </w:pPr>
            <w:r>
              <w:rPr>
                <w:rFonts w:ascii="Arial" w:hAnsi="Arial" w:eastAsia="Arial" w:cs="Arial"/>
                <w:color w:val="000000" w:themeColor="text1"/>
                <w:sz w:val="21"/>
              </w:rPr>
              <w:t xml:space="preserve">per-question closed-label VQA reliability</w:t>
            </w:r>
            <w:r>
              <w:rPr>
                <w:color w:val="000000" w:themeColor="text1"/>
              </w:rPr>
            </w:r>
            <w:r>
              <w:rPr>
                <w:color w:val="000000" w:themeColor="text1"/>
              </w:rPr>
            </w:r>
          </w:p>
        </w:tc>
        <w:tc>
          <w:tcPr>
            <w:tcBorders/>
            <w:tcW w:w="1728" w:type="dxa"/>
            <w:textDirection w:val="lrTb"/>
            <w:noWrap w:val="false"/>
          </w:tcPr>
          <w:p w14:paraId="1E10286F">
            <w:pPr>
              <w:pBdr/>
              <w:spacing w:after="0" w:before="0" w:line="240" w:lineRule="auto"/>
              <w:ind/>
              <w:rPr>
                <w:color w:val="000000" w:themeColor="text1"/>
              </w:rPr>
            </w:pPr>
            <w:r>
              <w:rPr>
                <w:rFonts w:ascii="Arial" w:hAnsi="Arial" w:eastAsia="Arial" w:cs="Arial"/>
                <w:color w:val="000000" w:themeColor="text1"/>
                <w:sz w:val="21"/>
              </w:rPr>
              <w:t xml:space="preserve">benchmarked GI QA consistency</w:t>
            </w:r>
            <w:r>
              <w:rPr>
                <w:color w:val="000000" w:themeColor="text1"/>
              </w:rPr>
            </w:r>
            <w:r>
              <w:rPr>
                <w:color w:val="000000" w:themeColor="text1"/>
              </w:rPr>
            </w:r>
          </w:p>
        </w:tc>
      </w:tr>
      <w:tr>
        <w:trPr/>
        <w:tc>
          <w:tcPr>
            <w:tcBorders/>
            <w:tcW w:w="1728" w:type="dxa"/>
            <w:textDirection w:val="lrTb"/>
            <w:noWrap w:val="false"/>
          </w:tcPr>
          <w:p w14:paraId="7964C8E5">
            <w:pPr>
              <w:pBdr/>
              <w:spacing w:after="0" w:before="0" w:line="240" w:lineRule="auto"/>
              <w:ind/>
              <w:rPr>
                <w:color w:val="000000" w:themeColor="text1"/>
              </w:rPr>
            </w:pPr>
            <w:r>
              <w:rPr>
                <w:rFonts w:ascii="Arial" w:hAnsi="Arial" w:eastAsia="Arial" w:cs="Arial"/>
                <w:color w:val="000000" w:themeColor="text1"/>
                <w:sz w:val="21"/>
              </w:rPr>
              <w:t xml:space="preserve">Kvasir-VQA</w:t>
            </w:r>
            <w:r>
              <w:rPr>
                <w:color w:val="000000" w:themeColor="text1"/>
              </w:rPr>
            </w:r>
            <w:r>
              <w:rPr>
                <w:color w:val="000000" w:themeColor="text1"/>
              </w:rPr>
            </w:r>
          </w:p>
        </w:tc>
        <w:tc>
          <w:tcPr>
            <w:tcBorders/>
            <w:tcW w:w="1728" w:type="dxa"/>
            <w:textDirection w:val="lrTb"/>
            <w:noWrap w:val="false"/>
          </w:tcPr>
          <w:p w14:paraId="212F71D2">
            <w:pPr>
              <w:pBdr/>
              <w:spacing w:after="0" w:before="0" w:line="240" w:lineRule="auto"/>
              <w:ind/>
              <w:jc w:val="right"/>
              <w:rPr>
                <w:color w:val="000000" w:themeColor="text1"/>
              </w:rPr>
            </w:pPr>
            <w:r>
              <w:rPr>
                <w:rFonts w:ascii="Arial" w:hAnsi="Arial" w:eastAsia="Arial" w:cs="Arial"/>
                <w:color w:val="000000" w:themeColor="text1"/>
                <w:sz w:val="21"/>
              </w:rPr>
              <w:t xml:space="preserve">58,849 QA rows, 6,500 images</w:t>
            </w:r>
            <w:r>
              <w:rPr>
                <w:color w:val="000000" w:themeColor="text1"/>
              </w:rPr>
            </w:r>
            <w:r>
              <w:rPr>
                <w:color w:val="000000" w:themeColor="text1"/>
              </w:rPr>
            </w:r>
          </w:p>
        </w:tc>
        <w:tc>
          <w:tcPr>
            <w:tcBorders/>
            <w:tcW w:w="1728" w:type="dxa"/>
            <w:textDirection w:val="lrTb"/>
            <w:noWrap w:val="false"/>
          </w:tcPr>
          <w:p w14:paraId="1DF7735D">
            <w:pPr>
              <w:pBdr/>
              <w:spacing w:after="0" w:before="0" w:line="240" w:lineRule="auto"/>
              <w:ind/>
              <w:rPr>
                <w:color w:val="000000" w:themeColor="text1"/>
              </w:rPr>
            </w:pPr>
            <w:r>
              <w:rPr>
                <w:rFonts w:ascii="Arial" w:hAnsi="Arial" w:eastAsia="Arial" w:cs="Arial"/>
                <w:color w:val="000000" w:themeColor="text1"/>
                <w:sz w:val="21"/>
              </w:rPr>
              <w:t xml:space="preserve">yes/no, attributes, free text</w:t>
            </w:r>
            <w:r>
              <w:rPr>
                <w:color w:val="000000" w:themeColor="text1"/>
              </w:rPr>
            </w:r>
            <w:r>
              <w:rPr>
                <w:color w:val="000000" w:themeColor="text1"/>
              </w:rPr>
            </w:r>
          </w:p>
        </w:tc>
        <w:tc>
          <w:tcPr>
            <w:tcBorders/>
            <w:tcW w:w="1728" w:type="dxa"/>
            <w:textDirection w:val="lrTb"/>
            <w:noWrap w:val="false"/>
          </w:tcPr>
          <w:p w14:paraId="75A867AE">
            <w:pPr>
              <w:pBdr/>
              <w:spacing w:after="0" w:before="0" w:line="240" w:lineRule="auto"/>
              <w:ind/>
              <w:rPr>
                <w:color w:val="000000" w:themeColor="text1"/>
              </w:rPr>
            </w:pPr>
            <w:r>
              <w:rPr>
                <w:rFonts w:ascii="Arial" w:hAnsi="Arial" w:eastAsia="Arial" w:cs="Arial"/>
                <w:color w:val="000000" w:themeColor="text1"/>
                <w:sz w:val="21"/>
              </w:rPr>
              <w:t xml:space="preserve">subset reliability and format stability</w:t>
            </w:r>
            <w:r>
              <w:rPr>
                <w:color w:val="000000" w:themeColor="text1"/>
              </w:rPr>
            </w:r>
            <w:r>
              <w:rPr>
                <w:color w:val="000000" w:themeColor="text1"/>
              </w:rPr>
            </w:r>
          </w:p>
        </w:tc>
        <w:tc>
          <w:tcPr>
            <w:tcBorders/>
            <w:tcW w:w="1728" w:type="dxa"/>
            <w:textDirection w:val="lrTb"/>
            <w:noWrap w:val="false"/>
          </w:tcPr>
          <w:p w14:paraId="201443BF">
            <w:pPr>
              <w:pBdr/>
              <w:spacing w:after="0" w:before="0" w:line="240" w:lineRule="auto"/>
              <w:ind/>
              <w:rPr>
                <w:color w:val="000000" w:themeColor="text1"/>
              </w:rPr>
            </w:pPr>
            <w:r>
              <w:rPr>
                <w:rFonts w:ascii="Arial" w:hAnsi="Arial" w:eastAsia="Arial" w:cs="Arial"/>
                <w:color w:val="000000" w:themeColor="text1"/>
                <w:sz w:val="21"/>
              </w:rPr>
              <w:t xml:space="preserve">colonoscopy QA behavior</w:t>
            </w:r>
            <w:r>
              <w:rPr>
                <w:color w:val="000000" w:themeColor="text1"/>
              </w:rPr>
            </w:r>
            <w:r>
              <w:rPr>
                <w:color w:val="000000" w:themeColor="text1"/>
              </w:rPr>
            </w:r>
          </w:p>
        </w:tc>
      </w:tr>
      <w:tr>
        <w:trPr/>
        <w:tc>
          <w:tcPr>
            <w:tcBorders/>
            <w:tcW w:w="1728" w:type="dxa"/>
            <w:textDirection w:val="lrTb"/>
            <w:noWrap w:val="false"/>
          </w:tcPr>
          <w:p w14:paraId="5FD6732B">
            <w:pPr>
              <w:pBdr/>
              <w:spacing w:after="0" w:before="0" w:line="240" w:lineRule="auto"/>
              <w:ind/>
              <w:rPr>
                <w:color w:val="000000" w:themeColor="text1"/>
              </w:rPr>
            </w:pPr>
            <w:r>
              <w:rPr>
                <w:rFonts w:ascii="Arial" w:hAnsi="Arial" w:eastAsia="Arial" w:cs="Arial"/>
                <w:color w:val="000000" w:themeColor="text1"/>
                <w:sz w:val="21"/>
              </w:rPr>
              <w:t xml:space="preserve">Kvasir-VQA-x1</w:t>
            </w:r>
            <w:r>
              <w:rPr>
                <w:color w:val="000000" w:themeColor="text1"/>
              </w:rPr>
            </w:r>
            <w:r>
              <w:rPr>
                <w:color w:val="000000" w:themeColor="text1"/>
              </w:rPr>
            </w:r>
          </w:p>
        </w:tc>
        <w:tc>
          <w:tcPr>
            <w:tcBorders/>
            <w:tcW w:w="1728" w:type="dxa"/>
            <w:textDirection w:val="lrTb"/>
            <w:noWrap w:val="false"/>
          </w:tcPr>
          <w:p w14:paraId="0871F6A8">
            <w:pPr>
              <w:pBdr/>
              <w:spacing w:after="0" w:before="0" w:line="240" w:lineRule="auto"/>
              <w:ind/>
              <w:jc w:val="right"/>
              <w:rPr>
                <w:color w:val="000000" w:themeColor="text1"/>
              </w:rPr>
            </w:pPr>
            <w:r>
              <w:rPr>
                <w:rFonts w:ascii="Arial" w:hAnsi="Arial" w:eastAsia="Arial" w:cs="Arial"/>
                <w:color w:val="000000" w:themeColor="text1"/>
                <w:sz w:val="21"/>
              </w:rPr>
              <w:t xml:space="preserve">159,549 QA rows, 6,449 images</w:t>
            </w:r>
            <w:r>
              <w:rPr>
                <w:color w:val="000000" w:themeColor="text1"/>
              </w:rPr>
            </w:r>
            <w:r>
              <w:rPr>
                <w:color w:val="000000" w:themeColor="text1"/>
              </w:rPr>
            </w:r>
          </w:p>
        </w:tc>
        <w:tc>
          <w:tcPr>
            <w:tcBorders/>
            <w:tcW w:w="1728" w:type="dxa"/>
            <w:textDirection w:val="lrTb"/>
            <w:noWrap w:val="false"/>
          </w:tcPr>
          <w:p w14:paraId="366D62BF">
            <w:pPr>
              <w:pBdr/>
              <w:spacing w:after="0" w:before="0" w:line="240" w:lineRule="auto"/>
              <w:ind/>
              <w:rPr>
                <w:color w:val="000000" w:themeColor="text1"/>
              </w:rPr>
            </w:pPr>
            <w:r>
              <w:rPr>
                <w:rFonts w:ascii="Arial" w:hAnsi="Arial" w:eastAsia="Arial" w:cs="Arial"/>
                <w:color w:val="000000" w:themeColor="text1"/>
                <w:sz w:val="21"/>
              </w:rPr>
              <w:t xml:space="preserve">free-text answers + mapped labels</w:t>
            </w:r>
            <w:r>
              <w:rPr>
                <w:color w:val="000000" w:themeColor="text1"/>
              </w:rPr>
            </w:r>
            <w:r>
              <w:rPr>
                <w:color w:val="000000" w:themeColor="text1"/>
              </w:rPr>
            </w:r>
          </w:p>
        </w:tc>
        <w:tc>
          <w:tcPr>
            <w:tcBorders/>
            <w:tcW w:w="1728" w:type="dxa"/>
            <w:textDirection w:val="lrTb"/>
            <w:noWrap w:val="false"/>
          </w:tcPr>
          <w:p w14:paraId="596C015B">
            <w:pPr>
              <w:pBdr/>
              <w:spacing w:after="0" w:before="0" w:line="240" w:lineRule="auto"/>
              <w:ind/>
              <w:rPr>
                <w:color w:val="000000" w:themeColor="text1"/>
              </w:rPr>
            </w:pPr>
            <w:r>
              <w:rPr>
                <w:rFonts w:ascii="Arial" w:hAnsi="Arial" w:eastAsia="Arial" w:cs="Arial"/>
                <w:color w:val="000000" w:themeColor="text1"/>
                <w:sz w:val="21"/>
              </w:rPr>
              <w:t xml:space="preserve">generative fidelity, complexity effects</w:t>
            </w:r>
            <w:r>
              <w:rPr>
                <w:color w:val="000000" w:themeColor="text1"/>
              </w:rPr>
            </w:r>
            <w:r>
              <w:rPr>
                <w:color w:val="000000" w:themeColor="text1"/>
              </w:rPr>
            </w:r>
          </w:p>
        </w:tc>
        <w:tc>
          <w:tcPr>
            <w:tcBorders/>
            <w:tcW w:w="1728" w:type="dxa"/>
            <w:textDirection w:val="lrTb"/>
            <w:noWrap w:val="false"/>
          </w:tcPr>
          <w:p w14:paraId="0664082E">
            <w:pPr>
              <w:pBdr/>
              <w:spacing w:after="0" w:before="0" w:line="240" w:lineRule="auto"/>
              <w:ind/>
              <w:rPr>
                <w:color w:val="000000" w:themeColor="text1"/>
              </w:rPr>
            </w:pPr>
            <w:r>
              <w:rPr>
                <w:rFonts w:ascii="Arial" w:hAnsi="Arial" w:eastAsia="Arial" w:cs="Arial"/>
                <w:color w:val="000000" w:themeColor="text1"/>
                <w:sz w:val="21"/>
              </w:rPr>
              <w:t xml:space="preserve">robust MedVQA reasoning stress</w:t>
            </w:r>
            <w:r>
              <w:rPr>
                <w:color w:val="000000" w:themeColor="text1"/>
              </w:rPr>
            </w:r>
            <w:r>
              <w:rPr>
                <w:color w:val="000000" w:themeColor="text1"/>
              </w:rPr>
            </w:r>
          </w:p>
        </w:tc>
      </w:tr>
      <w:tr>
        <w:trPr/>
        <w:tc>
          <w:tcPr>
            <w:tcBorders/>
            <w:tcW w:w="1728" w:type="dxa"/>
            <w:textDirection w:val="lrTb"/>
            <w:noWrap w:val="false"/>
          </w:tcPr>
          <w:p w14:paraId="3F08A184">
            <w:pPr>
              <w:pBdr/>
              <w:spacing w:after="0" w:before="0" w:line="240" w:lineRule="auto"/>
              <w:ind/>
              <w:rPr>
                <w:color w:val="000000" w:themeColor="text1"/>
              </w:rPr>
            </w:pPr>
            <w:r>
              <w:rPr>
                <w:rFonts w:ascii="Arial" w:hAnsi="Arial" w:eastAsia="Arial" w:cs="Arial"/>
                <w:color w:val="000000" w:themeColor="text1"/>
                <w:sz w:val="21"/>
              </w:rPr>
              <w:t xml:space="preserve">LIMUC</w:t>
            </w:r>
            <w:r>
              <w:rPr>
                <w:color w:val="000000" w:themeColor="text1"/>
              </w:rPr>
            </w:r>
            <w:r>
              <w:rPr>
                <w:color w:val="000000" w:themeColor="text1"/>
              </w:rPr>
            </w:r>
          </w:p>
        </w:tc>
        <w:tc>
          <w:tcPr>
            <w:tcBorders/>
            <w:tcW w:w="1728" w:type="dxa"/>
            <w:textDirection w:val="lrTb"/>
            <w:noWrap w:val="false"/>
          </w:tcPr>
          <w:p w14:paraId="5E74C3AC">
            <w:pPr>
              <w:pBdr/>
              <w:spacing w:after="0" w:before="0" w:line="240" w:lineRule="auto"/>
              <w:ind/>
              <w:jc w:val="right"/>
              <w:rPr>
                <w:color w:val="000000" w:themeColor="text1"/>
              </w:rPr>
            </w:pPr>
            <w:r>
              <w:rPr>
                <w:rFonts w:ascii="Arial" w:hAnsi="Arial" w:eastAsia="Arial" w:cs="Arial"/>
                <w:color w:val="000000" w:themeColor="text1"/>
                <w:sz w:val="21"/>
              </w:rPr>
              <w:t xml:space="preserve">11,276 images, Mayo 0-3</w:t>
            </w:r>
            <w:r>
              <w:rPr>
                <w:color w:val="000000" w:themeColor="text1"/>
              </w:rPr>
            </w:r>
            <w:r>
              <w:rPr>
                <w:color w:val="000000" w:themeColor="text1"/>
              </w:rPr>
            </w:r>
          </w:p>
        </w:tc>
        <w:tc>
          <w:tcPr>
            <w:tcBorders/>
            <w:tcW w:w="1728" w:type="dxa"/>
            <w:textDirection w:val="lrTb"/>
            <w:noWrap w:val="false"/>
          </w:tcPr>
          <w:p w14:paraId="0C8D90AE">
            <w:pPr>
              <w:pBdr/>
              <w:spacing w:after="0" w:before="0" w:line="240" w:lineRule="auto"/>
              <w:ind/>
              <w:rPr>
                <w:color w:val="000000" w:themeColor="text1"/>
              </w:rPr>
            </w:pPr>
            <w:r>
              <w:rPr>
                <w:rFonts w:ascii="Arial" w:hAnsi="Arial" w:eastAsia="Arial" w:cs="Arial"/>
                <w:color w:val="000000" w:themeColor="text1"/>
                <w:sz w:val="21"/>
              </w:rPr>
              <w:t xml:space="preserve">ordinal severity class</w:t>
            </w:r>
            <w:r>
              <w:rPr>
                <w:color w:val="000000" w:themeColor="text1"/>
              </w:rPr>
            </w:r>
            <w:r>
              <w:rPr>
                <w:color w:val="000000" w:themeColor="text1"/>
              </w:rPr>
            </w:r>
          </w:p>
        </w:tc>
        <w:tc>
          <w:tcPr>
            <w:tcBorders/>
            <w:tcW w:w="1728" w:type="dxa"/>
            <w:textDirection w:val="lrTb"/>
            <w:noWrap w:val="false"/>
          </w:tcPr>
          <w:p w14:paraId="043624C7">
            <w:pPr>
              <w:pBdr/>
              <w:spacing w:after="0" w:before="0" w:line="240" w:lineRule="auto"/>
              <w:ind/>
              <w:rPr>
                <w:color w:val="000000" w:themeColor="text1"/>
              </w:rPr>
            </w:pPr>
            <w:r>
              <w:rPr>
                <w:rFonts w:ascii="Arial" w:hAnsi="Arial" w:eastAsia="Arial" w:cs="Arial"/>
                <w:color w:val="000000" w:themeColor="text1"/>
                <w:sz w:val="21"/>
              </w:rPr>
              <w:t xml:space="preserve">macro-F1, QWK, remission slice</w:t>
            </w:r>
            <w:r>
              <w:rPr>
                <w:color w:val="000000" w:themeColor="text1"/>
              </w:rPr>
            </w:r>
            <w:r>
              <w:rPr>
                <w:color w:val="000000" w:themeColor="text1"/>
              </w:rPr>
            </w:r>
          </w:p>
        </w:tc>
        <w:tc>
          <w:tcPr>
            <w:tcBorders/>
            <w:tcW w:w="1728" w:type="dxa"/>
            <w:textDirection w:val="lrTb"/>
            <w:noWrap w:val="false"/>
          </w:tcPr>
          <w:p w14:paraId="6C1324D4">
            <w:pPr>
              <w:pBdr/>
              <w:spacing w:after="0" w:before="0" w:line="240" w:lineRule="auto"/>
              <w:ind/>
              <w:rPr>
                <w:color w:val="000000" w:themeColor="text1"/>
              </w:rPr>
            </w:pPr>
            <w:r>
              <w:rPr>
                <w:rFonts w:ascii="Arial" w:hAnsi="Arial" w:eastAsia="Arial" w:cs="Arial"/>
                <w:color w:val="000000" w:themeColor="text1"/>
                <w:sz w:val="21"/>
              </w:rPr>
              <w:t xml:space="preserve">UC treatment-aligned severity</w:t>
            </w:r>
            <w:r>
              <w:rPr>
                <w:color w:val="000000" w:themeColor="text1"/>
              </w:rPr>
            </w:r>
            <w:r>
              <w:rPr>
                <w:color w:val="000000" w:themeColor="text1"/>
              </w:rPr>
            </w:r>
          </w:p>
        </w:tc>
      </w:tr>
      <w:tr>
        <w:trPr/>
        <w:tc>
          <w:tcPr>
            <w:tcBorders/>
            <w:tcW w:w="1728" w:type="dxa"/>
            <w:textDirection w:val="lrTb"/>
            <w:noWrap w:val="false"/>
          </w:tcPr>
          <w:p w14:paraId="0E537636">
            <w:pPr>
              <w:pBdr/>
              <w:spacing w:after="0" w:before="0" w:line="240" w:lineRule="auto"/>
              <w:ind/>
              <w:rPr>
                <w:color w:val="000000" w:themeColor="text1"/>
              </w:rPr>
            </w:pPr>
            <w:r>
              <w:rPr>
                <w:rFonts w:ascii="Arial" w:hAnsi="Arial" w:eastAsia="Arial" w:cs="Arial"/>
                <w:color w:val="000000" w:themeColor="text1"/>
                <w:sz w:val="21"/>
              </w:rPr>
              <w:t xml:space="preserve">Kvasir-SEG</w:t>
            </w:r>
            <w:r>
              <w:rPr>
                <w:color w:val="000000" w:themeColor="text1"/>
              </w:rPr>
            </w:r>
            <w:r>
              <w:rPr>
                <w:color w:val="000000" w:themeColor="text1"/>
              </w:rPr>
            </w:r>
          </w:p>
        </w:tc>
        <w:tc>
          <w:tcPr>
            <w:tcBorders/>
            <w:tcW w:w="1728" w:type="dxa"/>
            <w:textDirection w:val="lrTb"/>
            <w:noWrap w:val="false"/>
          </w:tcPr>
          <w:p w14:paraId="3A573427">
            <w:pPr>
              <w:pBdr/>
              <w:spacing w:after="0" w:before="0" w:line="240" w:lineRule="auto"/>
              <w:ind/>
              <w:jc w:val="right"/>
              <w:rPr>
                <w:color w:val="000000" w:themeColor="text1"/>
              </w:rPr>
            </w:pPr>
            <w:r>
              <w:rPr>
                <w:rFonts w:ascii="Arial" w:hAnsi="Arial" w:eastAsia="Arial" w:cs="Arial"/>
                <w:color w:val="000000" w:themeColor="text1"/>
                <w:sz w:val="21"/>
              </w:rPr>
              <w:t xml:space="preserve">1,000 image-mask pairs</w:t>
            </w:r>
            <w:r>
              <w:rPr>
                <w:color w:val="000000" w:themeColor="text1"/>
              </w:rPr>
            </w:r>
            <w:r>
              <w:rPr>
                <w:color w:val="000000" w:themeColor="text1"/>
              </w:rPr>
            </w:r>
          </w:p>
        </w:tc>
        <w:tc>
          <w:tcPr>
            <w:tcBorders/>
            <w:tcW w:w="1728" w:type="dxa"/>
            <w:textDirection w:val="lrTb"/>
            <w:noWrap w:val="false"/>
          </w:tcPr>
          <w:p w14:paraId="581EC401">
            <w:pPr>
              <w:pBdr/>
              <w:spacing w:after="0" w:before="0" w:line="240" w:lineRule="auto"/>
              <w:ind/>
              <w:rPr>
                <w:color w:val="000000" w:themeColor="text1"/>
              </w:rPr>
            </w:pPr>
            <w:r>
              <w:rPr>
                <w:rFonts w:ascii="Arial" w:hAnsi="Arial" w:eastAsia="Arial" w:cs="Arial"/>
                <w:color w:val="000000" w:themeColor="text1"/>
                <w:sz w:val="21"/>
              </w:rPr>
              <w:t xml:space="preserve">mask morphology stats</w:t>
            </w:r>
            <w:r>
              <w:rPr>
                <w:color w:val="000000" w:themeColor="text1"/>
              </w:rPr>
            </w:r>
            <w:r>
              <w:rPr>
                <w:color w:val="000000" w:themeColor="text1"/>
              </w:rPr>
            </w:r>
          </w:p>
        </w:tc>
        <w:tc>
          <w:tcPr>
            <w:tcBorders/>
            <w:tcW w:w="1728" w:type="dxa"/>
            <w:textDirection w:val="lrTb"/>
            <w:noWrap w:val="false"/>
          </w:tcPr>
          <w:p w14:paraId="21AE0C33">
            <w:pPr>
              <w:pBdr/>
              <w:spacing w:after="0" w:before="0" w:line="240" w:lineRule="auto"/>
              <w:ind/>
              <w:rPr>
                <w:color w:val="000000" w:themeColor="text1"/>
              </w:rPr>
            </w:pPr>
            <w:r>
              <w:rPr>
                <w:rFonts w:ascii="Arial" w:hAnsi="Arial" w:eastAsia="Arial" w:cs="Arial"/>
                <w:color w:val="000000" w:themeColor="text1"/>
                <w:sz w:val="21"/>
              </w:rPr>
              <w:t xml:space="preserve">coverage/shape support metrics</w:t>
            </w:r>
            <w:r>
              <w:rPr>
                <w:color w:val="000000" w:themeColor="text1"/>
              </w:rPr>
            </w:r>
            <w:r>
              <w:rPr>
                <w:color w:val="000000" w:themeColor="text1"/>
              </w:rPr>
            </w:r>
          </w:p>
        </w:tc>
        <w:tc>
          <w:tcPr>
            <w:tcBorders/>
            <w:tcW w:w="1728" w:type="dxa"/>
            <w:textDirection w:val="lrTb"/>
            <w:noWrap w:val="false"/>
          </w:tcPr>
          <w:p w14:paraId="53F46FE4">
            <w:pPr>
              <w:pBdr/>
              <w:spacing w:after="0" w:before="0" w:line="240" w:lineRule="auto"/>
              <w:ind/>
              <w:rPr>
                <w:rFonts w:ascii="Arial" w:hAnsi="Arial" w:eastAsia="Arial" w:cs="Arial"/>
                <w:color w:val="000000" w:themeColor="text1"/>
                <w:sz w:val="21"/>
                <w:szCs w:val="21"/>
                <w:highlight w:val="none"/>
              </w:rPr>
            </w:pPr>
            <w:r>
              <w:rPr>
                <w:rFonts w:ascii="Arial" w:hAnsi="Arial" w:eastAsia="Arial" w:cs="Arial"/>
                <w:color w:val="000000" w:themeColor="text1"/>
                <w:sz w:val="21"/>
              </w:rPr>
              <w:t xml:space="preserve">future localization grounding</w:t>
            </w:r>
            <w:r>
              <w:rPr>
                <w:rFonts w:ascii="Arial" w:hAnsi="Arial" w:eastAsia="Arial" w:cs="Arial"/>
                <w:color w:val="000000" w:themeColor="text1"/>
                <w:sz w:val="21"/>
                <w:szCs w:val="21"/>
                <w:highlight w:val="none"/>
              </w:rPr>
            </w:r>
            <w:r>
              <w:rPr>
                <w:rFonts w:ascii="Arial" w:hAnsi="Arial" w:eastAsia="Arial" w:cs="Arial"/>
                <w:color w:val="000000" w:themeColor="text1"/>
                <w:sz w:val="21"/>
                <w:szCs w:val="21"/>
                <w:highlight w:val="none"/>
              </w:rPr>
            </w:r>
          </w:p>
        </w:tc>
      </w:tr>
    </w:tbl>
    <w:p w14:paraId="5F370719">
      <w:pPr>
        <w:pStyle w:val="1056"/>
        <w:suppressLineNumbers w:val="false"/>
        <w:pBdr/>
        <w:spacing w:line="300" w:lineRule="auto"/>
        <w:ind/>
        <w:rPr>
          <w:bCs/>
          <w:i/>
        </w:rPr>
      </w:pPr>
      <w:r>
        <w:rPr>
          <w:i/>
          <w:iCs/>
        </w:rPr>
      </w:r>
      <w:r>
        <w:rPr>
          <w:i/>
          <w:iCs/>
        </w:rPr>
        <w:t xml:space="preserve">Table 3.2. Dataset and Task Matrix for Chapter 3 Experiments</w:t>
      </w:r>
      <w:r>
        <w:rPr>
          <w:bCs/>
          <w:i/>
        </w:rPr>
      </w:r>
      <w:r>
        <w:rPr>
          <w:bCs/>
          <w:i/>
        </w:rPr>
      </w:r>
    </w:p>
    <w:p w14:paraId="0DEE43ED">
      <w:pPr>
        <w:pStyle w:val="1056"/>
        <w:suppressLineNumbers w:val="false"/>
        <w:pBdr/>
        <w:spacing w:line="300" w:lineRule="auto"/>
        <w:ind w:firstLine="0"/>
        <w:rPr>
          <w:b/>
          <w:bCs/>
        </w:rPr>
      </w:pPr>
      <w:r>
        <w:rPr>
          <w:b/>
          <w:bCs/>
        </w:rPr>
        <w:t xml:space="preserve">Why these datasets are included</w:t>
      </w:r>
      <w:r>
        <w:rPr>
          <w:b/>
          <w:bCs/>
        </w:rPr>
      </w:r>
      <w:r>
        <w:rPr>
          <w:b/>
          <w:bCs/>
        </w:rPr>
      </w:r>
    </w:p>
    <w:p w14:paraId="021FE8FD">
      <w:pPr>
        <w:pStyle w:val="1056"/>
        <w:numPr>
          <w:ilvl w:val="0"/>
          <w:numId w:val="57"/>
        </w:numPr>
        <w:suppressLineNumbers w:val="false"/>
        <w:pBdr/>
        <w:spacing w:line="300" w:lineRule="auto"/>
        <w:ind/>
        <w:rPr/>
      </w:pPr>
      <w:r>
        <w:rPr>
          <w:b/>
          <w:bCs/>
        </w:rPr>
        <w:t xml:space="preserve">Kvasir-VQA</w:t>
      </w:r>
      <w:r>
        <w:t xml:space="preserve"> provides the most direct colonoscopy-oriented VQA evidence and is used to examine subset reliability and answer-format stability under common question families</w:t>
      </w:r>
      <w:r>
        <w:rPr>
          <w:lang w:val="en-US"/>
        </w:rPr>
        <w:t xml:space="preserve">[52], [68]</w:t>
      </w:r>
      <w:r>
        <w:t xml:space="preserve">.</w:t>
      </w:r>
      <w:r/>
    </w:p>
    <w:p w14:paraId="47B5B3DF">
      <w:pPr>
        <w:pStyle w:val="1056"/>
        <w:numPr>
          <w:ilvl w:val="0"/>
          <w:numId w:val="57"/>
        </w:numPr>
        <w:suppressLineNumbers w:val="false"/>
        <w:pBdr/>
        <w:spacing w:line="300" w:lineRule="auto"/>
        <w:ind/>
        <w:rPr/>
      </w:pPr>
      <w:r>
        <w:rPr>
          <w:b/>
          <w:bCs/>
        </w:rPr>
        <w:t xml:space="preserve">ImageCLEF MEDVQA-GI 2023</w:t>
      </w:r>
      <w:r>
        <w:t xml:space="preserve"> provides a standardized closed-label GI VQA setting where fine-tuned VQA models can be compared to zero-shot generative outputs under label constraints</w:t>
      </w:r>
      <w:r>
        <w:rPr>
          <w:lang w:val="en-US"/>
        </w:rPr>
        <w:t xml:space="preserve">[54], [67]</w:t>
      </w:r>
      <w:r>
        <w:t xml:space="preserve">.</w:t>
      </w:r>
      <w:r/>
    </w:p>
    <w:p w14:paraId="6B9C8794">
      <w:pPr>
        <w:pStyle w:val="1056"/>
        <w:numPr>
          <w:ilvl w:val="0"/>
          <w:numId w:val="57"/>
        </w:numPr>
        <w:suppressLineNumbers w:val="false"/>
        <w:pBdr/>
        <w:spacing w:line="300" w:lineRule="auto"/>
        <w:ind/>
        <w:rPr/>
      </w:pPr>
      <w:r>
        <w:t xml:space="preserve">Kvasir-VQA-x1 provides a large-scale generative stress test, useful for studying overlap metrics, complexity effects, and label mapping fragility in free-text answers</w:t>
      </w:r>
      <w:r>
        <w:rPr>
          <w:lang w:val="en-US"/>
        </w:rPr>
        <w:t xml:space="preserve">[53], [69]</w:t>
      </w:r>
      <w:r>
        <w:t xml:space="preserve">.</w:t>
      </w:r>
      <w:r/>
    </w:p>
    <w:p w14:paraId="5F85A0A4">
      <w:pPr>
        <w:pStyle w:val="1056"/>
        <w:suppressLineNumbers w:val="false"/>
        <w:pBdr/>
        <w:spacing w:line="300" w:lineRule="auto"/>
        <w:ind/>
        <w:rPr/>
      </w:pPr>
      <w:r/>
      <w:r/>
    </w:p>
    <w:p w14:paraId="6E3C99E3">
      <w:pPr>
        <w:pStyle w:val="1056"/>
        <w:numPr>
          <w:ilvl w:val="0"/>
          <w:numId w:val="57"/>
        </w:numPr>
        <w:suppressLineNumbers w:val="false"/>
        <w:pBdr/>
        <w:spacing w:line="300" w:lineRule="auto"/>
        <w:ind/>
        <w:rPr/>
      </w:pPr>
      <w:r>
        <w:rPr>
          <w:b/>
          <w:bCs/>
        </w:rPr>
        <w:t xml:space="preserve">LIMUC </w:t>
      </w:r>
      <w:r>
        <w:t xml:space="preserve">anchors the thesis’s clinical flagship: UC severity, where ordinal structure and clinically meaningful slices (e.g., remission vs non-remission) are essential for interpretation</w:t>
      </w:r>
      <w:r>
        <w:rPr>
          <w:lang w:val="en-US"/>
        </w:rPr>
        <w:t xml:space="preserve">[55], [70]</w:t>
      </w:r>
      <w:r>
        <w:t xml:space="preserve">.</w:t>
      </w:r>
      <w:r/>
    </w:p>
    <w:p w14:paraId="359B321B">
      <w:pPr>
        <w:pStyle w:val="1056"/>
        <w:numPr>
          <w:ilvl w:val="0"/>
          <w:numId w:val="57"/>
        </w:numPr>
        <w:suppressLineNumbers w:val="false"/>
        <w:pBdr/>
        <w:spacing w:line="300" w:lineRule="auto"/>
        <w:ind/>
        <w:rPr/>
      </w:pPr>
      <w:r>
        <w:rPr>
          <w:b/>
          <w:bCs/>
        </w:rPr>
        <w:t xml:space="preserve">HyperKvasir </w:t>
      </w:r>
      <w:r>
        <w:t xml:space="preserve">provides broad GI visual grounding with strong long-tail imbalance, allowing analysis of head–tail recall asymmetry that can be hidden by aggregate accuracy</w:t>
      </w:r>
      <w:r>
        <w:rPr>
          <w:lang w:val="en-US"/>
        </w:rPr>
        <w:t xml:space="preserve">[51], [66]</w:t>
      </w:r>
      <w:r>
        <w:t xml:space="preserve">.</w:t>
      </w:r>
      <w:r/>
    </w:p>
    <w:p w14:paraId="33816274">
      <w:pPr>
        <w:pStyle w:val="1056"/>
        <w:numPr>
          <w:ilvl w:val="0"/>
          <w:numId w:val="57"/>
        </w:numPr>
        <w:suppressLineNumbers w:val="false"/>
        <w:pBdr/>
        <w:spacing w:line="300" w:lineRule="auto"/>
        <w:ind/>
        <w:rPr/>
      </w:pPr>
      <w:r>
        <w:rPr>
          <w:b/>
          <w:bCs/>
        </w:rPr>
        <w:t xml:space="preserve">Kvasir-SEG</w:t>
      </w:r>
      <w:r>
        <w:t xml:space="preserve"> is included as supporting evidence for morphology/localization-oriented statistics that later motivate grounding-aware directions; it is not treated as a primary VQA benchmark in this chapter</w:t>
      </w:r>
      <w:r>
        <w:rPr>
          <w:lang w:val="en-US"/>
        </w:rPr>
        <w:t xml:space="preserve">[71]</w:t>
      </w:r>
      <w:r>
        <w:t xml:space="preserve">.</w:t>
      </w:r>
      <w:r/>
    </w:p>
    <w:p w14:paraId="4AC9A423">
      <w:pPr>
        <w:pStyle w:val="1056"/>
        <w:suppressLineNumbers w:val="false"/>
        <w:pBdr/>
        <w:spacing w:line="300" w:lineRule="auto"/>
        <w:ind w:firstLine="0"/>
        <w:rPr>
          <w:b/>
          <w:bCs/>
          <w:highlight w:val="none"/>
        </w:rPr>
      </w:pPr>
      <w:r>
        <w:rPr>
          <w:b/>
          <w:bCs/>
        </w:rPr>
      </w:r>
      <w:r>
        <w:rPr>
          <w:b/>
          <w:bCs/>
        </w:rPr>
        <w:t xml:space="preserve">3.2.2 Model Families Compared</w:t>
      </w:r>
      <w:r>
        <w:rPr>
          <w:b/>
          <w:bCs/>
          <w:highlight w:val="none"/>
        </w:rPr>
      </w:r>
      <w:r>
        <w:rPr>
          <w:b/>
          <w:bCs/>
          <w:highlight w:val="none"/>
        </w:rPr>
      </w:r>
    </w:p>
    <w:p w14:paraId="6DE417C8">
      <w:pPr>
        <w:pStyle w:val="1056"/>
        <w:suppressLineNumbers w:val="false"/>
        <w:pBdr/>
        <w:spacing w:line="300" w:lineRule="auto"/>
        <w:ind w:firstLine="0"/>
        <w:rPr>
          <w:b/>
          <w:bCs/>
          <w:highlight w:val="none"/>
        </w:rPr>
      </w:pPr>
      <w:r>
        <w:rPr>
          <w:b/>
          <w:bCs/>
          <w:highlight w:val="none"/>
        </w:rPr>
      </w:r>
      <w:r>
        <w:t xml:space="preserve">The model comparisons in Chapter 3 reflect what is available as persisted artifacts rather than an exhaustive survey of all possible architectures. The goal is to compare representative families that span the major design choices relevant to clinical relia</w:t>
      </w:r>
      <w:r>
        <w:t xml:space="preserve">bility: supervised classification, constrained VQA, and open-ended generation.</w:t>
      </w:r>
      <w:r>
        <w:rPr>
          <w:b/>
          <w:bCs/>
          <w:highlight w:val="none"/>
        </w:rPr>
      </w:r>
      <w:r>
        <w:rPr>
          <w:b/>
          <w:bCs/>
          <w:highlight w:val="none"/>
        </w:rPr>
      </w:r>
    </w:p>
    <w:tbl>
      <w:tblPr>
        <w:tblStyle w:val="1113"/>
        <w:tblW w:w="0" w:type="auto"/>
        <w:tblBorders/>
        <w:tblLayout w:type="fixed"/>
        <w:tblLook w:val="04A0" w:firstRow="1" w:lastRow="0" w:firstColumn="1" w:lastColumn="0" w:noHBand="0" w:noVBand="1"/>
      </w:tblPr>
      <w:tblGrid>
        <w:gridCol w:w="2027"/>
        <w:gridCol w:w="4961"/>
        <w:gridCol w:w="1653"/>
      </w:tblGrid>
      <w:tr>
        <w:trPr/>
        <w:tc>
          <w:tcPr>
            <w:tcBorders/>
            <w:tcW w:w="2027" w:type="dxa"/>
            <w:textDirection w:val="lrTb"/>
            <w:noWrap w:val="false"/>
          </w:tcPr>
          <w:p w14:paraId="0042FDD3">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4961" w:type="dxa"/>
            <w:textDirection w:val="lrTb"/>
            <w:noWrap w:val="false"/>
          </w:tcPr>
          <w:p w14:paraId="2465BF00">
            <w:pPr>
              <w:pBdr/>
              <w:spacing w:after="0" w:before="0" w:line="240" w:lineRule="auto"/>
              <w:ind/>
              <w:rPr>
                <w:color w:val="000000" w:themeColor="text1"/>
              </w:rPr>
            </w:pPr>
            <w:r>
              <w:rPr>
                <w:rFonts w:ascii="Arial" w:hAnsi="Arial" w:eastAsia="Arial" w:cs="Arial"/>
                <w:b/>
                <w:color w:val="000000" w:themeColor="text1"/>
                <w:sz w:val="21"/>
              </w:rPr>
              <w:t xml:space="preserve">Example persisted models</w:t>
            </w:r>
            <w:r>
              <w:rPr>
                <w:color w:val="000000" w:themeColor="text1"/>
              </w:rPr>
            </w:r>
            <w:r>
              <w:rPr>
                <w:color w:val="000000" w:themeColor="text1"/>
              </w:rPr>
            </w:r>
          </w:p>
        </w:tc>
        <w:tc>
          <w:tcPr>
            <w:tcBorders/>
            <w:tcW w:w="1653" w:type="dxa"/>
            <w:textDirection w:val="lrTb"/>
            <w:noWrap w:val="false"/>
          </w:tcPr>
          <w:p w14:paraId="45BFF394">
            <w:pPr>
              <w:pBdr/>
              <w:spacing w:after="0" w:before="0" w:line="240" w:lineRule="auto"/>
              <w:ind/>
              <w:rPr>
                <w:color w:val="000000" w:themeColor="text1"/>
              </w:rPr>
            </w:pPr>
            <w:r>
              <w:rPr>
                <w:rFonts w:ascii="Arial" w:hAnsi="Arial" w:eastAsia="Arial" w:cs="Arial"/>
                <w:b/>
                <w:color w:val="000000" w:themeColor="text1"/>
                <w:sz w:val="21"/>
              </w:rPr>
              <w:t xml:space="preserve">Typical answer mode</w:t>
            </w:r>
            <w:r>
              <w:rPr>
                <w:color w:val="000000" w:themeColor="text1"/>
              </w:rPr>
            </w:r>
            <w:r>
              <w:rPr>
                <w:color w:val="000000" w:themeColor="text1"/>
              </w:rPr>
            </w:r>
          </w:p>
        </w:tc>
      </w:tr>
      <w:tr>
        <w:trPr>
          <w:trHeight w:val="714"/>
        </w:trPr>
        <w:tc>
          <w:tcPr>
            <w:tcBorders/>
            <w:tcW w:w="2027" w:type="dxa"/>
            <w:textDirection w:val="lrTb"/>
            <w:noWrap w:val="false"/>
          </w:tcPr>
          <w:p w14:paraId="4EFAD93C">
            <w:pPr>
              <w:pBdr/>
              <w:spacing w:after="0" w:before="0" w:line="240" w:lineRule="auto"/>
              <w:ind/>
              <w:rPr>
                <w:color w:val="000000" w:themeColor="text1"/>
              </w:rPr>
            </w:pPr>
            <w:r>
              <w:rPr>
                <w:rFonts w:ascii="Arial" w:hAnsi="Arial" w:eastAsia="Arial" w:cs="Arial"/>
                <w:color w:val="000000" w:themeColor="text1"/>
                <w:sz w:val="21"/>
              </w:rPr>
              <w:t xml:space="preserve">Supervised CNN/ViT classifiers</w:t>
            </w:r>
            <w:r>
              <w:rPr>
                <w:color w:val="000000" w:themeColor="text1"/>
              </w:rPr>
            </w:r>
            <w:r>
              <w:rPr>
                <w:color w:val="000000" w:themeColor="text1"/>
              </w:rPr>
            </w:r>
          </w:p>
        </w:tc>
        <w:tc>
          <w:tcPr>
            <w:tcBorders/>
            <w:tcW w:w="4961" w:type="dxa"/>
            <w:textDirection w:val="lrTb"/>
            <w:noWrap w:val="false"/>
          </w:tcPr>
          <w:p w14:paraId="37ADF75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resnet50_supervised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finetune_resnet50</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26C352CB">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1459B0EC">
            <w:pPr>
              <w:pBdr/>
              <w:spacing w:after="0" w:before="0" w:line="240" w:lineRule="auto"/>
              <w:ind/>
              <w:rPr>
                <w:color w:val="000000" w:themeColor="text1"/>
              </w:rPr>
            </w:pPr>
            <w:r>
              <w:rPr>
                <w:rFonts w:ascii="Arial" w:hAnsi="Arial" w:eastAsia="Arial" w:cs="Arial"/>
                <w:color w:val="000000" w:themeColor="text1"/>
                <w:sz w:val="21"/>
              </w:rPr>
              <w:t xml:space="preserve">Frozen encoder + shallow classifier</w:t>
            </w:r>
            <w:r>
              <w:rPr>
                <w:color w:val="000000" w:themeColor="text1"/>
              </w:rPr>
            </w:r>
            <w:r>
              <w:rPr>
                <w:color w:val="000000" w:themeColor="text1"/>
              </w:rPr>
            </w:r>
          </w:p>
        </w:tc>
        <w:tc>
          <w:tcPr>
            <w:tcBorders/>
            <w:tcW w:w="4961" w:type="dxa"/>
            <w:textDirection w:val="lrTb"/>
            <w:noWrap w:val="false"/>
          </w:tcPr>
          <w:p w14:paraId="38527A9E">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vit_frozen_logreg</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clip_linear_baseline</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resnet50_frozen_logreg</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6F891D68">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52D124C9">
            <w:pPr>
              <w:pBdr/>
              <w:spacing w:after="0" w:before="0" w:line="240" w:lineRule="auto"/>
              <w:ind/>
              <w:rPr>
                <w:color w:val="000000" w:themeColor="text1"/>
              </w:rPr>
            </w:pPr>
            <w:r>
              <w:rPr>
                <w:rFonts w:ascii="Arial" w:hAnsi="Arial" w:eastAsia="Arial" w:cs="Arial"/>
                <w:color w:val="000000" w:themeColor="text1"/>
                <w:sz w:val="21"/>
              </w:rPr>
              <w:t xml:space="preserve">Classical multimodal fusion</w:t>
            </w:r>
            <w:r>
              <w:rPr>
                <w:color w:val="000000" w:themeColor="text1"/>
              </w:rPr>
            </w:r>
            <w:r>
              <w:rPr>
                <w:color w:val="000000" w:themeColor="text1"/>
              </w:rPr>
            </w:r>
          </w:p>
        </w:tc>
        <w:tc>
          <w:tcPr>
            <w:tcBorders/>
            <w:tcW w:w="4961" w:type="dxa"/>
            <w:textDirection w:val="lrTb"/>
            <w:noWrap w:val="false"/>
          </w:tcPr>
          <w:p w14:paraId="3E76C89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resnet_gru_m1_*</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vit_bertlite_m2_*</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4A337617">
            <w:pPr>
              <w:pBdr/>
              <w:spacing w:after="0" w:before="0" w:line="240" w:lineRule="auto"/>
              <w:ind/>
              <w:rPr>
                <w:color w:val="000000" w:themeColor="text1"/>
              </w:rPr>
            </w:pPr>
            <w:r>
              <w:rPr>
                <w:rFonts w:ascii="Arial" w:hAnsi="Arial" w:eastAsia="Arial" w:cs="Arial"/>
                <w:color w:val="000000" w:themeColor="text1"/>
                <w:sz w:val="21"/>
              </w:rPr>
              <w:t xml:space="preserve">closed set</w:t>
            </w:r>
            <w:r>
              <w:rPr>
                <w:color w:val="000000" w:themeColor="text1"/>
              </w:rPr>
            </w:r>
            <w:r>
              <w:rPr>
                <w:color w:val="000000" w:themeColor="text1"/>
              </w:rPr>
            </w:r>
          </w:p>
        </w:tc>
      </w:tr>
      <w:tr>
        <w:trPr/>
        <w:tc>
          <w:tcPr>
            <w:tcBorders/>
            <w:tcW w:w="2027" w:type="dxa"/>
            <w:textDirection w:val="lrTb"/>
            <w:noWrap w:val="false"/>
          </w:tcPr>
          <w:p w14:paraId="70C361AC">
            <w:pPr>
              <w:pBdr/>
              <w:spacing w:after="0" w:before="0" w:line="240" w:lineRule="auto"/>
              <w:ind/>
              <w:rPr>
                <w:color w:val="000000" w:themeColor="text1"/>
              </w:rPr>
            </w:pPr>
            <w:r>
              <w:rPr>
                <w:rFonts w:ascii="Arial" w:hAnsi="Arial" w:eastAsia="Arial" w:cs="Arial"/>
                <w:color w:val="000000" w:themeColor="text1"/>
                <w:sz w:val="21"/>
              </w:rPr>
              <w:t xml:space="preserve">Transformer VQA fine-tuned</w:t>
            </w:r>
            <w:r>
              <w:rPr>
                <w:color w:val="000000" w:themeColor="text1"/>
              </w:rPr>
            </w:r>
            <w:r>
              <w:rPr>
                <w:color w:val="000000" w:themeColor="text1"/>
              </w:rPr>
            </w:r>
          </w:p>
        </w:tc>
        <w:tc>
          <w:tcPr>
            <w:tcBorders/>
            <w:tcW w:w="4961" w:type="dxa"/>
            <w:textDirection w:val="lrTb"/>
            <w:noWrap w:val="false"/>
          </w:tcPr>
          <w:p w14:paraId="7ED8617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vilt_finetune</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5A17533D">
            <w:pPr>
              <w:pBdr/>
              <w:spacing w:after="0" w:before="0" w:line="240" w:lineRule="auto"/>
              <w:ind/>
              <w:rPr>
                <w:color w:val="000000" w:themeColor="text1"/>
              </w:rPr>
            </w:pPr>
            <w:r>
              <w:rPr>
                <w:rFonts w:ascii="Arial" w:hAnsi="Arial" w:eastAsia="Arial" w:cs="Arial"/>
                <w:color w:val="000000" w:themeColor="text1"/>
                <w:sz w:val="21"/>
              </w:rPr>
              <w:t xml:space="preserve">closed label per question</w:t>
            </w:r>
            <w:r>
              <w:rPr>
                <w:color w:val="000000" w:themeColor="text1"/>
              </w:rPr>
            </w:r>
            <w:r>
              <w:rPr>
                <w:color w:val="000000" w:themeColor="text1"/>
              </w:rPr>
            </w:r>
          </w:p>
        </w:tc>
      </w:tr>
      <w:tr>
        <w:trPr/>
        <w:tc>
          <w:tcPr>
            <w:tcBorders/>
            <w:tcW w:w="2027" w:type="dxa"/>
            <w:textDirection w:val="lrTb"/>
            <w:noWrap w:val="false"/>
          </w:tcPr>
          <w:p w14:paraId="2DD5EB14">
            <w:pPr>
              <w:pBdr/>
              <w:spacing w:after="0" w:before="0" w:line="240" w:lineRule="auto"/>
              <w:ind/>
              <w:rPr>
                <w:color w:val="000000" w:themeColor="text1"/>
              </w:rPr>
            </w:pPr>
            <w:r>
              <w:rPr>
                <w:rFonts w:ascii="Arial" w:hAnsi="Arial" w:eastAsia="Arial" w:cs="Arial"/>
                <w:color w:val="000000" w:themeColor="text1"/>
                <w:sz w:val="21"/>
              </w:rPr>
              <w:t xml:space="preserve">Zero-shot VLM/MLLM</w:t>
            </w:r>
            <w:r>
              <w:rPr>
                <w:color w:val="000000" w:themeColor="text1"/>
              </w:rPr>
            </w:r>
            <w:r>
              <w:rPr>
                <w:color w:val="000000" w:themeColor="text1"/>
              </w:rPr>
            </w:r>
          </w:p>
        </w:tc>
        <w:tc>
          <w:tcPr>
            <w:tcBorders/>
            <w:tcW w:w="4961" w:type="dxa"/>
            <w:textDirection w:val="lrTb"/>
            <w:noWrap w:val="false"/>
          </w:tcPr>
          <w:p w14:paraId="52501FC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qwen2_5_vl_zeroshot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medgemma_zeroshot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blip2_zero_shot</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D98ADDA">
            <w:pPr>
              <w:pBdr/>
              <w:spacing w:after="0" w:before="0" w:line="240" w:lineRule="auto"/>
              <w:ind/>
              <w:rPr>
                <w:color w:val="000000" w:themeColor="text1"/>
              </w:rPr>
            </w:pPr>
            <w:r>
              <w:rPr>
                <w:rFonts w:ascii="Arial" w:hAnsi="Arial" w:eastAsia="Arial" w:cs="Arial"/>
                <w:color w:val="000000" w:themeColor="text1"/>
                <w:sz w:val="21"/>
              </w:rPr>
              <w:t xml:space="preserve">free text (optionally projected)</w:t>
            </w:r>
            <w:r>
              <w:rPr>
                <w:color w:val="000000" w:themeColor="text1"/>
              </w:rPr>
            </w:r>
            <w:r>
              <w:rPr>
                <w:color w:val="000000" w:themeColor="text1"/>
              </w:rPr>
            </w:r>
          </w:p>
        </w:tc>
      </w:tr>
      <w:tr>
        <w:trPr/>
        <w:tc>
          <w:tcPr>
            <w:tcBorders/>
            <w:tcW w:w="2027" w:type="dxa"/>
            <w:textDirection w:val="lrTb"/>
            <w:noWrap w:val="false"/>
          </w:tcPr>
          <w:p w14:paraId="7BCB6C00">
            <w:pPr>
              <w:pBdr/>
              <w:spacing w:after="0" w:before="0" w:line="240" w:lineRule="auto"/>
              <w:ind/>
              <w:rPr>
                <w:color w:val="000000" w:themeColor="text1"/>
              </w:rPr>
            </w:pPr>
            <w:r>
              <w:rPr>
                <w:rFonts w:ascii="Arial" w:hAnsi="Arial" w:eastAsia="Arial" w:cs="Arial"/>
                <w:color w:val="000000" w:themeColor="text1"/>
                <w:sz w:val="21"/>
              </w:rPr>
              <w:t xml:space="preserve">Parameter-efficient adaptation</w:t>
            </w:r>
            <w:r>
              <w:rPr>
                <w:color w:val="000000" w:themeColor="text1"/>
              </w:rPr>
            </w:r>
            <w:r>
              <w:rPr>
                <w:color w:val="000000" w:themeColor="text1"/>
              </w:rPr>
            </w:r>
          </w:p>
        </w:tc>
        <w:tc>
          <w:tcPr>
            <w:tcBorders/>
            <w:tcW w:w="4961" w:type="dxa"/>
            <w:textDirection w:val="lrTb"/>
            <w:noWrap w:val="false"/>
          </w:tcPr>
          <w:p w14:paraId="4AE32EA2">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medgemma_lora_original</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qwen2_5_vl_lora_finetune</w:t>
            </w:r>
            <w:r>
              <w:rPr>
                <w:rFonts w:ascii="Arial" w:hAnsi="Arial" w:eastAsia="Arial" w:cs="Arial"/>
                <w:color w:val="000000" w:themeColor="text1"/>
                <w:sz w:val="20"/>
                <w:szCs w:val="20"/>
              </w:rPr>
              <w:t xml:space="preserve"> (logs persisted)</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3739B76">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r>
    </w:tbl>
    <w:p w14:paraId="0C7CA214">
      <w:pPr>
        <w:pStyle w:val="1056"/>
        <w:suppressLineNumbers w:val="false"/>
        <w:pBdr/>
        <w:spacing w:line="300" w:lineRule="auto"/>
        <w:ind w:firstLine="0" w:left="709"/>
        <w:rPr>
          <w:b/>
          <w:bCs/>
          <w:i/>
        </w:rPr>
      </w:pPr>
      <w:r>
        <w:rPr>
          <w:b/>
          <w:bCs/>
          <w:i/>
          <w:iCs/>
          <w:highlight w:val="none"/>
        </w:rPr>
      </w:r>
      <w:r>
        <w:rPr>
          <w:i/>
          <w:iCs/>
        </w:rPr>
        <w:t xml:space="preserve">Table 3.3. Representative Model Families in Persisted Artifacts</w:t>
      </w:r>
      <w:r>
        <w:rPr>
          <w:b/>
          <w:bCs/>
          <w:i/>
        </w:rPr>
      </w:r>
      <w:r>
        <w:rPr>
          <w:b/>
          <w:bCs/>
          <w:i/>
        </w:rPr>
      </w:r>
    </w:p>
    <w:p w14:paraId="576FDC45">
      <w:pPr>
        <w:pStyle w:val="1056"/>
        <w:suppressLineNumbers w:val="false"/>
        <w:pBdr/>
        <w:spacing w:line="300" w:lineRule="auto"/>
        <w:ind w:firstLine="0"/>
        <w:jc w:val="both"/>
        <w:rPr>
          <w:b/>
          <w:bCs/>
        </w:rPr>
      </w:pPr>
      <w:r>
        <w:rPr>
          <w:b/>
          <w:bCs/>
          <w:highlight w:val="none"/>
        </w:rPr>
      </w:r>
      <w:r>
        <w:rPr>
          <w:b/>
          <w:bCs/>
        </w:rPr>
        <w:t xml:space="preserve">Interpretation guide</w:t>
      </w:r>
      <w:r>
        <w:rPr>
          <w:b/>
          <w:bCs/>
        </w:rPr>
      </w:r>
      <w:r>
        <w:rPr>
          <w:b/>
          <w:bCs/>
        </w:rPr>
      </w:r>
    </w:p>
    <w:p w14:paraId="46E78B81">
      <w:pPr>
        <w:pStyle w:val="1056"/>
        <w:numPr>
          <w:ilvl w:val="0"/>
          <w:numId w:val="59"/>
        </w:numPr>
        <w:suppressLineNumbers w:val="false"/>
        <w:pBdr/>
        <w:spacing w:line="300" w:lineRule="auto"/>
        <w:ind/>
        <w:jc w:val="both"/>
        <w:rPr/>
      </w:pPr>
      <w:r>
        <w:rPr>
          <w:b/>
          <w:bCs/>
        </w:rPr>
        <w:t xml:space="preserve">Closed-label families</w:t>
      </w:r>
      <w:r>
        <w:t xml:space="preserve"> (supervised or shallow classifiers) provide a reliability baseline where output space is controlled and evaluation is deterministic.</w:t>
      </w:r>
      <w:r/>
    </w:p>
    <w:p w14:paraId="19AAC3BE">
      <w:pPr>
        <w:pStyle w:val="1056"/>
        <w:numPr>
          <w:ilvl w:val="0"/>
          <w:numId w:val="59"/>
        </w:numPr>
        <w:suppressLineNumbers w:val="false"/>
        <w:pBdr/>
        <w:spacing w:line="300" w:lineRule="auto"/>
        <w:ind/>
        <w:jc w:val="both"/>
        <w:rPr/>
      </w:pPr>
      <w:r>
        <w:rPr>
          <w:b/>
          <w:bCs/>
        </w:rPr>
        <w:t xml:space="preserve">Classical fusion and transformer VQA models</w:t>
      </w:r>
      <w:r>
        <w:t xml:space="preserve"> represent structured MedVQA pipelines designed to combine image and question representations under a constrained output space.</w:t>
      </w:r>
      <w:r/>
    </w:p>
    <w:p w14:paraId="2769AD74">
      <w:pPr>
        <w:pStyle w:val="1056"/>
        <w:numPr>
          <w:ilvl w:val="0"/>
          <w:numId w:val="59"/>
        </w:numPr>
        <w:suppressLineNumbers w:val="false"/>
        <w:pBdr/>
        <w:spacing w:line="300" w:lineRule="auto"/>
        <w:ind/>
        <w:jc w:val="both"/>
        <w:rPr/>
      </w:pPr>
      <w:r>
        <w:rPr>
          <w:b/>
          <w:bCs/>
        </w:rPr>
        <w:t xml:space="preserve">Zero-shot VLM/MLLM models</w:t>
      </w:r>
      <w:r>
        <w:t xml:space="preserve"> represent open-ended generation, which may be more flexible but can be unstable in output format and lexical grounding.</w:t>
      </w:r>
      <w:r/>
    </w:p>
    <w:p w14:paraId="2B5FE4C6">
      <w:pPr>
        <w:pStyle w:val="1056"/>
        <w:numPr>
          <w:ilvl w:val="0"/>
          <w:numId w:val="59"/>
        </w:numPr>
        <w:suppressLineNumbers w:val="false"/>
        <w:pBdr/>
        <w:spacing w:line="300" w:lineRule="auto"/>
        <w:ind/>
        <w:jc w:val="both"/>
        <w:rPr/>
      </w:pPr>
      <w:r>
        <w:rPr>
          <w:b/>
          <w:bCs/>
        </w:rPr>
        <w:t xml:space="preserve">Parameter-efficient adaptation</w:t>
      </w:r>
      <w:r>
        <w:t xml:space="preserve"> captures whether lightweight fine-tuning improves generative fidelity without requiring full retraining.</w:t>
      </w:r>
      <w:r/>
    </w:p>
    <w:p w14:paraId="678596E6">
      <w:pPr>
        <w:pStyle w:val="1056"/>
        <w:suppressLineNumbers w:val="false"/>
        <w:pBdr/>
        <w:spacing w:line="300" w:lineRule="auto"/>
        <w:ind w:firstLine="0"/>
        <w:jc w:val="both"/>
        <w:rPr>
          <w:b/>
          <w:bCs/>
        </w:rPr>
      </w:pPr>
      <w:r>
        <w:t xml:space="preserve">Section 3.3 defines the metric bundles used to compare these families and clarifies how raw vs projected scoring is treated when free text must be mapped to a constrained answer space.</w:t>
      </w:r>
      <w:r>
        <w:rPr>
          <w:b/>
          <w:bCs/>
        </w:rPr>
      </w:r>
      <w:r>
        <w:rPr>
          <w:b/>
          <w:bCs/>
        </w:rPr>
      </w:r>
    </w:p>
    <w:p w14:paraId="6F7C253D">
      <w:pPr>
        <w:pStyle w:val="1056"/>
        <w:suppressLineNumbers w:val="false"/>
        <w:pBdr/>
        <w:spacing w:line="300" w:lineRule="auto"/>
        <w:ind w:firstLine="0"/>
        <w:jc w:val="both"/>
        <w:rPr>
          <w:b/>
          <w:bCs/>
          <w:highlight w:val="none"/>
        </w:rPr>
      </w:pPr>
      <w:r>
        <w:rPr>
          <w:b/>
          <w:bCs/>
        </w:rPr>
        <w:t xml:space="preserve">3.2.3 Data Profile Figures (Kvasir-VQA)</w:t>
      </w:r>
      <w:r>
        <w:rPr>
          <w:b/>
          <w:bCs/>
          <w:highlight w:val="none"/>
        </w:rPr>
      </w:r>
      <w:r>
        <w:rPr>
          <w:b/>
          <w:bCs/>
          <w:highlight w:val="none"/>
        </w:rPr>
      </w:r>
    </w:p>
    <w:p w14:paraId="5B1F1644">
      <w:pPr>
        <w:pStyle w:val="1056"/>
        <w:suppressLineNumbers w:val="false"/>
        <w:pBdr/>
        <w:spacing w:line="300" w:lineRule="auto"/>
        <w:ind w:firstLine="0"/>
        <w:rPr/>
      </w:pPr>
      <w:r>
        <w:t xml:space="preserve">Before presenting results, the chapter includes Kvasir-VQA profiling figures because they explain several behaviors observed later in Section 3.4, particularly the dominance of yes/no questions and the presence of template skew. These distributional proper</w:t>
      </w:r>
      <w:r>
        <w:t xml:space="preserve">ties can inflate superficial performance on majority question types while masking failure on rarer but clinically important categories</w:t>
      </w:r>
      <w:r>
        <w:t xml:space="preserve">[68], [74]-[76]</w:t>
      </w:r>
      <w:r>
        <w:t xml:space="preserve">.</w:t>
      </w:r>
      <w:r/>
    </w:p>
    <w:p w14:paraId="4F3CA40B">
      <w:pPr>
        <w:pStyle w:val="1056"/>
        <w:suppressLineNumbers w:val="false"/>
        <w:pBdr/>
        <w:spacing w:line="300" w:lineRule="auto"/>
        <w:ind w:firstLine="0"/>
        <w:rPr/>
      </w:pPr>
      <w:r>
        <mc:AlternateContent>
          <mc:Choice Requires="wpg">
            <w:drawing>
              <wp:inline xmlns:wp="http://schemas.openxmlformats.org/drawingml/2006/wordprocessingDrawing" distT="0" distB="0" distL="0" distR="0">
                <wp:extent cx="5486400" cy="313508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9967"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46.86pt;mso-wrap-distance-left:0.00pt;mso-wrap-distance-top:0.00pt;mso-wrap-distance-right:0.00pt;mso-wrap-distance-bottom:0.00pt;z-index:1;" stroked="false">
                <v:imagedata r:id="rId15" o:title=""/>
                <o:lock v:ext="edit" rotation="t"/>
              </v:shape>
            </w:pict>
          </mc:Fallback>
        </mc:AlternateContent>
      </w:r>
      <w:r/>
    </w:p>
    <w:p w14:paraId="1DF59A86">
      <w:pPr>
        <w:pStyle w:val="1056"/>
        <w:suppressLineNumbers w:val="false"/>
        <w:pBdr/>
        <w:spacing w:line="300" w:lineRule="auto"/>
        <w:ind w:left="1440"/>
        <w:rPr>
          <w:bCs/>
          <w:i/>
          <w:highlight w:val="none"/>
          <w:lang w:val="en-US"/>
        </w:rPr>
      </w:pPr>
      <w:r>
        <w:rPr>
          <w:i/>
          <w:iCs/>
          <w:lang w:val="en-US"/>
        </w:rPr>
        <w:t xml:space="preserve">Figure 3.1 QA count by source domain </w:t>
      </w:r>
      <w:r>
        <w:rPr>
          <w:bCs/>
          <w:i/>
          <w:highlight w:val="none"/>
          <w:lang w:val="en-US"/>
        </w:rPr>
      </w:r>
      <w:r>
        <w:rPr>
          <w:bCs/>
          <w:i/>
          <w:highlight w:val="none"/>
          <w:lang w:val="en-US"/>
        </w:rPr>
      </w:r>
    </w:p>
    <w:p w14:paraId="0A89629D">
      <w:pPr>
        <w:pStyle w:val="1056"/>
        <w:suppressLineNumbers w:val="false"/>
        <w:pBdr/>
        <w:spacing w:line="300" w:lineRule="auto"/>
        <w:ind w:firstLine="0" w:left="0"/>
        <w:rPr>
          <w:bCs w:val="0"/>
          <w:i w:val="0"/>
        </w:rPr>
      </w:pPr>
      <w:r>
        <w:rPr>
          <w:i w:val="0"/>
          <w:iCs w:val="0"/>
          <w:highlight w:val="none"/>
          <w:lang w:val="en-US"/>
        </w:rPr>
      </w:r>
      <w:r>
        <w:rPr>
          <w:i w:val="0"/>
          <w:iCs w:val="0"/>
          <w:lang w:val="en-US"/>
        </w:rPr>
        <w:t xml:space="preserve">Figure 3.1</w:t>
      </w:r>
      <w:r>
        <w:rPr>
          <w:i w:val="0"/>
          <w:iCs w:val="0"/>
          <w:highlight w:val="none"/>
          <w:lang w:val="en-US"/>
        </w:rPr>
        <w:t xml:space="preserve"> summarizes how QA pairs are distributed across source domains in the Kvasir-VQA preparation artifacts[74]. Source-domain imbalance implies that model performance may reflect dominant sources disproportionately, and it motivates later per-family and </w:t>
      </w:r>
      <w:r>
        <w:rPr>
          <w:i w:val="0"/>
          <w:iCs w:val="0"/>
          <w:highlight w:val="none"/>
          <w:lang w:val="en-US"/>
        </w:rPr>
        <w:t xml:space="preserve">per-task reporting rather than single aggregate scores.</w:t>
      </w:r>
      <w:r>
        <w:rPr>
          <w:bCs w:val="0"/>
          <w:i w:val="0"/>
        </w:rPr>
      </w:r>
      <w:r>
        <w:rPr>
          <w:bCs w:val="0"/>
          <w:i w:val="0"/>
        </w:rPr>
      </w:r>
    </w:p>
    <w:p w14:paraId="2BCF19F2">
      <w:pPr>
        <w:pStyle w:val="1056"/>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13508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6701"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46.86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699DB54E">
      <w:pPr>
        <w:pStyle w:val="1056"/>
        <w:suppressLineNumbers w:val="false"/>
        <w:pBdr/>
        <w:spacing w:line="300" w:lineRule="auto"/>
        <w:ind w:left="1440"/>
        <w:rPr>
          <w:bCs/>
          <w:i/>
          <w:highlight w:val="none"/>
          <w:lang w:val="en-US"/>
        </w:rPr>
      </w:pPr>
      <w:r>
        <w:rPr>
          <w:i/>
          <w:iCs/>
          <w:lang w:val="en-US"/>
        </w:rPr>
        <w:t xml:space="preserve">Figure 3.2 QA count by type distribution </w:t>
      </w:r>
      <w:r>
        <w:rPr>
          <w:bCs/>
          <w:i/>
          <w:highlight w:val="none"/>
          <w:lang w:val="en-US"/>
        </w:rPr>
      </w:r>
      <w:r>
        <w:rPr>
          <w:bCs/>
          <w:i/>
          <w:highlight w:val="none"/>
          <w:lang w:val="en-US"/>
        </w:rPr>
      </w:r>
    </w:p>
    <w:p w14:paraId="7048BBAF">
      <w:pPr>
        <w:pStyle w:val="1056"/>
        <w:suppressLineNumbers w:val="false"/>
        <w:pBdr/>
        <w:spacing w:line="300" w:lineRule="auto"/>
        <w:ind w:right="0" w:firstLine="0" w:left="0"/>
        <w:rPr/>
      </w:pPr>
      <w:r>
        <w:rPr>
          <w:highlight w:val="none"/>
        </w:rPr>
      </w:r>
      <w:r>
        <w:t xml:space="preserve">The distribution shows that yes/no questions form a large share of Kvasir-VQA</w:t>
      </w:r>
      <w:r>
        <w:rPr>
          <w:lang w:val="en-US"/>
        </w:rPr>
        <w:t xml:space="preserve">[75]</w:t>
      </w:r>
      <w:r>
        <w:t xml:space="preserve">. This creates a majority-family regime where models can perform strongly by exploiting priors, and it motivates the use of balanced metrics and subset-level reporting to avoid ov</w:t>
      </w:r>
      <w:r>
        <w:t xml:space="preserve">erstating reliability.</w:t>
      </w:r>
      <w:r>
        <w:rPr>
          <w:highlight w:val="none"/>
        </w:rPr>
      </w:r>
      <w:r/>
    </w:p>
    <w:p w14:paraId="06CF4861">
      <w:pPr>
        <w:pStyle w:val="1056"/>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048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06225" name=""/>
                        <pic:cNvPicPr>
                          <a:picLocks noChangeAspect="1"/>
                        </pic:cNvPicPr>
                        <pic:nvPr/>
                      </pic:nvPicPr>
                      <pic:blipFill rotWithShape="1">
                        <a:blip r:embed="rId16"/>
                        <a:stretch/>
                      </pic:blipFill>
                      <pic:spPr bwMode="auto">
                        <a:xfrm>
                          <a:off x="0" y="0"/>
                          <a:ext cx="548639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40.0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699DB54E">
      <w:pPr>
        <w:pStyle w:val="1056"/>
        <w:suppressLineNumbers w:val="false"/>
        <w:pBdr/>
        <w:spacing w:line="300" w:lineRule="auto"/>
        <w:ind w:left="1440"/>
        <w:rPr>
          <w:bCs/>
          <w:i/>
          <w:highlight w:val="none"/>
          <w:lang w:val="en-US"/>
        </w:rPr>
      </w:pPr>
      <w:r>
        <w:rPr>
          <w:i/>
          <w:iCs/>
          <w:lang w:val="en-US"/>
        </w:rPr>
        <w:t xml:space="preserve">Figure 3.3 Question type by source</w:t>
      </w:r>
      <w:r>
        <w:rPr>
          <w:bCs/>
          <w:i/>
          <w:highlight w:val="none"/>
          <w:lang w:val="en-US"/>
        </w:rPr>
      </w:r>
      <w:r>
        <w:rPr>
          <w:bCs/>
          <w:i/>
          <w:highlight w:val="none"/>
          <w:lang w:val="en-US"/>
        </w:rPr>
      </w:r>
    </w:p>
    <w:p w14:paraId="7A948419">
      <w:pPr>
        <w:pStyle w:val="1056"/>
        <w:suppressLineNumbers w:val="false"/>
        <w:pBdr/>
        <w:spacing w:line="300" w:lineRule="auto"/>
        <w:ind w:right="0" w:firstLine="0" w:left="0"/>
        <w:rPr/>
      </w:pPr>
      <w:r>
        <w:t xml:space="preserve">Question-type composition varies by source domain, indicating that the dataset is not homogeneous across origins</w:t>
      </w:r>
      <w:r>
        <w:rPr>
          <w:lang w:val="en-US"/>
        </w:rPr>
        <w:t xml:space="preserve">[74]</w:t>
      </w:r>
      <w:r>
        <w:t xml:space="preserve">. This supports the chapter’s emphasis on failure-mode analysis and warns against interpreting a single “overall” score as uniformly applicable </w:t>
      </w:r>
      <w:r>
        <w:t xml:space="preserve">across question families.</w:t>
      </w:r>
      <w:r>
        <w:rPr>
          <w:highlight w:val="none"/>
        </w:rPr>
      </w:r>
      <w:r/>
    </w:p>
    <w:p w14:paraId="63833C9D">
      <w:pPr>
        <w:pStyle w:val="1056"/>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313508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19895" name=""/>
                        <pic:cNvPicPr>
                          <a:picLocks noChangeAspect="1"/>
                        </pic:cNvPicPr>
                        <pic:nvPr/>
                      </pic:nvPicPr>
                      <pic:blipFill rotWithShape="1">
                        <a:blip r:embed="rId17"/>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46.86pt;mso-wrap-distance-left:0.00pt;mso-wrap-distance-top:0.00pt;mso-wrap-distance-right:0.00pt;mso-wrap-distance-bottom:0.00pt;z-index:1;" stroked="false">
                <v:imagedata r:id="rId17" o:title=""/>
                <o:lock v:ext="edit" rotation="t"/>
              </v:shape>
            </w:pict>
          </mc:Fallback>
        </mc:AlternateContent>
      </w:r>
      <w:r/>
    </w:p>
    <w:p w14:paraId="2762411E">
      <w:pPr>
        <w:pStyle w:val="1056"/>
        <w:suppressLineNumbers w:val="false"/>
        <w:pBdr/>
        <w:spacing w:line="300" w:lineRule="auto"/>
        <w:ind w:left="1440"/>
        <w:rPr>
          <w:bCs/>
          <w:i/>
          <w:highlight w:val="none"/>
          <w:lang w:val="en-US"/>
        </w:rPr>
      </w:pPr>
      <w:r>
        <w:rPr>
          <w:i/>
          <w:iCs/>
          <w:lang w:val="en-US"/>
        </w:rPr>
        <w:t xml:space="preserve">Figure 3.4 Answer type distribution</w:t>
      </w:r>
      <w:r>
        <w:rPr>
          <w:bCs/>
          <w:i/>
          <w:highlight w:val="none"/>
          <w:lang w:val="en-US"/>
        </w:rPr>
      </w:r>
      <w:r>
        <w:rPr>
          <w:bCs/>
          <w:i/>
          <w:highlight w:val="none"/>
          <w:lang w:val="en-US"/>
        </w:rPr>
      </w:r>
    </w:p>
    <w:p w14:paraId="2251F196">
      <w:pPr>
        <w:pStyle w:val="1056"/>
        <w:suppressLineNumbers w:val="false"/>
        <w:pBdr/>
        <w:spacing w:line="300" w:lineRule="auto"/>
        <w:ind w:firstLine="0"/>
        <w:rPr/>
      </w:pPr>
      <w:r>
        <w:t xml:space="preserve">The answer-type distribution highlights why evaluation must be matched to task style: exact-match metrics are natural for constrained outputs but can be overly harsh for free-text generation, where token-level overlap diagnostics may be more informative</w:t>
      </w:r>
      <w:r>
        <w:rPr>
          <w:lang w:val="en-US"/>
        </w:rPr>
        <w:t xml:space="preserve">[76]</w:t>
      </w:r>
      <w:r>
        <w:t xml:space="preserve">. T</w:t>
      </w:r>
      <w:r>
        <w:t xml:space="preserve">his motivates the layered metric design defined in Section 3.3.</w:t>
      </w:r>
      <w:r/>
    </w:p>
    <w:tbl>
      <w:tblPr>
        <w:tblStyle w:val="1113"/>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913DFE9">
            <w:pPr>
              <w:pBdr/>
              <w:spacing w:after="0" w:before="0" w:line="240" w:lineRule="auto"/>
              <w:ind/>
              <w:rPr>
                <w:color w:val="000000" w:themeColor="text1"/>
              </w:rPr>
            </w:pPr>
            <w:r>
              <w:rPr>
                <w:rFonts w:ascii="Arial" w:hAnsi="Arial" w:eastAsia="Arial" w:cs="Arial"/>
                <w:b/>
                <w:color w:val="000000" w:themeColor="text1"/>
                <w:sz w:val="21"/>
              </w:rPr>
              <w:t xml:space="preserve">Signal</w:t>
            </w:r>
            <w:r>
              <w:rPr>
                <w:color w:val="000000" w:themeColor="text1"/>
              </w:rPr>
            </w:r>
            <w:r>
              <w:rPr>
                <w:color w:val="000000" w:themeColor="text1"/>
              </w:rPr>
            </w:r>
          </w:p>
        </w:tc>
        <w:tc>
          <w:tcPr>
            <w:tcBorders/>
            <w:tcW w:w="4320" w:type="dxa"/>
            <w:textDirection w:val="lrTb"/>
            <w:noWrap w:val="false"/>
          </w:tcPr>
          <w:p w14:paraId="51971090">
            <w:pPr>
              <w:pBdr/>
              <w:spacing w:after="0" w:before="0" w:line="240" w:lineRule="auto"/>
              <w:ind/>
              <w:jc w:val="right"/>
              <w:rPr>
                <w:color w:val="000000" w:themeColor="text1"/>
              </w:rPr>
            </w:pPr>
            <w:r>
              <w:rPr>
                <w:rFonts w:ascii="Arial" w:hAnsi="Arial" w:eastAsia="Arial" w:cs="Arial"/>
                <w:b/>
                <w:color w:val="000000" w:themeColor="text1"/>
                <w:sz w:val="21"/>
              </w:rPr>
              <w:t xml:space="preserve">Value</w:t>
            </w:r>
            <w:r>
              <w:rPr>
                <w:color w:val="000000" w:themeColor="text1"/>
              </w:rPr>
            </w:r>
            <w:r>
              <w:rPr>
                <w:color w:val="000000" w:themeColor="text1"/>
              </w:rPr>
            </w:r>
          </w:p>
        </w:tc>
      </w:tr>
      <w:tr>
        <w:trPr/>
        <w:tc>
          <w:tcPr>
            <w:tcBorders/>
            <w:tcW w:w="4320" w:type="dxa"/>
            <w:textDirection w:val="lrTb"/>
            <w:noWrap w:val="false"/>
          </w:tcPr>
          <w:p w14:paraId="1CBD7584">
            <w:pPr>
              <w:pBdr/>
              <w:spacing w:after="0" w:before="0" w:line="240" w:lineRule="auto"/>
              <w:ind/>
              <w:rPr>
                <w:color w:val="000000" w:themeColor="text1"/>
              </w:rPr>
            </w:pPr>
            <w:r>
              <w:rPr>
                <w:rFonts w:ascii="Arial" w:hAnsi="Arial" w:eastAsia="Arial" w:cs="Arial"/>
                <w:color w:val="000000" w:themeColor="text1"/>
                <w:sz w:val="21"/>
              </w:rPr>
              <w:t xml:space="preserve">Total QA rows</w:t>
            </w:r>
            <w:r>
              <w:rPr>
                <w:color w:val="000000" w:themeColor="text1"/>
              </w:rPr>
            </w:r>
            <w:r>
              <w:rPr>
                <w:color w:val="000000" w:themeColor="text1"/>
              </w:rPr>
            </w:r>
          </w:p>
        </w:tc>
        <w:tc>
          <w:tcPr>
            <w:tcBorders/>
            <w:tcW w:w="4320" w:type="dxa"/>
            <w:textDirection w:val="lrTb"/>
            <w:noWrap w:val="false"/>
          </w:tcPr>
          <w:p w14:paraId="3B1C6DA7">
            <w:pPr>
              <w:pBdr/>
              <w:spacing w:after="0" w:before="0" w:line="240" w:lineRule="auto"/>
              <w:ind/>
              <w:jc w:val="right"/>
              <w:rPr>
                <w:color w:val="000000" w:themeColor="text1"/>
              </w:rPr>
            </w:pPr>
            <w:r>
              <w:rPr>
                <w:rFonts w:ascii="Arial" w:hAnsi="Arial" w:eastAsia="Arial" w:cs="Arial"/>
                <w:color w:val="000000" w:themeColor="text1"/>
                <w:sz w:val="21"/>
              </w:rPr>
              <w:t xml:space="preserve">58,849</w:t>
            </w:r>
            <w:r>
              <w:rPr>
                <w:color w:val="000000" w:themeColor="text1"/>
              </w:rPr>
            </w:r>
            <w:r>
              <w:rPr>
                <w:color w:val="000000" w:themeColor="text1"/>
              </w:rPr>
            </w:r>
          </w:p>
        </w:tc>
      </w:tr>
      <w:tr>
        <w:trPr/>
        <w:tc>
          <w:tcPr>
            <w:tcBorders/>
            <w:tcW w:w="4320" w:type="dxa"/>
            <w:textDirection w:val="lrTb"/>
            <w:noWrap w:val="false"/>
          </w:tcPr>
          <w:p w14:paraId="23FAA67E">
            <w:pPr>
              <w:pBdr/>
              <w:spacing w:after="0" w:before="0" w:line="240" w:lineRule="auto"/>
              <w:ind/>
              <w:rPr>
                <w:color w:val="000000" w:themeColor="text1"/>
              </w:rPr>
            </w:pPr>
            <w:r>
              <w:rPr>
                <w:rFonts w:ascii="Arial" w:hAnsi="Arial" w:eastAsia="Arial" w:cs="Arial"/>
                <w:color w:val="000000" w:themeColor="text1"/>
                <w:sz w:val="21"/>
              </w:rPr>
              <w:t xml:space="preserve">Unique images</w:t>
            </w:r>
            <w:r>
              <w:rPr>
                <w:color w:val="000000" w:themeColor="text1"/>
              </w:rPr>
            </w:r>
            <w:r>
              <w:rPr>
                <w:color w:val="000000" w:themeColor="text1"/>
              </w:rPr>
            </w:r>
          </w:p>
        </w:tc>
        <w:tc>
          <w:tcPr>
            <w:tcBorders/>
            <w:tcW w:w="4320" w:type="dxa"/>
            <w:textDirection w:val="lrTb"/>
            <w:noWrap w:val="false"/>
          </w:tcPr>
          <w:p w14:paraId="2BA5ED4E">
            <w:pPr>
              <w:pBdr/>
              <w:spacing w:after="0" w:before="0" w:line="240" w:lineRule="auto"/>
              <w:ind/>
              <w:jc w:val="right"/>
              <w:rPr>
                <w:color w:val="000000" w:themeColor="text1"/>
              </w:rPr>
            </w:pPr>
            <w:r>
              <w:rPr>
                <w:rFonts w:ascii="Arial" w:hAnsi="Arial" w:eastAsia="Arial" w:cs="Arial"/>
                <w:color w:val="000000" w:themeColor="text1"/>
                <w:sz w:val="21"/>
              </w:rPr>
              <w:t xml:space="preserve">6,500</w:t>
            </w:r>
            <w:r>
              <w:rPr>
                <w:color w:val="000000" w:themeColor="text1"/>
              </w:rPr>
            </w:r>
            <w:r>
              <w:rPr>
                <w:color w:val="000000" w:themeColor="text1"/>
              </w:rPr>
            </w:r>
          </w:p>
        </w:tc>
      </w:tr>
      <w:tr>
        <w:trPr/>
        <w:tc>
          <w:tcPr>
            <w:tcBorders/>
            <w:tcW w:w="4320" w:type="dxa"/>
            <w:textDirection w:val="lrTb"/>
            <w:noWrap w:val="false"/>
          </w:tcPr>
          <w:p w14:paraId="5B001493">
            <w:pPr>
              <w:pBdr/>
              <w:spacing w:after="0" w:before="0" w:line="240" w:lineRule="auto"/>
              <w:ind/>
              <w:rPr>
                <w:color w:val="000000" w:themeColor="text1"/>
              </w:rPr>
            </w:pPr>
            <w:r>
              <w:rPr>
                <w:rFonts w:ascii="Arial" w:hAnsi="Arial" w:eastAsia="Arial" w:cs="Arial"/>
                <w:color w:val="000000" w:themeColor="text1"/>
                <w:sz w:val="21"/>
              </w:rPr>
              <w:t xml:space="preserve">Mean QA rows per image</w:t>
            </w:r>
            <w:r>
              <w:rPr>
                <w:color w:val="000000" w:themeColor="text1"/>
              </w:rPr>
            </w:r>
            <w:r>
              <w:rPr>
                <w:color w:val="000000" w:themeColor="text1"/>
              </w:rPr>
            </w:r>
          </w:p>
        </w:tc>
        <w:tc>
          <w:tcPr>
            <w:tcBorders/>
            <w:tcW w:w="4320" w:type="dxa"/>
            <w:textDirection w:val="lrTb"/>
            <w:noWrap w:val="false"/>
          </w:tcPr>
          <w:p w14:paraId="794A555C">
            <w:pPr>
              <w:pBdr/>
              <w:spacing w:after="0" w:before="0" w:line="240" w:lineRule="auto"/>
              <w:ind/>
              <w:jc w:val="right"/>
              <w:rPr>
                <w:color w:val="000000" w:themeColor="text1"/>
              </w:rPr>
            </w:pPr>
            <w:r>
              <w:rPr>
                <w:rFonts w:ascii="Arial" w:hAnsi="Arial" w:eastAsia="Arial" w:cs="Arial"/>
                <w:color w:val="000000" w:themeColor="text1"/>
                <w:sz w:val="21"/>
              </w:rPr>
              <w:t xml:space="preserve">9.05</w:t>
            </w:r>
            <w:r>
              <w:rPr>
                <w:color w:val="000000" w:themeColor="text1"/>
              </w:rPr>
            </w:r>
            <w:r>
              <w:rPr>
                <w:color w:val="000000" w:themeColor="text1"/>
              </w:rPr>
            </w:r>
          </w:p>
        </w:tc>
      </w:tr>
      <w:tr>
        <w:trPr/>
        <w:tc>
          <w:tcPr>
            <w:tcBorders/>
            <w:tcW w:w="4320" w:type="dxa"/>
            <w:textDirection w:val="lrTb"/>
            <w:noWrap w:val="false"/>
          </w:tcPr>
          <w:p w14:paraId="0DC8F9FA">
            <w:pPr>
              <w:pBdr/>
              <w:spacing w:after="0" w:before="0" w:line="240" w:lineRule="auto"/>
              <w:ind/>
              <w:rPr>
                <w:color w:val="000000" w:themeColor="text1"/>
              </w:rPr>
            </w:pPr>
            <w:r>
              <w:rPr>
                <w:rFonts w:ascii="Arial" w:hAnsi="Arial" w:eastAsia="Arial" w:cs="Arial"/>
                <w:color w:val="000000" w:themeColor="text1"/>
                <w:sz w:val="21"/>
              </w:rPr>
              <w:t xml:space="preserve">Yes/No questions</w:t>
            </w:r>
            <w:r>
              <w:rPr>
                <w:color w:val="000000" w:themeColor="text1"/>
              </w:rPr>
            </w:r>
            <w:r>
              <w:rPr>
                <w:color w:val="000000" w:themeColor="text1"/>
              </w:rPr>
            </w:r>
          </w:p>
        </w:tc>
        <w:tc>
          <w:tcPr>
            <w:tcBorders/>
            <w:tcW w:w="4320" w:type="dxa"/>
            <w:textDirection w:val="lrTb"/>
            <w:noWrap w:val="false"/>
          </w:tcPr>
          <w:p w14:paraId="5685C47F">
            <w:pPr>
              <w:pBdr/>
              <w:spacing w:after="0" w:before="0" w:line="240" w:lineRule="auto"/>
              <w:ind/>
              <w:jc w:val="right"/>
              <w:rPr>
                <w:color w:val="000000" w:themeColor="text1"/>
              </w:rPr>
            </w:pPr>
            <w:r>
              <w:rPr>
                <w:rFonts w:ascii="Arial" w:hAnsi="Arial" w:eastAsia="Arial" w:cs="Arial"/>
                <w:color w:val="000000" w:themeColor="text1"/>
                <w:sz w:val="21"/>
              </w:rPr>
              <w:t xml:space="preserve">26,515 (45.06%)</w:t>
            </w:r>
            <w:r>
              <w:rPr>
                <w:color w:val="000000" w:themeColor="text1"/>
              </w:rPr>
            </w:r>
            <w:r>
              <w:rPr>
                <w:color w:val="000000" w:themeColor="text1"/>
              </w:rPr>
            </w:r>
          </w:p>
        </w:tc>
      </w:tr>
      <w:tr>
        <w:trPr/>
        <w:tc>
          <w:tcPr>
            <w:tcBorders/>
            <w:tcW w:w="4320" w:type="dxa"/>
            <w:textDirection w:val="lrTb"/>
            <w:noWrap w:val="false"/>
          </w:tcPr>
          <w:p w14:paraId="1013A988">
            <w:pPr>
              <w:pBdr/>
              <w:spacing w:after="0" w:before="0" w:line="240" w:lineRule="auto"/>
              <w:ind/>
              <w:rPr>
                <w:color w:val="000000" w:themeColor="text1"/>
              </w:rPr>
            </w:pPr>
            <w:r>
              <w:rPr>
                <w:rFonts w:ascii="Arial" w:hAnsi="Arial" w:eastAsia="Arial" w:cs="Arial"/>
                <w:color w:val="000000" w:themeColor="text1"/>
                <w:sz w:val="21"/>
              </w:rPr>
              <w:t xml:space="preserve">Entity questions</w:t>
            </w:r>
            <w:r>
              <w:rPr>
                <w:color w:val="000000" w:themeColor="text1"/>
              </w:rPr>
            </w:r>
            <w:r>
              <w:rPr>
                <w:color w:val="000000" w:themeColor="text1"/>
              </w:rPr>
            </w:r>
          </w:p>
        </w:tc>
        <w:tc>
          <w:tcPr>
            <w:tcBorders/>
            <w:tcW w:w="4320" w:type="dxa"/>
            <w:textDirection w:val="lrTb"/>
            <w:noWrap w:val="false"/>
          </w:tcPr>
          <w:p w14:paraId="1A7A3237">
            <w:pPr>
              <w:pBdr/>
              <w:spacing w:after="0" w:before="0" w:line="240" w:lineRule="auto"/>
              <w:ind/>
              <w:jc w:val="right"/>
              <w:rPr>
                <w:color w:val="000000" w:themeColor="text1"/>
              </w:rPr>
            </w:pPr>
            <w:r>
              <w:rPr>
                <w:rFonts w:ascii="Arial" w:hAnsi="Arial" w:eastAsia="Arial" w:cs="Arial"/>
                <w:color w:val="000000" w:themeColor="text1"/>
                <w:sz w:val="21"/>
              </w:rPr>
              <w:t xml:space="preserve">10,528 (17.89%)</w:t>
            </w:r>
            <w:r>
              <w:rPr>
                <w:color w:val="000000" w:themeColor="text1"/>
              </w:rPr>
            </w:r>
            <w:r>
              <w:rPr>
                <w:color w:val="000000" w:themeColor="text1"/>
              </w:rPr>
            </w:r>
          </w:p>
        </w:tc>
      </w:tr>
      <w:tr>
        <w:trPr/>
        <w:tc>
          <w:tcPr>
            <w:tcBorders/>
            <w:tcW w:w="4320" w:type="dxa"/>
            <w:textDirection w:val="lrTb"/>
            <w:noWrap w:val="false"/>
          </w:tcPr>
          <w:p w14:paraId="0A3B919C">
            <w:pPr>
              <w:pBdr/>
              <w:spacing w:after="0" w:before="0" w:line="240" w:lineRule="auto"/>
              <w:ind/>
              <w:rPr>
                <w:color w:val="000000" w:themeColor="text1"/>
              </w:rPr>
            </w:pPr>
            <w:r>
              <w:rPr>
                <w:rFonts w:ascii="Arial" w:hAnsi="Arial" w:eastAsia="Arial" w:cs="Arial"/>
                <w:color w:val="000000" w:themeColor="text1"/>
                <w:sz w:val="21"/>
              </w:rPr>
              <w:t xml:space="preserve">Counting questions</w:t>
            </w:r>
            <w:r>
              <w:rPr>
                <w:color w:val="000000" w:themeColor="text1"/>
              </w:rPr>
            </w:r>
            <w:r>
              <w:rPr>
                <w:color w:val="000000" w:themeColor="text1"/>
              </w:rPr>
            </w:r>
          </w:p>
        </w:tc>
        <w:tc>
          <w:tcPr>
            <w:tcBorders/>
            <w:tcW w:w="4320" w:type="dxa"/>
            <w:textDirection w:val="lrTb"/>
            <w:noWrap w:val="false"/>
          </w:tcPr>
          <w:p w14:paraId="2AD8A299">
            <w:pPr>
              <w:pBdr/>
              <w:spacing w:after="0" w:before="0" w:line="240" w:lineRule="auto"/>
              <w:ind/>
              <w:jc w:val="right"/>
              <w:rPr>
                <w:color w:val="000000" w:themeColor="text1"/>
              </w:rPr>
            </w:pPr>
            <w:r>
              <w:rPr>
                <w:rFonts w:ascii="Arial" w:hAnsi="Arial" w:eastAsia="Arial" w:cs="Arial"/>
                <w:color w:val="000000" w:themeColor="text1"/>
                <w:sz w:val="21"/>
              </w:rPr>
              <w:t xml:space="preserve">10,118 (17.19%)</w:t>
            </w:r>
            <w:r>
              <w:rPr>
                <w:color w:val="000000" w:themeColor="text1"/>
              </w:rPr>
            </w:r>
            <w:r>
              <w:rPr>
                <w:color w:val="000000" w:themeColor="text1"/>
              </w:rPr>
            </w:r>
          </w:p>
        </w:tc>
      </w:tr>
      <w:tr>
        <w:trPr/>
        <w:tc>
          <w:tcPr>
            <w:tcBorders/>
            <w:tcW w:w="4320" w:type="dxa"/>
            <w:textDirection w:val="lrTb"/>
            <w:noWrap w:val="false"/>
          </w:tcPr>
          <w:p w14:paraId="4C11D32D">
            <w:pPr>
              <w:pBdr/>
              <w:spacing w:after="0" w:before="0" w:line="240" w:lineRule="auto"/>
              <w:ind/>
              <w:rPr>
                <w:color w:val="000000" w:themeColor="text1"/>
              </w:rPr>
            </w:pPr>
            <w:r>
              <w:rPr>
                <w:rFonts w:ascii="Arial" w:hAnsi="Arial" w:eastAsia="Arial" w:cs="Arial"/>
                <w:color w:val="000000" w:themeColor="text1"/>
                <w:sz w:val="21"/>
              </w:rPr>
              <w:t xml:space="preserve">Location questions</w:t>
            </w:r>
            <w:r>
              <w:rPr>
                <w:color w:val="000000" w:themeColor="text1"/>
              </w:rPr>
            </w:r>
            <w:r>
              <w:rPr>
                <w:color w:val="000000" w:themeColor="text1"/>
              </w:rPr>
            </w:r>
          </w:p>
        </w:tc>
        <w:tc>
          <w:tcPr>
            <w:tcBorders/>
            <w:tcW w:w="4320" w:type="dxa"/>
            <w:textDirection w:val="lrTb"/>
            <w:noWrap w:val="false"/>
          </w:tcPr>
          <w:p w14:paraId="5BCF3048">
            <w:pPr>
              <w:pBdr/>
              <w:spacing w:after="0" w:before="0" w:line="240" w:lineRule="auto"/>
              <w:ind/>
              <w:jc w:val="right"/>
              <w:rPr>
                <w:color w:val="000000" w:themeColor="text1"/>
              </w:rPr>
            </w:pPr>
            <w:r>
              <w:rPr>
                <w:rFonts w:ascii="Arial" w:hAnsi="Arial" w:eastAsia="Arial" w:cs="Arial"/>
                <w:color w:val="000000" w:themeColor="text1"/>
                <w:sz w:val="21"/>
              </w:rPr>
              <w:t xml:space="preserve">8,424 (14.31%)</w:t>
            </w:r>
            <w:r>
              <w:rPr>
                <w:color w:val="000000" w:themeColor="text1"/>
              </w:rPr>
            </w:r>
            <w:r>
              <w:rPr>
                <w:color w:val="000000" w:themeColor="text1"/>
              </w:rPr>
            </w:r>
          </w:p>
        </w:tc>
      </w:tr>
    </w:tbl>
    <w:p w14:paraId="403EC39D">
      <w:pPr>
        <w:pStyle w:val="1056"/>
        <w:suppressLineNumbers w:val="false"/>
        <w:pBdr/>
        <w:spacing w:line="300" w:lineRule="auto"/>
        <w:ind w:left="1440"/>
        <w:rPr>
          <w:bCs/>
          <w:i/>
          <w:highlight w:val="none"/>
          <w:lang w:val="en-US"/>
        </w:rPr>
      </w:pPr>
      <w:r>
        <w:rPr>
          <w:i/>
          <w:iCs/>
          <w:lang w:val="en-US"/>
        </w:rPr>
        <w:t xml:space="preserve">Table 3.4 </w:t>
      </w:r>
      <w:r>
        <w:rPr>
          <w:i/>
          <w:iCs/>
          <w:lang w:val="en-US"/>
        </w:rPr>
        <w:t xml:space="preserve">Kvasir-VQA Distribution Snapshot</w:t>
      </w:r>
      <w:r>
        <w:rPr>
          <w:bCs/>
          <w:i/>
          <w:highlight w:val="none"/>
          <w:lang w:val="en-US"/>
        </w:rPr>
      </w:r>
      <w:r>
        <w:rPr>
          <w:bCs/>
          <w:i/>
          <w:highlight w:val="none"/>
          <w:lang w:val="en-US"/>
        </w:rPr>
      </w:r>
    </w:p>
    <w:p w14:paraId="046F08D8">
      <w:pPr>
        <w:pStyle w:val="1056"/>
        <w:suppressLineNumbers w:val="false"/>
        <w:pBdr/>
        <w:spacing w:line="300" w:lineRule="auto"/>
        <w:ind w:firstLine="0"/>
        <w:rPr/>
      </w:pPr>
      <w:r>
        <w:t xml:space="preserve">The strong question-family skew supports two design choices used throughout Chapter 3: (i) report class-balanced or family-aware metrics where possible, and (ii) interpret aggregate scores cautiously, because strong performance on a dominant family (e.g., </w:t>
      </w:r>
      <w:r>
        <w:t xml:space="preserve">yes/no) does not guarantee reliable behavior on count, location, or clinically higher-risk categories.</w:t>
      </w:r>
      <w:r/>
    </w:p>
    <w:p w14:paraId="4B627629">
      <w:pPr>
        <w:pStyle w:val="1056"/>
        <w:suppressLineNumbers w:val="false"/>
        <w:pBdr/>
        <w:spacing w:line="300" w:lineRule="auto"/>
        <w:ind w:firstLine="0"/>
        <w:rPr>
          <w:b/>
          <w:bCs/>
        </w:rPr>
      </w:pPr>
      <w:r>
        <w:rPr>
          <w:b/>
          <w:bCs/>
        </w:rPr>
        <w:t xml:space="preserve">3.2.4 Scenario Micro-Benchmark Definition</w:t>
      </w:r>
      <w:r>
        <w:rPr>
          <w:b/>
          <w:bCs/>
        </w:rPr>
      </w:r>
      <w:r>
        <w:rPr>
          <w:b/>
          <w:bCs/>
        </w:rPr>
      </w:r>
    </w:p>
    <w:p w14:paraId="27FEB030">
      <w:pPr>
        <w:pStyle w:val="1056"/>
        <w:suppressLineNumbers w:val="false"/>
        <w:pBdr/>
        <w:spacing w:line="300" w:lineRule="auto"/>
        <w:ind w:firstLine="0"/>
        <w:rPr/>
      </w:pPr>
      <w:r>
        <w:t xml:space="preserve">To connect benchmark evaluation to realistic clinical vignettes, the repository includes a micro-scenario protocol definition</w:t>
      </w:r>
      <w:r>
        <w:rPr>
          <w:lang w:val="en-US"/>
        </w:rPr>
        <w:t xml:space="preserve">.</w:t>
      </w:r>
      <w:r/>
    </w:p>
    <w:p w14:paraId="7DF1400B">
      <w:pPr>
        <w:pStyle w:val="1056"/>
        <w:suppressLineNumbers w:val="false"/>
        <w:pBdr/>
        <w:spacing w:line="300" w:lineRule="auto"/>
        <w:ind w:firstLine="0"/>
        <w:rPr/>
      </w:pPr>
      <w:r>
        <w:t xml:space="preserve">The protocol defines three focused scenario templates:</w:t>
      </w:r>
      <w:r/>
    </w:p>
    <w:p w14:paraId="086DBEE0">
      <w:pPr>
        <w:pStyle w:val="1056"/>
        <w:numPr>
          <w:ilvl w:val="0"/>
          <w:numId w:val="61"/>
        </w:numPr>
        <w:suppressLineNumbers w:val="false"/>
        <w:pBdr/>
        <w:spacing w:line="120" w:lineRule="auto"/>
        <w:ind/>
        <w:rPr/>
      </w:pPr>
      <w:r>
        <w:rPr>
          <w:b/>
          <w:bCs/>
        </w:rPr>
        <w:t xml:space="preserve">S1</w:t>
      </w:r>
      <w:r>
        <w:t xml:space="preserve">: active bleeding binary detection,</w:t>
      </w:r>
      <w:r/>
    </w:p>
    <w:p w14:paraId="368B6670">
      <w:pPr>
        <w:pStyle w:val="1056"/>
        <w:numPr>
          <w:ilvl w:val="0"/>
          <w:numId w:val="61"/>
        </w:numPr>
        <w:suppressLineNumbers w:val="false"/>
        <w:pBdr/>
        <w:spacing w:line="120" w:lineRule="auto"/>
        <w:ind/>
        <w:rPr/>
      </w:pPr>
      <w:r>
        <w:rPr>
          <w:b/>
          <w:bCs/>
        </w:rPr>
        <w:t xml:space="preserve">S2</w:t>
      </w:r>
      <w:r>
        <w:t xml:space="preserve">: instrument type plus polyp count,</w:t>
      </w:r>
      <w:r/>
    </w:p>
    <w:p w14:paraId="43E8ABEF">
      <w:pPr>
        <w:pStyle w:val="1056"/>
        <w:numPr>
          <w:ilvl w:val="0"/>
          <w:numId w:val="61"/>
        </w:numPr>
        <w:suppressLineNumbers w:val="false"/>
        <w:pBdr/>
        <w:spacing w:line="120" w:lineRule="auto"/>
        <w:ind/>
        <w:rPr/>
      </w:pPr>
      <w:r>
        <w:rPr>
          <w:b/>
          <w:bCs/>
        </w:rPr>
        <w:t xml:space="preserve">S3</w:t>
      </w:r>
      <w:r>
        <w:t xml:space="preserve">: Paris morphology closed set.</w:t>
      </w:r>
      <w:r/>
    </w:p>
    <w:p w14:paraId="04E223CF">
      <w:pPr>
        <w:pStyle w:val="1056"/>
        <w:suppressLineNumbers w:val="false"/>
        <w:pBdr/>
        <w:spacing w:line="300" w:lineRule="auto"/>
        <w:ind w:firstLine="0"/>
        <w:rPr/>
      </w:pPr>
      <w:r>
        <w:t xml:space="preserve">T</w:t>
      </w:r>
      <w:r>
        <w:t xml:space="preserve">hese scenarios are intentionally small and are treated as stress vignettes, not as statistical benchmark replacements. Only scenario configuration is persisted in the reformatted evidence tree; scored scenario predictions are not persisted</w:t>
      </w:r>
      <w:r>
        <w:rPr>
          <w:lang w:val="en-US"/>
        </w:rPr>
        <w:t xml:space="preserve">[72]</w:t>
      </w:r>
      <w:r>
        <w:t xml:space="preserve">. Therefore, Chap</w:t>
      </w:r>
      <w:r>
        <w:t xml:space="preserve">ter 3 reports scenario definitions as protocol context only and does not report scenario outcome metrics in the absence of scored artifacts.</w:t>
      </w:r>
      <w:r/>
    </w:p>
    <w:p w14:paraId="55C925CB">
      <w:pPr>
        <w:pStyle w:val="1056"/>
        <w:suppressLineNumbers w:val="false"/>
        <w:pBdr/>
        <w:spacing w:line="300" w:lineRule="auto"/>
        <w:ind w:firstLine="0"/>
        <w:rPr>
          <w:b/>
          <w:bCs/>
        </w:rPr>
      </w:pPr>
      <w:r>
        <w:rPr>
          <w:b/>
          <w:bCs/>
        </w:rPr>
        <w:t xml:space="preserve">3.2.5 Alignment with Prior Dissertation Problem Settings</w:t>
      </w:r>
      <w:r>
        <w:rPr>
          <w:b/>
          <w:bCs/>
        </w:rPr>
      </w:r>
      <w:r>
        <w:rPr>
          <w:b/>
          <w:bCs/>
        </w:rPr>
      </w:r>
    </w:p>
    <w:p w14:paraId="6368DD65">
      <w:pPr>
        <w:pStyle w:val="1056"/>
        <w:suppressLineNumbers w:val="false"/>
        <w:pBdr/>
        <w:spacing w:line="300" w:lineRule="auto"/>
        <w:ind w:firstLine="0"/>
        <w:rPr/>
      </w:pPr>
      <w:r>
        <w:t xml:space="preserve">The dataset and task choices in Chapter 3 are designed to align with common GI-endoscopy AI concerns while focusing on MedVQA-specific reliability:</w:t>
      </w:r>
      <w:r/>
    </w:p>
    <w:p w14:paraId="2DFF30AC">
      <w:pPr>
        <w:pStyle w:val="1056"/>
        <w:numPr>
          <w:ilvl w:val="0"/>
          <w:numId w:val="62"/>
        </w:numPr>
        <w:suppressLineNumbers w:val="false"/>
        <w:pBdr/>
        <w:spacing w:line="300" w:lineRule="auto"/>
        <w:ind/>
        <w:rPr/>
      </w:pPr>
      <w:r>
        <w:rPr>
          <w:b/>
          <w:bCs/>
        </w:rPr>
        <w:t xml:space="preserve">Severity and treatment relevance</w:t>
      </w:r>
      <w:r>
        <w:t xml:space="preserve"> are represented by LIMUC, where ordinal behavior and clinically interpretable slices are necessary for credible UC severity assessment</w:t>
      </w:r>
      <w:r>
        <w:rPr>
          <w:lang w:val="en-US"/>
        </w:rPr>
        <w:t xml:space="preserve">[55], [62]-[65], [70]</w:t>
      </w:r>
      <w:r>
        <w:t xml:space="preserve">.</w:t>
      </w:r>
      <w:r/>
    </w:p>
    <w:p w14:paraId="2BA1849F">
      <w:pPr>
        <w:pStyle w:val="1056"/>
        <w:numPr>
          <w:ilvl w:val="0"/>
          <w:numId w:val="62"/>
        </w:numPr>
        <w:suppressLineNumbers w:val="false"/>
        <w:pBdr/>
        <w:spacing w:line="300" w:lineRule="auto"/>
        <w:ind/>
        <w:rPr/>
      </w:pPr>
      <w:r>
        <w:rPr>
          <w:b/>
          <w:bCs/>
        </w:rPr>
        <w:t xml:space="preserve">Robustness under heterogeneity</w:t>
      </w:r>
      <w:r>
        <w:t xml:space="preserve"> is addressed by including multiple datasets with different answer spaces and task formulations, enabling cross-dataset comparison of failure patterns rather than optimizing for a single benchmark.</w:t>
      </w:r>
      <w:r/>
    </w:p>
    <w:p w14:paraId="24EF6994">
      <w:pPr>
        <w:pStyle w:val="1056"/>
        <w:numPr>
          <w:ilvl w:val="0"/>
          <w:numId w:val="62"/>
        </w:numPr>
        <w:suppressLineNumbers w:val="false"/>
        <w:pBdr/>
        <w:spacing w:line="300" w:lineRule="auto"/>
        <w:ind/>
        <w:rPr/>
      </w:pPr>
      <w:r>
        <w:rPr>
          <w:b/>
          <w:bCs/>
        </w:rPr>
        <w:t xml:space="preserve">Transparency of model behavior</w:t>
      </w:r>
      <w:r>
        <w:t xml:space="preserve"> is operationalized by reporting not only aggregate metrics but also imbalance-aware indicators, question-family slices, and explicit boundaries where evidence is unavailable.</w:t>
      </w:r>
      <w:r/>
    </w:p>
    <w:p w14:paraId="0AACB272">
      <w:pPr>
        <w:pStyle w:val="1056"/>
        <w:suppressLineNumbers w:val="false"/>
        <w:pBdr/>
        <w:spacing w:line="300" w:lineRule="auto"/>
        <w:ind w:firstLine="0"/>
        <w:rPr/>
      </w:pPr>
      <w:r>
        <w:t xml:space="preserve">This chapter does not attempt to replace established GI work on detection, segmentation, or video-level robustness. Instead, it complements that literature by adding a dedicated empirical layer for </w:t>
      </w:r>
      <w:r>
        <w:rPr>
          <w:b/>
          <w:bCs/>
        </w:rPr>
        <w:t xml:space="preserve">question-answer reliability</w:t>
      </w:r>
      <w:r>
        <w:t xml:space="preserve">, which is a prerequisite for in</w:t>
      </w:r>
      <w:r>
        <w:t xml:space="preserve">teractive, clinician-facing MedVQA systems.</w:t>
      </w:r>
      <w:r/>
    </w:p>
    <w:p w14:paraId="5D8B6C5D">
      <w:pPr>
        <w:pStyle w:val="1056"/>
        <w:suppressLineNumbers w:val="false"/>
        <w:pBdr/>
        <w:spacing w:line="300" w:lineRule="auto"/>
        <w:ind w:firstLine="0"/>
        <w:rPr>
          <w:b/>
          <w:bCs/>
        </w:rPr>
      </w:pPr>
      <w:r>
        <w:rPr>
          <w:b/>
          <w:bCs/>
        </w:rPr>
        <w:t xml:space="preserve">3.3 Evaluation Metrics and Statistical Protocol</w:t>
      </w:r>
      <w:r>
        <w:rPr>
          <w:b/>
          <w:bCs/>
        </w:rPr>
      </w:r>
      <w:r>
        <w:rPr>
          <w:b/>
          <w:bCs/>
        </w:rPr>
      </w:r>
    </w:p>
    <w:p w14:paraId="7573D0AE">
      <w:pPr>
        <w:pStyle w:val="1056"/>
        <w:suppressLineNumbers w:val="false"/>
        <w:pBdr/>
        <w:spacing w:line="300" w:lineRule="auto"/>
        <w:ind w:firstLine="0"/>
        <w:rPr>
          <w:highlight w:val="none"/>
        </w:rPr>
      </w:pPr>
      <w:r>
        <w:rPr>
          <w:highlight w:val="none"/>
        </w:rPr>
      </w:r>
      <w:r>
        <w:rPr>
          <w:highlight w:val="none"/>
        </w:rPr>
        <w:t xml:space="preserve">T</w:t>
      </w:r>
      <w:r>
        <w:rPr>
          <w:highlight w:val="none"/>
        </w:rPr>
        <w:t xml:space="preserve">his chapter compares model families across heterogeneous GI MedVQA task regimes. Because these regimes differ in answer format (fixed labels vs free text) and label structure (nominal vs ordinal), no single metric adequately captures reliability. Chapter 3</w:t>
      </w:r>
      <w:r>
        <w:rPr>
          <w:highlight w:val="none"/>
        </w:rPr>
        <w:t xml:space="preserve"> </w:t>
      </w:r>
      <w:r>
        <w:rPr>
          <w:highlight w:val="none"/>
        </w:rPr>
        <w:t xml:space="preserve">therefore uses a layered metric bundle and a conservative reporting protocol: point estimates are reported only when corresponding persisted predictions and evaluation outputs exist, and comparative claims are bounded to the evidence available in the persi</w:t>
      </w:r>
      <w:r>
        <w:rPr>
          <w:highlight w:val="none"/>
        </w:rPr>
        <w:t xml:space="preserve">sted artifacts</w:t>
      </w:r>
      <w:r>
        <w:rPr>
          <w:highlight w:val="none"/>
          <w:lang w:val="en-US"/>
        </w:rPr>
        <w:t xml:space="preserve">[56]</w:t>
      </w:r>
      <w:r>
        <w:rPr>
          <w:highlight w:val="none"/>
        </w:rPr>
        <w:t xml:space="preserve">.</w:t>
      </w:r>
      <w:r>
        <w:rPr>
          <w:highlight w:val="none"/>
        </w:rPr>
      </w:r>
      <w:r>
        <w:rPr>
          <w:highlight w:val="none"/>
        </w:rPr>
      </w:r>
    </w:p>
    <w:p w14:paraId="5B6EC54E">
      <w:pPr>
        <w:pStyle w:val="1056"/>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484693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2990" name=""/>
                        <pic:cNvPicPr>
                          <a:picLocks noChangeAspect="1"/>
                        </pic:cNvPicPr>
                        <pic:nvPr/>
                      </pic:nvPicPr>
                      <pic:blipFill rotWithShape="1">
                        <a:blip r:embed="rId18"/>
                        <a:stretch/>
                      </pic:blipFill>
                      <pic:spPr bwMode="auto">
                        <a:xfrm>
                          <a:off x="0" y="0"/>
                          <a:ext cx="5486399" cy="4846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381.6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40B317F9">
      <w:pPr>
        <w:pStyle w:val="1056"/>
        <w:suppressLineNumbers w:val="false"/>
        <w:pBdr/>
        <w:spacing w:line="300" w:lineRule="auto"/>
        <w:ind w:firstLine="0"/>
        <w:rPr/>
      </w:pPr>
      <w:r>
        <w:rPr>
          <w:highlight w:val="none"/>
        </w:rPr>
        <w:tab/>
        <w:tab/>
        <w:tab/>
      </w:r>
      <w:r>
        <w:rPr>
          <w:i/>
          <w:iCs/>
          <w:highlight w:val="none"/>
        </w:rPr>
        <w:t xml:space="preserve">Figure 3.</w:t>
      </w:r>
      <w:r>
        <w:rPr>
          <w:i/>
          <w:iCs/>
          <w:highlight w:val="none"/>
          <w:lang w:val="en-US"/>
        </w:rPr>
        <w:t xml:space="preserve">5</w:t>
      </w:r>
      <w:r>
        <w:rPr>
          <w:i/>
          <w:iCs/>
          <w:highlight w:val="none"/>
        </w:rPr>
        <w:t xml:space="preserve"> — Artifact-driven benchmarking workflow</w:t>
      </w:r>
      <w:r>
        <w:rPr>
          <w:highlight w:val="none"/>
        </w:rPr>
      </w:r>
      <w:r/>
    </w:p>
    <w:p w14:paraId="4E9206D5">
      <w:pPr>
        <w:pStyle w:val="1056"/>
        <w:suppressLineNumbers w:val="false"/>
        <w:pBdr/>
        <w:spacing w:line="300" w:lineRule="auto"/>
        <w:ind w:firstLine="0"/>
        <w:rPr>
          <w:b/>
          <w:bCs/>
          <w:highlight w:val="none"/>
        </w:rPr>
      </w:pPr>
      <w:r>
        <w:rPr>
          <w:b/>
          <w:bCs/>
        </w:rPr>
        <w:t xml:space="preserve">3.3.1 Metric Layers</w:t>
      </w:r>
      <w:r>
        <w:rPr>
          <w:b/>
          <w:bCs/>
          <w:highlight w:val="none"/>
        </w:rPr>
      </w:r>
      <w:r>
        <w:rPr>
          <w:b/>
          <w:bCs/>
          <w:highlight w:val="none"/>
        </w:rPr>
      </w:r>
    </w:p>
    <w:p w14:paraId="7114C9DC">
      <w:pPr>
        <w:pStyle w:val="1056"/>
        <w:suppressLineNumbers w:val="false"/>
        <w:pBdr/>
        <w:spacing w:line="300" w:lineRule="auto"/>
        <w:ind w:firstLine="720"/>
        <w:rPr/>
      </w:pPr>
      <w:r>
        <w:t xml:space="preserve">To avoid single-metric bias, Chapter 3 uses four metric layers depending on task style and clinical risk profile.</w:t>
      </w:r>
      <w:r/>
    </w:p>
    <w:p w14:paraId="6060E538">
      <w:pPr>
        <w:pStyle w:val="1056"/>
        <w:suppressLineNumbers w:val="false"/>
        <w:pBdr/>
        <w:spacing w:line="300" w:lineRule="auto"/>
        <w:ind w:firstLine="0"/>
        <w:rPr/>
      </w:pPr>
      <w:r>
        <w:t xml:space="preserve">(A) Closed-set classification and constrained QA </w:t>
      </w:r>
      <w:r/>
    </w:p>
    <w:p w14:paraId="6C164702">
      <w:pPr>
        <w:pStyle w:val="1056"/>
        <w:suppressLineNumbers w:val="false"/>
        <w:pBdr/>
        <w:spacing w:line="300" w:lineRule="auto"/>
        <w:ind w:firstLine="0"/>
        <w:rPr/>
      </w:pPr>
      <w:r>
        <w:t xml:space="preserve">These metrics are used when outputs are categorical and the answer space is controlled (e.g., HyperKvasir class labels, ImageCLEF label IDs, constrained Kvasir-VQA subsets).</w:t>
      </w:r>
      <w:r/>
    </w:p>
    <w:p w14:paraId="149F91D8">
      <w:pPr>
        <w:pStyle w:val="1056"/>
        <w:numPr>
          <w:ilvl w:val="0"/>
          <w:numId w:val="63"/>
        </w:numPr>
        <w:suppressLineNumbers w:val="false"/>
        <w:pBdr/>
        <w:spacing w:line="300" w:lineRule="auto"/>
        <w:ind/>
        <w:rPr/>
      </w:pPr>
      <w:r>
        <w:rPr>
          <w:b/>
          <w:bCs/>
        </w:rPr>
        <w:t xml:space="preserve">Accuracy</w:t>
      </w:r>
      <w:r>
        <w:t xml:space="preserve">: overall fraction of correct predictions.</w:t>
      </w:r>
      <w:r/>
    </w:p>
    <w:p w14:paraId="3B6BE440">
      <w:pPr>
        <w:pStyle w:val="1056"/>
        <w:numPr>
          <w:ilvl w:val="0"/>
          <w:numId w:val="63"/>
        </w:numPr>
        <w:suppressLineNumbers w:val="false"/>
        <w:pBdr/>
        <w:spacing w:line="300" w:lineRule="auto"/>
        <w:ind/>
        <w:rPr/>
      </w:pPr>
      <w:r>
        <w:rPr>
          <w:b/>
          <w:bCs/>
        </w:rPr>
        <w:t xml:space="preserve">Macro-F1</w:t>
      </w:r>
      <w:r>
        <w:t xml:space="preserve">: unweighted mean of per-class F1, emphasizing minority-class behavior.</w:t>
      </w:r>
      <w:r/>
    </w:p>
    <w:p w14:paraId="399CADBB">
      <w:pPr>
        <w:pStyle w:val="1056"/>
        <w:numPr>
          <w:ilvl w:val="0"/>
          <w:numId w:val="63"/>
        </w:numPr>
        <w:suppressLineNumbers w:val="false"/>
        <w:pBdr/>
        <w:spacing w:line="300" w:lineRule="auto"/>
        <w:ind/>
        <w:rPr/>
      </w:pPr>
      <w:r>
        <w:rPr>
          <w:b/>
          <w:bCs/>
        </w:rPr>
        <w:t xml:space="preserve">Balanced accuracy:</w:t>
      </w:r>
      <w:r>
        <w:t xml:space="preserve"> mean of per-class recall (equally weights classes regardless of support).</w:t>
      </w:r>
      <w:r/>
    </w:p>
    <w:p w14:paraId="2CB23732">
      <w:pPr>
        <w:pStyle w:val="1056"/>
        <w:numPr>
          <w:ilvl w:val="0"/>
          <w:numId w:val="63"/>
        </w:numPr>
        <w:suppressLineNumbers w:val="false"/>
        <w:pBdr/>
        <w:spacing w:line="300" w:lineRule="auto"/>
        <w:ind/>
        <w:rPr/>
      </w:pPr>
      <w:r>
        <w:rPr>
          <w:b/>
          <w:bCs/>
        </w:rPr>
        <w:t xml:space="preserve">MCC (Matthews correlation coefficient):</w:t>
      </w:r>
      <w:r>
        <w:t xml:space="preserve"> correlation-style score robust under imbalance (reported where available in persisted outputs).</w:t>
      </w:r>
      <w:r/>
    </w:p>
    <w:p w14:paraId="0EAB65D6">
      <w:pPr>
        <w:pStyle w:val="1056"/>
        <w:numPr>
          <w:ilvl w:val="0"/>
          <w:numId w:val="63"/>
        </w:numPr>
        <w:suppressLineNumbers w:val="false"/>
        <w:pBdr/>
        <w:spacing w:line="300" w:lineRule="auto"/>
        <w:ind/>
        <w:rPr/>
      </w:pPr>
      <w:r>
        <w:rPr>
          <w:b/>
          <w:bCs/>
        </w:rPr>
        <w:t xml:space="preserve">Cohen’s kappa:</w:t>
      </w:r>
      <w:r>
        <w:t xml:space="preserve"> agreement measure corrected for chance (reported where available in persisted outputs).</w:t>
      </w:r>
      <w:r/>
    </w:p>
    <w:p w14:paraId="2B95154C">
      <w:pPr>
        <w:pStyle w:val="1056"/>
        <w:numPr>
          <w:ilvl w:val="0"/>
          <w:numId w:val="63"/>
        </w:numPr>
        <w:suppressLineNumbers w:val="false"/>
        <w:pBdr/>
        <w:spacing w:line="300" w:lineRule="auto"/>
        <w:ind/>
        <w:rPr/>
      </w:pPr>
      <w:r>
        <w:rPr>
          <w:b/>
          <w:bCs/>
        </w:rPr>
        <w:t xml:space="preserve">Imbalance diagnostics (where included in artifacts):</w:t>
      </w:r>
      <w:r>
        <w:t xml:space="preserve"> head–tail or rare–common recall gaps computed from classwise recall slices (e.g., thresholds defined in the dataset’s local report).</w:t>
      </w:r>
      <w:r/>
    </w:p>
    <w:p w14:paraId="23D72D3C">
      <w:pPr>
        <w:pStyle w:val="1056"/>
        <w:suppressLineNumbers w:val="false"/>
        <w:pBdr/>
        <w:spacing w:line="300" w:lineRule="auto"/>
        <w:ind w:firstLine="0"/>
        <w:rPr/>
      </w:pPr>
      <w:r>
        <w:t xml:space="preserve">(B) Generative overlap and format fidelity (free-text outputs)</w:t>
      </w:r>
      <w:r/>
    </w:p>
    <w:p w14:paraId="7586D480">
      <w:pPr>
        <w:pStyle w:val="1056"/>
        <w:suppressLineNumbers w:val="false"/>
        <w:pBdr/>
        <w:spacing w:line="300" w:lineRule="auto"/>
        <w:ind w:firstLine="0"/>
        <w:rPr/>
      </w:pPr>
      <w:r>
        <w:t xml:space="preserve">These are used when models generate natural language answers rather than selecting from a fixed ontology. In this chapter they are treated as diagnostic fidelity indicators, not as sufficient evidence of clinical correctness</w:t>
      </w:r>
      <w:r>
        <w:rPr>
          <w:lang w:val="en-US"/>
        </w:rPr>
        <w:t xml:space="preserve">[57], [60], [61]</w:t>
      </w:r>
      <w:r>
        <w:t xml:space="preserve">.</w:t>
      </w:r>
      <w:r/>
    </w:p>
    <w:p w14:paraId="382789A5">
      <w:pPr>
        <w:pStyle w:val="1056"/>
        <w:numPr>
          <w:ilvl w:val="0"/>
          <w:numId w:val="64"/>
        </w:numPr>
        <w:suppressLineNumbers w:val="false"/>
        <w:pBdr/>
        <w:spacing w:line="300" w:lineRule="auto"/>
        <w:ind/>
        <w:rPr/>
      </w:pPr>
      <w:r>
        <w:rPr>
          <w:b/>
          <w:bCs/>
        </w:rPr>
        <w:t xml:space="preserve">Exact match (EM)</w:t>
      </w:r>
      <w:r>
        <w:t xml:space="preserve">: strict string-level match under the normalization used by the local evaluation scripts.</w:t>
      </w:r>
      <w:r/>
    </w:p>
    <w:p w14:paraId="124F966A">
      <w:pPr>
        <w:pStyle w:val="1056"/>
        <w:suppressLineNumbers w:val="false"/>
        <w:pBdr/>
        <w:spacing w:line="300" w:lineRule="auto"/>
        <w:ind w:firstLine="0"/>
        <w:rPr/>
      </w:pPr>
      <w:r/>
      <w:r/>
    </w:p>
    <w:p w14:paraId="4E402BC8">
      <w:pPr>
        <w:pStyle w:val="1056"/>
        <w:numPr>
          <w:ilvl w:val="0"/>
          <w:numId w:val="64"/>
        </w:numPr>
        <w:suppressLineNumbers w:val="false"/>
        <w:pBdr/>
        <w:spacing w:line="300" w:lineRule="auto"/>
        <w:ind/>
        <w:rPr/>
      </w:pPr>
      <w:r>
        <w:rPr>
          <w:b/>
          <w:bCs/>
        </w:rPr>
        <w:t xml:space="preserve">Token-F1: </w:t>
      </w:r>
      <w:r>
        <w:t xml:space="preserve">token-level overlap between generated and reference answers, useful when exact match is too strict.</w:t>
      </w:r>
      <w:r/>
    </w:p>
    <w:p w14:paraId="7050F762">
      <w:pPr>
        <w:pStyle w:val="1056"/>
        <w:numPr>
          <w:ilvl w:val="0"/>
          <w:numId w:val="64"/>
        </w:numPr>
        <w:suppressLineNumbers w:val="false"/>
        <w:pBdr/>
        <w:spacing w:line="300" w:lineRule="auto"/>
        <w:ind/>
        <w:rPr/>
      </w:pPr>
      <w:r>
        <w:rPr>
          <w:b/>
          <w:bCs/>
        </w:rPr>
        <w:t xml:space="preserve">ANLS:</w:t>
      </w:r>
      <w:r>
        <w:t xml:space="preserve"> edit-distance-based similarity score used in VQA-style evaluation; implementation details follow the persisted evaluation outputs and scripts used to produce the repository artifacts.</w:t>
      </w:r>
      <w:r/>
    </w:p>
    <w:p w14:paraId="515A295B">
      <w:pPr>
        <w:pStyle w:val="1056"/>
        <w:numPr>
          <w:ilvl w:val="0"/>
          <w:numId w:val="64"/>
        </w:numPr>
        <w:suppressLineNumbers w:val="false"/>
        <w:pBdr/>
        <w:spacing w:line="300" w:lineRule="auto"/>
        <w:ind/>
        <w:rPr/>
      </w:pPr>
      <w:r>
        <w:rPr>
          <w:b/>
          <w:bCs/>
        </w:rPr>
        <w:t xml:space="preserve">BLEU / ROUGE-L / METEOR (where available):</w:t>
      </w:r>
      <w:r>
        <w:t xml:space="preserve"> standard NLG overlap metrics reported only when computed in the persisted artifacts.</w:t>
      </w:r>
      <w:r/>
    </w:p>
    <w:p w14:paraId="75CEB504">
      <w:pPr>
        <w:pStyle w:val="1056"/>
        <w:suppressLineNumbers w:val="false"/>
        <w:pBdr/>
        <w:spacing w:line="300" w:lineRule="auto"/>
        <w:ind w:firstLine="0"/>
        <w:rPr/>
      </w:pPr>
      <w:r>
        <w:t xml:space="preserve">(C) Ordinal severity and clinically meaningful slices (UC severity as flagship use case)</w:t>
      </w:r>
      <w:r/>
    </w:p>
    <w:p w14:paraId="55F8F60D">
      <w:pPr>
        <w:pStyle w:val="1056"/>
        <w:suppressLineNumbers w:val="false"/>
        <w:pBdr/>
        <w:spacing w:line="300" w:lineRule="auto"/>
        <w:ind w:firstLine="0"/>
        <w:rPr/>
      </w:pPr>
      <w:r>
        <w:t xml:space="preserve">These metrics are used when labels have an ordinal relationship (e.g., Mayo 0–3) and when the clinical decision boundary matters more than overall accuracy.</w:t>
      </w:r>
      <w:r/>
    </w:p>
    <w:p w14:paraId="4CAFF770">
      <w:pPr>
        <w:pStyle w:val="1056"/>
        <w:numPr>
          <w:ilvl w:val="0"/>
          <w:numId w:val="65"/>
        </w:numPr>
        <w:suppressLineNumbers w:val="false"/>
        <w:pBdr/>
        <w:spacing w:line="300" w:lineRule="auto"/>
        <w:ind/>
        <w:rPr/>
      </w:pPr>
      <w:r>
        <w:rPr>
          <w:b/>
          <w:bCs/>
        </w:rPr>
        <w:t xml:space="preserve">QWK (quadratic weighted kappa):</w:t>
      </w:r>
      <w:r>
        <w:t xml:space="preserve"> penalizes ordinal disagreements proportionally to distance (e.g., confusing 0↔1 is not equivalent to 0↔3).</w:t>
      </w:r>
      <w:r/>
    </w:p>
    <w:p w14:paraId="58105A8E">
      <w:pPr>
        <w:pStyle w:val="1056"/>
        <w:numPr>
          <w:ilvl w:val="0"/>
          <w:numId w:val="65"/>
        </w:numPr>
        <w:suppressLineNumbers w:val="false"/>
        <w:pBdr/>
        <w:spacing w:line="300" w:lineRule="auto"/>
        <w:ind/>
        <w:rPr/>
      </w:pPr>
      <w:r>
        <w:rPr>
          <w:b/>
          <w:bCs/>
        </w:rPr>
        <w:t xml:space="preserve">MAE / RMSE</w:t>
      </w:r>
      <w:r>
        <w:t xml:space="preserve">: absolute and squared error over ordinal labels treated as numeric.</w:t>
      </w:r>
      <w:r/>
    </w:p>
    <w:p w14:paraId="075A05E3">
      <w:pPr>
        <w:pStyle w:val="1056"/>
        <w:numPr>
          <w:ilvl w:val="0"/>
          <w:numId w:val="65"/>
        </w:numPr>
        <w:suppressLineNumbers w:val="false"/>
        <w:pBdr/>
        <w:spacing w:line="300" w:lineRule="auto"/>
        <w:ind/>
        <w:rPr/>
      </w:pPr>
      <w:r>
        <w:rPr>
          <w:b/>
          <w:bCs/>
        </w:rPr>
        <w:t xml:space="preserve">Spearman correlation (where available)</w:t>
      </w:r>
      <w:r>
        <w:t xml:space="preserve">: rank correlation for ordinal consistency.</w:t>
      </w:r>
      <w:r/>
    </w:p>
    <w:p w14:paraId="604A1C25">
      <w:pPr>
        <w:pStyle w:val="1056"/>
        <w:numPr>
          <w:ilvl w:val="0"/>
          <w:numId w:val="65"/>
        </w:numPr>
        <w:suppressLineNumbers w:val="false"/>
        <w:pBdr/>
        <w:spacing w:line="300" w:lineRule="auto"/>
        <w:ind/>
        <w:rPr/>
      </w:pPr>
      <w:r>
        <w:rPr>
          <w:b/>
          <w:bCs/>
        </w:rPr>
        <w:t xml:space="preserve">Clinical remission slice</w:t>
      </w:r>
      <w:r>
        <w:t xml:space="preserve">: a thresholded binary evaluation derived from ordinal severity labels (in LIMUC artifacts, remission is evaluated as Mayo 0–1 vs 2–3, as indicated in the corresponding table caption).</w:t>
      </w:r>
      <w:r/>
    </w:p>
    <w:p w14:paraId="78A9A136">
      <w:pPr>
        <w:pStyle w:val="1056"/>
        <w:suppressLineNumbers w:val="false"/>
        <w:pBdr/>
        <w:spacing w:line="300" w:lineRule="auto"/>
        <w:ind w:firstLine="0"/>
        <w:rPr/>
      </w:pPr>
      <w:r>
        <w:t xml:space="preserve">(D) Uncertainty and comparative significance diagnostics (paired predictions only)</w:t>
      </w:r>
      <w:r/>
    </w:p>
    <w:p w14:paraId="4AC8EC63">
      <w:pPr>
        <w:pStyle w:val="1056"/>
        <w:suppressLineNumbers w:val="false"/>
        <w:pBdr/>
        <w:spacing w:line="300" w:lineRule="auto"/>
        <w:ind w:firstLine="0"/>
        <w:rPr/>
      </w:pPr>
      <w:r>
        <w:t xml:space="preserve">To avoid overinterpreting small point-estimate differences, Chapter 3 uses statistical diagnostics only when paired predictions are persisted for the same evaluation set.</w:t>
      </w:r>
      <w:r/>
    </w:p>
    <w:p w14:paraId="5C07D454">
      <w:pPr>
        <w:pStyle w:val="1056"/>
        <w:numPr>
          <w:ilvl w:val="0"/>
          <w:numId w:val="66"/>
        </w:numPr>
        <w:suppressLineNumbers w:val="false"/>
        <w:pBdr/>
        <w:spacing w:line="300" w:lineRule="auto"/>
        <w:ind/>
        <w:rPr/>
      </w:pPr>
      <w:r>
        <w:rPr>
          <w:b/>
          <w:bCs/>
        </w:rPr>
        <w:t xml:space="preserve">Wilson confidence intervals:</w:t>
      </w:r>
      <w:r>
        <w:t xml:space="preserve"> used for proportions (e.g., accuracy) when included in the report outputs.</w:t>
      </w:r>
      <w:r/>
    </w:p>
    <w:p w14:paraId="6597B181">
      <w:pPr>
        <w:pStyle w:val="1056"/>
        <w:numPr>
          <w:ilvl w:val="0"/>
          <w:numId w:val="66"/>
        </w:numPr>
        <w:suppressLineNumbers w:val="false"/>
        <w:pBdr/>
        <w:spacing w:line="300" w:lineRule="auto"/>
        <w:ind/>
        <w:rPr/>
      </w:pPr>
      <w:r>
        <w:rPr>
          <w:b/>
          <w:bCs/>
        </w:rPr>
        <w:t xml:space="preserve">Paired McNemar test:</w:t>
      </w:r>
      <w:r>
        <w:t xml:space="preserve"> used for paired comparison of two classifiers on the same examples; reported only where persisted counts (n01, n10) and p-values exist in the artifacts.</w:t>
      </w:r>
      <w:r>
        <w:rPr>
          <w:b/>
          <w:bCs/>
          <w:highlight w:val="none"/>
        </w:rPr>
      </w:r>
      <w:r/>
    </w:p>
    <w:p w14:paraId="65E0D7B0">
      <w:pPr>
        <w:pStyle w:val="1056"/>
        <w:suppressLineNumbers w:val="false"/>
        <w:pBdr/>
        <w:spacing w:line="300" w:lineRule="auto"/>
        <w:ind/>
        <w:rPr/>
      </w:pPr>
      <w:r/>
      <w:r/>
    </w:p>
    <w:p w14:paraId="4D6A02E9">
      <w:pPr>
        <w:pStyle w:val="1056"/>
        <w:suppressLineNumbers w:val="false"/>
        <w:pBdr/>
        <w:spacing w:line="300" w:lineRule="auto"/>
        <w:ind/>
        <w:rPr/>
      </w:pPr>
      <w:r/>
      <w:r/>
    </w:p>
    <w:p w14:paraId="7CA832D8">
      <w:pPr>
        <w:pStyle w:val="1056"/>
        <w:suppressLineNumbers w:val="false"/>
        <w:pBdr/>
        <w:spacing w:line="300" w:lineRule="auto"/>
        <w:ind/>
        <w:rPr/>
      </w:pPr>
      <w:r/>
      <w:r/>
    </w:p>
    <w:tbl>
      <w:tblPr>
        <w:tblStyle w:val="1113"/>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2FC6DE91">
            <w:pPr>
              <w:pBdr/>
              <w:spacing w:after="0" w:before="0" w:line="240" w:lineRule="auto"/>
              <w:ind/>
              <w:rPr>
                <w:color w:val="000000" w:themeColor="text1"/>
              </w:rPr>
            </w:pPr>
            <w:r>
              <w:rPr>
                <w:rFonts w:ascii="Arial" w:hAnsi="Arial" w:eastAsia="Arial" w:cs="Arial"/>
                <w:b/>
                <w:color w:val="000000" w:themeColor="text1"/>
                <w:sz w:val="21"/>
              </w:rPr>
              <w:t xml:space="preserve">Scenario type</w:t>
            </w:r>
            <w:r>
              <w:rPr>
                <w:color w:val="000000" w:themeColor="text1"/>
              </w:rPr>
            </w:r>
            <w:r>
              <w:rPr>
                <w:color w:val="000000" w:themeColor="text1"/>
              </w:rPr>
            </w:r>
          </w:p>
        </w:tc>
        <w:tc>
          <w:tcPr>
            <w:tcBorders/>
            <w:tcW w:w="2880" w:type="dxa"/>
            <w:textDirection w:val="lrTb"/>
            <w:noWrap w:val="false"/>
          </w:tcPr>
          <w:p w14:paraId="7BF763B0">
            <w:pPr>
              <w:pBdr/>
              <w:spacing w:after="0" w:before="0" w:line="240" w:lineRule="auto"/>
              <w:ind/>
              <w:rPr>
                <w:color w:val="000000" w:themeColor="text1"/>
              </w:rPr>
            </w:pPr>
            <w:r>
              <w:rPr>
                <w:rFonts w:ascii="Arial" w:hAnsi="Arial" w:eastAsia="Arial" w:cs="Arial"/>
                <w:b/>
                <w:color w:val="000000" w:themeColor="text1"/>
                <w:sz w:val="21"/>
              </w:rPr>
              <w:t xml:space="preserve">Primary metrics</w:t>
            </w:r>
            <w:r>
              <w:rPr>
                <w:color w:val="000000" w:themeColor="text1"/>
              </w:rPr>
            </w:r>
            <w:r>
              <w:rPr>
                <w:color w:val="000000" w:themeColor="text1"/>
              </w:rPr>
            </w:r>
          </w:p>
        </w:tc>
        <w:tc>
          <w:tcPr>
            <w:tcBorders/>
            <w:tcW w:w="2880" w:type="dxa"/>
            <w:textDirection w:val="lrTb"/>
            <w:noWrap w:val="false"/>
          </w:tcPr>
          <w:p w14:paraId="7B4BA2AE">
            <w:pPr>
              <w:pBdr/>
              <w:spacing w:after="0" w:before="0" w:line="240" w:lineRule="auto"/>
              <w:ind/>
              <w:rPr>
                <w:color w:val="000000" w:themeColor="text1"/>
              </w:rPr>
            </w:pPr>
            <w:r>
              <w:rPr>
                <w:rFonts w:ascii="Arial" w:hAnsi="Arial" w:eastAsia="Arial" w:cs="Arial"/>
                <w:b/>
                <w:color w:val="000000" w:themeColor="text1"/>
                <w:sz w:val="21"/>
              </w:rPr>
              <w:t xml:space="preserve">Why these metrics</w:t>
            </w:r>
            <w:r>
              <w:rPr>
                <w:color w:val="000000" w:themeColor="text1"/>
              </w:rPr>
            </w:r>
            <w:r>
              <w:rPr>
                <w:color w:val="000000" w:themeColor="text1"/>
              </w:rPr>
            </w:r>
          </w:p>
        </w:tc>
      </w:tr>
      <w:tr>
        <w:trPr/>
        <w:tc>
          <w:tcPr>
            <w:tcBorders/>
            <w:tcW w:w="2880" w:type="dxa"/>
            <w:textDirection w:val="lrTb"/>
            <w:noWrap w:val="false"/>
          </w:tcPr>
          <w:p w14:paraId="13CB4A18">
            <w:pPr>
              <w:pBdr/>
              <w:spacing w:after="0" w:before="0" w:line="240" w:lineRule="auto"/>
              <w:ind/>
              <w:rPr>
                <w:color w:val="000000" w:themeColor="text1"/>
              </w:rPr>
            </w:pPr>
            <w:r>
              <w:rPr>
                <w:rFonts w:ascii="Arial" w:hAnsi="Arial" w:eastAsia="Arial" w:cs="Arial"/>
                <w:color w:val="000000" w:themeColor="text1"/>
                <w:sz w:val="21"/>
              </w:rPr>
              <w:t xml:space="preserve">Binary clinical detection</w:t>
            </w:r>
            <w:r>
              <w:rPr>
                <w:color w:val="000000" w:themeColor="text1"/>
              </w:rPr>
            </w:r>
            <w:r>
              <w:rPr>
                <w:color w:val="000000" w:themeColor="text1"/>
              </w:rPr>
            </w:r>
          </w:p>
        </w:tc>
        <w:tc>
          <w:tcPr>
            <w:tcBorders/>
            <w:tcW w:w="2880" w:type="dxa"/>
            <w:textDirection w:val="lrTb"/>
            <w:noWrap w:val="false"/>
          </w:tcPr>
          <w:p w14:paraId="4C58D56A">
            <w:pPr>
              <w:pBdr/>
              <w:spacing w:after="0" w:before="0" w:line="240" w:lineRule="auto"/>
              <w:ind/>
              <w:rPr>
                <w:color w:val="000000" w:themeColor="text1"/>
              </w:rPr>
            </w:pPr>
            <w:r>
              <w:rPr>
                <w:rFonts w:ascii="Arial" w:hAnsi="Arial" w:eastAsia="Arial" w:cs="Arial"/>
                <w:color w:val="000000" w:themeColor="text1"/>
                <w:sz w:val="21"/>
              </w:rPr>
              <w:t xml:space="preserve">recall/sensitivity, macro-F1, MCC</w:t>
            </w:r>
            <w:r>
              <w:rPr>
                <w:color w:val="000000" w:themeColor="text1"/>
              </w:rPr>
            </w:r>
            <w:r>
              <w:rPr>
                <w:color w:val="000000" w:themeColor="text1"/>
              </w:rPr>
            </w:r>
          </w:p>
        </w:tc>
        <w:tc>
          <w:tcPr>
            <w:tcBorders/>
            <w:tcW w:w="2880" w:type="dxa"/>
            <w:textDirection w:val="lrTb"/>
            <w:noWrap w:val="false"/>
          </w:tcPr>
          <w:p w14:paraId="6F600B2F">
            <w:pPr>
              <w:pBdr/>
              <w:spacing w:after="0" w:before="0" w:line="240" w:lineRule="auto"/>
              <w:ind/>
              <w:rPr>
                <w:color w:val="000000" w:themeColor="text1"/>
              </w:rPr>
            </w:pPr>
            <w:r>
              <w:rPr>
                <w:rFonts w:ascii="Arial" w:hAnsi="Arial" w:eastAsia="Arial" w:cs="Arial"/>
                <w:color w:val="000000" w:themeColor="text1"/>
                <w:sz w:val="21"/>
              </w:rPr>
              <w:t xml:space="preserve">false negatives and imbalance sensitivity</w:t>
            </w:r>
            <w:r>
              <w:rPr>
                <w:color w:val="000000" w:themeColor="text1"/>
              </w:rPr>
            </w:r>
            <w:r>
              <w:rPr>
                <w:color w:val="000000" w:themeColor="text1"/>
              </w:rPr>
            </w:r>
          </w:p>
        </w:tc>
      </w:tr>
      <w:tr>
        <w:trPr/>
        <w:tc>
          <w:tcPr>
            <w:tcBorders/>
            <w:tcW w:w="2880" w:type="dxa"/>
            <w:textDirection w:val="lrTb"/>
            <w:noWrap w:val="false"/>
          </w:tcPr>
          <w:p w14:paraId="28357F1F">
            <w:pPr>
              <w:pBdr/>
              <w:spacing w:after="0" w:before="0" w:line="240" w:lineRule="auto"/>
              <w:ind/>
              <w:rPr>
                <w:color w:val="000000" w:themeColor="text1"/>
              </w:rPr>
            </w:pPr>
            <w:r>
              <w:rPr>
                <w:rFonts w:ascii="Arial" w:hAnsi="Arial" w:eastAsia="Arial" w:cs="Arial"/>
                <w:color w:val="000000" w:themeColor="text1"/>
                <w:sz w:val="21"/>
              </w:rPr>
              <w:t xml:space="preserve">Multiclass closed-set QA</w:t>
            </w:r>
            <w:r>
              <w:rPr>
                <w:color w:val="000000" w:themeColor="text1"/>
              </w:rPr>
            </w:r>
            <w:r>
              <w:rPr>
                <w:color w:val="000000" w:themeColor="text1"/>
              </w:rPr>
            </w:r>
          </w:p>
        </w:tc>
        <w:tc>
          <w:tcPr>
            <w:tcBorders/>
            <w:tcW w:w="2880" w:type="dxa"/>
            <w:textDirection w:val="lrTb"/>
            <w:noWrap w:val="false"/>
          </w:tcPr>
          <w:p w14:paraId="7D4D3595">
            <w:pPr>
              <w:pBdr/>
              <w:spacing w:after="0" w:before="0" w:line="240" w:lineRule="auto"/>
              <w:ind/>
              <w:rPr>
                <w:color w:val="000000" w:themeColor="text1"/>
              </w:rPr>
            </w:pPr>
            <w:r>
              <w:rPr>
                <w:rFonts w:ascii="Arial" w:hAnsi="Arial" w:eastAsia="Arial" w:cs="Arial"/>
                <w:color w:val="000000" w:themeColor="text1"/>
                <w:sz w:val="21"/>
              </w:rPr>
              <w:t xml:space="preserve">accuracy + macro-F1 + balanced accuracy</w:t>
            </w:r>
            <w:r>
              <w:rPr>
                <w:color w:val="000000" w:themeColor="text1"/>
              </w:rPr>
            </w:r>
            <w:r>
              <w:rPr>
                <w:color w:val="000000" w:themeColor="text1"/>
              </w:rPr>
            </w:r>
          </w:p>
        </w:tc>
        <w:tc>
          <w:tcPr>
            <w:tcBorders/>
            <w:tcW w:w="2880" w:type="dxa"/>
            <w:textDirection w:val="lrTb"/>
            <w:noWrap w:val="false"/>
          </w:tcPr>
          <w:p w14:paraId="30763248">
            <w:pPr>
              <w:pBdr/>
              <w:spacing w:after="0" w:before="0" w:line="240" w:lineRule="auto"/>
              <w:ind/>
              <w:rPr>
                <w:color w:val="000000" w:themeColor="text1"/>
              </w:rPr>
            </w:pPr>
            <w:r>
              <w:rPr>
                <w:rFonts w:ascii="Arial" w:hAnsi="Arial" w:eastAsia="Arial" w:cs="Arial"/>
                <w:color w:val="000000" w:themeColor="text1"/>
                <w:sz w:val="21"/>
              </w:rPr>
              <w:t xml:space="preserve">aggregate plus per-class fairness</w:t>
            </w:r>
            <w:r>
              <w:rPr>
                <w:color w:val="000000" w:themeColor="text1"/>
              </w:rPr>
            </w:r>
            <w:r>
              <w:rPr>
                <w:color w:val="000000" w:themeColor="text1"/>
              </w:rPr>
            </w:r>
          </w:p>
        </w:tc>
      </w:tr>
      <w:tr>
        <w:trPr/>
        <w:tc>
          <w:tcPr>
            <w:tcBorders/>
            <w:tcW w:w="2880" w:type="dxa"/>
            <w:textDirection w:val="lrTb"/>
            <w:noWrap w:val="false"/>
          </w:tcPr>
          <w:p w14:paraId="256B368E">
            <w:pPr>
              <w:pBdr/>
              <w:spacing w:after="0" w:before="0" w:line="240" w:lineRule="auto"/>
              <w:ind/>
              <w:rPr>
                <w:color w:val="000000" w:themeColor="text1"/>
              </w:rPr>
            </w:pPr>
            <w:r>
              <w:rPr>
                <w:rFonts w:ascii="Arial" w:hAnsi="Arial" w:eastAsia="Arial" w:cs="Arial"/>
                <w:color w:val="000000" w:themeColor="text1"/>
                <w:sz w:val="21"/>
              </w:rPr>
              <w:t xml:space="preserve">Free-text QA</w:t>
            </w:r>
            <w:r>
              <w:rPr>
                <w:color w:val="000000" w:themeColor="text1"/>
              </w:rPr>
            </w:r>
            <w:r>
              <w:rPr>
                <w:color w:val="000000" w:themeColor="text1"/>
              </w:rPr>
            </w:r>
          </w:p>
        </w:tc>
        <w:tc>
          <w:tcPr>
            <w:tcBorders/>
            <w:tcW w:w="2880" w:type="dxa"/>
            <w:textDirection w:val="lrTb"/>
            <w:noWrap w:val="false"/>
          </w:tcPr>
          <w:p w14:paraId="4421C1E6">
            <w:pPr>
              <w:pBdr/>
              <w:spacing w:after="0" w:before="0" w:line="240" w:lineRule="auto"/>
              <w:ind/>
              <w:rPr>
                <w:color w:val="000000" w:themeColor="text1"/>
              </w:rPr>
            </w:pPr>
            <w:r>
              <w:rPr>
                <w:rFonts w:ascii="Arial" w:hAnsi="Arial" w:eastAsia="Arial" w:cs="Arial"/>
                <w:color w:val="000000" w:themeColor="text1"/>
                <w:sz w:val="21"/>
              </w:rPr>
              <w:t xml:space="preserve">token-F1 + ANLS + overlap metrics</w:t>
            </w:r>
            <w:r>
              <w:rPr>
                <w:color w:val="000000" w:themeColor="text1"/>
              </w:rPr>
            </w:r>
            <w:r>
              <w:rPr>
                <w:color w:val="000000" w:themeColor="text1"/>
              </w:rPr>
            </w:r>
          </w:p>
        </w:tc>
        <w:tc>
          <w:tcPr>
            <w:tcBorders/>
            <w:tcW w:w="2880" w:type="dxa"/>
            <w:textDirection w:val="lrTb"/>
            <w:noWrap w:val="false"/>
          </w:tcPr>
          <w:p w14:paraId="762F3BCD">
            <w:pPr>
              <w:pBdr/>
              <w:spacing w:after="0" w:before="0" w:line="240" w:lineRule="auto"/>
              <w:ind/>
              <w:rPr>
                <w:color w:val="000000" w:themeColor="text1"/>
              </w:rPr>
            </w:pPr>
            <w:r>
              <w:rPr>
                <w:rFonts w:ascii="Arial" w:hAnsi="Arial" w:eastAsia="Arial" w:cs="Arial"/>
                <w:color w:val="000000" w:themeColor="text1"/>
                <w:sz w:val="21"/>
              </w:rPr>
              <w:t xml:space="preserve">lexical similarity with tolerance to paraphrase</w:t>
            </w:r>
            <w:r>
              <w:rPr>
                <w:color w:val="000000" w:themeColor="text1"/>
              </w:rPr>
            </w:r>
            <w:r>
              <w:rPr>
                <w:color w:val="000000" w:themeColor="text1"/>
              </w:rPr>
            </w:r>
          </w:p>
        </w:tc>
      </w:tr>
      <w:tr>
        <w:trPr/>
        <w:tc>
          <w:tcPr>
            <w:tcBorders/>
            <w:tcW w:w="2880" w:type="dxa"/>
            <w:textDirection w:val="lrTb"/>
            <w:noWrap w:val="false"/>
          </w:tcPr>
          <w:p w14:paraId="25731BB7">
            <w:pPr>
              <w:pBdr/>
              <w:spacing w:after="0" w:before="0" w:line="240" w:lineRule="auto"/>
              <w:ind/>
              <w:rPr>
                <w:color w:val="000000" w:themeColor="text1"/>
              </w:rPr>
            </w:pPr>
            <w:r>
              <w:rPr>
                <w:rFonts w:ascii="Arial" w:hAnsi="Arial" w:eastAsia="Arial" w:cs="Arial"/>
                <w:color w:val="000000" w:themeColor="text1"/>
                <w:sz w:val="21"/>
              </w:rPr>
              <w:t xml:space="preserve">Ordinal severity</w:t>
            </w:r>
            <w:r>
              <w:rPr>
                <w:color w:val="000000" w:themeColor="text1"/>
              </w:rPr>
            </w:r>
            <w:r>
              <w:rPr>
                <w:color w:val="000000" w:themeColor="text1"/>
              </w:rPr>
            </w:r>
          </w:p>
        </w:tc>
        <w:tc>
          <w:tcPr>
            <w:tcBorders/>
            <w:tcW w:w="2880" w:type="dxa"/>
            <w:textDirection w:val="lrTb"/>
            <w:noWrap w:val="false"/>
          </w:tcPr>
          <w:p w14:paraId="2740924C">
            <w:pPr>
              <w:pBdr/>
              <w:spacing w:after="0" w:before="0" w:line="240" w:lineRule="auto"/>
              <w:ind/>
              <w:rPr>
                <w:color w:val="000000" w:themeColor="text1"/>
              </w:rPr>
            </w:pPr>
            <w:r>
              <w:rPr>
                <w:rFonts w:ascii="Arial" w:hAnsi="Arial" w:eastAsia="Arial" w:cs="Arial"/>
                <w:color w:val="000000" w:themeColor="text1"/>
                <w:sz w:val="21"/>
              </w:rPr>
              <w:t xml:space="preserve">QWK + MAE/RMSE + remission slice</w:t>
            </w:r>
            <w:r>
              <w:rPr>
                <w:color w:val="000000" w:themeColor="text1"/>
              </w:rPr>
            </w:r>
            <w:r>
              <w:rPr>
                <w:color w:val="000000" w:themeColor="text1"/>
              </w:rPr>
            </w:r>
          </w:p>
        </w:tc>
        <w:tc>
          <w:tcPr>
            <w:tcBorders/>
            <w:tcW w:w="2880" w:type="dxa"/>
            <w:textDirection w:val="lrTb"/>
            <w:noWrap w:val="false"/>
          </w:tcPr>
          <w:p w14:paraId="7450735A">
            <w:pPr>
              <w:pBdr/>
              <w:spacing w:after="0" w:before="0" w:line="240" w:lineRule="auto"/>
              <w:ind/>
              <w:rPr>
                <w:color w:val="000000" w:themeColor="text1"/>
              </w:rPr>
            </w:pPr>
            <w:r>
              <w:rPr>
                <w:rFonts w:ascii="Arial" w:hAnsi="Arial" w:eastAsia="Arial" w:cs="Arial"/>
                <w:color w:val="000000" w:themeColor="text1"/>
                <w:sz w:val="21"/>
              </w:rPr>
              <w:t xml:space="preserve">ordinal penalty and clinical thresholding</w:t>
            </w:r>
            <w:r>
              <w:rPr>
                <w:color w:val="000000" w:themeColor="text1"/>
              </w:rPr>
            </w:r>
            <w:r>
              <w:rPr>
                <w:color w:val="000000" w:themeColor="text1"/>
              </w:rPr>
            </w:r>
          </w:p>
        </w:tc>
      </w:tr>
      <w:tr>
        <w:trPr/>
        <w:tc>
          <w:tcPr>
            <w:tcBorders/>
            <w:tcW w:w="2880" w:type="dxa"/>
            <w:textDirection w:val="lrTb"/>
            <w:noWrap w:val="false"/>
          </w:tcPr>
          <w:p w14:paraId="1F2E57B8">
            <w:pPr>
              <w:pBdr/>
              <w:spacing w:after="0" w:before="0" w:line="240" w:lineRule="auto"/>
              <w:ind/>
              <w:rPr>
                <w:color w:val="000000" w:themeColor="text1"/>
              </w:rPr>
            </w:pPr>
            <w:r>
              <w:rPr>
                <w:rFonts w:ascii="Arial" w:hAnsi="Arial" w:eastAsia="Arial" w:cs="Arial"/>
                <w:color w:val="000000" w:themeColor="text1"/>
                <w:sz w:val="21"/>
              </w:rPr>
              <w:t xml:space="preserve">Model comparison claims</w:t>
            </w:r>
            <w:r>
              <w:rPr>
                <w:color w:val="000000" w:themeColor="text1"/>
              </w:rPr>
            </w:r>
            <w:r>
              <w:rPr>
                <w:color w:val="000000" w:themeColor="text1"/>
              </w:rPr>
            </w:r>
          </w:p>
        </w:tc>
        <w:tc>
          <w:tcPr>
            <w:tcBorders/>
            <w:tcW w:w="2880" w:type="dxa"/>
            <w:textDirection w:val="lrTb"/>
            <w:noWrap w:val="false"/>
          </w:tcPr>
          <w:p w14:paraId="6987709D">
            <w:pPr>
              <w:pBdr/>
              <w:spacing w:after="0" w:before="0" w:line="240" w:lineRule="auto"/>
              <w:ind/>
              <w:rPr>
                <w:color w:val="000000" w:themeColor="text1"/>
              </w:rPr>
            </w:pPr>
            <w:r>
              <w:rPr>
                <w:rFonts w:ascii="Arial" w:hAnsi="Arial" w:eastAsia="Arial" w:cs="Arial"/>
                <w:color w:val="000000" w:themeColor="text1"/>
                <w:sz w:val="21"/>
              </w:rPr>
              <w:t xml:space="preserve">McNemar + CIs</w:t>
            </w:r>
            <w:r>
              <w:rPr>
                <w:color w:val="000000" w:themeColor="text1"/>
              </w:rPr>
            </w:r>
            <w:r>
              <w:rPr>
                <w:color w:val="000000" w:themeColor="text1"/>
              </w:rPr>
            </w:r>
          </w:p>
        </w:tc>
        <w:tc>
          <w:tcPr>
            <w:tcBorders/>
            <w:tcW w:w="2880" w:type="dxa"/>
            <w:textDirection w:val="lrTb"/>
            <w:noWrap w:val="false"/>
          </w:tcPr>
          <w:p w14:paraId="55254CC0">
            <w:pPr>
              <w:pBdr/>
              <w:spacing w:after="0" w:before="0" w:line="240" w:lineRule="auto"/>
              <w:ind/>
              <w:rPr>
                <w:color w:val="000000" w:themeColor="text1"/>
              </w:rPr>
            </w:pPr>
            <w:r>
              <w:rPr>
                <w:rFonts w:ascii="Arial" w:hAnsi="Arial" w:eastAsia="Arial" w:cs="Arial"/>
                <w:color w:val="000000" w:themeColor="text1"/>
                <w:sz w:val="21"/>
              </w:rPr>
              <w:t xml:space="preserve">avoids overinterpreting point estimates</w:t>
            </w:r>
            <w:r>
              <w:rPr>
                <w:color w:val="000000" w:themeColor="text1"/>
              </w:rPr>
            </w:r>
            <w:r>
              <w:rPr>
                <w:color w:val="000000" w:themeColor="text1"/>
              </w:rPr>
            </w:r>
          </w:p>
        </w:tc>
      </w:tr>
    </w:tbl>
    <w:p w14:paraId="04712959">
      <w:pPr>
        <w:pStyle w:val="1056"/>
        <w:suppressLineNumbers w:val="false"/>
        <w:pBdr/>
        <w:spacing w:line="300" w:lineRule="auto"/>
        <w:ind w:left="1440"/>
        <w:rPr>
          <w:bCs/>
          <w:i/>
          <w:highlight w:val="none"/>
          <w:lang w:val="en-US"/>
        </w:rPr>
      </w:pPr>
      <w:r>
        <w:rPr>
          <w:i/>
          <w:iCs/>
          <w:lang w:val="en-US"/>
        </w:rPr>
        <w:t xml:space="preserve">Table 3.5 </w:t>
      </w:r>
      <w:r>
        <w:rPr>
          <w:i/>
          <w:iCs/>
          <w:lang w:val="en-US"/>
        </w:rPr>
        <w:t xml:space="preserve">Metric Selection by Scenario Type</w:t>
      </w:r>
      <w:r>
        <w:rPr>
          <w:bCs/>
          <w:i/>
          <w:highlight w:val="none"/>
          <w:lang w:val="en-US"/>
        </w:rPr>
      </w:r>
      <w:r>
        <w:rPr>
          <w:bCs/>
          <w:i/>
          <w:highlight w:val="none"/>
          <w:lang w:val="en-US"/>
        </w:rPr>
      </w:r>
    </w:p>
    <w:p w14:paraId="0C1D110B">
      <w:pPr>
        <w:pStyle w:val="1056"/>
        <w:suppressLineNumbers w:val="false"/>
        <w:pBdr/>
        <w:spacing w:line="300" w:lineRule="auto"/>
        <w:ind w:firstLine="0"/>
        <w:rPr>
          <w:color w:val="000000" w:themeColor="text1"/>
        </w:rPr>
      </w:pPr>
      <w:r>
        <w:rPr>
          <w:color w:val="000000" w:themeColor="text1"/>
        </w:rPr>
      </w:r>
      <w:r>
        <w:rPr>
          <w:color w:val="000000" w:themeColor="text1"/>
        </w:rPr>
        <w:t xml:space="preserve">Throughout Chapter 3, N denotes the number of evaluated items recorded in the local report (images or QA rows). Metrics are interpreted primarily within-dataset because answer spaces and task definitions differ across datasets.</w:t>
      </w:r>
      <w:r>
        <w:rPr>
          <w:color w:val="000000" w:themeColor="text1"/>
        </w:rPr>
      </w:r>
      <w:r>
        <w:rPr>
          <w:color w:val="000000" w:themeColor="text1"/>
        </w:rPr>
      </w:r>
    </w:p>
    <w:p w14:paraId="102E3992">
      <w:pPr>
        <w:pStyle w:val="1056"/>
        <w:suppressLineNumbers w:val="false"/>
        <w:pBdr/>
        <w:spacing w:line="300" w:lineRule="auto"/>
        <w:ind w:firstLine="0"/>
        <w:rPr>
          <w:b/>
          <w:bCs/>
        </w:rPr>
      </w:pPr>
      <w:r>
        <w:rPr>
          <w:b/>
          <w:bCs/>
          <w:color w:val="000000" w:themeColor="text1"/>
        </w:rPr>
        <w:t xml:space="preserve">3.3.2 Important Evaluation Caveats</w:t>
      </w:r>
      <w:r>
        <w:rPr>
          <w:b/>
          <w:bCs/>
        </w:rPr>
      </w:r>
      <w:r>
        <w:rPr>
          <w:b/>
          <w:bCs/>
        </w:rPr>
      </w:r>
    </w:p>
    <w:p w14:paraId="436E2CA4">
      <w:pPr>
        <w:pStyle w:val="1056"/>
        <w:suppressLineNumbers w:val="false"/>
        <w:pBdr/>
        <w:spacing w:after="240" w:before="120" w:line="240" w:lineRule="auto"/>
        <w:ind w:firstLine="0"/>
        <w:rPr/>
      </w:pPr>
      <w:r>
        <w:rPr>
          <w:color w:val="000000" w:themeColor="text1"/>
        </w:rPr>
        <w:t xml:space="preserve">This chapter’s evaluation design is intentionally conservative. The following caveats define how results should be interpreted and what is not claimed.</w:t>
      </w:r>
      <w:r>
        <w:rPr>
          <w:color w:val="000000" w:themeColor="text1"/>
        </w:rPr>
      </w:r>
      <w:r/>
    </w:p>
    <w:p w14:paraId="4195D9A5">
      <w:pPr>
        <w:pStyle w:val="1056"/>
        <w:numPr>
          <w:ilvl w:val="0"/>
          <w:numId w:val="67"/>
        </w:numPr>
        <w:suppressLineNumbers w:val="false"/>
        <w:pBdr/>
        <w:spacing w:after="240" w:before="120" w:line="240" w:lineRule="auto"/>
        <w:ind/>
        <w:rPr>
          <w:color w:val="000000" w:themeColor="text1"/>
        </w:rPr>
      </w:pPr>
      <w:r>
        <w:rPr>
          <w:b/>
          <w:bCs/>
          <w:color w:val="000000" w:themeColor="text1"/>
        </w:rPr>
        <w:t xml:space="preserve">Cross-dataset scores are not directly comparable.</w:t>
      </w:r>
      <w:r>
        <w:rPr>
          <w:color w:val="000000" w:themeColor="text1"/>
          <w:lang w:val="en-US"/>
        </w:rPr>
        <w:t xml:space="preserve"> </w:t>
      </w:r>
      <w:r>
        <w:rPr>
          <w:color w:val="000000" w:themeColor="text1"/>
        </w:rPr>
        <w:t xml:space="preserve">Different datasets implement different answer spaces, label ontologies, and question-family distributions. Therefore, Chapter 3 uses cross-dataset comparison mainly to identify consistent patterns of failure modes, not to rank models globally.</w:t>
      </w:r>
      <w:r>
        <w:rPr>
          <w:color w:val="000000" w:themeColor="text1"/>
        </w:rPr>
      </w:r>
      <w:r>
        <w:rPr>
          <w:color w:val="000000" w:themeColor="text1"/>
        </w:rPr>
      </w:r>
    </w:p>
    <w:p w14:paraId="55FDDDB1">
      <w:pPr>
        <w:pStyle w:val="1056"/>
        <w:numPr>
          <w:ilvl w:val="0"/>
          <w:numId w:val="67"/>
        </w:numPr>
        <w:suppressLineNumbers w:val="false"/>
        <w:pBdr/>
        <w:spacing w:after="240" w:before="120" w:line="240" w:lineRule="auto"/>
        <w:ind/>
        <w:rPr/>
      </w:pPr>
      <w:r>
        <w:rPr>
          <w:b/>
          <w:bCs/>
          <w:color w:val="000000" w:themeColor="text1"/>
        </w:rPr>
        <w:t xml:space="preserve">Generative overlap is not clinical correctness.</w:t>
      </w:r>
      <w:r>
        <w:rPr>
          <w:color w:val="000000" w:themeColor="text1"/>
          <w:lang w:val="en-US"/>
        </w:rPr>
        <w:t xml:space="preserve"> </w:t>
      </w:r>
      <w:r>
        <w:rPr>
          <w:color w:val="000000" w:themeColor="text1"/>
        </w:rPr>
        <w:t xml:space="preserve">M</w:t>
      </w:r>
      <w:r>
        <w:rPr>
          <w:color w:val="000000" w:themeColor="text1"/>
        </w:rPr>
        <w:t xml:space="preserve">etrics such as token-F1, ANLS, BLEU, ROUGE-L, and METEOR quantify lexical similarity and answer-format adherence. They do not guarantee that generated text is clinically faithful or visually grounded</w:t>
      </w:r>
      <w:r>
        <w:rPr>
          <w:color w:val="000000" w:themeColor="text1"/>
          <w:lang w:val="en-US"/>
        </w:rPr>
        <w:t xml:space="preserve">[57], [60], [61]</w:t>
      </w:r>
      <w:r>
        <w:rPr>
          <w:color w:val="000000" w:themeColor="text1"/>
        </w:rPr>
        <w:t xml:space="preserve">. In this chapter, generative overlap metrics are treated</w:t>
      </w:r>
      <w:r>
        <w:rPr>
          <w:color w:val="000000" w:themeColor="text1"/>
        </w:rPr>
        <w:t xml:space="preserve"> as diagnostic indicators and interpreted alongside failure signals (unknown/OOV behavior, mapping fragility, and question-family brittleness).</w:t>
      </w:r>
      <w:r>
        <w:rPr>
          <w:color w:val="000000" w:themeColor="text1"/>
        </w:rPr>
      </w:r>
      <w:r/>
    </w:p>
    <w:p w14:paraId="644B4262">
      <w:pPr>
        <w:pStyle w:val="1056"/>
        <w:numPr>
          <w:ilvl w:val="0"/>
          <w:numId w:val="67"/>
        </w:numPr>
        <w:suppressLineNumbers w:val="false"/>
        <w:pBdr/>
        <w:spacing w:after="240" w:before="120" w:line="240" w:lineRule="auto"/>
        <w:ind/>
        <w:rPr/>
      </w:pPr>
      <w:r>
        <w:rPr>
          <w:b/>
          <w:bCs/>
          <w:color w:val="000000" w:themeColor="text1"/>
        </w:rPr>
        <w:t xml:space="preserve">Raw vs. projected scoring is explicitly separated (diagnostic only).</w:t>
      </w:r>
      <w:r>
        <w:rPr>
          <w:color w:val="000000" w:themeColor="text1"/>
          <w:lang w:val="en-US"/>
        </w:rPr>
        <w:t xml:space="preserve"> </w:t>
      </w:r>
      <w:r>
        <w:rPr>
          <w:color w:val="000000" w:themeColor="text1"/>
        </w:rPr>
        <w:t xml:space="preserve">Some persisted artifacts include both “raw” scoring of generated outputs and a secondary “projected” diagnostic that maps free text into a constrained answer space before scoring. This chapter follows the artifact semantics:</w:t>
      </w:r>
      <w:r>
        <w:rPr>
          <w:color w:val="000000" w:themeColor="text1"/>
        </w:rPr>
      </w:r>
      <w:r/>
    </w:p>
    <w:p w14:paraId="58729E75">
      <w:pPr>
        <w:pStyle w:val="1056"/>
        <w:numPr>
          <w:ilvl w:val="1"/>
          <w:numId w:val="68"/>
        </w:numPr>
        <w:suppressLineNumbers w:val="false"/>
        <w:pBdr/>
        <w:spacing w:after="240" w:before="120" w:line="240" w:lineRule="auto"/>
        <w:ind/>
        <w:rPr/>
      </w:pPr>
      <w:r>
        <w:rPr>
          <w:b/>
          <w:bCs/>
          <w:color w:val="000000" w:themeColor="text1"/>
        </w:rPr>
        <w:t xml:space="preserve">Raw scoring</w:t>
      </w:r>
      <w:r>
        <w:rPr>
          <w:color w:val="000000" w:themeColor="text1"/>
        </w:rPr>
        <w:t xml:space="preserve"> reflects direct evaluation against canonical targets under the local evaluation convention; for many label-ID tasks, raw free-text outputs can collapse to near-zero label accuracy because the output is not in the canonical label format.</w:t>
      </w:r>
      <w:r>
        <w:rPr>
          <w:color w:val="000000" w:themeColor="text1"/>
        </w:rPr>
      </w:r>
      <w:r/>
    </w:p>
    <w:p w14:paraId="48812AA8">
      <w:pPr>
        <w:pStyle w:val="1056"/>
        <w:numPr>
          <w:ilvl w:val="1"/>
          <w:numId w:val="68"/>
        </w:numPr>
        <w:suppressLineNumbers w:val="false"/>
        <w:pBdr/>
        <w:spacing w:after="240" w:before="120" w:line="240" w:lineRule="auto"/>
        <w:ind/>
        <w:rPr/>
      </w:pPr>
      <w:r>
        <w:rPr>
          <w:b/>
          <w:bCs/>
          <w:color w:val="000000" w:themeColor="text1"/>
        </w:rPr>
        <w:t xml:space="preserve">Projected scoring</w:t>
      </w:r>
      <w:r>
        <w:rPr>
          <w:color w:val="000000" w:themeColor="text1"/>
        </w:rPr>
        <w:t xml:space="preserve"> deterministically maps generated text to the allowed answer set (e.g., canonical labels for a question family) using the repository’s evaluation logic, then scores the mapped label.</w:t>
      </w:r>
      <w:r>
        <w:rPr>
          <w:color w:val="000000" w:themeColor="text1"/>
        </w:rPr>
      </w:r>
      <w:r/>
    </w:p>
    <w:p w14:paraId="7ACAF832">
      <w:pPr>
        <w:pStyle w:val="1056"/>
        <w:numPr>
          <w:ilvl w:val="1"/>
          <w:numId w:val="68"/>
        </w:numPr>
        <w:suppressLineNumbers w:val="false"/>
        <w:pBdr/>
        <w:spacing w:after="240" w:before="120" w:line="240" w:lineRule="auto"/>
        <w:ind/>
        <w:rPr/>
      </w:pPr>
      <w:r>
        <w:rPr>
          <w:b/>
          <w:bCs/>
          <w:color w:val="000000" w:themeColor="text1"/>
        </w:rPr>
        <w:t xml:space="preserve">Unknown/OOV handling:</w:t>
      </w:r>
      <w:r>
        <w:rPr>
          <w:color w:val="000000" w:themeColor="text1"/>
        </w:rPr>
        <w:t xml:space="preserve"> if an output cannot be mapped to the allowed answer set, it is treated as unknown/OOV for that diagnostic and contributes to unknown/OOV rates where reported.</w:t>
      </w:r>
      <w:r>
        <w:rPr>
          <w:color w:val="000000" w:themeColor="text1"/>
          <w:highlight w:val="none"/>
        </w:rPr>
      </w:r>
      <w:r/>
    </w:p>
    <w:p w14:paraId="13459405">
      <w:pPr>
        <w:pStyle w:val="1056"/>
        <w:suppressLineNumbers w:val="false"/>
        <w:pBdr/>
        <w:spacing w:after="240" w:before="120" w:line="240" w:lineRule="auto"/>
        <w:ind w:firstLine="0" w:left="0"/>
        <w:rPr/>
      </w:pPr>
      <w:r>
        <w:rPr>
          <w:b/>
          <w:bCs/>
          <w:color w:val="000000" w:themeColor="text1"/>
        </w:rPr>
        <w:t xml:space="preserve">Interpretation rule:</w:t>
      </w:r>
      <w:r>
        <w:rPr>
          <w:color w:val="000000" w:themeColor="text1"/>
        </w:rPr>
        <w:t xml:space="preserve"> projected scores are used to quantify format and ontology alignment under deterministic mapping; they are not treated as a replacement for primary reliability evidence.</w:t>
      </w:r>
      <w:r>
        <w:rPr>
          <w:color w:val="000000" w:themeColor="text1"/>
        </w:rPr>
      </w:r>
      <w:r/>
    </w:p>
    <w:p w14:paraId="06303A9E">
      <w:pPr>
        <w:pStyle w:val="1056"/>
        <w:numPr>
          <w:ilvl w:val="0"/>
          <w:numId w:val="69"/>
        </w:numPr>
        <w:suppressLineNumbers w:val="false"/>
        <w:pBdr/>
        <w:spacing w:after="240" w:before="120" w:line="240" w:lineRule="auto"/>
        <w:ind/>
        <w:rPr/>
      </w:pPr>
      <w:r>
        <w:rPr>
          <w:b/>
          <w:bCs/>
          <w:color w:val="000000" w:themeColor="text1"/>
        </w:rPr>
        <w:t xml:space="preserve">Scenario results are not claimed without persisted scenario predictions.</w:t>
      </w:r>
      <w:r>
        <w:rPr>
          <w:b/>
          <w:bCs/>
          <w:color w:val="000000" w:themeColor="text1"/>
          <w:lang w:val="en-US"/>
        </w:rPr>
        <w:t xml:space="preserve"> </w:t>
      </w:r>
      <w:r>
        <w:rPr>
          <w:color w:val="000000" w:themeColor="text1"/>
        </w:rPr>
        <w:t xml:space="preserve">Scenario YAML definitions are included as protocol context, but scenario outcome metrics are reported only if scored predictions are persisted. If only configuration is present, Chapter 3 reports configuration only and defers scenario outcomes.</w:t>
      </w:r>
      <w:r>
        <w:rPr>
          <w:color w:val="000000" w:themeColor="text1"/>
        </w:rPr>
      </w:r>
      <w:r/>
    </w:p>
    <w:p w14:paraId="169FEEC9">
      <w:pPr>
        <w:pStyle w:val="1056"/>
        <w:numPr>
          <w:ilvl w:val="0"/>
          <w:numId w:val="69"/>
        </w:numPr>
        <w:suppressLineNumbers w:val="false"/>
        <w:pBdr/>
        <w:spacing w:after="240" w:before="120" w:line="240" w:lineRule="auto"/>
        <w:ind/>
        <w:rPr/>
      </w:pPr>
      <w:r>
        <w:rPr>
          <w:b/>
          <w:bCs/>
          <w:color w:val="000000" w:themeColor="text1"/>
        </w:rPr>
        <w:t xml:space="preserve">Statistical tests are reported only where paired predictions exist.</w:t>
      </w:r>
      <w:r>
        <w:rPr>
          <w:color w:val="000000" w:themeColor="text1"/>
          <w:lang w:val="en-US"/>
        </w:rPr>
        <w:t xml:space="preserve"> </w:t>
      </w:r>
      <w:r>
        <w:rPr>
          <w:color w:val="000000" w:themeColor="text1"/>
        </w:rPr>
        <w:t xml:space="preserve">M</w:t>
      </w:r>
      <w:r>
        <w:rPr>
          <w:color w:val="000000" w:themeColor="text1"/>
        </w:rPr>
        <w:t xml:space="preserve">cNemar tests and confidence intervals require paired predictions for the same examples. Where the persisted artifacts include these counts and p-values, Chapter 3 reports them. Where they are not present, Chapter 3 reports point estimates without significa</w:t>
      </w:r>
      <w:r>
        <w:rPr>
          <w:color w:val="000000" w:themeColor="text1"/>
        </w:rPr>
        <w:t xml:space="preserve">nce claims.</w:t>
      </w:r>
      <w:r>
        <w:rPr>
          <w:color w:val="000000" w:themeColor="text1"/>
        </w:rPr>
      </w:r>
      <w:r/>
    </w:p>
    <w:p w14:paraId="113EB618">
      <w:pPr>
        <w:pStyle w:val="1056"/>
        <w:numPr>
          <w:ilvl w:val="0"/>
          <w:numId w:val="69"/>
        </w:numPr>
        <w:suppressLineNumbers w:val="false"/>
        <w:pBdr/>
        <w:spacing w:after="240" w:before="120" w:line="240" w:lineRule="auto"/>
        <w:ind/>
        <w:rPr/>
      </w:pPr>
      <w:r>
        <w:rPr>
          <w:b/>
          <w:bCs/>
          <w:color w:val="000000" w:themeColor="text1"/>
        </w:rPr>
        <w:t xml:space="preserve">Missing metrics are treated as “not computed,” not “zero.”</w:t>
      </w:r>
      <w:r>
        <w:rPr>
          <w:color w:val="000000" w:themeColor="text1"/>
          <w:lang w:val="en-US"/>
        </w:rPr>
        <w:t xml:space="preserve"> </w:t>
      </w:r>
      <w:r>
        <w:rPr>
          <w:color w:val="000000" w:themeColor="text1"/>
        </w:rPr>
        <w:t xml:space="preserve">If a metric is not applicable or not computed in the persisted evaluation outputs (e.g., BLEU/ROUGE absent for some runs), the chapter reports it as unavailable and does not infer values.</w:t>
      </w:r>
      <w:r>
        <w:rPr>
          <w:color w:val="000000" w:themeColor="text1"/>
        </w:rPr>
      </w:r>
      <w:r/>
    </w:p>
    <w:p w14:paraId="6F90A22D">
      <w:pPr>
        <w:pStyle w:val="1056"/>
        <w:suppressLineNumbers w:val="false"/>
        <w:pBdr/>
        <w:spacing w:after="240" w:before="120" w:line="240" w:lineRule="auto"/>
        <w:ind w:firstLine="0" w:left="0"/>
        <w:rPr/>
      </w:pPr>
      <w:r>
        <w:rPr>
          <w:color w:val="000000" w:themeColor="text1"/>
          <w:highlight w:val="none"/>
        </w:rPr>
      </w:r>
      <w:r>
        <mc:AlternateContent>
          <mc:Choice Requires="wpg">
            <w:drawing>
              <wp:inline xmlns:wp="http://schemas.openxmlformats.org/drawingml/2006/wordprocessingDrawing" distT="0" distB="0" distL="0" distR="0">
                <wp:extent cx="5486400" cy="30624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5403" name=""/>
                        <pic:cNvPicPr>
                          <a:picLocks noChangeAspect="1"/>
                        </pic:cNvPicPr>
                        <pic:nvPr/>
                      </pic:nvPicPr>
                      <pic:blipFill rotWithShape="1">
                        <a:blip r:embed="rId19"/>
                        <a:stretch/>
                      </pic:blipFill>
                      <pic:spPr bwMode="auto">
                        <a:xfrm>
                          <a:off x="0" y="0"/>
                          <a:ext cx="5486399" cy="3062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241.14pt;mso-wrap-distance-left:0.00pt;mso-wrap-distance-top:0.00pt;mso-wrap-distance-right:0.00pt;mso-wrap-distance-bottom:0.00pt;z-index:1;" stroked="false">
                <v:imagedata r:id="rId19" o:title=""/>
                <o:lock v:ext="edit" rotation="t"/>
              </v:shape>
            </w:pict>
          </mc:Fallback>
        </mc:AlternateContent>
      </w:r>
      <w:r>
        <w:rPr>
          <w:color w:val="000000" w:themeColor="text1"/>
          <w:highlight w:val="none"/>
        </w:rPr>
      </w:r>
      <w:r/>
    </w:p>
    <w:p w14:paraId="46607DC0">
      <w:pPr>
        <w:pStyle w:val="1056"/>
        <w:suppressLineNumbers w:val="false"/>
        <w:pBdr/>
        <w:spacing w:after="240" w:before="120" w:line="240" w:lineRule="auto"/>
        <w:ind w:firstLine="0"/>
        <w:rPr>
          <w:bCs/>
          <w:i/>
          <w:color w:val="000000" w:themeColor="text1"/>
        </w:rPr>
      </w:pPr>
      <w:r>
        <w:rPr>
          <w:i/>
          <w:iCs/>
          <w:color w:val="000000" w:themeColor="text1"/>
          <w:highlight w:val="none"/>
        </w:rPr>
      </w:r>
      <w:r>
        <w:rPr>
          <w:i/>
          <w:iCs/>
          <w:color w:val="000000" w:themeColor="text1"/>
        </w:rPr>
        <w:t xml:space="preserve">Figure 3.</w:t>
      </w:r>
      <w:r>
        <w:rPr>
          <w:i/>
          <w:iCs/>
          <w:color w:val="000000" w:themeColor="text1"/>
          <w:lang w:val="en-US"/>
        </w:rPr>
        <w:t xml:space="preserve">6</w:t>
      </w:r>
      <w:r>
        <w:rPr>
          <w:i/>
          <w:iCs/>
          <w:color w:val="000000" w:themeColor="text1"/>
        </w:rPr>
        <w:t xml:space="preserve"> — Label projection / answer normalization pipeline (raw vs projected + u</w:t>
      </w:r>
      <w:r>
        <w:rPr>
          <w:i/>
          <w:iCs/>
          <w:color w:val="000000" w:themeColor="text1"/>
        </w:rPr>
        <w:t xml:space="preserve">nknown/OOV)</w:t>
      </w:r>
      <w:r>
        <w:rPr>
          <w:bCs/>
          <w:i/>
          <w:color w:val="000000" w:themeColor="text1"/>
        </w:rPr>
      </w:r>
      <w:r>
        <w:rPr>
          <w:bCs/>
          <w:i/>
          <w:color w:val="000000" w:themeColor="text1"/>
        </w:rPr>
      </w:r>
    </w:p>
    <w:p w14:paraId="79928046">
      <w:pPr>
        <w:pStyle w:val="1056"/>
        <w:suppressLineNumbers w:val="false"/>
        <w:pBdr/>
        <w:spacing w:line="300" w:lineRule="auto"/>
        <w:ind w:firstLine="0"/>
        <w:rPr>
          <w:b/>
          <w:bCs/>
        </w:rPr>
      </w:pPr>
      <w:r>
        <w:rPr>
          <w:b/>
          <w:bCs/>
          <w:color w:val="000000" w:themeColor="text1"/>
        </w:rPr>
        <w:t xml:space="preserve">3.3.3 Metric Design Choices Grounded in Prior Work</w:t>
      </w:r>
      <w:r>
        <w:rPr>
          <w:b/>
          <w:bCs/>
        </w:rPr>
      </w:r>
      <w:r>
        <w:rPr>
          <w:b/>
          <w:bCs/>
        </w:rPr>
      </w:r>
    </w:p>
    <w:p w14:paraId="46D80B63">
      <w:pPr>
        <w:pStyle w:val="1056"/>
        <w:suppressLineNumbers w:val="false"/>
        <w:pBdr/>
        <w:spacing w:line="300" w:lineRule="auto"/>
        <w:ind w:firstLine="0"/>
        <w:rPr/>
      </w:pPr>
      <w:r>
        <w:rPr>
          <w:color w:val="000000" w:themeColor="text1"/>
        </w:rPr>
        <w:t xml:space="preserve">T</w:t>
      </w:r>
      <w:r>
        <w:rPr>
          <w:color w:val="000000" w:themeColor="text1"/>
        </w:rPr>
        <w:t xml:space="preserve">he metric stack in this chapter follows a common principle in clinical AI evaluation: performance should be characterized using both aggregate discrimination and robustness under imbalance and clinically relevant thresholds, rather than relying on a single</w:t>
      </w:r>
      <w:r>
        <w:rPr>
          <w:color w:val="000000" w:themeColor="text1"/>
        </w:rPr>
        <w:t xml:space="preserve"> headline score</w:t>
      </w:r>
      <w:r>
        <w:rPr>
          <w:color w:val="000000" w:themeColor="text1"/>
          <w:lang w:val="en-US"/>
        </w:rPr>
        <w:t xml:space="preserve">[56]</w:t>
      </w:r>
      <w:r>
        <w:rPr>
          <w:color w:val="000000" w:themeColor="text1"/>
        </w:rPr>
        <w:t xml:space="preserve">.</w:t>
      </w:r>
      <w:r>
        <w:rPr>
          <w:color w:val="000000" w:themeColor="text1"/>
        </w:rPr>
      </w:r>
      <w:r/>
    </w:p>
    <w:p w14:paraId="30E089F4">
      <w:pPr>
        <w:pStyle w:val="1056"/>
        <w:suppressLineNumbers w:val="false"/>
        <w:pBdr/>
        <w:spacing w:line="300" w:lineRule="auto"/>
        <w:ind w:firstLine="0"/>
        <w:rPr/>
      </w:pPr>
      <w:r>
        <w:rPr>
          <w:color w:val="000000" w:themeColor="text1"/>
        </w:rPr>
        <w:t xml:space="preserve">For GI endoscopy tasks, this implies:</w:t>
      </w:r>
      <w:r>
        <w:rPr>
          <w:color w:val="000000" w:themeColor="text1"/>
        </w:rPr>
      </w:r>
      <w:r/>
    </w:p>
    <w:p w14:paraId="04579265">
      <w:pPr>
        <w:pStyle w:val="1056"/>
        <w:numPr>
          <w:ilvl w:val="0"/>
          <w:numId w:val="70"/>
        </w:numPr>
        <w:suppressLineNumbers w:val="false"/>
        <w:pBdr/>
        <w:spacing w:line="300" w:lineRule="auto"/>
        <w:ind/>
        <w:rPr/>
      </w:pPr>
      <w:r>
        <w:rPr>
          <w:b/>
          <w:bCs/>
          <w:color w:val="000000" w:themeColor="text1"/>
        </w:rPr>
        <w:t xml:space="preserve">macro-F1 and balanced accuracy</w:t>
      </w:r>
      <w:r>
        <w:rPr>
          <w:color w:val="000000" w:themeColor="text1"/>
        </w:rPr>
        <w:t xml:space="preserve"> are emphasized to prevent majority-class dominance from masking clinically relevant failures;</w:t>
      </w:r>
      <w:r>
        <w:rPr>
          <w:color w:val="000000" w:themeColor="text1"/>
        </w:rPr>
      </w:r>
      <w:r/>
    </w:p>
    <w:p w14:paraId="472CC94B">
      <w:pPr>
        <w:pStyle w:val="1056"/>
        <w:numPr>
          <w:ilvl w:val="0"/>
          <w:numId w:val="70"/>
        </w:numPr>
        <w:suppressLineNumbers w:val="false"/>
        <w:pBdr/>
        <w:spacing w:line="300" w:lineRule="auto"/>
        <w:ind/>
        <w:rPr/>
      </w:pPr>
      <w:r>
        <w:rPr>
          <w:b/>
          <w:bCs/>
          <w:color w:val="000000" w:themeColor="text1"/>
        </w:rPr>
        <w:t xml:space="preserve">MCC and kappa </w:t>
      </w:r>
      <w:r>
        <w:rPr>
          <w:color w:val="000000" w:themeColor="text1"/>
        </w:rPr>
        <w:t xml:space="preserve">are reported where available because they capture agreement behavior under imbalance;</w:t>
      </w:r>
      <w:r>
        <w:rPr>
          <w:color w:val="000000" w:themeColor="text1"/>
        </w:rPr>
      </w:r>
      <w:r/>
    </w:p>
    <w:p w14:paraId="22D29ED3">
      <w:pPr>
        <w:pStyle w:val="1056"/>
        <w:numPr>
          <w:ilvl w:val="0"/>
          <w:numId w:val="70"/>
        </w:numPr>
        <w:suppressLineNumbers w:val="false"/>
        <w:pBdr/>
        <w:spacing w:line="300" w:lineRule="auto"/>
        <w:ind/>
        <w:rPr/>
      </w:pPr>
      <w:r>
        <w:rPr>
          <w:b/>
          <w:bCs/>
          <w:color w:val="000000" w:themeColor="text1"/>
        </w:rPr>
        <w:t xml:space="preserve">ordinal metrics and clinical slices </w:t>
      </w:r>
      <w:r>
        <w:rPr>
          <w:color w:val="000000" w:themeColor="text1"/>
        </w:rPr>
        <w:t xml:space="preserve">(QWK, MAE/RMSE, and remission-style thresholds) are required for UC severity tasks where the distance between grades and the decision boundary are clinically meaningful.</w:t>
      </w:r>
      <w:r/>
    </w:p>
    <w:p w14:paraId="2DCE7506">
      <w:pPr>
        <w:pStyle w:val="1056"/>
        <w:suppressLineNumbers w:val="false"/>
        <w:pBdr/>
        <w:spacing w:line="300" w:lineRule="auto"/>
        <w:ind w:firstLine="0"/>
        <w:rPr/>
      </w:pPr>
      <w:r>
        <w:rPr>
          <w:color w:val="000000" w:themeColor="text1"/>
        </w:rPr>
      </w:r>
      <w:r/>
    </w:p>
    <w:p w14:paraId="23ADB059">
      <w:pPr>
        <w:pStyle w:val="1056"/>
        <w:suppressLineNumbers w:val="false"/>
        <w:pBdr/>
        <w:spacing w:line="300" w:lineRule="auto"/>
        <w:ind w:firstLine="0"/>
        <w:rPr/>
      </w:pPr>
      <w:r>
        <w:rPr>
          <w:color w:val="000000" w:themeColor="text1"/>
        </w:rPr>
        <w:t xml:space="preserve">F</w:t>
      </w:r>
      <w:r>
        <w:rPr>
          <w:color w:val="000000" w:themeColor="text1"/>
        </w:rPr>
        <w:t xml:space="preserve">or generative tracks, overlap metrics are retained as format and lexical-fidelity diagnostics, but they are not treated as sufficient endpoints for clinical reliability. Where projection/mapping diagnostics are available, they are reported explicitly as di</w:t>
      </w:r>
      <w:r>
        <w:rPr>
          <w:color w:val="000000" w:themeColor="text1"/>
        </w:rPr>
        <w:t xml:space="preserve">agnostics to quantify ontology alignment and unknown/OOV behavior.</w:t>
      </w:r>
      <w:r>
        <w:rPr>
          <w:color w:val="000000" w:themeColor="text1"/>
        </w:rPr>
      </w:r>
      <w:r/>
    </w:p>
    <w:p w14:paraId="32D88338">
      <w:pPr>
        <w:pStyle w:val="1056"/>
        <w:suppressLineNumbers w:val="false"/>
        <w:pBdr/>
        <w:spacing w:line="300" w:lineRule="auto"/>
        <w:ind w:firstLine="0"/>
        <w:rPr>
          <w:color w:val="000000" w:themeColor="text1"/>
          <w:highlight w:val="none"/>
        </w:rPr>
      </w:pPr>
      <w:r>
        <w:rPr>
          <w:color w:val="000000" w:themeColor="text1"/>
        </w:rPr>
        <w:t xml:space="preserve">F</w:t>
      </w:r>
      <w:r>
        <w:rPr>
          <w:color w:val="000000" w:themeColor="text1"/>
        </w:rPr>
        <w:t xml:space="preserve">inally, comparative statistics (e.g., McNemar) are used as safeguards against overinterpreting small differences, but only where paired evidence is persisted. The chapter therefore prioritizes traceable, artifact-backed reporting over completeness of metri</w:t>
      </w:r>
      <w:r>
        <w:rPr>
          <w:color w:val="000000" w:themeColor="text1"/>
        </w:rPr>
        <w:t xml:space="preserve">c coverage.</w:t>
      </w:r>
      <w:r>
        <w:rPr>
          <w:color w:val="000000" w:themeColor="text1"/>
          <w:highlight w:val="none"/>
        </w:rPr>
      </w:r>
      <w:r>
        <w:rPr>
          <w:color w:val="000000" w:themeColor="text1"/>
          <w:highlight w:val="none"/>
        </w:rPr>
      </w:r>
    </w:p>
    <w:p w14:paraId="0DF2758F">
      <w:pPr>
        <w:pStyle w:val="1056"/>
        <w:suppressLineNumbers w:val="false"/>
        <w:pBdr/>
        <w:spacing w:line="300" w:lineRule="auto"/>
        <w:ind w:firstLine="0"/>
        <w:rPr>
          <w:b/>
          <w:bCs/>
          <w:sz w:val="28"/>
          <w:szCs w:val="28"/>
        </w:rPr>
      </w:pPr>
      <w:r>
        <w:rPr>
          <w:b/>
          <w:bCs/>
          <w:sz w:val="28"/>
          <w:szCs w:val="28"/>
        </w:rPr>
        <w:t xml:space="preserve">3.4 Baseline and Existing-Model Results</w:t>
      </w:r>
      <w:r>
        <w:rPr>
          <w:b/>
          <w:bCs/>
          <w:sz w:val="28"/>
          <w:szCs w:val="28"/>
        </w:rPr>
      </w:r>
      <w:r>
        <w:rPr>
          <w:b/>
          <w:bCs/>
          <w:sz w:val="28"/>
          <w:szCs w:val="28"/>
        </w:rPr>
      </w:r>
    </w:p>
    <w:p w14:paraId="2FCA8699">
      <w:pPr>
        <w:pBdr>
          <w:top w:val="none" w:color="000000" w:sz="4" w:space="0"/>
          <w:left w:val="none" w:color="000000" w:sz="4" w:space="0"/>
          <w:bottom w:val="none" w:color="000000" w:sz="4" w:space="0"/>
          <w:right w:val="none" w:color="000000" w:sz="4" w:space="0"/>
        </w:pBdr>
        <w:spacing/>
        <w:ind w:right="0" w:firstLine="0" w:left="0"/>
        <w:rPr/>
      </w:pPr>
      <w:r>
        <w:rPr>
          <w:color w:val="000000" w:themeColor="text1"/>
        </w:rPr>
      </w:r>
      <w:r>
        <w:t xml:space="preserve">Section 3</w:t>
      </w:r>
      <w:r>
        <w:t xml:space="preserve">.4 reports dataset-wise results compiled from persisted artifacts described in Table 3.1[66]-[73]. Because each dataset defines different answer spaces (class labels, label IDs per question, or free-text answers) and different task regimes (classification,</w:t>
      </w:r>
      <w:r>
        <w:t xml:space="preserve"> closed-label VQA, subset QA), results are interpreted primarily within each dataset. Cross-dataset comparisons are used to identify consistent reliability patterns (e.g., imbalance sensitivity, answer-format instability), rather than to produce a single g</w:t>
      </w:r>
      <w:r>
        <w:t xml:space="preserve">lobal ranking.</w:t>
      </w:r>
      <w:r/>
    </w:p>
    <w:p w14:paraId="27B5F753">
      <w:pPr>
        <w:pBdr>
          <w:top w:val="none" w:color="000000" w:sz="4" w:space="0"/>
          <w:left w:val="none" w:color="000000" w:sz="4" w:space="0"/>
          <w:bottom w:val="none" w:color="000000" w:sz="4" w:space="0"/>
          <w:right w:val="none" w:color="000000" w:sz="4" w:space="0"/>
        </w:pBdr>
        <w:spacing/>
        <w:ind w:right="0" w:firstLine="0" w:left="0"/>
        <w:rPr/>
      </w:pPr>
      <w:r>
        <w:t xml:space="preserve">Each dataset subsection follows a consistent structure: (i) role of the dataset in the thesis evaluation design, (ii) which model families are compared and why, (iii) interpretation of the reported tables (overall metrics, robustness slices, and where avai</w:t>
      </w:r>
      <w:r>
        <w:t xml:space="preserve">lable paired diagnostics), and (iv) limitations and implications for subsequent chapters.</w:t>
      </w:r>
      <w:r>
        <w:rPr>
          <w:rFonts w:ascii="Times New Roman" w:hAnsi="Times New Roman" w:eastAsia="Times New Roman" w:cs="Times New Roman"/>
          <w:sz w:val="24"/>
        </w:rPr>
      </w:r>
      <w:r/>
    </w:p>
    <w:p w14:paraId="6B90AD9A">
      <w:pPr>
        <w:pStyle w:val="1056"/>
        <w:suppressLineNumbers w:val="false"/>
        <w:pBdr/>
        <w:spacing w:line="300" w:lineRule="auto"/>
        <w:ind w:firstLine="0"/>
        <w:rPr>
          <w:b/>
          <w:bCs/>
          <w:highlight w:val="none"/>
        </w:rPr>
      </w:pPr>
      <w:r>
        <w:rPr>
          <w:b/>
          <w:bCs/>
        </w:rPr>
        <w:t xml:space="preserve">3.4.1 HyperKvasir: 23-Class GI Image Classification</w:t>
      </w:r>
      <w:r>
        <w:rPr>
          <w:b/>
          <w:bCs/>
          <w:highlight w:val="none"/>
        </w:rPr>
      </w:r>
      <w:r>
        <w:rPr>
          <w:b/>
          <w:bCs/>
          <w:highlight w:val="none"/>
        </w:rPr>
      </w:r>
    </w:p>
    <w:p w14:paraId="4D08118C">
      <w:pPr>
        <w:pStyle w:val="1056"/>
        <w:suppressLineNumbers w:val="false"/>
        <w:pBdr/>
        <w:spacing w:line="300" w:lineRule="auto"/>
        <w:ind w:firstLine="0"/>
        <w:rPr/>
      </w:pPr>
      <w:r>
        <w:t xml:space="preserve">A</w:t>
      </w:r>
      <w:r>
        <w:t xml:space="preserve">lthough HyperKvasir is not a VQA dataset, it provides an important visual grounding stress test for GI imaging</w:t>
      </w:r>
      <w:r>
        <w:rPr>
          <w:lang w:val="en-US"/>
        </w:rPr>
        <w:t xml:space="preserve">[51], [66]</w:t>
      </w:r>
      <w:r>
        <w:t xml:space="preserve">. The task here is 23-class GI image classification, which functions as a proxy for how well different visual backbones and representations captur</w:t>
      </w:r>
      <w:r>
        <w:t xml:space="preserve">e</w:t>
      </w:r>
      <w:r>
        <w:t xml:space="preserve"> GI categories under realistic data constraints. The key difficulty is strong long-tail imbalance: in the persisted report, test-set class support ranges from 1 to 115 per class (≈115× ratio), meaning that a model can achieve high aggregate accuracy while </w:t>
      </w:r>
      <w:r>
        <w:t xml:space="preserve">still failing on rare classes that may be clinically important.</w:t>
      </w:r>
      <w:r/>
    </w:p>
    <w:p w14:paraId="5107C16E">
      <w:pPr>
        <w:pStyle w:val="1056"/>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401AB6B9">
      <w:pPr>
        <w:pStyle w:val="1056"/>
        <w:suppressLineNumbers w:val="false"/>
        <w:pBdr/>
        <w:spacing w:line="300" w:lineRule="auto"/>
        <w:ind w:firstLine="0"/>
        <w:rPr/>
      </w:pPr>
      <w:r>
        <w:rPr>
          <w:highlight w:val="none"/>
        </w:rPr>
      </w:r>
      <w:r>
        <w:rPr>
          <w:highlight w:val="none"/>
        </w:rPr>
      </w:r>
      <w:r/>
    </w:p>
    <w:tbl>
      <w:tblPr>
        <w:tblStyle w:val="1113"/>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6A3CC3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A5022F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4ED8D01">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161D12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31A665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044B7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2F35B3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5FBAB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5C3A0F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0.6266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9D8B5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0.5943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D8B1B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B3BDE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502FBDA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5CFE2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0.8714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18949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0.5391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5813A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0.5242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36594E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4DA4F26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1F82D802">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4BDA0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62A583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0.6130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CF6D6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0.6052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0E8BFD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0.8505</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E7A3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0.8504</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0F9752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C11F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84045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0.5799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482C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0.5721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B0965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024A7D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3EA7C77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B4381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0.0638</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E2E66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0.0529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1DC4E8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E2E2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0.0386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6A4505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0.0303</w:t>
            </w:r>
            <w:r>
              <w:rPr>
                <w:rFonts w:ascii="Arial" w:hAnsi="Arial" w:cs="Arial"/>
                <w:color w:val="000000" w:themeColor="text1"/>
              </w:rPr>
            </w:r>
            <w:r>
              <w:rPr>
                <w:rFonts w:ascii="Arial" w:hAnsi="Arial" w:cs="Arial"/>
                <w:color w:val="000000" w:themeColor="text1"/>
              </w:rPr>
            </w:r>
          </w:p>
        </w:tc>
      </w:tr>
    </w:tbl>
    <w:p w14:paraId="6C543383">
      <w:pPr>
        <w:pStyle w:val="1056"/>
        <w:suppressLineNumbers w:val="false"/>
        <w:pBdr/>
        <w:spacing w:line="300" w:lineRule="auto"/>
        <w:ind w:left="1440"/>
        <w:rPr>
          <w:bCs/>
          <w:i/>
          <w:highlight w:val="none"/>
          <w:lang w:val="en-US"/>
        </w:rPr>
      </w:pPr>
      <w:r>
        <w:rPr>
          <w:i/>
          <w:iCs/>
          <w:lang w:val="en-US"/>
        </w:rPr>
        <w:t xml:space="preserve">Table 3.6 </w:t>
      </w:r>
      <w:r>
        <w:rPr>
          <w:i/>
          <w:iCs/>
          <w:lang w:val="en-US"/>
        </w:rPr>
        <w:t xml:space="preserve">HyperKvasir Overall Test Metrics</w:t>
      </w:r>
      <w:r>
        <w:rPr>
          <w:bCs/>
          <w:i/>
          <w:highlight w:val="none"/>
          <w:lang w:val="en-US"/>
        </w:rPr>
      </w:r>
      <w:r>
        <w:rPr>
          <w:bCs/>
          <w:i/>
          <w:highlight w:val="none"/>
          <w:lang w:val="en-US"/>
        </w:rPr>
      </w:r>
    </w:p>
    <w:p w14:paraId="4F382B4B" w14:textId="64741AF3">
      <w:pPr>
        <w:pStyle w:val="1056"/>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30B9D6B8">
      <w:pPr>
        <w:pStyle w:val="1056"/>
        <w:suppressLineNumbers w:val="false"/>
        <w:pBdr/>
        <w:spacing w:line="300" w:lineRule="auto"/>
        <w:ind w:firstLine="0"/>
        <w:rPr/>
      </w:pPr>
      <w:r>
        <w:rPr>
          <w:highlight w:val="none"/>
          <w:lang w:val="en-US"/>
        </w:rPr>
        <w:t xml:space="preserve">T</w:t>
      </w:r>
      <w:r>
        <w:rPr>
          <w:highlight w:val="none"/>
        </w:rPr>
        <w:t xml:space="preserve">h</w:t>
      </w:r>
      <w:r>
        <w:rPr>
          <w:highlight w:val="none"/>
        </w:rPr>
        <w:t xml:space="preserve">e supervised and frozen-feature pipelines form a strong reliability baseline on aggregate metrics, while the zero-shot VLM baseline performs poorly on this closed-label classification setting. However, aggregate metrics alone are insufficient in a long-tai</w:t>
      </w:r>
      <w:r>
        <w:rPr>
          <w:highlight w:val="none"/>
        </w:rPr>
        <w:t xml:space="preserve">l regime. In particular, balanced accuracy and macro-F1 are emphasized here because they weight minority classes more fairly than raw accuracy.</w:t>
      </w:r>
      <w:r>
        <w:rPr>
          <w:highlight w:val="none"/>
        </w:rPr>
      </w:r>
      <w:r/>
    </w:p>
    <w:p w14:paraId="2E2935A9">
      <w:pPr>
        <w:pStyle w:val="1056"/>
        <w:suppressLineNumbers w:val="false"/>
        <w:pBdr/>
        <w:spacing w:line="300" w:lineRule="auto"/>
        <w:ind w:firstLine="0"/>
        <w:rPr/>
      </w:pPr>
      <w:r>
        <w:rPr>
          <w:highlight w:val="none"/>
        </w:rPr>
        <w:t xml:space="preserve">To quantify long-tail robustness explicitly, Table 3.7 reports rare-class and common-class recall slices (as defined in the persisted report), along with a head–tail recall gap.</w:t>
      </w:r>
      <w:r>
        <w:rPr>
          <w:highlight w:val="none"/>
        </w:rPr>
      </w: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5B50970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9EC4F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Rare-class recall (support &lt;= 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F17E9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Common-class recall (support &gt;= 90)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360F9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Common-minus-rare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1B70E6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98CF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0.1595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7F023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EFE4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F3D62B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AF8EF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22A39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5BE38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4DD8AB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6CFC6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A35BA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0.9120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8A0D7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BA6C0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5BBF1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BD77B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12CC0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0.8615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1948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5BAF5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5FFF0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E4D0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r>
    </w:tbl>
    <w:p w14:paraId="6C543383">
      <w:pPr>
        <w:pStyle w:val="1056"/>
        <w:suppressLineNumbers w:val="false"/>
        <w:pBdr/>
        <w:spacing w:line="300" w:lineRule="auto"/>
        <w:ind w:left="1440"/>
        <w:rPr>
          <w:bCs/>
          <w:i/>
          <w:highlight w:val="none"/>
          <w:lang w:val="en-US"/>
        </w:rPr>
      </w:pPr>
      <w:r>
        <w:rPr>
          <w:i/>
          <w:iCs/>
          <w:lang w:val="en-US"/>
        </w:rPr>
        <w:t xml:space="preserve">Table 3.7 </w:t>
      </w:r>
      <w:r>
        <w:rPr>
          <w:i/>
          <w:iCs/>
          <w:lang w:val="en-US"/>
        </w:rPr>
        <w:t xml:space="preserve">HyperKvasir Imbalance Robustness Slices</w:t>
      </w:r>
      <w:r>
        <w:rPr>
          <w:bCs/>
          <w:i/>
          <w:highlight w:val="none"/>
          <w:lang w:val="en-US"/>
        </w:rPr>
      </w:r>
      <w:r>
        <w:rPr>
          <w:bCs/>
          <w:i/>
          <w:highlight w:val="none"/>
          <w:lang w:val="en-US"/>
        </w:rPr>
      </w:r>
    </w:p>
    <w:p w14:paraId="21620F4D">
      <w:pPr>
        <w:pStyle w:val="1056"/>
        <w:suppressLineNumbers w:val="false"/>
        <w:pBdr/>
        <w:spacing w:line="300" w:lineRule="auto"/>
        <w:ind w:firstLine="0"/>
        <w:rPr/>
      </w:pPr>
      <w:r>
        <w:rPr>
          <w:rFonts w:ascii="Arial" w:hAnsi="Arial" w:cs="Arial"/>
          <w:color w:val="000000" w:themeColor="text1"/>
        </w:rPr>
        <w:t xml:space="preserve">A</w:t>
      </w:r>
      <w:r>
        <w:rPr>
          <w:rFonts w:ascii="Arial" w:hAnsi="Arial" w:cs="Arial"/>
          <w:color w:val="000000" w:themeColor="text1"/>
        </w:rPr>
        <w:t xml:space="preserve">ll high-accuracy models exhibit substantial head–tail asymmetry: common-class recall is high while rare-class recall remains low. Notably, some models achieve strong common-class recall while still scoring near zero on rare-class recall, illustrating why l</w:t>
      </w:r>
      <w:r>
        <w:rPr>
          <w:rFonts w:ascii="Arial" w:hAnsi="Arial" w:cs="Arial"/>
          <w:color w:val="000000" w:themeColor="text1"/>
        </w:rPr>
        <w:t xml:space="preserve">ong-tail evaluation slices are required for risk-aware interpretation. This result motivates later chapters to treat minority-class behavior as a first-class reliability requirement, rather than assuming that high overall accuracy implies safe performance.</w:t>
      </w:r>
      <w:r>
        <w:rPr>
          <w:rFonts w:ascii="Arial" w:hAnsi="Arial" w:cs="Arial"/>
          <w:color w:val="000000" w:themeColor="text1"/>
        </w:rPr>
      </w:r>
      <w:r/>
    </w:p>
    <w:p w14:paraId="6FD22AC2">
      <w:pPr>
        <w:pStyle w:val="1056"/>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Where paired predictions are available in the artifacts, Table 3.8 reports selected McNemar tests to assess whether differences between model variants are likely to be noise-level fluctuations on the same test examples.</w:t>
      </w:r>
      <w:r>
        <w:rPr>
          <w:rFonts w:ascii="Arial" w:hAnsi="Arial" w:cs="Arial"/>
          <w:color w:val="000000" w:themeColor="text1"/>
          <w:highlight w:val="none"/>
        </w:rPr>
      </w:r>
      <w:r>
        <w:rPr>
          <w:rFonts w:ascii="Arial" w:hAnsi="Arial" w:cs="Arial"/>
          <w:color w:val="000000" w:themeColor="text1"/>
          <w:highlight w:val="none"/>
        </w:rPr>
      </w:r>
    </w:p>
    <w:p w14:paraId="736A206F">
      <w:pPr>
        <w:pStyle w:val="1056"/>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565CE2BD">
      <w:pPr>
        <w:pStyle w:val="1056"/>
        <w:suppressLineNumbers w:val="false"/>
        <w:pBdr/>
        <w:spacing w:line="300" w:lineRule="auto"/>
        <w:ind w:firstLine="0"/>
        <w:rPr>
          <w:rFonts w:ascii="Arial" w:hAnsi="Arial" w:cs="Arial"/>
          <w:color w:val="000000" w:themeColor="text1"/>
        </w:rPr>
      </w:pPr>
      <w:r>
        <w:rPr>
          <w:rFonts w:ascii="Arial" w:hAnsi="Arial" w:cs="Arial"/>
          <w:color w:val="000000" w:themeColor="text1"/>
          <w:highlight w:val="none"/>
        </w:rPr>
      </w:r>
      <w:r>
        <w:rPr>
          <w:rFonts w:ascii="Arial" w:hAnsi="Arial" w:cs="Arial"/>
          <w:color w:val="000000" w:themeColor="text1"/>
        </w:rPr>
      </w:r>
      <w:r>
        <w:rPr>
          <w:rFonts w:ascii="Arial" w:hAnsi="Arial" w:cs="Arial"/>
          <w:color w:val="000000" w:themeColor="text1"/>
        </w:rP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1C4A72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Pair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FDFC4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n01 (A wrong, B right)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31301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n10 (A right, B wrong)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850E9A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p-value</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812F22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69246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734C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6BA3E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0.931666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F7F19D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99F2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8B3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8330C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2B3B4A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D9FE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0BE9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869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78136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bl>
    <w:p w14:paraId="6C543383">
      <w:pPr>
        <w:pStyle w:val="1056"/>
        <w:suppressLineNumbers w:val="false"/>
        <w:pBdr/>
        <w:spacing w:line="300" w:lineRule="auto"/>
        <w:ind w:left="1440"/>
        <w:rPr>
          <w:bCs/>
          <w:i/>
          <w:highlight w:val="none"/>
          <w:lang w:val="en-US"/>
        </w:rPr>
      </w:pPr>
      <w:r>
        <w:rPr>
          <w:i/>
          <w:iCs/>
          <w:lang w:val="en-US"/>
        </w:rPr>
        <w:t xml:space="preserve">Table 3.8 </w:t>
      </w:r>
      <w:r>
        <w:rPr>
          <w:i/>
          <w:iCs/>
          <w:lang w:val="en-US"/>
        </w:rPr>
        <w:t xml:space="preserve">HyperKvasir Pairwise McNemar Tests</w:t>
      </w:r>
      <w:r>
        <w:rPr>
          <w:bCs/>
          <w:i/>
          <w:highlight w:val="none"/>
          <w:lang w:val="en-US"/>
        </w:rPr>
      </w:r>
      <w:r>
        <w:rPr>
          <w:bCs/>
          <w:i/>
          <w:highlight w:val="none"/>
          <w:lang w:val="en-US"/>
        </w:rPr>
      </w:r>
    </w:p>
    <w:p w14:paraId="572EBFE3">
      <w:pPr>
        <w:pStyle w:val="1056"/>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n the persisted paired comparisons, vit_frozen_logreg and clip_linear show no meaningful difference (symmetric disagreement counts and high p-value), while both are strongly separated from the zero-shot baseline (highly asymmetric disagreement counts and v</w:t>
      </w:r>
      <w:r>
        <w:rPr>
          <w:rFonts w:ascii="Arial" w:hAnsi="Arial" w:eastAsia="Arial" w:cs="Arial"/>
          <w:color w:val="000000" w:themeColor="text1"/>
        </w:rPr>
        <w:t xml:space="preserve">ery small p-values). These tests support the qualitative conclusion already visible in Table 3.6: within this dataset and evidence scope, supervised/frozen discriminative pipelines dominate the zero-shot baseline.</w:t>
      </w:r>
      <w:r>
        <w:rPr>
          <w:rFonts w:ascii="Arial" w:hAnsi="Arial" w:eastAsia="Arial" w:cs="Arial"/>
          <w:color w:val="000000" w:themeColor="text1"/>
        </w:rPr>
      </w:r>
      <w:r/>
    </w:p>
    <w:p w14:paraId="555A6FE4">
      <w:pPr>
        <w:pStyle w:val="1056"/>
        <w:suppressLineNumbers w:val="false"/>
        <w:pBdr/>
        <w:spacing w:line="300" w:lineRule="auto"/>
        <w:ind w:firstLine="0"/>
        <w:rPr/>
      </w:pPr>
      <w:r>
        <w:rPr>
          <w:rFonts w:ascii="Arial" w:hAnsi="Arial" w:eastAsia="Arial" w:cs="Arial"/>
          <w:color w:val="000000" w:themeColor="text1"/>
        </w:rPr>
        <w:t xml:space="preserve">L</w:t>
      </w:r>
      <w:r>
        <w:rPr>
          <w:rFonts w:ascii="Arial" w:hAnsi="Arial" w:eastAsia="Arial" w:cs="Arial"/>
          <w:color w:val="000000" w:themeColor="text1"/>
        </w:rPr>
        <w:t xml:space="preserve">imitations and implications. HyperKvasir is used here as a GI visual grounding stress test rather than a direct VQA benchmark. Therefore, its primary value is diagnostic: it demonstrates that (i) strong aggregate performance can coexist with poor rare-clas</w:t>
      </w:r>
      <w:r>
        <w:rPr>
          <w:rFonts w:ascii="Arial" w:hAnsi="Arial" w:eastAsia="Arial" w:cs="Arial"/>
          <w:color w:val="000000" w:themeColor="text1"/>
        </w:rPr>
        <w:t xml:space="preserve">s</w:t>
      </w:r>
      <w:r>
        <w:rPr>
          <w:rFonts w:ascii="Arial" w:hAnsi="Arial" w:eastAsia="Arial" w:cs="Arial"/>
          <w:color w:val="000000" w:themeColor="text1"/>
        </w:rPr>
        <w:t xml:space="preserve"> recall, and (ii) reliable GI perception under long-tail imbalance remains a bottleneck that must be monitored explicitly. This motivates later chapters to preserve strong visual grounding components and to treat class-imbalance mitigation as necessary for</w:t>
      </w:r>
      <w:r>
        <w:rPr>
          <w:rFonts w:ascii="Arial" w:hAnsi="Arial" w:eastAsia="Arial" w:cs="Arial"/>
          <w:color w:val="000000" w:themeColor="text1"/>
        </w:rPr>
        <w:t xml:space="preserve"> clinically aligned behavior.</w:t>
      </w:r>
      <w:r>
        <w:rPr>
          <w:rFonts w:ascii="Arial" w:hAnsi="Arial" w:eastAsia="Arial" w:cs="Arial"/>
          <w:color w:val="000000" w:themeColor="text1"/>
        </w:rPr>
      </w:r>
      <w:r/>
    </w:p>
    <w:p w14:paraId="33181606">
      <w:pPr>
        <w:pStyle w:val="1056"/>
        <w:suppressLineNumbers w:val="false"/>
        <w:pBdr/>
        <w:spacing w:line="300" w:lineRule="auto"/>
        <w:ind w:firstLine="0"/>
        <w:rPr>
          <w:b/>
          <w:bCs/>
        </w:rPr>
      </w:pPr>
      <w:r>
        <w:rPr>
          <w:rFonts w:ascii="Arial" w:hAnsi="Arial" w:eastAsia="Arial" w:cs="Arial"/>
          <w:b/>
          <w:bCs/>
          <w:color w:val="000000" w:themeColor="text1"/>
        </w:rPr>
        <w:t xml:space="preserve">3.4.2 ImageCLEF MEDVQA-GI 2023: Closed-Label GI VQA</w:t>
      </w:r>
      <w:r>
        <w:rPr>
          <w:b/>
          <w:bCs/>
        </w:rPr>
      </w:r>
      <w:r>
        <w:rPr>
          <w:b/>
          <w:bCs/>
        </w:rPr>
      </w:r>
    </w:p>
    <w:p w14:paraId="00FDB3AA">
      <w:pPr>
        <w:pStyle w:val="1056"/>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mageCLEF MEDVQA-GI 2023 provides a closed-label VQA setting in which each question is associated with a constrained answer ID space</w:t>
      </w:r>
      <w:r>
        <w:rPr>
          <w:rFonts w:ascii="Arial" w:hAnsi="Arial" w:eastAsia="Arial" w:cs="Arial"/>
          <w:color w:val="000000" w:themeColor="text1"/>
          <w:lang w:val="en-US"/>
        </w:rPr>
        <w:t xml:space="preserve">[54], [67]</w:t>
      </w:r>
      <w:r>
        <w:rPr>
          <w:rFonts w:ascii="Arial" w:hAnsi="Arial" w:eastAsia="Arial" w:cs="Arial"/>
          <w:color w:val="000000" w:themeColor="text1"/>
        </w:rPr>
        <w:t xml:space="preserve">. This enables deterministic evaluation and is well-suited for testing the thesis’s core reliability question: how do fine-tu</w:t>
      </w:r>
      <w:r>
        <w:rPr>
          <w:rFonts w:ascii="Arial" w:hAnsi="Arial" w:eastAsia="Arial" w:cs="Arial"/>
          <w:color w:val="000000" w:themeColor="text1"/>
        </w:rPr>
        <w:t xml:space="preserve">ned multimodal VQA models compare to raw zero-shot generative VLM outputs under label constraints? In this chapter, evaluation is reported for the persisted validation split (N = 7,332) recorded in the local report artifacts.</w:t>
      </w:r>
      <w:r>
        <w:rPr>
          <w:rFonts w:ascii="Arial" w:hAnsi="Arial" w:eastAsia="Arial" w:cs="Arial"/>
          <w:color w:val="000000" w:themeColor="text1"/>
        </w:rPr>
      </w:r>
      <w:r/>
    </w:p>
    <w:p w14:paraId="0A81E393">
      <w:pPr>
        <w:pStyle w:val="1056"/>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Table 3.9 reports overall validation metrics for a fine-tuned transformer VQA model and two zero-shot variants: “raw” (direct outputs) and “projected” (diagnostic mapping of outputs into the allowed answer space, as defined in Section 3.3).</w:t>
      </w:r>
      <w:r>
        <w:rPr>
          <w:rFonts w:ascii="Arial" w:hAnsi="Arial" w:cs="Arial"/>
          <w:color w:val="000000" w:themeColor="text1"/>
        </w:rPr>
      </w:r>
      <w:r>
        <w:rPr>
          <w:rFonts w:ascii="Arial" w:hAnsi="Arial" w:cs="Arial"/>
          <w:color w:val="000000" w:themeColor="text1"/>
        </w:rPr>
      </w:r>
    </w:p>
    <w:p w14:paraId="38131F6F">
      <w:pPr>
        <w:pStyle w:val="1056"/>
        <w:suppressLineNumbers w:val="false"/>
        <w:pBdr/>
        <w:spacing w:line="300" w:lineRule="auto"/>
        <w:ind w:firstLine="0"/>
        <w:rPr/>
      </w:pPr>
      <w:r/>
      <w:r/>
    </w:p>
    <w:tbl>
      <w:tblPr>
        <w:tblStyle w:val="1113"/>
        <w:tblW w:w="0" w:type="auto"/>
        <w:tblBorders/>
        <w:tblLayout w:type="fixed"/>
        <w:tblLook w:val="04A0" w:firstRow="1" w:lastRow="0" w:firstColumn="1" w:lastColumn="0" w:noHBand="0" w:noVBand="1"/>
      </w:tblPr>
      <w:tblGrid>
        <w:gridCol w:w="3302"/>
        <w:gridCol w:w="753"/>
        <w:gridCol w:w="1232"/>
        <w:gridCol w:w="910"/>
        <w:gridCol w:w="842"/>
        <w:gridCol w:w="800"/>
        <w:gridCol w:w="800"/>
      </w:tblGrid>
      <w:tr>
        <w:trPr/>
        <w:tc>
          <w:tcPr>
            <w:tcBorders/>
            <w:tcW w:w="3302" w:type="dxa"/>
            <w:textDirection w:val="lrTb"/>
            <w:noWrap w:val="false"/>
          </w:tcPr>
          <w:p w14:paraId="26B5774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 variant</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3011821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3E5EC3F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908D426">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00B9353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F9FE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2F35A01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44DE84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051A189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283865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0.9089</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35FD04D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0.5853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6152C4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0.5823</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7E9E0D5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AA89B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0.8875</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74ABC6D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qwen2_5_vl_zeroshot_raw</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2F4339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B18A2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DD8B7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0.0433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7AA749D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5C16FDB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D16FA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-0.0626</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625E426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qwen2_5_vl_zeroshot_projected</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61EF99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011E3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0.0670</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1AEC49F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0.0899</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45EAE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0.0379</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54742B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8E4F3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-0.0278</w:t>
            </w:r>
            <w:r>
              <w:rPr>
                <w:rFonts w:ascii="Arial" w:hAnsi="Arial" w:cs="Arial"/>
                <w:color w:val="000000" w:themeColor="text1"/>
              </w:rPr>
            </w:r>
            <w:r>
              <w:rPr>
                <w:rFonts w:ascii="Arial" w:hAnsi="Arial" w:cs="Arial"/>
                <w:color w:val="000000" w:themeColor="text1"/>
              </w:rPr>
            </w:r>
          </w:p>
        </w:tc>
      </w:tr>
    </w:tbl>
    <w:p w14:paraId="61452AD5">
      <w:pPr>
        <w:pStyle w:val="1056"/>
        <w:suppressLineNumbers w:val="false"/>
        <w:pBdr/>
        <w:spacing w:line="300" w:lineRule="auto"/>
        <w:ind w:firstLine="0" w:left="1440"/>
        <w:rPr>
          <w:bCs/>
          <w:i/>
          <w:highlight w:val="none"/>
          <w:lang w:val="en-US"/>
        </w:rPr>
      </w:pPr>
      <w:r>
        <w:rPr>
          <w:i/>
          <w:iCs/>
          <w:lang w:val="en-US"/>
        </w:rPr>
        <w:t xml:space="preserve">Table 3.9 </w:t>
      </w:r>
      <w:r>
        <w:rPr>
          <w:i/>
          <w:iCs/>
          <w:lang w:val="en-US"/>
        </w:rPr>
        <w:t xml:space="preserve">ImageCLEF MEDVQA-GI 2023 Validation Metrics</w:t>
      </w:r>
      <w:r>
        <w:rPr>
          <w:bCs/>
          <w:i/>
          <w:highlight w:val="none"/>
          <w:lang w:val="en-US"/>
        </w:rPr>
      </w:r>
      <w:r>
        <w:rPr>
          <w:bCs/>
          <w:i/>
          <w:highlight w:val="none"/>
          <w:lang w:val="en-US"/>
        </w:rPr>
      </w:r>
    </w:p>
    <w:p w14:paraId="64FB684C">
      <w:pPr>
        <w:pStyle w:val="1056"/>
        <w:suppressLineNumbers w:val="false"/>
        <w:pBdr/>
        <w:spacing w:line="300" w:lineRule="auto"/>
        <w:ind w:firstLine="0"/>
        <w:rPr/>
      </w:pPr>
      <w:r>
        <w:t xml:space="preserve">T</w:t>
      </w:r>
      <w:r>
        <w:t xml:space="preserve">he fine-tuned VQA model exhibits strong closed-label accuracy, while the raw zero-shot generative outputs score near zero under the label-ID evaluation format. Projection improves the zero-shot diagnostic score, indicating that some generated outputs can b</w:t>
      </w:r>
      <w:r>
        <w:t xml:space="preserve">e</w:t>
      </w:r>
      <w:r>
        <w:t xml:space="preserve"> mapped into the label space, but the projected accuracy and macro-F1 remain far below the fine-tuned baseline. The negative MCC/kappa values for the zero-shot variants are consistent with systematic mismatch under the constrained label-ID evaluation forma</w:t>
      </w:r>
      <w:r>
        <w:t xml:space="preserve">t, rather than random variation.</w:t>
      </w:r>
      <w:r/>
    </w:p>
    <w:p w14:paraId="410AE5D5">
      <w:pPr>
        <w:pStyle w:val="1056"/>
        <w:suppressLineNumbers w:val="false"/>
        <w:pBdr/>
        <w:spacing w:line="300" w:lineRule="auto"/>
        <w:ind w:firstLine="0"/>
        <w:rPr/>
      </w:pPr>
      <w:r>
        <w:t xml:space="preserve">To avoid hiding question-family brittleness, Table 3.10 reports family-level aggregates. This is important because some families (e.g., procedure or attribute) may require stricter ontology adherence than others.</w:t>
      </w:r>
      <w:r/>
    </w:p>
    <w:tbl>
      <w:tblPr>
        <w:tblStyle w:val="1113"/>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644508B8">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Question family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CD220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Rows</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93B7B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BDECF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raw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76CEFB9">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0FC5AB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0487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macro-F1</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2634DA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attribute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8E26A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1,600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6127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1E5C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391F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0.0225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6D03C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681EB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0.0340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5B183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binary/boolean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A6CE29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2,800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1D0AE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5C389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8244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0.1168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F101CB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0.9222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0D90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0.0906</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A44536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count</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F5C4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7C6CD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0.9008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F356A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A6C06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9A169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0.3950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12CD3A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0.0158</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BB4099F">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location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176F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93FC4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A2E76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C5D9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B5036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0.3115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B58E91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0.0205</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176DBD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procedure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E2384E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4AB51F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0.9975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4933C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68DC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C9739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0.9969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8A6CB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bl>
    <w:p w14:paraId="4069DEF9">
      <w:pPr>
        <w:pStyle w:val="1056"/>
        <w:suppressLineNumbers w:val="false"/>
        <w:pBdr/>
        <w:spacing w:line="300" w:lineRule="auto"/>
        <w:ind w:firstLine="0" w:left="1440"/>
        <w:rPr>
          <w:bCs/>
          <w:i/>
          <w:highlight w:val="none"/>
          <w:lang w:val="en-US"/>
        </w:rPr>
      </w:pPr>
      <w:r>
        <w:rPr>
          <w:i/>
          <w:iCs/>
          <w:lang w:val="en-US"/>
        </w:rPr>
        <w:t xml:space="preserve">Table </w:t>
      </w:r>
      <w:r>
        <w:rPr>
          <w:i/>
          <w:iCs/>
          <w:lang w:val="en-US"/>
        </w:rPr>
        <w:t xml:space="preserve">3.10 Family-Level Aggregates on ImageCLEF Validation</w:t>
      </w:r>
      <w:r>
        <w:rPr>
          <w:bCs/>
          <w:i/>
          <w:highlight w:val="none"/>
          <w:lang w:val="en-US"/>
        </w:rPr>
      </w:r>
      <w:r>
        <w:rPr>
          <w:bCs/>
          <w:i/>
          <w:highlight w:val="none"/>
          <w:lang w:val="en-US"/>
        </w:rPr>
      </w:r>
    </w:p>
    <w:p w14:paraId="7840095B">
      <w:pPr>
        <w:pStyle w:val="1056"/>
        <w:suppressLineNumbers w:val="false"/>
        <w:pBdr/>
        <w:spacing w:line="300" w:lineRule="auto"/>
        <w:ind w:firstLine="0"/>
        <w:rPr/>
      </w:pPr>
      <w:r>
        <w:rPr>
          <w:rFonts w:ascii="Arial" w:hAnsi="Arial" w:eastAsia="Arial" w:cs="Arial"/>
          <w:color w:val="000000" w:themeColor="text1"/>
        </w:rPr>
        <w:t xml:space="preserve">T</w:t>
      </w:r>
      <w:r>
        <w:rPr>
          <w:rFonts w:ascii="Arial" w:hAnsi="Arial" w:eastAsia="Arial" w:cs="Arial"/>
          <w:color w:val="000000" w:themeColor="text1"/>
        </w:rPr>
        <w:t xml:space="preserve">wo patterns are visible. First, the fine-tuned model remains consistently strong across families in accuracy terms, but macro-F1 varies substantially across families (notably count/location), indicating that even strong aggregate accuracy can conceal intra</w:t>
      </w:r>
      <w:r>
        <w:rPr>
          <w:rFonts w:ascii="Arial" w:hAnsi="Arial" w:eastAsia="Arial" w:cs="Arial"/>
          <w:color w:val="000000" w:themeColor="text1"/>
        </w:rPr>
        <w:t xml:space="preserve">-</w:t>
      </w:r>
      <w:r>
        <w:rPr>
          <w:rFonts w:ascii="Arial" w:hAnsi="Arial" w:eastAsia="Arial" w:cs="Arial"/>
          <w:color w:val="000000" w:themeColor="text1"/>
        </w:rPr>
        <w:t xml:space="preserve">family imbalance or difficulty. Second, the zero-shot model’s raw outputs perform near zero across families, and projection yields partial recovery mainly for binary/boolean questions, with minimal gains for attribute, count, and location and no recovery f</w:t>
      </w:r>
      <w:r>
        <w:rPr>
          <w:rFonts w:ascii="Arial" w:hAnsi="Arial" w:eastAsia="Arial" w:cs="Arial"/>
          <w:color w:val="000000" w:themeColor="text1"/>
        </w:rPr>
        <w:t xml:space="preserve">or the procedure family in the persisted artifacts. This indicates that projection can rescue some format mismatch, but it does not resolve the core reliability gap under structured families.</w:t>
      </w:r>
      <w:r>
        <w:rPr>
          <w:rFonts w:ascii="Arial" w:hAnsi="Arial" w:eastAsia="Arial" w:cs="Arial"/>
          <w:color w:val="000000" w:themeColor="text1"/>
        </w:rPr>
      </w:r>
      <w:r/>
    </w:p>
    <w:p w14:paraId="0E81384E">
      <w:pPr>
        <w:pStyle w:val="1056"/>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To illustrate where projection helps most, Table 3.11 lists the questions with the largest raw→projected accuracy gains in the persisted validation outputs.</w:t>
      </w:r>
      <w:r>
        <w:rPr>
          <w:rFonts w:ascii="Arial" w:hAnsi="Arial" w:cs="Arial"/>
          <w:color w:val="000000" w:themeColor="text1"/>
        </w:rPr>
      </w:r>
      <w:r>
        <w:rPr>
          <w:rFonts w:ascii="Arial" w:hAnsi="Arial" w:cs="Arial"/>
          <w:color w:val="000000" w:themeColor="text1"/>
        </w:rPr>
      </w:r>
    </w:p>
    <w:p w14:paraId="41572D08">
      <w:pPr>
        <w:pStyle w:val="1056"/>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25C9D381">
      <w:pPr>
        <w:pStyle w:val="1056"/>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BC7C75D">
            <w:pPr>
              <w:pBdr/>
              <w:spacing w:after="0" w:before="0" w:line="240" w:lineRule="auto"/>
              <w:ind/>
              <w:rPr>
                <w:color w:val="000000" w:themeColor="text1"/>
              </w:rPr>
            </w:pPr>
            <w:r>
              <w:rPr>
                <w:rFonts w:ascii="Arial" w:hAnsi="Arial" w:eastAsia="Arial" w:cs="Arial"/>
                <w:b/>
                <w:color w:val="000000" w:themeColor="text1"/>
                <w:sz w:val="21"/>
              </w:rPr>
              <w:t xml:space="preserve">Question</w:t>
            </w:r>
            <w:r>
              <w:rPr>
                <w:color w:val="000000" w:themeColor="text1"/>
              </w:rPr>
            </w:r>
            <w:r>
              <w:rPr>
                <w:color w:val="000000" w:themeColor="text1"/>
              </w:rPr>
            </w:r>
          </w:p>
        </w:tc>
        <w:tc>
          <w:tcPr>
            <w:tcBorders/>
            <w:tcW w:w="2160" w:type="dxa"/>
            <w:textDirection w:val="lrTb"/>
            <w:noWrap w:val="false"/>
          </w:tcPr>
          <w:p w14:paraId="7B3F1B32">
            <w:pPr>
              <w:pBdr/>
              <w:spacing w:after="0" w:before="0" w:line="240" w:lineRule="auto"/>
              <w:ind/>
              <w:jc w:val="right"/>
              <w:rPr>
                <w:color w:val="000000" w:themeColor="text1"/>
              </w:rPr>
            </w:pPr>
            <w:r>
              <w:rPr>
                <w:rFonts w:ascii="Arial" w:hAnsi="Arial" w:eastAsia="Arial" w:cs="Arial"/>
                <w:b/>
                <w:color w:val="000000" w:themeColor="text1"/>
                <w:sz w:val="21"/>
              </w:rPr>
              <w:t xml:space="preserve">Raw acc</w:t>
            </w:r>
            <w:r>
              <w:rPr>
                <w:color w:val="000000" w:themeColor="text1"/>
              </w:rPr>
            </w:r>
            <w:r>
              <w:rPr>
                <w:color w:val="000000" w:themeColor="text1"/>
              </w:rPr>
            </w:r>
          </w:p>
        </w:tc>
        <w:tc>
          <w:tcPr>
            <w:tcBorders/>
            <w:tcW w:w="2160" w:type="dxa"/>
            <w:textDirection w:val="lrTb"/>
            <w:noWrap w:val="false"/>
          </w:tcPr>
          <w:p w14:paraId="5E8D1980">
            <w:pPr>
              <w:pBdr/>
              <w:spacing w:after="0" w:before="0" w:line="240" w:lineRule="auto"/>
              <w:ind/>
              <w:jc w:val="right"/>
              <w:rPr>
                <w:color w:val="000000" w:themeColor="text1"/>
              </w:rPr>
            </w:pPr>
            <w:r>
              <w:rPr>
                <w:rFonts w:ascii="Arial" w:hAnsi="Arial" w:eastAsia="Arial" w:cs="Arial"/>
                <w:b/>
                <w:color w:val="000000" w:themeColor="text1"/>
                <w:sz w:val="21"/>
              </w:rPr>
              <w:t xml:space="preserve">Projected acc</w:t>
            </w:r>
            <w:r>
              <w:rPr>
                <w:color w:val="000000" w:themeColor="text1"/>
              </w:rPr>
            </w:r>
            <w:r>
              <w:rPr>
                <w:color w:val="000000" w:themeColor="text1"/>
              </w:rPr>
            </w:r>
          </w:p>
        </w:tc>
        <w:tc>
          <w:tcPr>
            <w:tcBorders/>
            <w:tcW w:w="2160" w:type="dxa"/>
            <w:textDirection w:val="lrTb"/>
            <w:noWrap w:val="false"/>
          </w:tcPr>
          <w:p w14:paraId="500B16C4">
            <w:pPr>
              <w:pBdr/>
              <w:spacing w:after="0" w:before="0" w:line="240" w:lineRule="auto"/>
              <w:ind/>
              <w:jc w:val="right"/>
              <w:rPr>
                <w:color w:val="000000" w:themeColor="text1"/>
              </w:rPr>
            </w:pPr>
            <w:r>
              <w:rPr>
                <w:rFonts w:ascii="Arial" w:hAnsi="Arial" w:eastAsia="Arial" w:cs="Arial"/>
                <w:b/>
                <w:color w:val="000000" w:themeColor="text1"/>
                <w:sz w:val="21"/>
              </w:rPr>
              <w:t xml:space="preserve">Absolute gain</w:t>
            </w:r>
            <w:r>
              <w:rPr>
                <w:color w:val="000000" w:themeColor="text1"/>
              </w:rPr>
            </w:r>
            <w:r>
              <w:rPr>
                <w:color w:val="000000" w:themeColor="text1"/>
              </w:rPr>
            </w:r>
          </w:p>
        </w:tc>
      </w:tr>
      <w:tr>
        <w:trPr/>
        <w:tc>
          <w:tcPr>
            <w:tcBorders/>
            <w:tcW w:w="2160" w:type="dxa"/>
            <w:textDirection w:val="lrTb"/>
            <w:noWrap w:val="false"/>
          </w:tcPr>
          <w:p w14:paraId="774EE4ED">
            <w:pPr>
              <w:pBdr/>
              <w:spacing w:after="0" w:before="0" w:line="240" w:lineRule="auto"/>
              <w:ind/>
              <w:rPr>
                <w:color w:val="000000" w:themeColor="text1"/>
              </w:rPr>
            </w:pPr>
            <w:r>
              <w:rPr>
                <w:rFonts w:ascii="Arial" w:hAnsi="Arial" w:eastAsia="Arial" w:cs="Arial"/>
                <w:color w:val="000000" w:themeColor="text1"/>
                <w:sz w:val="21"/>
              </w:rPr>
              <w:t xml:space="preserve">Is there a green/black box artefact?</w:t>
            </w:r>
            <w:r>
              <w:rPr>
                <w:color w:val="000000" w:themeColor="text1"/>
              </w:rPr>
            </w:r>
            <w:r>
              <w:rPr>
                <w:color w:val="000000" w:themeColor="text1"/>
              </w:rPr>
            </w:r>
          </w:p>
        </w:tc>
        <w:tc>
          <w:tcPr>
            <w:tcBorders/>
            <w:tcW w:w="2160" w:type="dxa"/>
            <w:textDirection w:val="lrTb"/>
            <w:noWrap w:val="false"/>
          </w:tcPr>
          <w:p w14:paraId="283B24BB">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5B3F95D">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c>
          <w:tcPr>
            <w:tcBorders/>
            <w:tcW w:w="2160" w:type="dxa"/>
            <w:textDirection w:val="lrTb"/>
            <w:noWrap w:val="false"/>
          </w:tcPr>
          <w:p w14:paraId="44BC4FA4">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r>
      <w:tr>
        <w:trPr/>
        <w:tc>
          <w:tcPr>
            <w:tcBorders/>
            <w:tcW w:w="2160" w:type="dxa"/>
            <w:textDirection w:val="lrTb"/>
            <w:noWrap w:val="false"/>
          </w:tcPr>
          <w:p w14:paraId="16D500B0">
            <w:pPr>
              <w:pBdr/>
              <w:spacing w:after="0" w:before="0" w:line="240" w:lineRule="auto"/>
              <w:ind/>
              <w:rPr>
                <w:color w:val="000000" w:themeColor="text1"/>
              </w:rPr>
            </w:pPr>
            <w:r>
              <w:rPr>
                <w:rFonts w:ascii="Arial" w:hAnsi="Arial" w:eastAsia="Arial" w:cs="Arial"/>
                <w:color w:val="000000" w:themeColor="text1"/>
                <w:sz w:val="21"/>
              </w:rPr>
              <w:t xml:space="preserve">Are there any instruments in the image?</w:t>
            </w:r>
            <w:r>
              <w:rPr>
                <w:color w:val="000000" w:themeColor="text1"/>
              </w:rPr>
            </w:r>
            <w:r>
              <w:rPr>
                <w:color w:val="000000" w:themeColor="text1"/>
              </w:rPr>
            </w:r>
          </w:p>
        </w:tc>
        <w:tc>
          <w:tcPr>
            <w:tcBorders/>
            <w:tcW w:w="2160" w:type="dxa"/>
            <w:textDirection w:val="lrTb"/>
            <w:noWrap w:val="false"/>
          </w:tcPr>
          <w:p w14:paraId="032BB3E9">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39023C36">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c>
          <w:tcPr>
            <w:tcBorders/>
            <w:tcW w:w="2160" w:type="dxa"/>
            <w:textDirection w:val="lrTb"/>
            <w:noWrap w:val="false"/>
          </w:tcPr>
          <w:p w14:paraId="79947817">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r>
      <w:tr>
        <w:trPr/>
        <w:tc>
          <w:tcPr>
            <w:tcBorders/>
            <w:tcW w:w="2160" w:type="dxa"/>
            <w:textDirection w:val="lrTb"/>
            <w:noWrap w:val="false"/>
          </w:tcPr>
          <w:p w14:paraId="5030BC32">
            <w:pPr>
              <w:pBdr/>
              <w:spacing w:after="0" w:before="0" w:line="240" w:lineRule="auto"/>
              <w:ind/>
              <w:rPr>
                <w:color w:val="000000" w:themeColor="text1"/>
              </w:rPr>
            </w:pPr>
            <w:r>
              <w:rPr>
                <w:rFonts w:ascii="Arial" w:hAnsi="Arial" w:eastAsia="Arial" w:cs="Arial"/>
                <w:color w:val="000000" w:themeColor="text1"/>
                <w:sz w:val="21"/>
              </w:rPr>
              <w:t xml:space="preserve">Where in the image is the abnormality?</w:t>
            </w:r>
            <w:r>
              <w:rPr>
                <w:color w:val="000000" w:themeColor="text1"/>
              </w:rPr>
            </w:r>
            <w:r>
              <w:rPr>
                <w:color w:val="000000" w:themeColor="text1"/>
              </w:rPr>
            </w:r>
          </w:p>
        </w:tc>
        <w:tc>
          <w:tcPr>
            <w:tcBorders/>
            <w:tcW w:w="2160" w:type="dxa"/>
            <w:textDirection w:val="lrTb"/>
            <w:noWrap w:val="false"/>
          </w:tcPr>
          <w:p w14:paraId="3630002A">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709F54B">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c>
          <w:tcPr>
            <w:tcBorders/>
            <w:tcW w:w="2160" w:type="dxa"/>
            <w:textDirection w:val="lrTb"/>
            <w:noWrap w:val="false"/>
          </w:tcPr>
          <w:p w14:paraId="177B55D0">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r>
      <w:tr>
        <w:trPr/>
        <w:tc>
          <w:tcPr>
            <w:tcBorders/>
            <w:tcW w:w="2160" w:type="dxa"/>
            <w:textDirection w:val="lrTb"/>
            <w:noWrap w:val="false"/>
          </w:tcPr>
          <w:p w14:paraId="7A3DFC21">
            <w:pPr>
              <w:pBdr/>
              <w:spacing w:after="0" w:before="0" w:line="240" w:lineRule="auto"/>
              <w:ind/>
              <w:rPr>
                <w:color w:val="000000" w:themeColor="text1"/>
              </w:rPr>
            </w:pPr>
            <w:r>
              <w:rPr>
                <w:rFonts w:ascii="Arial" w:hAnsi="Arial" w:eastAsia="Arial" w:cs="Arial"/>
                <w:color w:val="000000" w:themeColor="text1"/>
                <w:sz w:val="21"/>
              </w:rPr>
              <w:t xml:space="preserve">What color is the abnormality?</w:t>
            </w:r>
            <w:r>
              <w:rPr>
                <w:color w:val="000000" w:themeColor="text1"/>
              </w:rPr>
            </w:r>
            <w:r>
              <w:rPr>
                <w:color w:val="000000" w:themeColor="text1"/>
              </w:rPr>
            </w:r>
          </w:p>
        </w:tc>
        <w:tc>
          <w:tcPr>
            <w:tcBorders/>
            <w:tcW w:w="2160" w:type="dxa"/>
            <w:textDirection w:val="lrTb"/>
            <w:noWrap w:val="false"/>
          </w:tcPr>
          <w:p w14:paraId="5279457E">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52C78849">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c>
          <w:tcPr>
            <w:tcBorders/>
            <w:tcW w:w="2160" w:type="dxa"/>
            <w:textDirection w:val="lrTb"/>
            <w:noWrap w:val="false"/>
          </w:tcPr>
          <w:p w14:paraId="2304028D">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r>
      <w:tr>
        <w:trPr/>
        <w:tc>
          <w:tcPr>
            <w:tcBorders/>
            <w:tcW w:w="2160" w:type="dxa"/>
            <w:textDirection w:val="lrTb"/>
            <w:noWrap w:val="false"/>
          </w:tcPr>
          <w:p w14:paraId="623B75A8">
            <w:pPr>
              <w:pBdr/>
              <w:spacing w:after="0" w:before="0" w:line="240" w:lineRule="auto"/>
              <w:ind/>
              <w:rPr>
                <w:color w:val="000000" w:themeColor="text1"/>
              </w:rPr>
            </w:pPr>
            <w:r>
              <w:rPr>
                <w:rFonts w:ascii="Arial" w:hAnsi="Arial" w:eastAsia="Arial" w:cs="Arial"/>
                <w:color w:val="000000" w:themeColor="text1"/>
                <w:sz w:val="21"/>
              </w:rPr>
              <w:t xml:space="preserve">How many polyps are in the image?</w:t>
            </w:r>
            <w:r>
              <w:rPr>
                <w:color w:val="000000" w:themeColor="text1"/>
              </w:rPr>
            </w:r>
            <w:r>
              <w:rPr>
                <w:color w:val="000000" w:themeColor="text1"/>
              </w:rPr>
            </w:r>
          </w:p>
        </w:tc>
        <w:tc>
          <w:tcPr>
            <w:tcBorders/>
            <w:tcW w:w="2160" w:type="dxa"/>
            <w:textDirection w:val="lrTb"/>
            <w:noWrap w:val="false"/>
          </w:tcPr>
          <w:p w14:paraId="4C9C4C80">
            <w:pPr>
              <w:pBdr/>
              <w:spacing w:after="0" w:before="0" w:line="240" w:lineRule="auto"/>
              <w:ind/>
              <w:jc w:val="right"/>
              <w:rPr>
                <w:color w:val="000000" w:themeColor="text1"/>
              </w:rPr>
            </w:pPr>
            <w:r>
              <w:rPr>
                <w:rFonts w:ascii="Arial" w:hAnsi="Arial" w:eastAsia="Arial" w:cs="Arial"/>
                <w:color w:val="000000" w:themeColor="text1"/>
                <w:sz w:val="21"/>
              </w:rPr>
              <w:t xml:space="preserve">0.0025</w:t>
            </w:r>
            <w:r>
              <w:rPr>
                <w:color w:val="000000" w:themeColor="text1"/>
              </w:rPr>
            </w:r>
            <w:r>
              <w:rPr>
                <w:color w:val="000000" w:themeColor="text1"/>
              </w:rPr>
            </w:r>
          </w:p>
        </w:tc>
        <w:tc>
          <w:tcPr>
            <w:tcBorders/>
            <w:tcW w:w="2160" w:type="dxa"/>
            <w:textDirection w:val="lrTb"/>
            <w:noWrap w:val="false"/>
          </w:tcPr>
          <w:p w14:paraId="0406EF4D">
            <w:pPr>
              <w:pBdr/>
              <w:spacing w:after="0" w:before="0" w:line="240" w:lineRule="auto"/>
              <w:ind/>
              <w:jc w:val="right"/>
              <w:rPr>
                <w:color w:val="000000" w:themeColor="text1"/>
              </w:rPr>
            </w:pPr>
            <w:r>
              <w:rPr>
                <w:rFonts w:ascii="Arial" w:hAnsi="Arial" w:eastAsia="Arial" w:cs="Arial"/>
                <w:color w:val="000000" w:themeColor="text1"/>
                <w:sz w:val="21"/>
              </w:rPr>
              <w:t xml:space="preserve">0.0600</w:t>
            </w:r>
            <w:r>
              <w:rPr>
                <w:color w:val="000000" w:themeColor="text1"/>
              </w:rPr>
            </w:r>
            <w:r>
              <w:rPr>
                <w:color w:val="000000" w:themeColor="text1"/>
              </w:rPr>
            </w:r>
          </w:p>
        </w:tc>
        <w:tc>
          <w:tcPr>
            <w:tcBorders/>
            <w:tcW w:w="2160" w:type="dxa"/>
            <w:textDirection w:val="lrTb"/>
            <w:noWrap w:val="false"/>
          </w:tcPr>
          <w:p w14:paraId="34B76607">
            <w:pPr>
              <w:pBdr/>
              <w:spacing w:after="0" w:before="0" w:line="240" w:lineRule="auto"/>
              <w:ind/>
              <w:jc w:val="right"/>
              <w:rPr>
                <w:color w:val="000000" w:themeColor="text1"/>
              </w:rPr>
            </w:pPr>
            <w:r>
              <w:rPr>
                <w:rFonts w:ascii="Arial" w:hAnsi="Arial" w:eastAsia="Arial" w:cs="Arial"/>
                <w:color w:val="000000" w:themeColor="text1"/>
                <w:sz w:val="21"/>
              </w:rPr>
              <w:t xml:space="preserve">+0.0575</w:t>
            </w:r>
            <w:r>
              <w:rPr>
                <w:color w:val="000000" w:themeColor="text1"/>
              </w:rPr>
            </w:r>
            <w:r>
              <w:rPr>
                <w:color w:val="000000" w:themeColor="text1"/>
              </w:rPr>
            </w:r>
          </w:p>
        </w:tc>
      </w:tr>
    </w:tbl>
    <w:p w14:paraId="4069DEF9">
      <w:pPr>
        <w:pStyle w:val="1056"/>
        <w:suppressLineNumbers w:val="false"/>
        <w:pBdr/>
        <w:spacing w:line="300" w:lineRule="auto"/>
        <w:ind w:firstLine="0" w:left="0"/>
        <w:rPr>
          <w:bCs/>
          <w:i/>
          <w:highlight w:val="none"/>
          <w:lang w:val="en-US"/>
        </w:rPr>
      </w:pPr>
      <w:r>
        <w:rPr>
          <w:i/>
          <w:iCs/>
          <w:lang w:val="en-US"/>
        </w:rPr>
        <w:t xml:space="preserve">         Table </w:t>
      </w:r>
      <w:r>
        <w:rPr>
          <w:i/>
          <w:iCs/>
          <w:lang w:val="en-US"/>
        </w:rPr>
        <w:t xml:space="preserve">3.11. Largest Qwen Lexical-Projection Gains (Validation Accuracy)</w:t>
      </w:r>
      <w:r>
        <w:rPr>
          <w:bCs/>
          <w:i/>
          <w:highlight w:val="none"/>
          <w:lang w:val="en-US"/>
        </w:rPr>
      </w:r>
      <w:r>
        <w:rPr>
          <w:bCs/>
          <w:i/>
          <w:highlight w:val="none"/>
          <w:lang w:val="en-US"/>
        </w:rPr>
      </w:r>
    </w:p>
    <w:p w14:paraId="09E5FCDC">
      <w:pPr>
        <w:pStyle w:val="1056"/>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hese examples show that deterministic mapping can substantially improve measurable label accuracy for specific prompts, suggesting that the raw outputs sometimes contain recoverable information that is not expressed in the expected label form. However, as </w:t>
      </w:r>
      <w:r>
        <w:rPr>
          <w:rFonts w:ascii="Arial" w:hAnsi="Arial" w:cs="Arial"/>
          <w:color w:val="000000" w:themeColor="text1"/>
        </w:rPr>
        <w:t xml:space="preserve">e</w:t>
      </w:r>
      <w:r>
        <w:rPr>
          <w:rFonts w:ascii="Arial" w:hAnsi="Arial" w:cs="Arial"/>
          <w:color w:val="000000" w:themeColor="text1"/>
        </w:rPr>
        <w:t xml:space="preserve">mphasized in Section 3.3, projection remains a diagnostic and can overestimate correctness when matches are shallow or purely lexical. The key reliability result for this chapter is therefore the persistent gap in Table 3.9 and Table 3.10: even after proje</w:t>
      </w:r>
      <w:r>
        <w:rPr>
          <w:rFonts w:ascii="Arial" w:hAnsi="Arial" w:cs="Arial"/>
          <w:color w:val="000000" w:themeColor="text1"/>
        </w:rPr>
        <w:t xml:space="preserve">ction, zero-shot outputs remain far below a fine-tuned closed-label baseline across major question families.</w:t>
      </w:r>
      <w:r>
        <w:rPr>
          <w:rFonts w:ascii="Arial" w:hAnsi="Arial" w:cs="Arial"/>
          <w:color w:val="000000" w:themeColor="text1"/>
        </w:rPr>
      </w:r>
      <w:r/>
    </w:p>
    <w:p w14:paraId="741852E7">
      <w:pPr>
        <w:pStyle w:val="1056"/>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L</w:t>
      </w:r>
      <w:r>
        <w:rPr>
          <w:rFonts w:ascii="Arial" w:hAnsi="Arial" w:cs="Arial"/>
          <w:color w:val="000000" w:themeColor="text1"/>
        </w:rPr>
        <w:t xml:space="preserve">imitations and implications. This subsection compares a fine-tuned transformer baseline to one zero-shot model under the persisted evaluation configuration. It does not claim universal generalization to all VLMs or all GI datasets. Moreover, because paired</w:t>
      </w:r>
      <w:r>
        <w:rPr>
          <w:rFonts w:ascii="Arial" w:hAnsi="Arial" w:cs="Arial"/>
          <w:color w:val="000000" w:themeColor="text1"/>
        </w:rPr>
        <w:t xml:space="preserve"> </w:t>
      </w:r>
      <w:r>
        <w:rPr>
          <w:rFonts w:ascii="Arial" w:hAnsi="Arial" w:cs="Arial"/>
          <w:color w:val="000000" w:themeColor="text1"/>
        </w:rPr>
        <w:t xml:space="preserve">statistical tests are not reported for this dataset in the included tables, this chapter avoids “significance” wording here and interprets differences as large observed gaps under the available evidence. The practical implication is that for label-ID GI VQ</w:t>
      </w:r>
      <w:r>
        <w:rPr>
          <w:rFonts w:ascii="Arial" w:hAnsi="Arial" w:cs="Arial"/>
          <w:color w:val="000000" w:themeColor="text1"/>
        </w:rPr>
        <w:t xml:space="preserve">A settings, reliable performance requires answer-space governance (constrained decoding, ontology compliance) and likely supervision or adaptation; these conclusions motivate the controlled generative design decisions introduced in Chapter 4.</w:t>
      </w:r>
      <w:r>
        <w:rPr>
          <w:rFonts w:ascii="Arial" w:hAnsi="Arial" w:cs="Arial"/>
          <w:color w:val="000000" w:themeColor="text1"/>
        </w:rPr>
      </w:r>
      <w:r>
        <w:rPr>
          <w:rFonts w:ascii="Arial" w:hAnsi="Arial" w:cs="Arial"/>
          <w:color w:val="000000" w:themeColor="text1"/>
        </w:rPr>
      </w:r>
    </w:p>
    <w:p w14:paraId="721CD9AD">
      <w:pPr>
        <w:pStyle w:val="1056"/>
        <w:suppressLineNumbers w:val="false"/>
        <w:pBdr/>
        <w:spacing w:line="300" w:lineRule="auto"/>
        <w:ind w:firstLine="0"/>
        <w:rPr>
          <w:b/>
          <w:bCs/>
        </w:rPr>
      </w:pPr>
      <w:r>
        <w:rPr>
          <w:rFonts w:ascii="Arial" w:hAnsi="Arial" w:cs="Arial"/>
          <w:b/>
          <w:bCs/>
          <w:color w:val="000000" w:themeColor="text1"/>
        </w:rPr>
        <w:t xml:space="preserve">3.4.3 Kvasir-VQA: Subset Reliability and Answer-Format Stability</w:t>
      </w:r>
      <w:r>
        <w:rPr>
          <w:b/>
          <w:bCs/>
        </w:rPr>
      </w:r>
      <w:r>
        <w:rPr>
          <w:b/>
          <w:bCs/>
        </w:rPr>
      </w:r>
    </w:p>
    <w:p w14:paraId="2BD1A01A">
      <w:pPr>
        <w:pStyle w:val="1056"/>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K</w:t>
      </w:r>
      <w:r>
        <w:rPr>
          <w:rFonts w:ascii="Arial" w:hAnsi="Arial" w:cs="Arial"/>
          <w:color w:val="000000" w:themeColor="text1"/>
        </w:rPr>
        <w:t xml:space="preserve">vasir-VQA is a colonoscopy-oriented VQA resource and is central to the supervisor-directed empirical pathway for this dissertation</w:t>
      </w:r>
      <w:r>
        <w:rPr>
          <w:rFonts w:ascii="Arial" w:hAnsi="Arial" w:cs="Arial"/>
          <w:color w:val="000000" w:themeColor="text1"/>
          <w:lang w:val="en-US"/>
        </w:rPr>
        <w:t xml:space="preserve">[52], [68]</w:t>
      </w:r>
      <w:r>
        <w:rPr>
          <w:rFonts w:ascii="Arial" w:hAnsi="Arial" w:cs="Arial"/>
          <w:color w:val="000000" w:themeColor="text1"/>
        </w:rPr>
        <w:t xml:space="preserve">. The persisted artifacts available for this chapter include (i) structured subset evaluations for yes/no and attribute-style </w:t>
      </w:r>
      <w:r>
        <w:rPr>
          <w:rFonts w:ascii="Arial" w:hAnsi="Arial" w:cs="Arial"/>
          <w:color w:val="000000" w:themeColor="text1"/>
        </w:rPr>
        <w:t xml:space="preserve">q</w:t>
      </w:r>
      <w:r>
        <w:rPr>
          <w:rFonts w:ascii="Arial" w:hAnsi="Arial" w:cs="Arial"/>
          <w:color w:val="000000" w:themeColor="text1"/>
        </w:rPr>
        <w:t xml:space="preserve">uestions and (ii) a reformatted phase-3 generative snapshot intended to capture runtime status</w:t>
      </w:r>
      <w:r>
        <w:rPr>
          <w:rFonts w:ascii="Arial" w:hAnsi="Arial" w:cs="Arial"/>
          <w:color w:val="000000" w:themeColor="text1"/>
          <w:lang w:val="en-US"/>
        </w:rPr>
        <w:t xml:space="preserve">[73]</w:t>
      </w:r>
      <w:r>
        <w:rPr>
          <w:rFonts w:ascii="Arial" w:hAnsi="Arial" w:cs="Arial"/>
          <w:color w:val="000000" w:themeColor="text1"/>
        </w:rPr>
        <w:t xml:space="preserve">. This subsection focuses on two reliability themes relevant to GI MedVQA: (1) how strong constrained/fusion pipelines can be on structured question families, and</w:t>
      </w:r>
      <w:r>
        <w:rPr>
          <w:rFonts w:ascii="Arial" w:hAnsi="Arial" w:cs="Arial"/>
          <w:color w:val="000000" w:themeColor="text1"/>
        </w:rPr>
        <w:t xml:space="preserve"> (2) how fragile unconstrained generation can become when output format is not governed.</w:t>
      </w:r>
      <w:r>
        <w:rPr>
          <w:rFonts w:ascii="Arial" w:hAnsi="Arial" w:cs="Arial"/>
          <w:color w:val="000000" w:themeColor="text1"/>
        </w:rPr>
      </w:r>
      <w:r>
        <w:rPr>
          <w:rFonts w:ascii="Arial" w:hAnsi="Arial" w:cs="Arial"/>
          <w:color w:val="000000" w:themeColor="text1"/>
        </w:rPr>
      </w:r>
    </w:p>
    <w:p w14:paraId="7E395024">
      <w:pPr>
        <w:pStyle w:val="1056"/>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13"/>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42D2FE1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2521D6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76F8D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0CE0F6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CDFF4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ABE2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B19E4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Unknown rate</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5DBF3F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B054C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7FDE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0.986456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BA2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0.973673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CF4D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0.964953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B01115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0.930163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17A95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4DA101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0BA6B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CA6FB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0.950339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586D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0.906593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E7A415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0.878126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D1C6A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0.759432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AEF82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2AC93E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8B008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A89EB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0.893905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6536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0.509376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78C9F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0.492332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27132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0.086138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EFE628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94959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blip_vqa_base_yesno_forced_choice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FBEB0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12,267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DEB1D2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0.518301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46263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0.514587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E527C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0.502888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3F174E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0.030894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E7B3B4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FF095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blip_vqa_base_yesno_freegen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4FB35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8F36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87B4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D02DA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C9BD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D6C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w:t>
            </w:r>
            <w:r>
              <w:rPr>
                <w:rFonts w:ascii="Arial" w:hAnsi="Arial" w:cs="Arial"/>
                <w:color w:val="000000" w:themeColor="text1"/>
              </w:rPr>
            </w:r>
            <w:r>
              <w:rPr>
                <w:rFonts w:ascii="Arial" w:hAnsi="Arial" w:cs="Arial"/>
                <w:color w:val="000000" w:themeColor="text1"/>
              </w:rPr>
            </w:r>
          </w:p>
        </w:tc>
      </w:tr>
    </w:tbl>
    <w:p w14:paraId="581347D3">
      <w:pPr>
        <w:pStyle w:val="1056"/>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3.12 </w:t>
      </w:r>
      <w:r>
        <w:rPr>
          <w:i/>
          <w:iCs/>
          <w:lang w:val="en-US"/>
        </w:rPr>
        <w:t xml:space="preserve">Kvasir-VQA Yes/No Results</w:t>
      </w:r>
      <w:r>
        <w:rPr>
          <w:bCs/>
          <w:i/>
          <w:highlight w:val="none"/>
          <w:lang w:val="en-US"/>
        </w:rPr>
      </w:r>
      <w:r>
        <w:rPr>
          <w:bCs/>
          <w:i/>
          <w:highlight w:val="none"/>
          <w:lang w:val="en-US"/>
        </w:rPr>
      </w:r>
    </w:p>
    <w:p w14:paraId="323FA4E8">
      <w:pPr>
        <w:pStyle w:val="1056"/>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wo distinct patterns appear. First, constrained fusion models (resnet_gru_m1_yesno, vit_bertlite_m2_yesno) achieve high accuracy and high balanced metrics on this persisted subset, indicating that structured yes/no questions can be handled reliably when th</w:t>
      </w:r>
      <w:r>
        <w:rPr>
          <w:rFonts w:ascii="Arial" w:hAnsi="Arial" w:cs="Arial"/>
          <w:color w:val="000000" w:themeColor="text1"/>
        </w:rPr>
        <w:t xml:space="preserve">e</w:t>
      </w:r>
      <w:r>
        <w:rPr>
          <w:rFonts w:ascii="Arial" w:hAnsi="Arial" w:cs="Arial"/>
          <w:color w:val="000000" w:themeColor="text1"/>
        </w:rPr>
        <w:t xml:space="preserve"> output space is controlled. Second, the zero-shot model (blip2_zeroshot_yesno) achieves high accuracy but near-chance balanced accuracy and low MCC, which is consistent with majority-class bias in an imbalanced yes/no distribution—an example of why macro-</w:t>
      </w:r>
      <w:r>
        <w:rPr>
          <w:rFonts w:ascii="Arial" w:hAnsi="Arial" w:cs="Arial"/>
          <w:color w:val="000000" w:themeColor="text1"/>
        </w:rPr>
        <w:t xml:space="preserve">F</w:t>
      </w:r>
      <w:r>
        <w:rPr>
          <w:rFonts w:ascii="Arial" w:hAnsi="Arial" w:cs="Arial"/>
          <w:color w:val="000000" w:themeColor="text1"/>
        </w:rPr>
        <w:t xml:space="preserve">1, balanced accuracy, and MCC are necessary complements to raw accuracy. Finally, the free-generation variant (blip_vqa_base_yesno_freegen) collapses under this evaluation format with unknown-rate = 1.0, indicating complete answer-format noncompliance unde</w:t>
      </w:r>
      <w:r>
        <w:rPr>
          <w:rFonts w:ascii="Arial" w:hAnsi="Arial" w:cs="Arial"/>
          <w:color w:val="000000" w:themeColor="text1"/>
        </w:rPr>
        <w:t xml:space="preserve">r the persisted scoring rules.</w:t>
      </w:r>
      <w:r>
        <w:rPr>
          <w:rFonts w:ascii="Arial" w:hAnsi="Arial" w:cs="Arial"/>
          <w:color w:val="000000" w:themeColor="text1"/>
        </w:rPr>
      </w:r>
      <w:r/>
    </w:p>
    <w:p w14:paraId="53EF3516">
      <w:pPr>
        <w:pStyle w:val="1056"/>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Table 3.13 reports results for an attribute subset, which is more challenging than yes/no because it typically expands the answer vocabulary and increases ambiguity.</w:t>
      </w:r>
      <w:r>
        <w:rPr>
          <w:rFonts w:ascii="Arial" w:hAnsi="Arial" w:cs="Arial"/>
          <w:color w:val="000000" w:themeColor="text1"/>
        </w:rPr>
      </w:r>
      <w:r>
        <w:rPr>
          <w:rFonts w:ascii="Arial" w:hAnsi="Arial" w:cs="Arial"/>
          <w:color w:val="000000" w:themeColor="text1"/>
        </w:rPr>
      </w:r>
    </w:p>
    <w:p w14:paraId="30B142FD">
      <w:pPr>
        <w:pStyle w:val="1056"/>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tbl>
      <w:tblPr>
        <w:tblStyle w:val="1113"/>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7B224C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795EE7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6524EC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39AFA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6AE3E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9D9447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86A96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C161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0.670455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3560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0.376936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360518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0.367341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3708161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C2789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C2B40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0.656250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A8BC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0.374696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15BE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0.355586</w:t>
            </w:r>
            <w:r>
              <w:rPr>
                <w:rFonts w:ascii="Arial" w:hAnsi="Arial" w:cs="Arial"/>
                <w:color w:val="000000" w:themeColor="text1"/>
              </w:rPr>
            </w:r>
            <w:r>
              <w:rPr>
                <w:rFonts w:ascii="Arial" w:hAnsi="Arial" w:cs="Arial"/>
                <w:color w:val="000000" w:themeColor="text1"/>
              </w:rPr>
            </w:r>
          </w:p>
        </w:tc>
      </w:tr>
    </w:tbl>
    <w:p w14:paraId="57E4D044">
      <w:pPr>
        <w:pStyle w:val="1056"/>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3.13 </w:t>
      </w:r>
      <w:r>
        <w:rPr>
          <w:i/>
          <w:iCs/>
          <w:lang w:val="en-US"/>
        </w:rPr>
        <w:t xml:space="preserve">Kvasir-VQA Attribute Subset</w:t>
      </w:r>
      <w:r>
        <w:rPr>
          <w:bCs/>
          <w:i/>
          <w:highlight w:val="none"/>
          <w:lang w:val="en-US"/>
        </w:rPr>
      </w:r>
      <w:r>
        <w:rPr>
          <w:bCs/>
          <w:i/>
          <w:highlight w:val="none"/>
          <w:lang w:val="en-US"/>
        </w:rPr>
      </w:r>
    </w:p>
    <w:p w14:paraId="67C27618">
      <w:pPr>
        <w:pStyle w:val="1056"/>
        <w:suppressLineNumbers w:val="false"/>
        <w:pBdr/>
        <w:spacing w:line="300" w:lineRule="auto"/>
        <w:ind w:firstLine="0"/>
        <w:rPr/>
      </w:pPr>
      <w:r>
        <w:rPr>
          <w:rFonts w:ascii="Arial" w:hAnsi="Arial" w:eastAsia="Arial" w:cs="Arial"/>
          <w:color w:val="000000" w:themeColor="text1"/>
          <w:highlight w:val="none"/>
        </w:rPr>
        <w:t xml:space="preserve">W</w:t>
      </w:r>
      <w:r>
        <w:rPr>
          <w:rFonts w:ascii="Arial" w:hAnsi="Arial" w:eastAsia="Arial" w:cs="Arial"/>
          <w:color w:val="000000" w:themeColor="text1"/>
          <w:highlight w:val="none"/>
        </w:rPr>
        <w:t xml:space="preserve">hile accuracy remains moderate, balanced accuracy and macro-F1 are substantially lower, indicating that the attribute subset exhibits stronger imbalance and/or class confusability than the yes/no subset. This aligns with the broader reliability view adopte</w:t>
      </w:r>
      <w:r>
        <w:rPr>
          <w:rFonts w:ascii="Arial" w:hAnsi="Arial" w:eastAsia="Arial" w:cs="Arial"/>
          <w:color w:val="000000" w:themeColor="text1"/>
          <w:highlight w:val="none"/>
        </w:rPr>
        <w:t xml:space="preserve">d in this dissertation: even when constrained pipelines perform strongly on a dominant family (yes/no), harder families can remain bottlenecks and require separate analysis rather than extrapolation from the easiest subset.</w:t>
      </w:r>
      <w:r/>
    </w:p>
    <w:p w14:paraId="1AB75AE7">
      <w:pPr>
        <w:pStyle w:val="1056"/>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T</w:t>
      </w:r>
      <w:r>
        <w:rPr>
          <w:rFonts w:ascii="Arial" w:hAnsi="Arial" w:eastAsia="Arial" w:cs="Arial"/>
          <w:color w:val="000000" w:themeColor="text1"/>
          <w:highlight w:val="none"/>
        </w:rPr>
        <w:t xml:space="preserve">his subsection reports subset-level evidence rather than a full Kvasir-VQA benchmark sweep. The yes/no subset (N=443) and the larger forced-choice evaluation (N=12,267) are not directly comparable as a controlled experiment because they differ in evaluatio</w:t>
      </w:r>
      <w:r>
        <w:rPr>
          <w:rFonts w:ascii="Arial" w:hAnsi="Arial" w:eastAsia="Arial" w:cs="Arial"/>
          <w:color w:val="000000" w:themeColor="text1"/>
          <w:highlight w:val="none"/>
        </w:rPr>
        <w:t xml:space="preserve">n</w:t>
      </w:r>
      <w:r>
        <w:rPr>
          <w:rFonts w:ascii="Arial" w:hAnsi="Arial" w:eastAsia="Arial" w:cs="Arial"/>
          <w:color w:val="000000" w:themeColor="text1"/>
          <w:highlight w:val="none"/>
        </w:rPr>
        <w:t xml:space="preserve"> set size and possibly in subset construction. Nevertheless, the reliability message is consistent across the persisted artifacts: (i) constrained/fusion pipelines can be very strong on structured subsets, and (ii) unconstrained generation can collapse und</w:t>
      </w:r>
      <w:r>
        <w:rPr>
          <w:rFonts w:ascii="Arial" w:hAnsi="Arial" w:eastAsia="Arial" w:cs="Arial"/>
          <w:color w:val="000000" w:themeColor="text1"/>
          <w:highlight w:val="none"/>
        </w:rPr>
        <w:t xml:space="preserve">e</w:t>
      </w:r>
      <w:r>
        <w:rPr>
          <w:rFonts w:ascii="Arial" w:hAnsi="Arial" w:eastAsia="Arial" w:cs="Arial"/>
          <w:color w:val="000000" w:themeColor="text1"/>
          <w:highlight w:val="none"/>
        </w:rPr>
        <w:t xml:space="preserve">r closed-label evaluation due to answer-format instability. These results motivate the design stance used in subsequent chapters: preserve constrained pathways for high-reliability sub-questions and introduce generative answering only under explicit output</w:t>
      </w:r>
      <w:r>
        <w:rPr>
          <w:rFonts w:ascii="Arial" w:hAnsi="Arial" w:eastAsia="Arial" w:cs="Arial"/>
          <w:color w:val="000000" w:themeColor="text1"/>
          <w:highlight w:val="none"/>
        </w:rPr>
        <w:t xml:space="preserve"> governance (constraints, mapping, or abstention behavior).</w:t>
      </w:r>
      <w:r>
        <w:rPr>
          <w:rFonts w:ascii="Arial" w:hAnsi="Arial" w:eastAsia="Arial" w:cs="Arial"/>
          <w:color w:val="000000" w:themeColor="text1"/>
          <w:highlight w:val="none"/>
        </w:rPr>
      </w:r>
      <w:r/>
    </w:p>
    <w:p w14:paraId="42B139AD">
      <w:pPr>
        <w:pStyle w:val="1056"/>
        <w:suppressLineNumbers w:val="false"/>
        <w:pBdr/>
        <w:spacing w:line="300" w:lineRule="auto"/>
        <w:ind w:firstLine="0"/>
        <w:rPr>
          <w:b/>
          <w:bCs/>
        </w:rPr>
      </w:pPr>
      <w:r>
        <w:rPr>
          <w:rFonts w:ascii="Arial" w:hAnsi="Arial" w:eastAsia="Arial" w:cs="Arial"/>
          <w:b/>
          <w:bCs/>
          <w:color w:val="000000" w:themeColor="text1"/>
        </w:rPr>
        <w:t xml:space="preserve">3.4.4 Kvasir-VQA-x1: Large-Scale Generative Reasoning Benchmark</w:t>
      </w:r>
      <w:r>
        <w:rPr>
          <w:b/>
          <w:bCs/>
        </w:rPr>
      </w:r>
      <w:r>
        <w:rPr>
          <w:b/>
          <w:bCs/>
        </w:rPr>
      </w:r>
    </w:p>
    <w:p w14:paraId="72362C82">
      <w:pPr>
        <w:pStyle w:val="1056"/>
        <w:suppressLineNumbers w:val="false"/>
        <w:pBdr/>
        <w:spacing w:line="300" w:lineRule="auto"/>
        <w:ind w:firstLine="0"/>
        <w:rPr/>
      </w:pPr>
      <w:r>
        <w:rPr>
          <w:rFonts w:ascii="Arial" w:hAnsi="Arial" w:eastAsia="Arial" w:cs="Arial"/>
          <w:color w:val="000000" w:themeColor="text1"/>
          <w:highlight w:val="none"/>
        </w:rPr>
        <w:t xml:space="preserve">K</w:t>
      </w:r>
      <w:r>
        <w:rPr>
          <w:rFonts w:ascii="Arial" w:hAnsi="Arial" w:eastAsia="Arial" w:cs="Arial"/>
          <w:color w:val="000000" w:themeColor="text1"/>
          <w:highlight w:val="none"/>
        </w:rPr>
        <w:t xml:space="preserve">vasir-VQA-x1 is the largest QA setting used in this thesis repository evidence and serves as the strongest stress test for open-ended generative answering under increased question variety and difficulty</w:t>
      </w:r>
      <w:r>
        <w:rPr>
          <w:rFonts w:ascii="Arial" w:hAnsi="Arial" w:eastAsia="Arial" w:cs="Arial"/>
          <w:color w:val="000000" w:themeColor="text1"/>
          <w:highlight w:val="none"/>
          <w:lang w:val="en-US"/>
        </w:rPr>
        <w:t xml:space="preserve">[53], [69]</w:t>
      </w:r>
      <w:r>
        <w:rPr>
          <w:rFonts w:ascii="Arial" w:hAnsi="Arial" w:eastAsia="Arial" w:cs="Arial"/>
          <w:color w:val="000000" w:themeColor="text1"/>
          <w:highlight w:val="none"/>
        </w:rPr>
        <w:t xml:space="preserve">. Unlike closed-label tasks (where answers are selecte</w:t>
      </w:r>
      <w:r>
        <w:rPr>
          <w:rFonts w:ascii="Arial" w:hAnsi="Arial" w:eastAsia="Arial" w:cs="Arial"/>
          <w:color w:val="000000" w:themeColor="text1"/>
          <w:highlight w:val="none"/>
        </w:rPr>
        <w:t xml:space="preserve">d</w:t>
      </w:r>
      <w:r>
        <w:rPr>
          <w:rFonts w:ascii="Arial" w:hAnsi="Arial" w:eastAsia="Arial" w:cs="Arial"/>
          <w:color w:val="000000" w:themeColor="text1"/>
          <w:highlight w:val="none"/>
        </w:rPr>
        <w:t xml:space="preserve"> from a fixed ontology), Kvasir-VQA-x1 evaluates free-text generation. As a result, reliability in this setting depends not only on underlying visual reasoning, but also on answer-format stability, lexical normalization, and ontology alignment—all of which</w:t>
      </w:r>
      <w:r>
        <w:rPr>
          <w:rFonts w:ascii="Arial" w:hAnsi="Arial" w:eastAsia="Arial" w:cs="Arial"/>
          <w:color w:val="000000" w:themeColor="text1"/>
          <w:highlight w:val="none"/>
        </w:rPr>
        <w:t xml:space="preserve"> can fail even when a model produces plausible text.</w:t>
      </w:r>
      <w:r>
        <w:rPr>
          <w:rFonts w:ascii="Arial" w:hAnsi="Arial" w:eastAsia="Arial" w:cs="Arial"/>
          <w:color w:val="000000" w:themeColor="text1"/>
          <w:highlight w:val="none"/>
        </w:rPr>
      </w:r>
      <w:r/>
    </w:p>
    <w:p w14:paraId="046DD09A">
      <w:pPr>
        <w:pStyle w:val="1056"/>
        <w:suppressLineNumbers w:val="false"/>
        <w:pBdr/>
        <w:spacing w:line="300" w:lineRule="auto"/>
        <w:ind w:firstLine="0"/>
        <w:rPr/>
      </w:pPr>
      <w:r>
        <w:rPr>
          <w:rFonts w:ascii="Arial" w:hAnsi="Arial" w:eastAsia="Arial" w:cs="Arial"/>
          <w:color w:val="000000" w:themeColor="text1"/>
          <w:highlight w:val="none"/>
        </w:rPr>
        <w:t xml:space="preserve">This subsection reports three complementary views of behavior:</w:t>
      </w:r>
      <w:r>
        <w:rPr>
          <w:rFonts w:ascii="Arial" w:hAnsi="Arial" w:eastAsia="Arial" w:cs="Arial"/>
          <w:color w:val="000000" w:themeColor="text1"/>
          <w:highlight w:val="none"/>
        </w:rPr>
      </w:r>
      <w:r/>
    </w:p>
    <w:p w14:paraId="45D42765">
      <w:pPr>
        <w:pStyle w:val="1056"/>
        <w:numPr>
          <w:ilvl w:val="0"/>
          <w:numId w:val="71"/>
        </w:numPr>
        <w:suppressLineNumbers w:val="false"/>
        <w:pBdr/>
        <w:spacing w:line="300" w:lineRule="auto"/>
        <w:ind/>
        <w:rPr/>
      </w:pPr>
      <w:r>
        <w:rPr>
          <w:rFonts w:ascii="Arial" w:hAnsi="Arial" w:eastAsia="Arial" w:cs="Arial"/>
          <w:b/>
          <w:bCs/>
          <w:color w:val="000000" w:themeColor="text1"/>
          <w:highlight w:val="none"/>
        </w:rPr>
        <w:t xml:space="preserve">Generative overlap diagnostics</w:t>
      </w:r>
      <w:r>
        <w:rPr>
          <w:rFonts w:ascii="Arial" w:hAnsi="Arial" w:eastAsia="Arial" w:cs="Arial"/>
          <w:color w:val="000000" w:themeColor="text1"/>
          <w:highlight w:val="none"/>
        </w:rPr>
        <w:t xml:space="preserve"> quantify lexical similarity between generated text and references under the evaluation conventions used in the persisted artifacts.</w:t>
      </w:r>
      <w:r>
        <w:rPr>
          <w:rFonts w:ascii="Arial" w:hAnsi="Arial" w:eastAsia="Arial" w:cs="Arial"/>
          <w:color w:val="000000" w:themeColor="text1"/>
          <w:highlight w:val="none"/>
        </w:rPr>
      </w:r>
      <w:r/>
    </w:p>
    <w:p w14:paraId="328EFE62">
      <w:pPr>
        <w:pStyle w:val="1056"/>
        <w:numPr>
          <w:ilvl w:val="0"/>
          <w:numId w:val="71"/>
        </w:numPr>
        <w:suppressLineNumbers w:val="false"/>
        <w:pBdr/>
        <w:spacing w:line="300" w:lineRule="auto"/>
        <w:ind/>
        <w:rPr/>
      </w:pPr>
      <w:r>
        <w:rPr>
          <w:rFonts w:ascii="Arial" w:hAnsi="Arial" w:eastAsia="Arial" w:cs="Arial"/>
          <w:b/>
          <w:bCs/>
          <w:color w:val="000000" w:themeColor="text1"/>
          <w:highlight w:val="none"/>
        </w:rPr>
        <w:t xml:space="preserve">Closed-set style diagnostics and baselines</w:t>
      </w:r>
      <w:r>
        <w:rPr>
          <w:rFonts w:ascii="Arial" w:hAnsi="Arial" w:eastAsia="Arial" w:cs="Arial"/>
          <w:color w:val="000000" w:themeColor="text1"/>
          <w:highlight w:val="none"/>
        </w:rPr>
        <w:t xml:space="preserve"> illustrate how mapping and answer-space governance can affect apparent performance, including failure patterns such as high OOV (out-of-vocabulary) or unknown mapping rates.</w:t>
      </w:r>
      <w:r>
        <w:rPr>
          <w:rFonts w:ascii="Arial" w:hAnsi="Arial" w:eastAsia="Arial" w:cs="Arial"/>
          <w:color w:val="000000" w:themeColor="text1"/>
          <w:highlight w:val="none"/>
        </w:rPr>
      </w:r>
      <w:r/>
    </w:p>
    <w:p w14:paraId="694C43ED">
      <w:pPr>
        <w:pStyle w:val="1056"/>
        <w:numPr>
          <w:ilvl w:val="0"/>
          <w:numId w:val="71"/>
        </w:numPr>
        <w:suppressLineNumbers w:val="false"/>
        <w:pBdr/>
        <w:spacing w:line="300" w:lineRule="auto"/>
        <w:ind/>
        <w:rPr/>
      </w:pPr>
      <w:r>
        <w:rPr>
          <w:rFonts w:ascii="Arial" w:hAnsi="Arial" w:eastAsia="Arial" w:cs="Arial"/>
          <w:b/>
          <w:bCs/>
          <w:color w:val="000000" w:themeColor="text1"/>
          <w:highlight w:val="none"/>
        </w:rPr>
        <w:t xml:space="preserve">Complexity-level breakdown</w:t>
      </w:r>
      <w:r>
        <w:rPr>
          <w:rFonts w:ascii="Arial" w:hAnsi="Arial" w:eastAsia="Arial" w:cs="Arial"/>
          <w:color w:val="000000" w:themeColor="text1"/>
          <w:highlight w:val="none"/>
        </w:rPr>
        <w:t xml:space="preserve"> provides a descriptive diagnostic of how token-level overlap varies with question complexity (as recorded in the persisted summaries).</w:t>
      </w:r>
      <w:r>
        <w:rPr>
          <w:rFonts w:ascii="Arial" w:hAnsi="Arial" w:eastAsia="Arial" w:cs="Arial"/>
          <w:color w:val="000000" w:themeColor="text1"/>
          <w:highlight w:val="none"/>
        </w:rPr>
      </w:r>
      <w:r/>
    </w:p>
    <w:p w14:paraId="6116C2D9">
      <w:pPr>
        <w:pStyle w:val="1056"/>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Generative overlap and adaptation effects</w:t>
      </w:r>
      <w:r>
        <w:rPr>
          <w:rFonts w:ascii="Arial" w:hAnsi="Arial" w:eastAsia="Arial" w:cs="Arial"/>
          <w:color w:val="000000" w:themeColor="text1"/>
          <w:highlight w:val="none"/>
        </w:rPr>
      </w:r>
      <w:r/>
    </w:p>
    <w:tbl>
      <w:tblPr>
        <w:tblStyle w:val="1113"/>
        <w:tblW w:w="0" w:type="auto"/>
        <w:tblBorders/>
        <w:tblLook w:val="04A0" w:firstRow="1" w:lastRow="0" w:firstColumn="1" w:lastColumn="0" w:noHBand="0" w:noVBand="1"/>
      </w:tblPr>
      <w:tblGrid>
        <w:gridCol w:w="1080"/>
        <w:gridCol w:w="1080"/>
        <w:gridCol w:w="1080"/>
        <w:gridCol w:w="1080"/>
        <w:gridCol w:w="1080"/>
        <w:gridCol w:w="1080"/>
        <w:gridCol w:w="1080"/>
        <w:gridCol w:w="1080"/>
      </w:tblGrid>
      <w:tr>
        <w:trPr/>
        <w:tc>
          <w:tcPr>
            <w:tcBorders/>
            <w:tcW w:w="1080" w:type="dxa"/>
            <w:textDirection w:val="lrTb"/>
            <w:noWrap w:val="false"/>
          </w:tcPr>
          <w:p w14:paraId="796E18C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84BB5D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EM</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E9EA32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Token-F1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D73B27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ANLS</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261477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BLEU</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05CEB0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ROUGE-L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65531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METEOR</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92EFE1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Count</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7B92500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medgemma_lora_original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C542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904BD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0.508473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4CC75F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0.340755</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1D79AF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ED05C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F7692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90AFA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2B2C831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E642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0.000063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0FDC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0.213080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82D96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0.017498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F1BFF0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0.033341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054D7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0.158501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3ECE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0.141180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A149F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32FE8BC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FEFC5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A9CB7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0.212437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3E72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0.007032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5EE9C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0.025760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5479B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0.163942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8F187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0.150097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3FA593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154223E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9F57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E5CD5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0.172788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CEF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F0078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0.017084</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7174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0.123496</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32D5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0.187288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BCFDA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bl>
    <w:p w14:paraId="08D2CB17">
      <w:pPr>
        <w:pStyle w:val="1056"/>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3.14 </w:t>
      </w:r>
      <w:r>
        <w:rPr>
          <w:i/>
          <w:iCs/>
          <w:lang w:val="en-US"/>
        </w:rPr>
        <w:t xml:space="preserve">Kvasir-VQA-x1 Generative Metrics</w:t>
      </w:r>
      <w:r>
        <w:rPr>
          <w:bCs/>
          <w:i/>
          <w:highlight w:val="none"/>
          <w:lang w:val="en-US"/>
        </w:rPr>
      </w:r>
      <w:r>
        <w:rPr>
          <w:bCs/>
          <w:i/>
          <w:highlight w:val="none"/>
          <w:lang w:val="en-US"/>
        </w:rPr>
      </w:r>
    </w:p>
    <w:p w14:paraId="031078DB">
      <w:pPr>
        <w:pStyle w:val="1056"/>
        <w:suppressLineNumbers w:val="false"/>
        <w:pBdr/>
        <w:spacing w:line="300" w:lineRule="auto"/>
        <w:ind w:firstLine="0"/>
        <w:rPr/>
      </w:pPr>
      <w:r>
        <w:rPr>
          <w:rFonts w:ascii="Arial" w:hAnsi="Arial" w:eastAsia="Arial" w:cs="Arial"/>
          <w:color w:val="000000" w:themeColor="text1"/>
        </w:rPr>
        <w:t xml:space="preserve">E</w:t>
      </w:r>
      <w:r>
        <w:rPr>
          <w:rFonts w:ascii="Arial" w:hAnsi="Arial" w:eastAsia="Arial" w:cs="Arial"/>
          <w:color w:val="000000" w:themeColor="text1"/>
        </w:rPr>
        <w:t xml:space="preserve">xact match (EM) is near zero across all runs, which is consistent with strict string matching under free-text generation where minor lexical differences can prevent EM even when the meaning is similar. Token-F1 and ANLS provide more tolerant diagnostics an</w:t>
      </w:r>
      <w:r>
        <w:rPr>
          <w:rFonts w:ascii="Arial" w:hAnsi="Arial" w:eastAsia="Arial" w:cs="Arial"/>
          <w:color w:val="000000" w:themeColor="text1"/>
        </w:rPr>
        <w:t xml:space="preserve">d</w:t>
      </w:r>
      <w:r>
        <w:rPr>
          <w:rFonts w:ascii="Arial" w:hAnsi="Arial" w:eastAsia="Arial" w:cs="Arial"/>
          <w:color w:val="000000" w:themeColor="text1"/>
        </w:rPr>
        <w:t xml:space="preserve"> show a clear adaptation effect: the LoRA-adapted run substantially improves token-level overlap compared with the zero-shot runs in the persisted artifacts. Where BLEU/ROUGE/METEOR are marked NA, the metric was not computed in the persisted outputs and is</w:t>
      </w:r>
      <w:r>
        <w:rPr>
          <w:rFonts w:ascii="Arial" w:hAnsi="Arial" w:eastAsia="Arial" w:cs="Arial"/>
          <w:color w:val="000000" w:themeColor="text1"/>
        </w:rPr>
        <w:t xml:space="preserve"> not inferred.</w:t>
      </w:r>
      <w:r>
        <w:rPr>
          <w:rFonts w:ascii="Arial" w:hAnsi="Arial" w:eastAsia="Arial" w:cs="Arial"/>
          <w:color w:val="000000" w:themeColor="text1"/>
        </w:rPr>
      </w:r>
      <w:r/>
    </w:p>
    <w:p w14:paraId="5773066A">
      <w:pPr>
        <w:pStyle w:val="1056"/>
        <w:suppressLineNumbers w:val="false"/>
        <w:pBdr/>
        <w:spacing w:line="300" w:lineRule="auto"/>
        <w:ind w:firstLine="0"/>
        <w:rPr>
          <w:rFonts w:ascii="Arial" w:hAnsi="Arial" w:eastAsia="Arial" w:cs="Arial"/>
          <w:color w:val="000000" w:themeColor="text1"/>
          <w:highlight w:val="none"/>
        </w:rPr>
      </w:pPr>
      <w:r>
        <w:rPr>
          <w:rFonts w:ascii="Arial" w:hAnsi="Arial" w:eastAsia="Arial" w:cs="Arial"/>
          <w:b/>
          <w:bCs/>
          <w:color w:val="000000" w:themeColor="text1"/>
        </w:rPr>
        <w:t xml:space="preserve">Reliability boundary. </w:t>
      </w:r>
      <w:r>
        <w:rPr>
          <w:rFonts w:ascii="Arial" w:hAnsi="Arial" w:eastAsia="Arial" w:cs="Arial"/>
          <w:color w:val="000000" w:themeColor="text1"/>
        </w:rPr>
        <w:t xml:space="preserve">These overlap metrics quantify surface-level fidelity and answer-format adherence, but they do not guarantee clinical correctness or visual grounding (Section 3.3)</w:t>
      </w:r>
      <w:r>
        <w:rPr>
          <w:rFonts w:ascii="Arial" w:hAnsi="Arial" w:eastAsia="Arial" w:cs="Arial"/>
          <w:color w:val="000000" w:themeColor="text1"/>
          <w:lang w:val="en-US"/>
        </w:rPr>
        <w:t xml:space="preserve">[57], [60], [61]</w:t>
      </w:r>
      <w:r>
        <w:rPr>
          <w:rFonts w:ascii="Arial" w:hAnsi="Arial" w:eastAsia="Arial" w:cs="Arial"/>
          <w:color w:val="000000" w:themeColor="text1"/>
        </w:rPr>
        <w:t xml:space="preserve">. Accordingly, they are treated as diagnostic indicators and interpreted</w:t>
      </w:r>
      <w:r>
        <w:rPr>
          <w:rFonts w:ascii="Arial" w:hAnsi="Arial" w:eastAsia="Arial" w:cs="Arial"/>
          <w:color w:val="000000" w:themeColor="text1"/>
        </w:rPr>
        <w:t xml:space="preserve"> alongside mapping/OOV signals and class-balanced behavior.</w:t>
      </w:r>
      <w:r>
        <w:rPr>
          <w:rFonts w:ascii="Arial" w:hAnsi="Arial" w:eastAsia="Arial" w:cs="Arial"/>
          <w:color w:val="000000" w:themeColor="text1"/>
          <w:highlight w:val="none"/>
        </w:rPr>
      </w:r>
      <w:r>
        <w:rPr>
          <w:rFonts w:ascii="Arial" w:hAnsi="Arial" w:eastAsia="Arial" w:cs="Arial"/>
          <w:color w:val="000000" w:themeColor="text1"/>
          <w:highlight w:val="none"/>
        </w:rPr>
      </w:r>
    </w:p>
    <w:p w14:paraId="751F0107">
      <w:pPr>
        <w:pStyle w:val="1056"/>
        <w:suppressLineNumbers w:val="false"/>
        <w:pBdr/>
        <w:spacing w:line="300" w:lineRule="auto"/>
        <w:ind w:firstLine="0"/>
        <w:rPr>
          <w:b/>
          <w:bCs/>
        </w:rPr>
      </w:pPr>
      <w:r>
        <w:rPr>
          <w:rFonts w:ascii="Arial" w:hAnsi="Arial" w:eastAsia="Arial" w:cs="Arial"/>
          <w:b/>
          <w:bCs/>
          <w:color w:val="000000" w:themeColor="text1"/>
          <w:highlight w:val="none"/>
        </w:rPr>
        <w:t xml:space="preserve">Closed-set style baselines and mapping fragility</w:t>
      </w:r>
      <w:r>
        <w:rPr>
          <w:b/>
          <w:bCs/>
        </w:rPr>
      </w:r>
      <w:r>
        <w:rPr>
          <w:b/>
          <w:bCs/>
        </w:rPr>
      </w:r>
    </w:p>
    <w:p w14:paraId="502284F1">
      <w:pPr>
        <w:pStyle w:val="1056"/>
        <w:suppressLineNumbers w:val="false"/>
        <w:pBdr/>
        <w:spacing w:line="300" w:lineRule="auto"/>
        <w:ind w:firstLine="0"/>
        <w:rPr>
          <w:rFonts w:ascii="Arial" w:hAnsi="Arial" w:cs="Arial"/>
          <w:color w:val="000000" w:themeColor="text1"/>
        </w:rPr>
      </w:pPr>
      <w:r>
        <w:rPr>
          <w:rFonts w:ascii="Arial" w:hAnsi="Arial" w:eastAsia="Arial" w:cs="Arial"/>
          <w:color w:val="000000" w:themeColor="text1"/>
          <w:highlight w:val="none"/>
        </w:rPr>
        <w:t xml:space="preserve">To expose how answer-space governance affects apparent performance, the persisted artifacts include additional diagnostics and baselines that map outputs into constrained spaces or evaluate alternative non-generative approaches.</w:t>
      </w:r>
      <w:r>
        <w:rPr>
          <w:rFonts w:ascii="Arial" w:hAnsi="Arial" w:cs="Arial"/>
          <w:color w:val="000000" w:themeColor="text1"/>
        </w:rPr>
      </w:r>
      <w:r>
        <w:rPr>
          <w:rFonts w:ascii="Arial" w:hAnsi="Arial" w:cs="Arial"/>
          <w:color w:val="000000" w:themeColor="text1"/>
        </w:rPr>
      </w:r>
    </w:p>
    <w:tbl>
      <w:tblPr>
        <w:tblStyle w:val="1113"/>
        <w:tblW w:w="0" w:type="auto"/>
        <w:tblBorders/>
        <w:tblLayout w:type="fixed"/>
        <w:tblLook w:val="04A0" w:firstRow="1" w:lastRow="0" w:firstColumn="1" w:lastColumn="0" w:noHBand="0" w:noVBand="1"/>
      </w:tblPr>
      <w:tblGrid>
        <w:gridCol w:w="2735"/>
        <w:gridCol w:w="992"/>
        <w:gridCol w:w="1320"/>
        <w:gridCol w:w="1098"/>
        <w:gridCol w:w="1043"/>
        <w:gridCol w:w="1451"/>
      </w:tblGrid>
      <w:tr>
        <w:trPr/>
        <w:tc>
          <w:tcPr>
            <w:tcBorders/>
            <w:tcW w:w="2735" w:type="dxa"/>
            <w:textDirection w:val="lrTb"/>
            <w:noWrap w:val="false"/>
          </w:tcPr>
          <w:p w14:paraId="40A0185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C4DF5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141297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41711C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3727AE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0D17D6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Notes</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7A563F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fusion_tfidf_vit_logreg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7A0D42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5,893</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36E8E7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0.814865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008BFF8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5175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0.150749</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1F2A22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fusion baseline</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35B4D74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text_yesno_tfidf_logreg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007205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1,540</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16C7E0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0.777922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36ADC28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DE4A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0.777291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2FDDE89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yes/no-specific</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2C2691E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vlm_zeroshot_label_mapped</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AB22E0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44B2AC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0.561642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A85D8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8BFF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0.005817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04A29E9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rate 0.973</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6447232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text_topk_tfidf_logreg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CD9AF3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03199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0.422389</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73C828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0.235698</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3CC01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0.204103</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1BE9E2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top-3 0.7408</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A27321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image_resnet50_logreg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6518F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5,952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9698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0.233535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25A6D3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EFE9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0.008556</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412702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46B448F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text_bert_classifier</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6A68EC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9,148</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7E133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0.158942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37211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0.006654</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A433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0.002327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328DD4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weak generalization</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38C58E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352148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22764C4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0.020461</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5E0E1B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E6EBD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0.006352</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C8B32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bl>
    <w:p w14:paraId="08D2CB17">
      <w:pPr>
        <w:pStyle w:val="1056"/>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3.15 </w:t>
      </w:r>
      <w:r>
        <w:rPr>
          <w:i/>
          <w:iCs/>
          <w:lang w:val="en-US"/>
        </w:rPr>
        <w:t xml:space="preserve">Kvasir-VQA-x1 Mapped/Baseline Diagnostics</w:t>
      </w:r>
      <w:r>
        <w:rPr>
          <w:bCs/>
          <w:i/>
          <w:highlight w:val="none"/>
          <w:lang w:val="en-US"/>
        </w:rPr>
      </w:r>
      <w:r>
        <w:rPr>
          <w:bCs/>
          <w:i/>
          <w:highlight w:val="none"/>
          <w:lang w:val="en-US"/>
        </w:rPr>
      </w:r>
    </w:p>
    <w:p w14:paraId="4FA4BE98">
      <w:pPr>
        <w:pStyle w:val="1056"/>
        <w:suppressLineNumbers w:val="false"/>
        <w:pBdr/>
        <w:spacing w:line="300" w:lineRule="auto"/>
        <w:ind w:firstLine="0"/>
        <w:rPr/>
      </w:pPr>
      <w:r>
        <w:rPr>
          <w:highlight w:val="none"/>
        </w:rPr>
      </w:r>
      <w:r>
        <w:rPr>
          <w:highlight w:val="none"/>
        </w:rPr>
      </w:r>
      <w:r/>
    </w:p>
    <w:p w14:paraId="5A84B595">
      <w:pPr>
        <w:pStyle w:val="1056"/>
        <w:suppressLineNumbers w:val="false"/>
        <w:pBdr/>
        <w:spacing w:line="300" w:lineRule="auto"/>
        <w:ind w:firstLine="0"/>
        <w:rPr>
          <w:highlight w:val="none"/>
        </w:rPr>
      </w:pPr>
      <w:r>
        <w:rPr>
          <w:highlight w:val="none"/>
        </w:rPr>
      </w:r>
      <w:r>
        <w:rPr>
          <w:highlight w:val="none"/>
        </w:rPr>
      </w:r>
      <w:r>
        <w:rPr>
          <w:highlight w:val="none"/>
        </w:rPr>
      </w:r>
    </w:p>
    <w:p w14:paraId="67AD313F">
      <w:pPr>
        <w:pStyle w:val="1056"/>
        <w:suppressLineNumbers w:val="false"/>
        <w:pBdr/>
        <w:spacing w:line="300" w:lineRule="auto"/>
        <w:ind w:firstLine="0"/>
        <w:rPr>
          <w:highlight w:val="none"/>
        </w:rPr>
      </w:pPr>
      <w:r>
        <w:t xml:space="preserve">Two reliability signals are important here:</w:t>
      </w:r>
      <w:r>
        <w:rPr>
          <w:highlight w:val="none"/>
        </w:rPr>
      </w:r>
      <w:r>
        <w:rPr>
          <w:highlight w:val="none"/>
        </w:rPr>
      </w:r>
    </w:p>
    <w:p w14:paraId="32C232E6">
      <w:pPr>
        <w:pStyle w:val="1056"/>
        <w:suppressLineNumbers w:val="false"/>
        <w:pBdr/>
        <w:spacing w:line="300" w:lineRule="auto"/>
        <w:ind w:firstLine="0"/>
        <w:rPr/>
      </w:pPr>
      <w:r/>
      <w:r/>
    </w:p>
    <w:p w14:paraId="0BAD3CBD">
      <w:pPr>
        <w:pStyle w:val="1056"/>
        <w:numPr>
          <w:ilvl w:val="0"/>
          <w:numId w:val="72"/>
        </w:numPr>
        <w:suppressLineNumbers w:val="false"/>
        <w:pBdr/>
        <w:spacing w:line="300" w:lineRule="auto"/>
        <w:ind/>
        <w:rPr/>
      </w:pPr>
      <w:r>
        <w:rPr>
          <w:b/>
          <w:bCs/>
        </w:rPr>
        <w:t xml:space="preserve">Moderate mapped accuracy can be misleading. </w:t>
      </w:r>
      <w:r>
        <w:t xml:space="preserve">The mapped VLM diagnostic reports accuracy above 0.5 while macro-F1 is near zero, alongside an extremely high OOV rate. This indicates severe answer-space mismatch: many outputs cannot be mapped to the expected la</w:t>
      </w:r>
      <w:r>
        <w:t xml:space="preserve">bel space, and the mapped subset does not support balanced performance. As emphasized in Section 3.3, mapped accuracy is a format/ontology diagnostic, not evidence of clinically reliable reasoning.</w:t>
      </w:r>
      <w:r/>
    </w:p>
    <w:p w14:paraId="35687A2A">
      <w:pPr>
        <w:pStyle w:val="1056"/>
        <w:numPr>
          <w:ilvl w:val="0"/>
          <w:numId w:val="72"/>
        </w:numPr>
        <w:suppressLineNumbers w:val="false"/>
        <w:pBdr/>
        <w:spacing w:line="300" w:lineRule="auto"/>
        <w:ind/>
        <w:rPr/>
      </w:pPr>
      <w:r>
        <w:rPr>
          <w:b/>
          <w:bCs/>
        </w:rPr>
        <w:t xml:space="preserve">Subset-specific baselines can look strong due to question-family skew.</w:t>
      </w:r>
      <w:r>
        <w:t xml:space="preserve"> The yes/no-specific baseline reports high macro-F1 within that restricted subset, reinforcing the need to report results by task regime and avoid extrapolating from easier subsets to ove</w:t>
      </w:r>
      <w:r>
        <w:t xml:space="preserve">rall reliability.</w:t>
      </w:r>
      <w:r/>
    </w:p>
    <w:p w14:paraId="0883DA62">
      <w:pPr>
        <w:pStyle w:val="1056"/>
        <w:suppressLineNumbers w:val="false"/>
        <w:pBdr/>
        <w:spacing w:line="300" w:lineRule="auto"/>
        <w:ind w:firstLine="0"/>
        <w:rPr>
          <w:b/>
          <w:bCs/>
        </w:rPr>
      </w:pPr>
      <w:r>
        <w:rPr>
          <w:b/>
          <w:bCs/>
        </w:rPr>
      </w:r>
      <w:r>
        <w:rPr>
          <w:b/>
          <w:bCs/>
        </w:rPr>
        <w:t xml:space="preserve">Complexity effects (descriptive diagnostic)</w:t>
      </w:r>
      <w:r>
        <w:rPr>
          <w:b/>
          <w:bCs/>
        </w:rPr>
      </w:r>
      <w:r>
        <w:rPr>
          <w:b/>
          <w:bCs/>
        </w:rP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4DFBB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Complexity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248798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11A46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F77ED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99C894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87BEC6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0.151298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BDEB1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0.145365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6203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0.079875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6745E5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076B0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0.217874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4B588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0.216663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787A6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0.171684</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766A57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197CD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0.271474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F8294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0.280927</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44ECD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0.271952</w:t>
            </w:r>
            <w:r>
              <w:rPr>
                <w:rFonts w:ascii="Arial" w:hAnsi="Arial" w:cs="Arial"/>
                <w:color w:val="000000" w:themeColor="text1"/>
              </w:rPr>
            </w:r>
            <w:r>
              <w:rPr>
                <w:rFonts w:ascii="Arial" w:hAnsi="Arial" w:cs="Arial"/>
                <w:color w:val="000000" w:themeColor="text1"/>
              </w:rPr>
            </w:r>
          </w:p>
        </w:tc>
      </w:tr>
    </w:tbl>
    <w:p w14:paraId="08D2CB17">
      <w:pPr>
        <w:pStyle w:val="1056"/>
        <w:suppressLineNumbers w:val="false"/>
        <w:pBdr/>
        <w:spacing w:line="300" w:lineRule="auto"/>
        <w:ind w:firstLine="0" w:left="0"/>
        <w:rPr>
          <w:bCs/>
          <w:i/>
          <w:highlight w:val="none"/>
          <w:lang w:val="en-US"/>
        </w:rPr>
      </w:pPr>
      <w:r>
        <w:rPr>
          <w:i/>
          <w:iCs/>
          <w:lang w:val="en-US"/>
        </w:rPr>
        <w:t xml:space="preserve">         </w:t>
        <w:tab/>
        <w:tab/>
        <w:tab/>
      </w:r>
      <w:r>
        <w:rPr>
          <w:b/>
          <w:bCs/>
          <w:i/>
          <w:iCs/>
          <w:lang w:val="en-US"/>
        </w:rPr>
        <w:t xml:space="preserve">Table </w:t>
      </w:r>
      <w:r>
        <w:rPr>
          <w:b/>
          <w:bCs/>
          <w:i/>
          <w:iCs/>
          <w:lang w:val="en-US"/>
        </w:rPr>
        <w:t xml:space="preserve">3.16 </w:t>
      </w:r>
      <w:r>
        <w:rPr>
          <w:b/>
          <w:bCs/>
          <w:i/>
          <w:iCs/>
          <w:lang w:val="en-US"/>
        </w:rPr>
        <w:t xml:space="preserve">Token-F1 by Complexity Level</w:t>
      </w:r>
      <w:r>
        <w:rPr>
          <w:bCs/>
          <w:i/>
          <w:highlight w:val="none"/>
          <w:lang w:val="en-US"/>
        </w:rPr>
      </w:r>
      <w:r>
        <w:rPr>
          <w:bCs/>
          <w:i/>
          <w:highlight w:val="none"/>
          <w:lang w:val="en-US"/>
        </w:rPr>
      </w:r>
    </w:p>
    <w:p w14:paraId="795BCCF5">
      <w:pPr>
        <w:pStyle w:val="1056"/>
        <w:suppressLineNumbers w:val="false"/>
        <w:pBdr/>
        <w:spacing w:line="300" w:lineRule="auto"/>
        <w:ind w:firstLine="0"/>
        <w:rPr/>
      </w:pPr>
      <w:r>
        <w:t xml:space="preserve">T</w:t>
      </w:r>
      <w:r>
        <w:t xml:space="preserve">oken-F1 increases with complexity level in these persisted summaries. This trend is reported descriptively only: complexity can correlate with longer outputs or repeated lexical cues that inflate overlap scores without necessarily indicating better grounde</w:t>
      </w:r>
      <w:r>
        <w:t xml:space="preserve">d reasoning. Therefore, complexity-level overlap trends should be interpreted alongside OOV behavior and family-level diagnostics.</w:t>
      </w:r>
      <w:r/>
    </w:p>
    <w:p w14:paraId="221AD5FC">
      <w:pPr>
        <w:pStyle w:val="1056"/>
        <w:suppressLineNumbers w:val="false"/>
        <w:pBdr/>
        <w:spacing w:line="300" w:lineRule="auto"/>
        <w:ind w:firstLine="0"/>
        <w:rPr>
          <w:highlight w:val="none"/>
        </w:rPr>
      </w:pPr>
      <w:r>
        <w:rPr>
          <w:b/>
          <w:bCs/>
        </w:rPr>
        <w:t xml:space="preserve">Limitations and implications.</w:t>
      </w:r>
      <w:r>
        <w:t xml:space="preserve"> Kvasir-VQA-x1 demonstrates a common generative MedVQA pattern under repository evidence: strict EM collapses; token-level overlap improves with adaptation; and deterministic mapping can yield moderate accuracy while macro-F1 re</w:t>
      </w:r>
      <w:r>
        <w:t xml:space="preserve">m</w:t>
      </w:r>
      <w:r>
        <w:t xml:space="preserve">ains extremely low due to OOV behavior and answer-space skew. The practical implication for Chapter 4 is that generative capability must be introduced with answer-space governance (controlled decoding, normalization/mapping safeguards, and abstention behav</w:t>
      </w:r>
      <w:r>
        <w:t xml:space="preserve">ior) rather than being used as an unconstrained answer path.</w:t>
      </w:r>
      <w:r>
        <w:rPr>
          <w:highlight w:val="none"/>
        </w:rPr>
      </w:r>
      <w:r>
        <w:rPr>
          <w:highlight w:val="none"/>
        </w:rPr>
      </w:r>
    </w:p>
    <w:p w14:paraId="70EC6758">
      <w:pPr>
        <w:pStyle w:val="1056"/>
        <w:suppressLineNumbers w:val="false"/>
        <w:pBdr/>
        <w:spacing w:line="300" w:lineRule="auto"/>
        <w:ind w:firstLine="0"/>
        <w:rPr>
          <w:b/>
          <w:bCs/>
        </w:rPr>
      </w:pPr>
      <w:r>
        <w:rPr>
          <w:b/>
          <w:bCs/>
        </w:rPr>
        <w:t xml:space="preserve">3.4.5 LIMUC: UC Severity Reliability (Flagship Clinical Axis)</w:t>
      </w:r>
      <w:r>
        <w:rPr>
          <w:b/>
          <w:bCs/>
        </w:rPr>
      </w:r>
      <w:r>
        <w:rPr>
          <w:b/>
          <w:bCs/>
        </w:rPr>
      </w:r>
    </w:p>
    <w:p w14:paraId="4FC88D72">
      <w:pPr>
        <w:pStyle w:val="1056"/>
        <w:suppressLineNumbers w:val="false"/>
        <w:pBdr/>
        <w:spacing w:line="300" w:lineRule="auto"/>
        <w:ind w:firstLine="0"/>
        <w:rPr>
          <w:highlight w:val="none"/>
        </w:rPr>
      </w:pPr>
      <w:r>
        <w:t xml:space="preserve">L</w:t>
      </w:r>
      <w:r>
        <w:t xml:space="preserve">IMUC provides the most clinically direct evidence in Chapter 3 because it targets UC severity grading (Mayo 0–3), which is ordinal and clinically high-stakes</w:t>
      </w:r>
      <w:r>
        <w:t xml:space="preserve">[55], [62]-[65], [70]</w:t>
      </w:r>
      <w:r>
        <w:t xml:space="preserve">. In this setting, reliability cannot be summarized by accuracy alone: ordinal distance matters (0↔</w:t>
      </w:r>
      <w:r>
        <w:t xml:space="preserve">1</w:t>
      </w:r>
      <w:r>
        <w:t xml:space="preserve"> differs from 0↔3), and clinically meaningful threshold behavior (e.g., remission vs active disease) must be audited explicitly. Therefore, this subsection emphasizes ordinal agreement (QWK), error magnitude (MAE/RMSE), and a remission-oriented slice along</w:t>
      </w:r>
      <w:r>
        <w:t xml:space="preserve">side standard classification metrics.</w:t>
      </w:r>
      <w:r>
        <w:rPr>
          <w:highlight w:val="none"/>
        </w:rPr>
      </w:r>
      <w:r>
        <w:rPr>
          <w:highlight w:val="none"/>
        </w:rPr>
      </w:r>
    </w:p>
    <w:p w14:paraId="4E4EA11A">
      <w:pPr>
        <w:pStyle w:val="1056"/>
        <w:suppressLineNumbers w:val="false"/>
        <w:pBdr/>
        <w:spacing w:line="300" w:lineRule="auto"/>
        <w:ind w:firstLine="0"/>
        <w:rPr>
          <w:b/>
          <w:bCs/>
        </w:rPr>
      </w:pPr>
      <w:r>
        <w:rPr>
          <w:b/>
          <w:bCs/>
          <w:highlight w:val="none"/>
        </w:rPr>
      </w:r>
      <w:r>
        <w:rPr>
          <w:b/>
          <w:bCs/>
          <w:highlight w:val="none"/>
        </w:rPr>
        <w:t xml:space="preserve">Ordinal and classification metrics</w:t>
      </w:r>
      <w:r>
        <w:rPr>
          <w:b/>
          <w:bCs/>
        </w:rPr>
      </w:r>
      <w:r>
        <w:rPr>
          <w:b/>
          <w:bCs/>
        </w:rPr>
      </w:r>
    </w:p>
    <w:tbl>
      <w:tblPr>
        <w:tblStyle w:val="1113"/>
        <w:tblInd w:w="-383" w:type="dxa"/>
        <w:tblW w:w="0" w:type="auto"/>
        <w:tblBorders/>
        <w:tblLayout w:type="fixed"/>
        <w:tblLook w:val="04A0" w:firstRow="1" w:lastRow="0" w:firstColumn="1" w:lastColumn="0" w:noHBand="0" w:noVBand="1"/>
      </w:tblPr>
      <w:tblGrid>
        <w:gridCol w:w="2835"/>
        <w:gridCol w:w="1134"/>
        <w:gridCol w:w="1276"/>
        <w:gridCol w:w="1276"/>
        <w:gridCol w:w="850"/>
        <w:gridCol w:w="992"/>
        <w:gridCol w:w="850"/>
      </w:tblGrid>
      <w:tr>
        <w:trPr/>
        <w:tc>
          <w:tcPr>
            <w:tcBorders/>
            <w:tcW w:w="2835" w:type="dxa"/>
            <w:textDirection w:val="lrTb"/>
            <w:noWrap w:val="false"/>
          </w:tcPr>
          <w:p w14:paraId="79EA7E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D4CEF71">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Accuracy</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468B6774">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Balanced Acc</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104B99EA">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Macro-F1</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39A044B8">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QWK</w:t>
            </w:r>
            <w:r>
              <w:rPr>
                <w:rFonts w:ascii="Arial" w:hAnsi="Arial" w:cs="Arial"/>
                <w:color w:val="000000" w:themeColor="text1"/>
                <w:sz w:val="20"/>
                <w:szCs w:val="20"/>
              </w:rPr>
            </w:r>
            <w:r>
              <w:rPr>
                <w:rFonts w:ascii="Arial" w:hAnsi="Arial" w:cs="Arial"/>
                <w:color w:val="000000" w:themeColor="text1"/>
                <w:sz w:val="20"/>
                <w:szCs w:val="20"/>
              </w:rPr>
            </w:r>
          </w:p>
        </w:tc>
        <w:tc>
          <w:tcPr>
            <w:tcBorders/>
            <w:tcW w:w="992" w:type="dxa"/>
            <w:textDirection w:val="lrTb"/>
            <w:noWrap w:val="false"/>
          </w:tcPr>
          <w:p w14:paraId="170730FF">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MAE</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78BBA186">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RMSE</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2835" w:type="dxa"/>
            <w:textDirection w:val="lrTb"/>
            <w:noWrap w:val="false"/>
          </w:tcPr>
          <w:p w14:paraId="1BA29D9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0943F0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0.753855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6CE6CD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0.695008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35D05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0.682889</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752315D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0.835097</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7DDFE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0.256821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0376B2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0.528545</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D4CA9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79C4B8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0.727165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87041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0.673848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89D0C2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0.672142</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4CAF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0.806259</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61528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0.287070</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A45509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0.564888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E8C2FC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25C546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0.689798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F8EA0F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0.641650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49CE4F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0.618454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5DB338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0.758806</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2550F0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0.348161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241EB2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0.654848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B2FF0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329F3AA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0.679122</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F7A6A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0.635709</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DB74D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0.602016</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3E2FB22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0.745502</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6A4E9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0.367734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338864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0.687112</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2F9A9ED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1925C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0.619217</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4D313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0.542258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2C8C93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0.533958</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186DDB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0.679280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9DA81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0.434757</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06AFE88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0.742299</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443F579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60D6F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0.548636</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294302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0.250000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EFEFC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0.177135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D8C8B1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B1478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0.698695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649C4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1.155727</w:t>
            </w:r>
            <w:r>
              <w:rPr>
                <w:rFonts w:ascii="Arial" w:hAnsi="Arial" w:cs="Arial"/>
                <w:color w:val="000000" w:themeColor="text1"/>
              </w:rPr>
            </w:r>
            <w:r>
              <w:rPr>
                <w:rFonts w:ascii="Arial" w:hAnsi="Arial" w:cs="Arial"/>
                <w:color w:val="000000" w:themeColor="text1"/>
              </w:rPr>
            </w:r>
          </w:p>
        </w:tc>
      </w:tr>
    </w:tbl>
    <w:p w14:paraId="08D2CB17">
      <w:pPr>
        <w:pStyle w:val="1056"/>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3.17 </w:t>
      </w:r>
      <w:r>
        <w:rPr>
          <w:i/>
          <w:iCs/>
          <w:lang w:val="en-US"/>
        </w:rPr>
        <w:t xml:space="preserve">LIMUC Overall Test Metrics</w:t>
      </w:r>
      <w:r>
        <w:rPr>
          <w:bCs/>
          <w:i/>
          <w:highlight w:val="none"/>
          <w:lang w:val="en-US"/>
        </w:rPr>
      </w:r>
      <w:r>
        <w:rPr>
          <w:bCs/>
          <w:i/>
          <w:highlight w:val="none"/>
          <w:lang w:val="en-US"/>
        </w:rPr>
      </w:r>
    </w:p>
    <w:p w14:paraId="51D84333">
      <w:pPr>
        <w:pStyle w:val="1056"/>
        <w:suppressLineNumbers w:val="false"/>
        <w:pBdr/>
        <w:spacing w:line="300" w:lineRule="auto"/>
        <w:ind w:firstLine="0"/>
        <w:rPr/>
      </w:pPr>
      <w:r>
        <w:t xml:space="preserve">F</w:t>
      </w:r>
      <w:r>
        <w:t xml:space="preserve">ine-tuned visual backbones lead across accuracy, macro-F1, ordinal agreement (QWK), and error magnitude (MAE/RMSE), indicating more consistent severity grading and fewer large ordinal errors. The zero-shot severity prompt baseline shows substantially weake</w:t>
      </w:r>
      <w:r>
        <w:t xml:space="preserve">r balanced metrics and collapses on ordinal agreement (QWK = 0.0) under the persisted evaluation configuration, indicating that ordinal consistency is not preserved under this zero-shot prompting setup.</w:t>
      </w:r>
      <w:r/>
    </w:p>
    <w:p w14:paraId="0A9640B2">
      <w:pPr>
        <w:pStyle w:val="1056"/>
        <w:suppressLineNumbers w:val="false"/>
        <w:pBdr/>
        <w:spacing w:line="300" w:lineRule="auto"/>
        <w:ind w:firstLine="0"/>
        <w:rPr>
          <w:b/>
          <w:bCs/>
        </w:rPr>
      </w:pPr>
      <w:r>
        <w:rPr>
          <w:b/>
          <w:bCs/>
        </w:rPr>
        <w:t xml:space="preserve">Clinical threshold slice (remission vs active disease)</w:t>
      </w:r>
      <w:r>
        <w:rPr>
          <w:b/>
          <w:bCs/>
        </w:rPr>
      </w:r>
      <w:r>
        <w:rPr>
          <w:b/>
          <w:bCs/>
        </w:rPr>
      </w:r>
    </w:p>
    <w:p w14:paraId="6F3B0194">
      <w:pPr>
        <w:pStyle w:val="1056"/>
        <w:suppressLineNumbers w:val="false"/>
        <w:pBdr/>
        <w:spacing w:line="300" w:lineRule="auto"/>
        <w:ind w:firstLine="0"/>
        <w:rPr/>
      </w:pPr>
      <w:r>
        <w:t xml:space="preserve">Because clinical workflows often use thresholded reasoning (e.g., remission vs active disease), the persisted artifacts include a remission-oriented slice (as defined in the LIMUC report).</w:t>
      </w:r>
      <w:r>
        <w:rPr>
          <w:b/>
          <w:bCs/>
        </w:rPr>
      </w:r>
      <w:r/>
    </w:p>
    <w:tbl>
      <w:tblPr>
        <w:tblStyle w:val="1113"/>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437B4127">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2D2627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71D812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Sensitivity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D3EA5A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Specificity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5A4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D621A1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F5F6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0.947805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23C0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0.967603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2ABD3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0.855219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F7938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0.968300</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0DFD2F0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97984C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0.937722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A4D8F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0.968323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82FE1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0.794613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1DD6C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0.962433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EF357C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E04DDB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0.902135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0B64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0.917207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FC01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0.831650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737E57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0.939182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E96EE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AE5BB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3E60D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0.917927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4D348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0.740741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6812D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0.930317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D3BB5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59F14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620D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0.895608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009FF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0.845118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9C80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0.928705</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4CE55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06C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0.823843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155A2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EF7E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6FAF37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0.903415</w:t>
            </w:r>
            <w:r>
              <w:rPr>
                <w:rFonts w:ascii="Arial" w:hAnsi="Arial" w:cs="Arial"/>
                <w:color w:val="000000" w:themeColor="text1"/>
              </w:rPr>
            </w:r>
            <w:r>
              <w:rPr>
                <w:rFonts w:ascii="Arial" w:hAnsi="Arial" w:cs="Arial"/>
                <w:color w:val="000000" w:themeColor="text1"/>
              </w:rPr>
            </w:r>
          </w:p>
        </w:tc>
      </w:tr>
    </w:tbl>
    <w:p w14:paraId="08D2CB17">
      <w:pPr>
        <w:pStyle w:val="1056"/>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3.18</w:t>
      </w:r>
      <w:r>
        <w:rPr>
          <w:i/>
          <w:iCs/>
          <w:lang w:val="en-US"/>
        </w:rPr>
        <w:t xml:space="preserve"> LIMUC Remission Slice Metrics</w:t>
      </w:r>
      <w:r>
        <w:rPr>
          <w:bCs/>
          <w:i/>
          <w:highlight w:val="none"/>
          <w:lang w:val="en-US"/>
        </w:rPr>
      </w:r>
      <w:r>
        <w:rPr>
          <w:bCs/>
          <w:i/>
          <w:highlight w:val="none"/>
          <w:lang w:val="en-US"/>
        </w:rPr>
      </w:r>
    </w:p>
    <w:p w14:paraId="285BBA50">
      <w:pPr>
        <w:pStyle w:val="1056"/>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T</w:t>
      </w:r>
      <w:r>
        <w:rPr>
          <w:rFonts w:ascii="Arial" w:hAnsi="Arial" w:cs="Arial"/>
          <w:color w:val="000000" w:themeColor="text1"/>
        </w:rPr>
        <w:t xml:space="preserve">uned and frozen-feature baselines maintain both sensitivity and specificity at usable levels under this slice. In contrast, the zero-shot baseline exhibits a critical threshold failure: sensitivity is 1.0 while specificity is 0.0, indicating complete inabi</w:t>
      </w:r>
      <w:r>
        <w:rPr>
          <w:rFonts w:ascii="Arial" w:hAnsi="Arial" w:cs="Arial"/>
          <w:color w:val="000000" w:themeColor="text1"/>
        </w:rPr>
        <w:t xml:space="preserve">lity to discriminate the negative class under this operational definition. This is precisely the kind of high-risk behavior that accuracy alone can hide and illustrates why clinical slice analysis is required for severity-oriented MedVQA.</w:t>
      </w:r>
      <w:r>
        <w:rPr>
          <w:rFonts w:ascii="Arial" w:hAnsi="Arial" w:cs="Arial"/>
          <w:color w:val="000000" w:themeColor="text1"/>
          <w:highlight w:val="none"/>
        </w:rPr>
      </w:r>
      <w:r>
        <w:rPr>
          <w:rFonts w:ascii="Arial" w:hAnsi="Arial" w:cs="Arial"/>
          <w:color w:val="000000" w:themeColor="text1"/>
          <w:highlight w:val="none"/>
        </w:rPr>
      </w:r>
    </w:p>
    <w:p w14:paraId="234FE57B">
      <w:pPr>
        <w:pStyle w:val="1056"/>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highlight w:val="none"/>
        </w:rPr>
      </w:r>
      <w:r>
        <mc:AlternateContent>
          <mc:Choice Requires="wpg">
            <w:drawing>
              <wp:inline xmlns:wp="http://schemas.openxmlformats.org/drawingml/2006/wordprocessingDrawing" distT="0" distB="0" distL="0" distR="0">
                <wp:extent cx="5029200" cy="34480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0408" name=""/>
                        <pic:cNvPicPr>
                          <a:picLocks noChangeAspect="1"/>
                        </pic:cNvPicPr>
                        <pic:nvPr/>
                      </pic:nvPicPr>
                      <pic:blipFill rotWithShape="1">
                        <a:blip r:embed="rId20"/>
                        <a:stretch/>
                      </pic:blipFill>
                      <pic:spPr bwMode="auto">
                        <a:xfrm>
                          <a:off x="0" y="0"/>
                          <a:ext cx="5029199" cy="3448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00pt;height:271.50pt;mso-wrap-distance-left:0.00pt;mso-wrap-distance-top:0.00pt;mso-wrap-distance-right:0.00pt;mso-wrap-distance-bottom:0.00pt;z-index:1;" stroked="false">
                <v:imagedata r:id="rId20" o:title=""/>
                <o:lock v:ext="edit" rotation="t"/>
              </v:shape>
            </w:pict>
          </mc:Fallback>
        </mc:AlternateContent>
      </w:r>
      <w:r>
        <w:rPr>
          <w:rFonts w:ascii="Arial" w:hAnsi="Arial" w:cs="Arial"/>
          <w:color w:val="000000" w:themeColor="text1"/>
          <w:highlight w:val="none"/>
        </w:rPr>
      </w:r>
      <w:r>
        <w:rPr>
          <w:rFonts w:ascii="Arial" w:hAnsi="Arial" w:cs="Arial"/>
          <w:color w:val="000000" w:themeColor="text1"/>
          <w:highlight w:val="none"/>
        </w:rPr>
      </w:r>
    </w:p>
    <w:p w14:paraId="4AA7B2A8">
      <w:pPr>
        <w:pStyle w:val="1056"/>
        <w:suppressLineNumbers w:val="false"/>
        <w:pBdr/>
        <w:spacing w:line="300" w:lineRule="auto"/>
        <w:ind w:firstLine="0"/>
        <w:rPr>
          <w:bCs/>
          <w:i/>
        </w:rPr>
      </w:pPr>
      <w:r>
        <w:rPr>
          <w:rFonts w:ascii="Arial" w:hAnsi="Arial" w:cs="Arial"/>
          <w:color w:val="000000" w:themeColor="text1"/>
          <w:highlight w:val="none"/>
        </w:rPr>
        <w:tab/>
      </w:r>
      <w:r>
        <w:rPr>
          <w:rFonts w:ascii="Arial" w:hAnsi="Arial" w:cs="Arial"/>
          <w:color w:val="000000" w:themeColor="text1"/>
          <w:highlight w:val="none"/>
          <w:lang w:val="en-US"/>
        </w:rPr>
        <w:t xml:space="preserve">             </w:t>
      </w:r>
      <w:r>
        <w:rPr>
          <w:rFonts w:ascii="Arial" w:hAnsi="Arial" w:cs="Arial"/>
          <w:i/>
          <w:iCs/>
          <w:color w:val="000000" w:themeColor="text1"/>
          <w:highlight w:val="none"/>
        </w:rPr>
        <w:t xml:space="preserve">Figure 3.</w:t>
      </w:r>
      <w:r>
        <w:rPr>
          <w:rFonts w:ascii="Arial" w:hAnsi="Arial" w:cs="Arial"/>
          <w:i/>
          <w:iCs/>
          <w:color w:val="000000" w:themeColor="text1"/>
          <w:highlight w:val="none"/>
          <w:lang w:val="en-US"/>
        </w:rPr>
        <w:t xml:space="preserve">7</w:t>
      </w:r>
      <w:r>
        <w:rPr>
          <w:rFonts w:ascii="Arial" w:hAnsi="Arial" w:cs="Arial"/>
          <w:i/>
          <w:iCs/>
          <w:color w:val="000000" w:themeColor="text1"/>
          <w:highlight w:val="none"/>
        </w:rPr>
        <w:t xml:space="preserve"> — UC severity evaluation workflow (LIMUC)</w:t>
      </w:r>
      <w:r>
        <w:rPr>
          <w:bCs/>
          <w:i/>
        </w:rPr>
      </w:r>
      <w:r>
        <w:rPr>
          <w:bCs/>
          <w:i/>
        </w:rPr>
      </w:r>
    </w:p>
    <w:p w14:paraId="67F5630D">
      <w:pPr>
        <w:pStyle w:val="1056"/>
        <w:suppressLineNumbers w:val="false"/>
        <w:pBdr/>
        <w:spacing w:line="300" w:lineRule="auto"/>
        <w:ind w:firstLine="0"/>
        <w:rPr>
          <w:b/>
          <w:bCs/>
        </w:rPr>
      </w:pPr>
      <w:r>
        <w:rPr>
          <w:rFonts w:ascii="Arial" w:hAnsi="Arial" w:cs="Arial"/>
          <w:b/>
          <w:bCs/>
          <w:color w:val="000000" w:themeColor="text1"/>
        </w:rPr>
        <w:t xml:space="preserve">Per-class bottlenecks</w:t>
      </w:r>
      <w:r>
        <w:rPr>
          <w:b/>
          <w:bCs/>
        </w:rPr>
      </w:r>
      <w:r>
        <w:rPr>
          <w:b/>
          <w:bCs/>
        </w:rPr>
      </w:r>
    </w:p>
    <w:p w14:paraId="44F8D672">
      <w:pPr>
        <w:pStyle w:val="1056"/>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To make minority-class behavior explicit, the persisted artifacts include a best-per-class summary.</w:t>
      </w:r>
      <w:r>
        <w:rPr>
          <w:rFonts w:ascii="Arial" w:hAnsi="Arial" w:cs="Arial"/>
          <w:color w:val="000000" w:themeColor="text1"/>
        </w:rPr>
      </w:r>
      <w:r>
        <w:rPr>
          <w:rFonts w:ascii="Arial" w:hAnsi="Arial" w:cs="Arial"/>
          <w:color w:val="000000" w:themeColor="text1"/>
        </w:rPr>
      </w:r>
    </w:p>
    <w:tbl>
      <w:tblPr>
        <w:tblStyle w:val="1113"/>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8CF6F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Mayo class</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15DC1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Support</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69F7CB">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Best 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7459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F1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5FD4DF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recall</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7C0444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569C58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925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30FF46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B69B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0.852516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42B3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0.796757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534269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89EE69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464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966F57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44726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0.683859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C4CA7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0.771552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42F52FD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3455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177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322A6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E2C2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0.552326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D5D176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0.536723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23C539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0940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20E1B1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1120EE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0.683544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06C4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0.675000</w:t>
            </w:r>
            <w:r>
              <w:rPr>
                <w:rFonts w:ascii="Arial" w:hAnsi="Arial" w:cs="Arial"/>
                <w:color w:val="000000" w:themeColor="text1"/>
              </w:rPr>
            </w:r>
            <w:r>
              <w:rPr>
                <w:rFonts w:ascii="Arial" w:hAnsi="Arial" w:cs="Arial"/>
                <w:color w:val="000000" w:themeColor="text1"/>
              </w:rPr>
            </w:r>
          </w:p>
        </w:tc>
      </w:tr>
    </w:tbl>
    <w:p w14:paraId="08D2CB17">
      <w:pPr>
        <w:pStyle w:val="1056"/>
        <w:suppressLineNumbers w:val="false"/>
        <w:pBdr/>
        <w:spacing w:line="300" w:lineRule="auto"/>
        <w:ind w:firstLine="0" w:left="0"/>
        <w:rPr>
          <w:bCs/>
          <w:i/>
          <w:highlight w:val="none"/>
          <w:lang w:val="en-US"/>
        </w:rPr>
      </w:pPr>
      <w:r>
        <w:rPr>
          <w:i/>
          <w:iCs/>
          <w:lang w:val="en-US"/>
        </w:rPr>
        <w:t xml:space="preserve">         </w:t>
        <w:tab/>
        <w:tab/>
        <w:t xml:space="preserve">  Table </w:t>
      </w:r>
      <w:r>
        <w:rPr>
          <w:i/>
          <w:iCs/>
          <w:lang w:val="en-US"/>
        </w:rPr>
        <w:t xml:space="preserve">3.19 </w:t>
      </w:r>
      <w:r>
        <w:rPr>
          <w:i/>
          <w:iCs/>
          <w:lang w:val="en-US"/>
        </w:rPr>
        <w:t xml:space="preserve">LIMUC Per-Class Best Model Summary</w:t>
      </w:r>
      <w:r>
        <w:rPr>
          <w:bCs/>
          <w:i/>
          <w:highlight w:val="none"/>
          <w:lang w:val="en-US"/>
        </w:rPr>
      </w:r>
      <w:r>
        <w:rPr>
          <w:bCs/>
          <w:i/>
          <w:highlight w:val="none"/>
          <w:lang w:val="en-US"/>
        </w:rPr>
      </w:r>
    </w:p>
    <w:p w14:paraId="71354722">
      <w:pPr>
        <w:pStyle w:val="1056"/>
        <w:suppressLineNumbers w:val="false"/>
        <w:pBdr/>
        <w:spacing w:line="300" w:lineRule="auto"/>
        <w:ind w:firstLine="0"/>
        <w:rPr/>
      </w:pPr>
      <w:r>
        <w:rPr>
          <w:rFonts w:ascii="Arial" w:hAnsi="Arial" w:cs="Arial"/>
          <w:color w:val="000000" w:themeColor="text1"/>
        </w:rPr>
        <w:t xml:space="preserve">S</w:t>
      </w:r>
      <w:r>
        <w:rPr>
          <w:rFonts w:ascii="Arial" w:hAnsi="Arial" w:cs="Arial"/>
          <w:color w:val="000000" w:themeColor="text1"/>
        </w:rPr>
        <w:t xml:space="preserve">upport is strongly imbalanced across Mayo classes, and performance remains weakest for intermediate-to-severe classes (notably Mayo 2) even for the best-performing models. This supports the thesis motivation that minority severe classes remain the principa</w:t>
      </w:r>
      <w:r>
        <w:rPr>
          <w:rFonts w:ascii="Arial" w:hAnsi="Arial" w:cs="Arial"/>
          <w:color w:val="000000" w:themeColor="text1"/>
        </w:rPr>
        <w:t xml:space="preserve">l reliability bottleneck and require explicit attention in both evaluation and method design.</w:t>
      </w:r>
      <w:r>
        <w:rPr>
          <w:rFonts w:ascii="Arial" w:hAnsi="Arial" w:cs="Arial"/>
          <w:color w:val="000000" w:themeColor="text1"/>
        </w:rPr>
      </w:r>
      <w:r/>
    </w:p>
    <w:p w14:paraId="0DA5A1C1">
      <w:pPr>
        <w:pStyle w:val="1056"/>
        <w:suppressLineNumbers w:val="false"/>
        <w:pBdr/>
        <w:spacing w:line="300" w:lineRule="auto"/>
        <w:ind w:firstLine="0"/>
        <w:rPr>
          <w:rFonts w:ascii="Arial" w:hAnsi="Arial" w:cs="Arial"/>
          <w:color w:val="000000" w:themeColor="text1"/>
        </w:rPr>
      </w:pPr>
      <w:r>
        <w:rPr>
          <w:rFonts w:ascii="Arial" w:hAnsi="Arial" w:cs="Arial"/>
          <w:b/>
          <w:bCs/>
          <w:color w:val="000000" w:themeColor="text1"/>
        </w:rPr>
        <w:t xml:space="preserve">Limitations and implications. </w:t>
      </w:r>
      <w:r>
        <w:rPr>
          <w:rFonts w:ascii="Arial" w:hAnsi="Arial" w:cs="Arial"/>
          <w:color w:val="000000" w:themeColor="text1"/>
        </w:rPr>
        <w:t xml:space="preserve">LIMUC provides the most clinically actionable evidence in Chapter 3: supervised domain-tuned pipelines substantially outperform the zero-shot baseline on ordinal and clinical-slice metrics under the persisted evaluation configu</w:t>
      </w:r>
      <w:r>
        <w:rPr>
          <w:rFonts w:ascii="Arial" w:hAnsi="Arial" w:cs="Arial"/>
          <w:color w:val="000000" w:themeColor="text1"/>
        </w:rPr>
        <w:t xml:space="preserve">ration. The practical implication for Chapter 4 is direct: UC severity generation must preserve ordinal structure, maintain clinically meaningful threshold behavior (especially specificity), and avoid relying on raw zero-shot generation without safeguards.</w:t>
      </w:r>
      <w:r>
        <w:rPr>
          <w:rFonts w:ascii="Arial" w:hAnsi="Arial" w:cs="Arial"/>
          <w:color w:val="000000" w:themeColor="text1"/>
        </w:rPr>
      </w:r>
      <w:r>
        <w:rPr>
          <w:rFonts w:ascii="Arial" w:hAnsi="Arial" w:cs="Arial"/>
          <w:color w:val="000000" w:themeColor="text1"/>
        </w:rPr>
      </w:r>
    </w:p>
    <w:p w14:paraId="5DEA3D25">
      <w:pPr>
        <w:pStyle w:val="1056"/>
        <w:suppressLineNumbers w:val="false"/>
        <w:pBdr/>
        <w:spacing w:line="300" w:lineRule="auto"/>
        <w:ind w:firstLine="0"/>
        <w:rPr>
          <w:b/>
          <w:bCs/>
          <w:sz w:val="28"/>
          <w:szCs w:val="28"/>
        </w:rPr>
      </w:pPr>
      <w:r>
        <w:rPr>
          <w:b/>
          <w:bCs/>
          <w:sz w:val="28"/>
          <w:szCs w:val="28"/>
        </w:rPr>
        <w:t xml:space="preserve">3.5 Cross-Dataset Synthesis and Findings</w:t>
      </w:r>
      <w:r>
        <w:rPr>
          <w:b/>
          <w:bCs/>
          <w:sz w:val="28"/>
          <w:szCs w:val="28"/>
        </w:rPr>
      </w:r>
      <w:r>
        <w:rPr>
          <w:b/>
          <w:bCs/>
          <w:sz w:val="28"/>
          <w:szCs w:val="28"/>
        </w:rPr>
      </w:r>
    </w:p>
    <w:p w14:paraId="52D9C294">
      <w:pPr>
        <w:pStyle w:val="1056"/>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T</w:t>
      </w:r>
      <w:r>
        <w:rPr>
          <w:rFonts w:ascii="Arial" w:hAnsi="Arial" w:cs="Arial"/>
          <w:color w:val="000000" w:themeColor="text1"/>
        </w:rPr>
        <w:t xml:space="preserve">his section synthesizes dataset-wise results into thesis-level findings tied to the research questions. Because datasets differ in answer space and task regime, cross-dataset comparisons are used primarily to identify consistent reliability hierarchies and</w:t>
      </w:r>
      <w:r>
        <w:rPr>
          <w:rFonts w:ascii="Arial" w:hAnsi="Arial" w:cs="Arial"/>
          <w:color w:val="000000" w:themeColor="text1"/>
        </w:rPr>
        <w:t xml:space="preserve"> failure modes, not to claim a single global ranking.</w:t>
      </w:r>
      <w:r>
        <w:rPr>
          <w:rFonts w:ascii="Arial" w:hAnsi="Arial" w:cs="Arial"/>
          <w:color w:val="000000" w:themeColor="text1"/>
        </w:rPr>
      </w:r>
      <w:r>
        <w:rPr>
          <w:rFonts w:ascii="Arial" w:hAnsi="Arial" w:cs="Arial"/>
          <w:color w:val="000000" w:themeColor="text1"/>
        </w:rPr>
      </w:r>
    </w:p>
    <w:p w14:paraId="7BEA0704">
      <w:pPr>
        <w:pStyle w:val="1056"/>
        <w:suppressLineNumbers w:val="false"/>
        <w:pBdr/>
        <w:spacing w:line="300" w:lineRule="auto"/>
        <w:ind w:firstLine="0"/>
        <w:rPr>
          <w:b/>
          <w:bCs/>
          <w:highlight w:val="none"/>
        </w:rPr>
      </w:pPr>
      <w:r>
        <w:rPr>
          <w:b/>
          <w:bCs/>
        </w:rPr>
        <w:t xml:space="preserve">3.5.1 Comparative Reliability: Constrained vs Zero-Shot</w:t>
      </w:r>
      <w:r>
        <w:rPr>
          <w:b/>
          <w:bCs/>
          <w:highlight w:val="none"/>
        </w:rPr>
      </w:r>
      <w:r>
        <w:rPr>
          <w:b/>
          <w:bCs/>
          <w:highlight w:val="none"/>
        </w:rP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A03D26D">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EC098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Strongest constrained/tuned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E9302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Zero-shot/open baseline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ABBD9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Absolute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6477E6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5742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eastAsia="Arial" w:cs="Arial"/>
                <w:color w:val="000000" w:themeColor="text1"/>
                <w:sz w:val="21"/>
              </w:rPr>
              <w:t xml:space="preserve"> acc 0.8789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642BA3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eastAsia="Arial" w:cs="Arial"/>
                <w:color w:val="000000" w:themeColor="text1"/>
                <w:sz w:val="21"/>
              </w:rPr>
              <w:t xml:space="preserve"> acc 0.0638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E9431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-0.8151</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80E435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B496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eastAsia="Arial" w:cs="Arial"/>
                <w:color w:val="000000" w:themeColor="text1"/>
                <w:sz w:val="21"/>
              </w:rPr>
              <w:t xml:space="preserve"> acc 0.9089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F8385D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qwen_projected</w:t>
            </w:r>
            <w:r>
              <w:rPr>
                <w:rFonts w:ascii="Arial" w:hAnsi="Arial" w:eastAsia="Arial" w:cs="Arial"/>
                <w:color w:val="000000" w:themeColor="text1"/>
                <w:sz w:val="21"/>
              </w:rPr>
              <w:t xml:space="preserve"> acc 0.0670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A7203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-0.8419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099F2A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yes/no subset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5CF745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w:t>
            </w:r>
            <w:r>
              <w:rPr>
                <w:rFonts w:ascii="Arial" w:hAnsi="Arial" w:eastAsia="Arial" w:cs="Arial"/>
                <w:color w:val="000000" w:themeColor="text1"/>
                <w:sz w:val="21"/>
              </w:rPr>
              <w:t xml:space="preserve"> acc 0.9865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2091E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eastAsia="Arial" w:cs="Arial"/>
                <w:color w:val="000000" w:themeColor="text1"/>
                <w:sz w:val="21"/>
              </w:rPr>
              <w:t xml:space="preserve"> acc 0.8939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3413BC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-0.0926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A19F86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severity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D5A662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eastAsia="Arial" w:cs="Arial"/>
                <w:color w:val="000000" w:themeColor="text1"/>
                <w:sz w:val="21"/>
              </w:rPr>
              <w:t xml:space="preserve"> acc 0.7539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A588E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eastAsia="Arial" w:cs="Arial"/>
                <w:color w:val="000000" w:themeColor="text1"/>
                <w:sz w:val="21"/>
              </w:rPr>
              <w:t xml:space="preserve"> acc 0.5486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1451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-0.2052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C83F13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generative</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06B12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w:t>
            </w:r>
            <w:r>
              <w:rPr>
                <w:rFonts w:ascii="Arial" w:hAnsi="Arial" w:eastAsia="Arial" w:cs="Arial"/>
                <w:color w:val="000000" w:themeColor="text1"/>
                <w:sz w:val="21"/>
              </w:rPr>
              <w:t xml:space="preserve"> token-F1 0.5085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48C34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qwen_zeroshot</w:t>
            </w:r>
            <w:r>
              <w:rPr>
                <w:rFonts w:ascii="Arial" w:hAnsi="Arial" w:eastAsia="Arial" w:cs="Arial"/>
                <w:color w:val="000000" w:themeColor="text1"/>
                <w:sz w:val="21"/>
              </w:rPr>
              <w:t xml:space="preserve"> token-F1 0.1728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1EA0C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+0.3357 (adaptation gain)</w:t>
            </w:r>
            <w:r>
              <w:rPr>
                <w:rFonts w:ascii="Arial" w:hAnsi="Arial" w:cs="Arial"/>
                <w:color w:val="000000" w:themeColor="text1"/>
              </w:rPr>
            </w:r>
            <w:r>
              <w:rPr>
                <w:rFonts w:ascii="Arial" w:hAnsi="Arial" w:cs="Arial"/>
                <w:color w:val="000000" w:themeColor="text1"/>
              </w:rPr>
            </w:r>
          </w:p>
        </w:tc>
      </w:tr>
    </w:tbl>
    <w:p w14:paraId="08D2CB17">
      <w:pPr>
        <w:pStyle w:val="1056"/>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3.20 </w:t>
      </w:r>
      <w:r>
        <w:rPr>
          <w:i/>
          <w:iCs/>
          <w:lang w:val="en-US"/>
        </w:rPr>
        <w:t xml:space="preserve">Reliability Gap Snapshot Across Datasets</w:t>
      </w:r>
      <w:r>
        <w:rPr>
          <w:bCs/>
          <w:i/>
          <w:highlight w:val="none"/>
          <w:lang w:val="en-US"/>
        </w:rPr>
      </w:r>
      <w:r>
        <w:rPr>
          <w:bCs/>
          <w:i/>
          <w:highlight w:val="none"/>
          <w:lang w:val="en-US"/>
        </w:rPr>
      </w:r>
    </w:p>
    <w:p w14:paraId="305EA60E">
      <w:pPr>
        <w:pStyle w:val="1056"/>
        <w:suppressLineNumbers w:val="false"/>
        <w:pBdr/>
        <w:spacing w:line="300" w:lineRule="auto"/>
        <w:ind w:firstLine="0"/>
        <w:rPr/>
      </w:pPr>
      <w:r>
        <w:t xml:space="preserve">T</w:t>
      </w:r>
      <w:r>
        <w:t xml:space="preserve">he repository evidence consistently indicates that constrained/supervised pipelines remain the reliability baseline for structured GI tasks, while raw zero-shot generation is weaker and more format-unstable. The Kvasir-VQA-x1 row summarizes a generative ov</w:t>
      </w:r>
      <w:r>
        <w:t xml:space="preserve">erlap diagnostic (token-F1) rather than accuracy; it shows that adaptation improves overlap fidelity but does not resolve answer-space governance and grounding issues identified in the dataset-wise analysis.</w:t>
      </w:r>
      <w:r/>
    </w:p>
    <w:p w14:paraId="626052AD">
      <w:pPr>
        <w:pStyle w:val="1056"/>
        <w:suppressLineNumbers w:val="false"/>
        <w:pBdr/>
        <w:spacing w:line="300" w:lineRule="auto"/>
        <w:ind w:firstLine="0"/>
        <w:rPr>
          <w:highlight w:val="none"/>
        </w:rPr>
      </w:pPr>
      <w:r>
        <w:t xml:space="preserve">Result for RQ2. Under the persisted evidence in this repository, constrained/supervised methods remain the most reliable core pathway for GI MedVQA, and zero-shot transfer is consistently weaker under strict evaluation conventions.</w:t>
      </w:r>
      <w:r>
        <w:rPr>
          <w:highlight w:val="none"/>
        </w:rPr>
      </w:r>
      <w:r>
        <w:rPr>
          <w:highlight w:val="none"/>
        </w:rPr>
      </w:r>
    </w:p>
    <w:p w14:paraId="257AE7A5">
      <w:pPr>
        <w:pStyle w:val="1056"/>
        <w:suppressLineNumbers w:val="false"/>
        <w:pBdr/>
        <w:spacing w:line="300" w:lineRule="auto"/>
        <w:ind w:firstLine="0"/>
        <w:rPr>
          <w:b/>
          <w:bCs/>
        </w:rPr>
      </w:pPr>
      <w:r>
        <w:rPr>
          <w:b/>
          <w:bCs/>
        </w:rPr>
        <w:t xml:space="preserve">3.5.2 Dominant Failure Modes (RQ3)</w:t>
      </w:r>
      <w:r>
        <w:rPr>
          <w:b/>
          <w:bCs/>
        </w:rPr>
      </w:r>
      <w:r>
        <w:rPr>
          <w:b/>
          <w:bCs/>
        </w:rPr>
      </w:r>
    </w:p>
    <w:tbl>
      <w:tblPr>
        <w:tblStyle w:val="1113"/>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59B531B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Failure mode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DEED83C">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Evidence in this chapter</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BDD879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Practical implication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3D716EC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Head-tail imbalance collapse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E10F7E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 rare recall near zero for multiple models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177B31A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aggregate accuracy can mask clinically important misses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4A7A8E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Lexical drift / non-answer generation</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29988E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freegen unknown-rate 1.0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E2E49D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requires constrained decoding and output guards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232B64C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mapping fragility</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121DDC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mapped VLM acc 0.5616 but macro-F1 0.0058 with OOV 0.973</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6529D4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mapped accuracy alone can be misleading</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5A2C80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Question-family brittleness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59E2A9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procedure/attribute families collapse for zero-shot raw/projected</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F9332F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per-family reporting is mandatory</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7B49B2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Clinical threshold blind spots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2E211F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zero-shot remission specificity 0.0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4A89BB8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unsafe threshold behavior without supervision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52E9D61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evidence gap</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C5727B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reformatted tree provides scenario config without scored outputs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DE09A6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scenario-level failure conclusions are deferred until outputs are persisted</w:t>
            </w:r>
            <w:r>
              <w:rPr>
                <w:rFonts w:ascii="Arial" w:hAnsi="Arial" w:cs="Arial"/>
                <w:color w:val="000000" w:themeColor="text1"/>
              </w:rPr>
            </w:r>
            <w:r>
              <w:rPr>
                <w:rFonts w:ascii="Arial" w:hAnsi="Arial" w:cs="Arial"/>
                <w:color w:val="000000" w:themeColor="text1"/>
              </w:rPr>
            </w:r>
          </w:p>
        </w:tc>
      </w:tr>
    </w:tbl>
    <w:p w14:paraId="08D2CB17">
      <w:pPr>
        <w:pStyle w:val="1056"/>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3.21 </w:t>
      </w:r>
      <w:r>
        <w:rPr>
          <w:i/>
          <w:iCs/>
          <w:lang w:val="en-US"/>
        </w:rPr>
        <w:t xml:space="preserve">Observed Failure Taxonomy</w:t>
      </w:r>
      <w:r>
        <w:rPr>
          <w:bCs/>
          <w:i/>
          <w:highlight w:val="none"/>
          <w:lang w:val="en-US"/>
        </w:rPr>
      </w:r>
      <w:r>
        <w:rPr>
          <w:bCs/>
          <w:i/>
          <w:highlight w:val="none"/>
          <w:lang w:val="en-US"/>
        </w:rPr>
      </w:r>
    </w:p>
    <w:p w14:paraId="012116AB">
      <w:pPr>
        <w:pStyle w:val="1056"/>
        <w:suppressLineNumbers w:val="false"/>
        <w:pBdr/>
        <w:spacing w:line="300" w:lineRule="auto"/>
        <w:ind w:firstLine="0"/>
        <w:rPr>
          <w:highlight w:val="none"/>
        </w:rPr>
      </w:pPr>
      <w:r>
        <w:rPr>
          <w:highlight w:val="none"/>
        </w:rPr>
      </w:r>
      <w:r>
        <w:rPr>
          <w:highlight w:val="none"/>
        </w:rPr>
        <w:t xml:space="preserve">T</w:t>
      </w:r>
      <w:r>
        <w:rPr>
          <w:highlight w:val="none"/>
        </w:rPr>
        <w:t xml:space="preserve">hese failure modes explain why single-score reporting is insufficient for clinical MedVQA</w:t>
      </w:r>
      <w:r>
        <w:rPr>
          <w:highlight w:val="none"/>
          <w:lang w:val="en-US"/>
        </w:rPr>
        <w:t xml:space="preserve">[56]</w:t>
      </w:r>
      <w:r>
        <w:rPr>
          <w:highlight w:val="none"/>
        </w:rPr>
        <w:t xml:space="preserve">. Some failures are data-driven (long-tail imbalance), others are format-driven (unknown/OOV and mapping fragility), and others are clinically risk-driven (threshold f</w:t>
      </w:r>
      <w:r>
        <w:rPr>
          <w:highlight w:val="none"/>
        </w:rPr>
        <w:t xml:space="preserve">ailures and ordinal inconsistency). This taxonomy directly motivates the risk-control and evidence-governance design in later chapters.</w:t>
      </w:r>
      <w:r>
        <w:rPr>
          <w:highlight w:val="none"/>
        </w:rPr>
      </w:r>
      <w:r>
        <w:rPr>
          <w:highlight w:val="none"/>
        </w:rPr>
      </w:r>
    </w:p>
    <w:p w14:paraId="382A7E85">
      <w:pPr>
        <w:pStyle w:val="1056"/>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312302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607" name=""/>
                        <pic:cNvPicPr>
                          <a:picLocks noChangeAspect="1"/>
                        </pic:cNvPicPr>
                        <pic:nvPr/>
                      </pic:nvPicPr>
                      <pic:blipFill rotWithShape="1">
                        <a:blip r:embed="rId21"/>
                        <a:stretch/>
                      </pic:blipFill>
                      <pic:spPr bwMode="auto">
                        <a:xfrm>
                          <a:off x="0" y="0"/>
                          <a:ext cx="5486399" cy="3123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245.9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27802FD">
      <w:pPr>
        <w:pStyle w:val="1056"/>
        <w:suppressLineNumbers w:val="false"/>
        <w:pBdr/>
        <w:spacing w:line="300" w:lineRule="auto"/>
        <w:ind w:firstLine="0"/>
        <w:rPr>
          <w:bCs/>
          <w:i/>
        </w:rPr>
      </w:pPr>
      <w:r>
        <w:rPr>
          <w:highlight w:val="none"/>
        </w:rPr>
        <w:tab/>
        <w:tab/>
        <w:tab/>
        <w:tab/>
      </w:r>
      <w:r>
        <w:rPr>
          <w:i/>
          <w:iCs/>
          <w:highlight w:val="none"/>
        </w:rPr>
        <w:t xml:space="preserve">Figure 3.</w:t>
      </w:r>
      <w:r>
        <w:rPr>
          <w:i/>
          <w:iCs/>
          <w:highlight w:val="none"/>
          <w:lang w:val="en-US"/>
        </w:rPr>
        <w:t xml:space="preserve">8</w:t>
      </w:r>
      <w:r>
        <w:rPr>
          <w:i/>
          <w:iCs/>
          <w:highlight w:val="none"/>
        </w:rPr>
        <w:t xml:space="preserve"> — Failure taxonomy tree</w:t>
      </w:r>
      <w:r>
        <w:rPr>
          <w:bCs/>
          <w:i/>
        </w:rPr>
      </w:r>
      <w:r>
        <w:rPr>
          <w:bCs/>
          <w:i/>
        </w:rPr>
      </w:r>
    </w:p>
    <w:p w14:paraId="3059B75B">
      <w:pPr>
        <w:pStyle w:val="1056"/>
        <w:suppressLineNumbers w:val="false"/>
        <w:pBdr/>
        <w:spacing w:line="300" w:lineRule="auto"/>
        <w:ind w:firstLine="0"/>
        <w:rPr>
          <w:b/>
          <w:bCs/>
        </w:rPr>
      </w:pPr>
      <w:r>
        <w:rPr>
          <w:b/>
          <w:bCs/>
        </w:rPr>
        <w:t xml:space="preserve">3.5.3 Severity Robustness (RQ4)</w:t>
      </w:r>
      <w:r>
        <w:rPr>
          <w:b/>
          <w:bCs/>
        </w:rPr>
      </w:r>
      <w:r>
        <w:rPr>
          <w:b/>
          <w:bCs/>
        </w:rPr>
      </w:r>
    </w:p>
    <w:p w14:paraId="057E441A">
      <w:pPr>
        <w:pStyle w:val="1056"/>
        <w:suppressLineNumbers w:val="false"/>
        <w:pBdr/>
        <w:spacing w:line="300" w:lineRule="auto"/>
        <w:ind w:firstLine="0"/>
        <w:rPr/>
      </w:pPr>
      <w:r>
        <w:t xml:space="preserve">T</w:t>
      </w:r>
      <w:r>
        <w:t xml:space="preserve">he LIMUC results provide the strongest empirical support for RQ4. The key conclusion is that severity-oriented MedVQA must be evaluated using ordinal and threshold-aligned metrics, not accuracy alone. Under the persisted evaluation configuration, tuned mod</w:t>
      </w:r>
      <w:r>
        <w:t xml:space="preserve">els achieve stronger ordinal agreement (QWK) and more stable remission-threshold behavior than the zero-shot baseline, while per-class results show that underrepresented moderate-to-severe classes remain the principal bottleneck.</w:t>
      </w:r>
      <w:r/>
    </w:p>
    <w:p w14:paraId="064D9BAD">
      <w:pPr>
        <w:pStyle w:val="1056"/>
        <w:suppressLineNumbers w:val="false"/>
        <w:pBdr/>
        <w:spacing w:line="300" w:lineRule="auto"/>
        <w:ind w:firstLine="0"/>
        <w:rPr>
          <w:b/>
          <w:bCs/>
        </w:rPr>
      </w:pPr>
      <w:r>
        <w:rPr>
          <w:b/>
          <w:bCs/>
        </w:rPr>
        <w:t xml:space="preserve">3.5.4 Statistical Stability</w:t>
      </w:r>
      <w:r>
        <w:rPr>
          <w:b/>
          <w:bCs/>
        </w:rPr>
      </w:r>
      <w:r>
        <w:rPr>
          <w:b/>
          <w:bCs/>
        </w:rPr>
      </w:r>
    </w:p>
    <w:p w14:paraId="2C28295E">
      <w:pPr>
        <w:pStyle w:val="1056"/>
        <w:suppressLineNumbers w:val="false"/>
        <w:pBdr/>
        <w:spacing w:line="300" w:lineRule="auto"/>
        <w:ind w:firstLine="0"/>
        <w:rPr/>
      </w:pPr>
      <w:r>
        <w:t xml:space="preserve">W</w:t>
      </w:r>
      <w:r>
        <w:t xml:space="preserve">here paired predictions and McNemar diagnostics are persisted and reported (e.g., within specific dataset blocks that include n01/n10/p-values), the evidence indicates that some large observed differences are not plausibly explained by noise-level fluctuat</w:t>
      </w:r>
      <w:r>
        <w:t xml:space="preserve">ions. For dataset blocks where paired tests are not included in the chapter tables, differences are interpreted conservatively as descriptive observed gaps rather than formal significance claims.</w:t>
      </w:r>
      <w:r/>
    </w:p>
    <w:p w14:paraId="0DDA4B41">
      <w:pPr>
        <w:pStyle w:val="1056"/>
        <w:suppressLineNumbers w:val="false"/>
        <w:pBdr/>
        <w:spacing w:line="300" w:lineRule="auto"/>
        <w:ind w:firstLine="0"/>
        <w:rPr>
          <w:b/>
          <w:bCs/>
          <w:highlight w:val="none"/>
        </w:rPr>
      </w:pPr>
      <w:r>
        <w:rPr>
          <w:b/>
          <w:bCs/>
        </w:rPr>
      </w:r>
      <w:r>
        <w:rPr>
          <w:b/>
          <w:bCs/>
        </w:rPr>
        <w:t xml:space="preserve">3.5.5 Threats to Validity and Boundaries</w:t>
      </w:r>
      <w:r>
        <w:rPr>
          <w:b/>
          <w:bCs/>
          <w:highlight w:val="none"/>
        </w:rPr>
      </w:r>
      <w:r>
        <w:rPr>
          <w:b/>
          <w:bCs/>
          <w:highlight w:val="none"/>
        </w:rPr>
      </w:r>
    </w:p>
    <w:tbl>
      <w:tblPr>
        <w:tblStyle w:val="1113"/>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0EB54C13">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Threat</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44511D">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Potential bias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047B9CD0">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Mitigation applied</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2C3742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Cross-dataset task heterogeneity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6DF7A757">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direct metric comparison may be invalid</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A390043">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comparisons are primarily within dataset/task</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185BC5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Incomplete artifact parity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E412A48">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some runs have training logs but missing validation preds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84B7EF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explicitly marked as unavailable; no fabricated comparisons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39E94A55">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Label projection inflation risk</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2EA2D9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text may match labels lexically without semantic correctness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CF0966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scores reported as diagnostic, not final clinical score</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62B0B43C">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artifact incompleteness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7DE54A0B">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no persisted reformatted scenario predictions/metrics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B607C22">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claims removed from quantitative synthesis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4FEDC61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Legacy vs reformatted pipeline differences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1DFB489">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potential metric provenance mismatch</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74B56E">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chapter constrained to </w:t>
            </w:r>
            <w:r>
              <w:rPr>
                <w:rFonts w:ascii="Arial" w:hAnsi="Arial" w:eastAsia="Arial" w:cs="Arial"/>
                <w:color w:val="000000" w:themeColor="text1"/>
                <w:sz w:val="22"/>
                <w:szCs w:val="22"/>
                <w:highlight w:val="white"/>
              </w:rPr>
              <w:t xml:space="preserve">Prototyping_reformat</w:t>
            </w:r>
            <w:r>
              <w:rPr>
                <w:rFonts w:ascii="Arial" w:hAnsi="Arial" w:eastAsia="Arial" w:cs="Arial"/>
                <w:color w:val="000000" w:themeColor="text1"/>
                <w:sz w:val="22"/>
                <w:szCs w:val="22"/>
              </w:rPr>
              <w:t xml:space="preserve"> sources only</w:t>
            </w:r>
            <w:r>
              <w:rPr>
                <w:rFonts w:ascii="Arial" w:hAnsi="Arial" w:cs="Arial"/>
                <w:color w:val="000000" w:themeColor="text1"/>
                <w:sz w:val="22"/>
                <w:szCs w:val="22"/>
              </w:rPr>
            </w:r>
            <w:r>
              <w:rPr>
                <w:rFonts w:ascii="Arial" w:hAnsi="Arial" w:cs="Arial"/>
                <w:color w:val="000000" w:themeColor="text1"/>
                <w:sz w:val="22"/>
                <w:szCs w:val="22"/>
              </w:rPr>
            </w:r>
          </w:p>
        </w:tc>
      </w:tr>
    </w:tbl>
    <w:p w14:paraId="08D2CB17">
      <w:pPr>
        <w:pStyle w:val="1056"/>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3.22 </w:t>
      </w:r>
      <w:r>
        <w:rPr>
          <w:i/>
          <w:iCs/>
          <w:lang w:val="en-US"/>
        </w:rPr>
        <w:t xml:space="preserve">Threats to Validity and Mitigation</w:t>
      </w:r>
      <w:r>
        <w:rPr>
          <w:bCs/>
          <w:i/>
          <w:highlight w:val="none"/>
          <w:lang w:val="en-US"/>
        </w:rPr>
      </w:r>
      <w:r>
        <w:rPr>
          <w:bCs/>
          <w:i/>
          <w:highlight w:val="none"/>
          <w:lang w:val="en-US"/>
        </w:rPr>
      </w:r>
    </w:p>
    <w:p w14:paraId="29325C1F">
      <w:pPr>
        <w:pStyle w:val="1056"/>
        <w:suppressLineNumbers w:val="false"/>
        <w:pBdr/>
        <w:spacing w:line="300" w:lineRule="auto"/>
        <w:ind w:firstLine="0"/>
        <w:rPr/>
      </w:pPr>
      <w:r>
        <w:t xml:space="preserve">T</w:t>
      </w:r>
      <w:r>
        <w:t xml:space="preserve">he core methodological risk in this chapter is overinterpreting incomplete artifacts. The mitigation strategy is provenance-first: claims are tied directly to persisted tables, and diagnostics (projection/mapping) are clearly labeled as diagnostics rather </w:t>
      </w:r>
      <w:r>
        <w:t xml:space="preserve">than clinical correctness evidence.</w:t>
      </w:r>
      <w:r/>
    </w:p>
    <w:p w14:paraId="18225EE6">
      <w:pPr>
        <w:pStyle w:val="1056"/>
        <w:suppressLineNumbers w:val="false"/>
        <w:pBdr/>
        <w:spacing w:line="300" w:lineRule="auto"/>
        <w:ind w:firstLine="0"/>
        <w:rPr>
          <w:b/>
          <w:bCs/>
        </w:rPr>
      </w:pPr>
      <w:r>
        <w:rPr>
          <w:b/>
          <w:bCs/>
          <w:highlight w:val="none"/>
        </w:rPr>
      </w:r>
      <w:r>
        <w:rPr>
          <w:b/>
          <w:bCs/>
        </w:rPr>
      </w:r>
      <w:r>
        <w:rPr>
          <w:b/>
          <w:bCs/>
        </w:rPr>
      </w:r>
    </w:p>
    <w:p w14:paraId="6B7F04DC">
      <w:pPr>
        <w:pStyle w:val="1056"/>
        <w:suppressLineNumbers w:val="false"/>
        <w:pBdr/>
        <w:spacing w:line="300" w:lineRule="auto"/>
        <w:ind w:firstLine="0"/>
        <w:rPr>
          <w:b/>
          <w:bCs/>
          <w:highlight w:val="none"/>
        </w:rPr>
      </w:pPr>
      <w:r>
        <w:rPr>
          <w:b/>
          <w:bCs/>
        </w:rPr>
        <w:t xml:space="preserve">3.5.6 </w:t>
      </w:r>
      <w:r>
        <w:rPr>
          <w:b/>
          <w:bCs/>
        </w:rPr>
        <w:t xml:space="preserve">Positioning Against Broader MedVQA Findings</w:t>
      </w:r>
      <w:r>
        <w:rPr>
          <w:b/>
          <w:bCs/>
          <w:highlight w:val="none"/>
        </w:rPr>
      </w:r>
      <w:r>
        <w:rPr>
          <w:b/>
          <w:bCs/>
          <w:highlight w:val="none"/>
        </w:rPr>
      </w:r>
    </w:p>
    <w:p w14:paraId="132ABD39">
      <w:pPr>
        <w:pStyle w:val="1056"/>
        <w:suppressLineNumbers w:val="false"/>
        <w:pBdr/>
        <w:spacing w:line="300" w:lineRule="auto"/>
        <w:ind w:firstLine="0"/>
        <w:rPr/>
      </w:pPr>
      <w:r>
        <w:t xml:space="preserve">T</w:t>
      </w:r>
      <w:r>
        <w:t xml:space="preserve">he empirical patterns observed here align with the broader MedVQA observations reviewed in Chapter 2: constrained or fine-tuned pipelines remain stronger than naive zero-shot generation on structured clinical tasks, and overlap improvements in generative s</w:t>
      </w:r>
      <w:r>
        <w:t xml:space="preserve">e</w:t>
      </w:r>
      <w:r>
        <w:t xml:space="preserve">ttings do not automatically guarantee grounded or clinically faithful reasoning</w:t>
      </w:r>
      <w:r>
        <w:t xml:space="preserve">[57], [60], [61]</w:t>
      </w:r>
      <w:r>
        <w:t xml:space="preserve">. Chapter 3’s contribution is not a state-of-the-art claim; it is a reproducible reliability map for GI MedVQA under a single artifact envelope, explicitly identifying format in</w:t>
      </w:r>
      <w:r>
        <w:t xml:space="preserve">stability, mapping fragility, question-family brittleness, and threshold failures that must be addressed before clinician-facing deployment.</w:t>
      </w:r>
      <w:r/>
    </w:p>
    <w:p w14:paraId="12F7F0AC">
      <w:pPr>
        <w:pStyle w:val="1056"/>
        <w:suppressLineNumbers w:val="false"/>
        <w:pBdr/>
        <w:spacing w:line="300" w:lineRule="auto"/>
        <w:ind w:firstLine="0"/>
        <w:rPr>
          <w:b/>
          <w:bCs/>
          <w:sz w:val="28"/>
          <w:szCs w:val="28"/>
        </w:rPr>
      </w:pPr>
      <w:r>
        <w:rPr>
          <w:b/>
          <w:bCs/>
          <w:sz w:val="28"/>
          <w:szCs w:val="28"/>
        </w:rPr>
        <w:t xml:space="preserve">3.6 Position After Chapter 3</w:t>
      </w:r>
      <w:r>
        <w:rPr>
          <w:b/>
          <w:bCs/>
          <w:sz w:val="28"/>
          <w:szCs w:val="28"/>
        </w:rPr>
      </w:r>
      <w:r>
        <w:rPr>
          <w:b/>
          <w:bCs/>
          <w:sz w:val="28"/>
          <w:szCs w:val="28"/>
        </w:rPr>
      </w:r>
    </w:p>
    <w:p w14:paraId="7A8CC163">
      <w:pPr>
        <w:pStyle w:val="1056"/>
        <w:suppressLineNumbers w:val="false"/>
        <w:pBdr/>
        <w:spacing w:line="300" w:lineRule="auto"/>
        <w:ind w:firstLine="0"/>
        <w:rPr/>
      </w:pPr>
      <w:r>
        <w:t xml:space="preserve">Chapter 3 establishes a reproducible empirical baseline for the dissertation:</w:t>
      </w:r>
      <w:r/>
    </w:p>
    <w:p w14:paraId="4681F31D">
      <w:pPr>
        <w:pStyle w:val="1056"/>
        <w:numPr>
          <w:ilvl w:val="0"/>
          <w:numId w:val="73"/>
        </w:numPr>
        <w:suppressLineNumbers w:val="false"/>
        <w:pBdr/>
        <w:spacing w:line="300" w:lineRule="auto"/>
        <w:ind/>
        <w:rPr/>
      </w:pPr>
      <w:r>
        <w:t xml:space="preserve">GI MedVQA performance is strongly task- and format-dependent; closed-label and free-text regimes behave differently and must be evaluated differently.</w:t>
      </w:r>
      <w:r/>
    </w:p>
    <w:p w14:paraId="596F6ABA">
      <w:pPr>
        <w:pStyle w:val="1056"/>
        <w:numPr>
          <w:ilvl w:val="0"/>
          <w:numId w:val="73"/>
        </w:numPr>
        <w:suppressLineNumbers w:val="false"/>
        <w:pBdr/>
        <w:spacing w:line="300" w:lineRule="auto"/>
        <w:ind/>
        <w:rPr/>
      </w:pPr>
      <w:r>
        <w:t xml:space="preserve">Under the persisted evidence in this repository, constrained/supervised methods remain the reliability baseline for closed and ordinal clinical tasks.</w:t>
      </w:r>
      <w:r/>
    </w:p>
    <w:p w14:paraId="5C742244">
      <w:pPr>
        <w:pStyle w:val="1056"/>
        <w:numPr>
          <w:ilvl w:val="0"/>
          <w:numId w:val="73"/>
        </w:numPr>
        <w:suppressLineNumbers w:val="false"/>
        <w:pBdr/>
        <w:spacing w:line="300" w:lineRule="auto"/>
        <w:ind/>
        <w:rPr/>
      </w:pPr>
      <w:r>
        <w:t xml:space="preserve">Naive zero-shot generation is insufficient as a standalone clinical answer path under strict evaluation conventions and ontology requirements.</w:t>
      </w:r>
      <w:r/>
    </w:p>
    <w:p w14:paraId="6E95DC38">
      <w:pPr>
        <w:pStyle w:val="1056"/>
        <w:numPr>
          <w:ilvl w:val="0"/>
          <w:numId w:val="73"/>
        </w:numPr>
        <w:suppressLineNumbers w:val="false"/>
        <w:pBdr/>
        <w:spacing w:line="300" w:lineRule="auto"/>
        <w:ind/>
        <w:rPr/>
      </w:pPr>
      <w:r>
        <w:t xml:space="preserve">Severity-focused evaluation must remain central, especially ordinal agreement and clinically meaningful threshold slices (e.g., remission specificity).</w:t>
      </w:r>
      <w:r/>
    </w:p>
    <w:p w14:paraId="7123E948">
      <w:pPr>
        <w:pStyle w:val="1056"/>
        <w:numPr>
          <w:ilvl w:val="0"/>
          <w:numId w:val="73"/>
        </w:numPr>
        <w:suppressLineNumbers w:val="false"/>
        <w:pBdr/>
        <w:spacing w:line="300" w:lineRule="auto"/>
        <w:ind/>
        <w:rPr/>
      </w:pPr>
      <w:r>
        <w:t xml:space="preserve">Generative capability is valuable only with explicit governance, including constraints/normalization, unknown/OOV handling, abstention behavior, and (in later chapters) evidence-aware grounding for higher-level queries.</w:t>
      </w:r>
      <w:r/>
    </w:p>
    <w:p w14:paraId="2C69E82A">
      <w:pPr>
        <w:pStyle w:val="1056"/>
        <w:suppressLineNumbers w:val="false"/>
        <w:pBdr/>
        <w:spacing w:line="300" w:lineRule="auto"/>
        <w:ind w:firstLine="0"/>
        <w:rPr/>
      </w:pPr>
      <w:r>
        <w:t xml:space="preserve">These findings motivate Chapter 4, which develops a controlled generative pipeline for UC severity that preserves ordinal reliability and introduces safeguards for output stability, before extending toward evidence-aware answering.</w:t>
      </w:r>
      <w:r/>
    </w:p>
    <w:p w14:paraId="11FA583A">
      <w:pPr>
        <w:pStyle w:val="1056"/>
        <w:suppressLineNumbers w:val="false"/>
        <w:pBdr/>
        <w:spacing w:line="300" w:lineRule="auto"/>
        <w:ind w:firstLine="0"/>
        <w:rPr/>
      </w:pPr>
      <w:r>
        <w:rPr>
          <w:highlight w:val="none"/>
        </w:rPr>
      </w:r>
      <w:r>
        <w:rPr>
          <w:highlight w:val="none"/>
        </w:rPr>
      </w:r>
      <w:r/>
    </w:p>
    <w:p w14:paraId="530C2379">
      <w:pPr>
        <w:pStyle w:val="1056"/>
        <w:suppressLineNumbers w:val="false"/>
        <w:pBdr/>
        <w:spacing w:line="300" w:lineRule="auto"/>
        <w:ind w:firstLine="0"/>
        <w:rPr/>
      </w:pPr>
      <w:r/>
      <w:r/>
    </w:p>
    <w:p w14:paraId="5D77A607">
      <w:pPr>
        <w:pStyle w:val="1056"/>
        <w:suppressLineNumbers w:val="false"/>
        <w:pBdr/>
        <w:spacing w:line="300" w:lineRule="auto"/>
        <w:ind w:firstLine="0"/>
        <w:rPr/>
      </w:pPr>
      <w:r/>
      <w:r/>
    </w:p>
    <w:p w14:paraId="53FE87BB">
      <w:pPr>
        <w:pStyle w:val="1056"/>
        <w:suppressLineNumbers w:val="false"/>
        <w:pBdr/>
        <w:spacing w:line="300" w:lineRule="auto"/>
        <w:ind w:firstLine="0"/>
        <w:rPr/>
      </w:pPr>
      <w:r/>
      <w:r/>
    </w:p>
    <w:p w14:paraId="442B2995">
      <w:pPr>
        <w:pStyle w:val="1056"/>
        <w:suppressLineNumbers w:val="false"/>
        <w:pBdr/>
        <w:spacing w:line="300" w:lineRule="auto"/>
        <w:ind w:firstLine="0"/>
        <w:rPr/>
      </w:pPr>
      <w:r/>
      <w:r/>
    </w:p>
    <w:p w14:paraId="0DE07F34">
      <w:pPr>
        <w:pStyle w:val="1056"/>
        <w:suppressLineNumbers w:val="false"/>
        <w:pBdr/>
        <w:spacing w:line="300" w:lineRule="auto"/>
        <w:ind w:firstLine="0"/>
        <w:rPr/>
      </w:pPr>
      <w:r/>
      <w:r/>
    </w:p>
    <w:p w14:paraId="3CF471EA">
      <w:pPr>
        <w:pStyle w:val="1056"/>
        <w:suppressLineNumbers w:val="false"/>
        <w:pBdr/>
        <w:spacing w:line="300" w:lineRule="auto"/>
        <w:ind w:firstLine="0"/>
        <w:rPr/>
      </w:pPr>
      <w:r/>
      <w:r/>
    </w:p>
    <w:p w14:paraId="5474D7CA">
      <w:pPr>
        <w:pStyle w:val="1056"/>
        <w:suppressLineNumbers w:val="false"/>
        <w:pBdr/>
        <w:spacing w:line="300" w:lineRule="auto"/>
        <w:ind w:firstLine="0"/>
        <w:rPr/>
      </w:pPr>
      <w:r/>
      <w:r/>
    </w:p>
    <w:p w14:paraId="1D9157EA">
      <w:pPr>
        <w:pStyle w:val="1056"/>
        <w:suppressLineNumbers w:val="false"/>
        <w:pBdr/>
        <w:spacing w:line="300" w:lineRule="auto"/>
        <w:ind w:firstLine="0"/>
        <w:rPr/>
      </w:pPr>
      <w:r/>
      <w:r/>
    </w:p>
    <w:p w14:paraId="646C775B">
      <w:pPr>
        <w:pStyle w:val="1056"/>
        <w:suppressLineNumbers w:val="false"/>
        <w:pBdr/>
        <w:spacing w:line="300" w:lineRule="auto"/>
        <w:ind w:firstLine="0"/>
        <w:rPr/>
      </w:pPr>
      <w:r/>
      <w:r/>
    </w:p>
    <w:p w14:paraId="6F6A112D">
      <w:pPr>
        <w:pStyle w:val="1056"/>
        <w:suppressLineNumbers w:val="false"/>
        <w:pBdr/>
        <w:spacing w:line="300" w:lineRule="auto"/>
        <w:ind w:firstLine="0"/>
        <w:rPr/>
      </w:pPr>
      <w:r/>
      <w:r/>
    </w:p>
    <w:p w14:paraId="5E8044AB">
      <w:pPr>
        <w:pStyle w:val="1056"/>
        <w:suppressLineNumbers w:val="false"/>
        <w:pBdr/>
        <w:spacing w:line="300" w:lineRule="auto"/>
        <w:ind w:firstLine="0"/>
        <w:rPr/>
      </w:pPr>
      <w:r/>
      <w:r/>
    </w:p>
    <w:p w14:paraId="42BEB6E6">
      <w:pPr>
        <w:pStyle w:val="1056"/>
        <w:suppressLineNumbers w:val="false"/>
        <w:pBdr/>
        <w:spacing w:line="300" w:lineRule="auto"/>
        <w:ind w:firstLine="0"/>
        <w:rPr/>
      </w:pPr>
      <w:r/>
      <w:r/>
    </w:p>
    <w:p w14:paraId="7E0366C4">
      <w:pPr>
        <w:pStyle w:val="1056"/>
        <w:suppressLineNumbers w:val="false"/>
        <w:pBdr/>
        <w:spacing w:line="300" w:lineRule="auto"/>
        <w:ind w:firstLine="0"/>
        <w:rPr/>
      </w:pPr>
      <w:r/>
      <w:r/>
    </w:p>
    <w:p w14:paraId="1584DB52">
      <w:pPr>
        <w:pStyle w:val="1056"/>
        <w:suppressLineNumbers w:val="false"/>
        <w:pBdr/>
        <w:spacing w:line="300" w:lineRule="auto"/>
        <w:ind w:firstLine="0"/>
        <w:rPr/>
      </w:pPr>
      <w:r/>
      <w:r/>
    </w:p>
    <w:p w14:paraId="2C80C08E">
      <w:pPr>
        <w:pStyle w:val="1056"/>
        <w:suppressLineNumbers w:val="false"/>
        <w:pBdr/>
        <w:spacing w:line="300" w:lineRule="auto"/>
        <w:ind w:firstLine="0"/>
        <w:rPr/>
      </w:pPr>
      <w:r/>
      <w:r/>
    </w:p>
    <w:p w14:paraId="471F9FFC">
      <w:pPr>
        <w:pStyle w:val="1056"/>
        <w:suppressLineNumbers w:val="false"/>
        <w:pBdr/>
        <w:spacing w:line="300" w:lineRule="auto"/>
        <w:ind w:firstLine="0"/>
        <w:rPr/>
      </w:pPr>
      <w:r/>
      <w:r/>
    </w:p>
    <w:p w14:paraId="60FCAA16">
      <w:pPr>
        <w:pStyle w:val="1056"/>
        <w:suppressLineNumbers w:val="false"/>
        <w:pBdr/>
        <w:spacing w:line="300" w:lineRule="auto"/>
        <w:ind w:firstLine="0"/>
        <w:rPr/>
      </w:pPr>
      <w:r/>
      <w:r/>
    </w:p>
    <w:p w14:paraId="61506B8D">
      <w:pPr>
        <w:pStyle w:val="1056"/>
        <w:suppressLineNumbers w:val="false"/>
        <w:pBdr/>
        <w:spacing w:line="300" w:lineRule="auto"/>
        <w:ind w:firstLine="0"/>
        <w:rPr/>
      </w:pPr>
      <w:r/>
      <w:r/>
    </w:p>
    <w:p w14:paraId="2B5E1455">
      <w:pPr>
        <w:pStyle w:val="1056"/>
        <w:suppressLineNumbers w:val="false"/>
        <w:pBdr/>
        <w:spacing w:line="300" w:lineRule="auto"/>
        <w:ind w:firstLine="0"/>
        <w:rPr/>
      </w:pPr>
      <w:r/>
      <w:r/>
    </w:p>
    <w:p w14:paraId="7F60234E" w14:textId="0E7E9E48">
      <w:pPr>
        <w:pStyle w:val="1056"/>
        <w:suppressLineNumbers w:val="false"/>
        <w:pBdr/>
        <w:spacing w:line="300" w:lineRule="auto"/>
        <w:ind w:firstLine="0"/>
        <w:rPr/>
      </w:pPr>
      <w:r/>
      <w:r/>
    </w:p>
    <w:p w14:paraId="424FCAB4" w14:textId="250CE9C7">
      <w:pPr>
        <w:pStyle w:val="1043"/>
        <w:suppressLineNumbers w:val="false"/>
        <w:pBdr/>
        <w:spacing w:line="300" w:lineRule="auto"/>
        <w:ind/>
        <w:rPr/>
      </w:pPr>
      <w:r>
        <w:br/>
      </w:r>
      <w:r>
        <w:br/>
      </w:r>
      <w:r>
        <w:t xml:space="preserve">Generative Vision-Language Modeling for Ulcerative Colitis Severity Assessment</w:t>
      </w:r>
      <w:r/>
    </w:p>
    <w:p w14:paraId="1F014E85" w14:textId="14D8B1C2">
      <w:pPr>
        <w:pStyle w:val="1056"/>
        <w:suppressLineNumbers w:val="false"/>
        <w:pBdr/>
        <w:spacing w:line="300" w:lineRule="auto"/>
        <w:ind w:firstLine="0"/>
        <w:rPr>
          <w:b/>
          <w:bCs/>
        </w:rPr>
      </w:pPr>
      <w:r>
        <w:rPr>
          <w:b/>
          <w:bCs/>
        </w:rPr>
      </w:r>
      <w:r>
        <w:rPr>
          <w:b/>
          <w:bCs/>
        </w:rPr>
      </w:r>
      <w:r>
        <w:rPr>
          <w:b/>
          <w:bCs/>
        </w:rPr>
      </w:r>
    </w:p>
    <w:p w14:paraId="7238EE56">
      <w:pPr>
        <w:pStyle w:val="1056"/>
        <w:suppressLineNumbers w:val="false"/>
        <w:pBdr/>
        <w:spacing w:line="300" w:lineRule="auto"/>
        <w:ind w:firstLine="0"/>
        <w:rPr>
          <w:b/>
          <w:bCs/>
          <w:sz w:val="28"/>
          <w:szCs w:val="28"/>
        </w:rPr>
      </w:pPr>
      <w:r>
        <w:rPr>
          <w:b/>
          <w:bCs/>
          <w:sz w:val="28"/>
          <w:szCs w:val="28"/>
        </w:rPr>
        <w:t xml:space="preserve">4.1 Chapter Overview and Methodological Rationale</w:t>
      </w:r>
      <w:r>
        <w:rPr>
          <w:b/>
          <w:bCs/>
          <w:sz w:val="28"/>
          <w:szCs w:val="28"/>
        </w:rPr>
      </w:r>
      <w:r>
        <w:rPr>
          <w:b/>
          <w:bCs/>
          <w:sz w:val="28"/>
          <w:szCs w:val="28"/>
        </w:rPr>
      </w:r>
    </w:p>
    <w:p w14:paraId="52E6D613">
      <w:pPr>
        <w:pStyle w:val="1056"/>
        <w:suppressLineNumbers w:val="false"/>
        <w:pBdr/>
        <w:spacing w:line="300" w:lineRule="auto"/>
        <w:ind w:firstLine="0"/>
        <w:rPr/>
      </w:pPr>
      <w:r>
        <w:t xml:space="preserve">C</w:t>
      </w:r>
      <w:r>
        <w:t xml:space="preserve">hapter 3 established the central empirical tension that motivates this chapter. Across multiple GI-endoscopy settings, constrained and supervised models were consistently more reliable than naive zero-shot vision-language prompting. That pattern was especi</w:t>
      </w:r>
      <w:r>
        <w:t xml:space="preserve">a</w:t>
      </w:r>
      <w:r>
        <w:t xml:space="preserve">lly important for ulcerative colitis (UC) severity grading on LIMUC, where the task is clinically meaningful, ordinal in structure, and sensitive to class imbalance. The next methodological question is therefore not whether generation is possible, but whet</w:t>
      </w:r>
      <w:r>
        <w:t xml:space="preserve">her a generative model can be adapted in a way that preserves the discipline of a classifier while retaining the flexibility of a language-based interface.</w:t>
      </w:r>
      <w:r/>
    </w:p>
    <w:p w14:paraId="2700501E">
      <w:pPr>
        <w:pStyle w:val="1056"/>
        <w:suppressLineNumbers w:val="false"/>
        <w:pBdr/>
        <w:spacing w:line="300" w:lineRule="auto"/>
        <w:ind w:firstLine="0"/>
        <w:rPr/>
      </w:pPr>
      <w:r>
        <w:t xml:space="preserve">C</w:t>
      </w:r>
      <w:r>
        <w:t xml:space="preserve">hapter 4 addresses that question by developing a controlled severity-oriented pipeline for Mayo 0-3 scoring from colonoscopy frames. The chapter does not pursue unrestricted narrative generation. Instead, it treats generative modeling as a bounded decision</w:t>
      </w:r>
      <w:r>
        <w:t xml:space="preserve"> </w:t>
      </w:r>
      <w:r>
        <w:t xml:space="preserve">mechanism: the model is required to produce a tightly constrained score output, its predictions are parsed under explicit rules, and its behavior is evaluated against strong supervised baselines under the same data split and reporting protocol. This framin</w:t>
      </w:r>
      <w:r>
        <w:t xml:space="preserve">g is important because the dissertation is concerned with clinically usable multimodal systems rather than open-ended text production for its own sake.</w:t>
      </w:r>
      <w:r/>
    </w:p>
    <w:p w14:paraId="7D12FB13">
      <w:pPr>
        <w:pStyle w:val="1056"/>
        <w:suppressLineNumbers w:val="false"/>
        <w:pBdr/>
        <w:spacing w:line="300" w:lineRule="auto"/>
        <w:ind w:firstLine="0"/>
        <w:rPr/>
      </w:pPr>
      <w:r>
        <w:t xml:space="preserve">The chapter has four objectives:</w:t>
      </w:r>
      <w:r/>
    </w:p>
    <w:p w14:paraId="57808425">
      <w:pPr>
        <w:pStyle w:val="1056"/>
        <w:numPr>
          <w:ilvl w:val="0"/>
          <w:numId w:val="74"/>
        </w:numPr>
        <w:suppressLineNumbers w:val="false"/>
        <w:pBdr/>
        <w:spacing w:line="300" w:lineRule="auto"/>
        <w:ind/>
        <w:rPr/>
      </w:pPr>
      <w:r>
        <w:t xml:space="preserve">Define a reproducible UC severity task on LIMUC using fixed Mayo 0-3 labels and a fixed split structure.</w:t>
      </w:r>
      <w:r/>
    </w:p>
    <w:p w14:paraId="66FD38AC">
      <w:pPr>
        <w:pStyle w:val="1056"/>
        <w:numPr>
          <w:ilvl w:val="0"/>
          <w:numId w:val="74"/>
        </w:numPr>
        <w:suppressLineNumbers w:val="false"/>
        <w:pBdr/>
        <w:spacing w:line="300" w:lineRule="auto"/>
        <w:ind/>
        <w:rPr/>
      </w:pPr>
      <w:r>
        <w:t xml:space="preserve">Establish a strong supervised reliability anchor against which generative methods can be judged fairly.</w:t>
      </w:r>
      <w:r/>
    </w:p>
    <w:p w14:paraId="21118420">
      <w:pPr>
        <w:pStyle w:val="1056"/>
        <w:numPr>
          <w:ilvl w:val="0"/>
          <w:numId w:val="74"/>
        </w:numPr>
        <w:suppressLineNumbers w:val="false"/>
        <w:pBdr/>
        <w:spacing w:line="300" w:lineRule="auto"/>
        <w:ind/>
        <w:rPr/>
      </w:pPr>
      <w:r>
        <w:t xml:space="preserve">Implement parameter-efficient adaptation of a vision-language model using LoRA so that score generation is learned rather than merely prompted.</w:t>
      </w:r>
      <w:r/>
    </w:p>
    <w:p w14:paraId="2A0ADBDB">
      <w:pPr>
        <w:pStyle w:val="1056"/>
        <w:numPr>
          <w:ilvl w:val="0"/>
          <w:numId w:val="74"/>
        </w:numPr>
        <w:suppressLineNumbers w:val="false"/>
        <w:pBdr/>
        <w:spacing w:line="300" w:lineRule="auto"/>
        <w:ind/>
        <w:rPr/>
      </w:pPr>
      <w:r>
        <w:t xml:space="preserve">Evaluate the resulting system with ordinal, class-balanced, and clinically interpretable metrics, while making the failure modes explicit.</w:t>
      </w:r>
      <w:r/>
    </w:p>
    <w:p w14:paraId="4C093A8E">
      <w:pPr>
        <w:pStyle w:val="1056"/>
        <w:suppressLineNumbers w:val="false"/>
        <w:pBdr/>
        <w:spacing w:line="300" w:lineRule="auto"/>
        <w:ind w:firstLine="0"/>
        <w:rPr/>
      </w:pPr>
      <w:r>
        <w:t xml:space="preserve">T</w:t>
      </w:r>
      <w:r>
        <w:t xml:space="preserve">he overall structure of the chapter follows that logic. Section 4.2 defines the dataset and claim boundary. Section 4.3 presents the proposed pipeline and explains the role of each modeling layer. Section 4.4 formalizes the evaluation protocol. Section 4.5</w:t>
      </w:r>
      <w:r>
        <w:t xml:space="preserve"> </w:t>
      </w:r>
      <w:r>
        <w:t xml:space="preserve">reports the internal and external results. Section 4.6 interprets those findings in relation to the broader dissertation argument, and Section 4.7 states the limitations that constrain the chapter's claims. The chapter concludes in Section 4.8 by positioni</w:t>
      </w:r>
      <w:r>
        <w:t xml:space="preserve">ng the resulting severity module as the upstream component for the evidence-grounded wrapper introduced in Chapter 5.</w:t>
      </w:r>
      <w:r/>
    </w:p>
    <w:p w14:paraId="208A408D">
      <w:pPr>
        <w:pStyle w:val="1056"/>
        <w:suppressLineNumbers w:val="false"/>
        <w:pBdr/>
        <w:spacing w:line="300" w:lineRule="auto"/>
        <w:ind w:firstLine="0"/>
        <w:rPr/>
      </w:pPr>
      <w:r/>
      <w:r/>
    </w:p>
    <w:p w14:paraId="0B6624CF">
      <w:pPr>
        <w:pStyle w:val="1056"/>
        <w:suppressLineNumbers w:val="false"/>
        <w:pBdr/>
        <w:spacing w:line="300" w:lineRule="auto"/>
        <w:ind w:firstLine="0"/>
        <w:rPr>
          <w:b/>
          <w:bCs/>
          <w:sz w:val="28"/>
          <w:szCs w:val="28"/>
        </w:rPr>
      </w:pPr>
      <w:r>
        <w:rPr>
          <w:b/>
          <w:bCs/>
          <w:sz w:val="28"/>
          <w:szCs w:val="28"/>
        </w:rPr>
        <w:t xml:space="preserve">4.2 Dataset, Clinical Task, and Scope</w:t>
      </w:r>
      <w:r>
        <w:rPr>
          <w:b/>
          <w:bCs/>
          <w:sz w:val="28"/>
          <w:szCs w:val="28"/>
        </w:rPr>
      </w:r>
      <w:r>
        <w:rPr>
          <w:b/>
          <w:bCs/>
          <w:sz w:val="28"/>
          <w:szCs w:val="28"/>
        </w:rPr>
      </w:r>
    </w:p>
    <w:p w14:paraId="5CACE2EE">
      <w:pPr>
        <w:pStyle w:val="1056"/>
        <w:suppressLineNumbers w:val="false"/>
        <w:pBdr/>
        <w:spacing w:line="300" w:lineRule="auto"/>
        <w:ind w:firstLine="0"/>
        <w:rPr/>
      </w:pPr>
      <w:r>
        <w:t xml:space="preserve">T</w:t>
      </w:r>
      <w:r>
        <w:t xml:space="preserve">he proposed approach is intentionally narrow in scope. Rather than attempting to solve general GI MedVQA in one step, this chapter focuses on a clinically bounded and measurable task: assigning a Mayo endoscopic severity score from a single colonoscopy fra</w:t>
      </w:r>
      <w:r>
        <w:t xml:space="preserve">me. That choice keeps the experimental question well-defined and permits a direct comparison between discriminative and generative strategies on the same evidence base.</w:t>
      </w:r>
      <w:r/>
    </w:p>
    <w:p w14:paraId="6A4FC054">
      <w:pPr>
        <w:pStyle w:val="1056"/>
        <w:suppressLineNumbers w:val="false"/>
        <w:pBdr/>
        <w:spacing w:line="300" w:lineRule="auto"/>
        <w:ind w:firstLine="0"/>
        <w:rPr>
          <w:b/>
          <w:bCs/>
        </w:rPr>
      </w:pPr>
      <w:r>
        <w:rPr>
          <w:b/>
          <w:bCs/>
        </w:rPr>
        <w:t xml:space="preserve">4.2.1 LIMUC as the Primary Evidence Base</w:t>
      </w:r>
      <w:r>
        <w:rPr>
          <w:b/>
          <w:bCs/>
        </w:rPr>
      </w:r>
      <w:r>
        <w:rPr>
          <w:b/>
          <w:bCs/>
        </w:rPr>
      </w:r>
    </w:p>
    <w:p w14:paraId="244B3CA5">
      <w:pPr>
        <w:pStyle w:val="1056"/>
        <w:suppressLineNumbers w:val="false"/>
        <w:pBdr/>
        <w:spacing w:line="300" w:lineRule="auto"/>
        <w:ind w:firstLine="0"/>
        <w:rPr/>
      </w:pPr>
      <w:r>
        <w:t xml:space="preserve">T</w:t>
      </w:r>
      <w:r>
        <w:t xml:space="preserve">he primary dataset for this chapter is LIMUC, which provides UC endoscopic imagery labeled with Mayo scores from 0 to 3. In clinical terms, this is an ordinal severity scale, not a nominal category set. Errors are therefore not all equally harmful: confusi</w:t>
      </w:r>
      <w:r>
        <w:t xml:space="preserve">ng Mayo 0 with Mayo 1 is different from confusing Mayo 0 with Mayo 3. This is one of the reasons Chapter 4 emphasizes ordinal metrics such as quadratic weighted kappa (QWK) alongside standard accuracy and F1 measures.</w:t>
      </w:r>
      <w:r/>
    </w:p>
    <w:p w14:paraId="65F56D15" w14:textId="77FF9532">
      <w:pPr>
        <w:pStyle w:val="1056"/>
        <w:suppressLineNumbers w:val="false"/>
        <w:pBdr/>
        <w:spacing w:line="300" w:lineRule="auto"/>
        <w:ind w:firstLine="0"/>
        <w:rPr>
          <w:highlight w:val="none"/>
        </w:rPr>
      </w:pPr>
      <w:r>
        <w:t xml:space="preserve">W</w:t>
      </w:r>
      <w:r>
        <w:t xml:space="preserve">ithin this repository, LIMUC preparation is handled through Prototyping_reformat/DatasetAnalysis/LIMUC/0_dataset_prep/01_build_metadata_images_and_manifests.ipynb, which produces the metadata tables and split manifests used throughout the chapter [69]. The</w:t>
      </w:r>
      <w:r>
        <w:t xml:space="preserve"> fixed metadata snapshot used here (metadata_enriched.csv) contains 11,276 frames.</w:t>
      </w:r>
      <w:r>
        <w:rPr>
          <w:highlight w:val="none"/>
        </w:rPr>
      </w:r>
    </w:p>
    <w:p w14:paraId="2EF733B8">
      <w:pPr>
        <w:pStyle w:val="1056"/>
        <w:suppressLineNumbers w:val="false"/>
        <w:pBdr/>
        <w:spacing w:line="300" w:lineRule="auto"/>
        <w:ind w:firstLine="0"/>
        <w:rPr/>
      </w:pPr>
      <w:r/>
      <w:r/>
    </w:p>
    <w:p w14:paraId="65CF3330">
      <w:pPr>
        <w:pStyle w:val="1056"/>
        <w:suppressLineNumbers w:val="false"/>
        <w:pBdr/>
        <w:spacing w:line="300" w:lineRule="auto"/>
        <w:ind w:firstLine="0"/>
        <w:rPr/>
      </w:pPr>
      <w:r/>
      <w:r/>
    </w:p>
    <w:p w14:paraId="160A4FBA">
      <w:pPr>
        <w:pStyle w:val="1056"/>
        <w:suppressLineNumbers w:val="false"/>
        <w:pBdr/>
        <w:spacing w:line="300" w:lineRule="auto"/>
        <w:ind w:firstLine="0"/>
        <w:rPr/>
      </w:pPr>
      <w:r/>
      <w:r/>
    </w:p>
    <w:p w14:paraId="59F01554">
      <w:pPr>
        <w:pStyle w:val="1056"/>
        <w:suppressLineNumbers w:val="false"/>
        <w:pBdr/>
        <w:spacing w:line="300" w:lineRule="auto"/>
        <w:ind w:firstLine="0"/>
        <w:rPr/>
      </w:pPr>
      <w:r/>
      <w:r/>
    </w:p>
    <w:p w14:paraId="62898C5A">
      <w:pPr>
        <w:pStyle w:val="1056"/>
        <w:suppressLineNumbers w:val="false"/>
        <w:pBdr/>
        <w:spacing w:line="300" w:lineRule="auto"/>
        <w:ind w:firstLine="0"/>
        <w:rPr/>
      </w:pPr>
      <w:r/>
      <w:r/>
    </w:p>
    <w:tbl>
      <w:tblPr>
        <w:tblStyle w:val="1113"/>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4477E35A">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p>
        </w:tc>
        <w:tc>
          <w:tcPr>
            <w:tcBorders/>
            <w:tcW w:w="4320" w:type="dxa"/>
            <w:textDirection w:val="lrTb"/>
            <w:noWrap w:val="false"/>
          </w:tcPr>
          <w:p w14:paraId="60F3A0EC">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Frames</w:t>
            </w:r>
            <w:r>
              <w:rPr>
                <w:color w:val="000000" w:themeColor="text1"/>
              </w:rPr>
            </w:r>
          </w:p>
        </w:tc>
      </w:tr>
      <w:tr>
        <w:trPr/>
        <w:tc>
          <w:tcPr>
            <w:tcBorders/>
            <w:tcW w:w="4320" w:type="dxa"/>
            <w:textDirection w:val="lrTb"/>
            <w:noWrap w:val="false"/>
          </w:tcPr>
          <w:p w14:paraId="0EAC5584">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p>
        </w:tc>
        <w:tc>
          <w:tcPr>
            <w:tcBorders/>
            <w:tcW w:w="4320" w:type="dxa"/>
            <w:textDirection w:val="lrTb"/>
            <w:noWrap w:val="false"/>
          </w:tcPr>
          <w:p w14:paraId="6B18C560">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6,105</w:t>
            </w:r>
            <w:r>
              <w:rPr>
                <w:color w:val="000000" w:themeColor="text1"/>
              </w:rPr>
            </w:r>
          </w:p>
        </w:tc>
      </w:tr>
      <w:tr>
        <w:trPr/>
        <w:tc>
          <w:tcPr>
            <w:tcBorders/>
            <w:tcW w:w="4320" w:type="dxa"/>
            <w:textDirection w:val="lrTb"/>
            <w:noWrap w:val="false"/>
          </w:tcPr>
          <w:p w14:paraId="06369A03">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p>
        </w:tc>
        <w:tc>
          <w:tcPr>
            <w:tcBorders/>
            <w:tcW w:w="4320" w:type="dxa"/>
            <w:textDirection w:val="lrTb"/>
            <w:noWrap w:val="false"/>
          </w:tcPr>
          <w:p w14:paraId="3892C5D4">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3,052</w:t>
            </w:r>
            <w:r>
              <w:rPr>
                <w:color w:val="000000" w:themeColor="text1"/>
              </w:rPr>
            </w:r>
          </w:p>
        </w:tc>
      </w:tr>
      <w:tr>
        <w:trPr/>
        <w:tc>
          <w:tcPr>
            <w:tcBorders/>
            <w:tcW w:w="4320" w:type="dxa"/>
            <w:textDirection w:val="lrTb"/>
            <w:noWrap w:val="false"/>
          </w:tcPr>
          <w:p w14:paraId="598E27E2">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p>
        </w:tc>
        <w:tc>
          <w:tcPr>
            <w:tcBorders/>
            <w:tcW w:w="4320" w:type="dxa"/>
            <w:textDirection w:val="lrTb"/>
            <w:noWrap w:val="false"/>
          </w:tcPr>
          <w:p w14:paraId="30B5A6CA">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1,254</w:t>
            </w:r>
            <w:r>
              <w:rPr>
                <w:color w:val="000000" w:themeColor="text1"/>
              </w:rPr>
            </w:r>
          </w:p>
        </w:tc>
      </w:tr>
      <w:tr>
        <w:trPr/>
        <w:tc>
          <w:tcPr>
            <w:tcBorders/>
            <w:tcW w:w="4320" w:type="dxa"/>
            <w:vMerge w:val="restart"/>
            <w:textDirection w:val="lrTb"/>
            <w:noWrap w:val="false"/>
          </w:tcPr>
          <w:p w14:paraId="11C82589">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p>
        </w:tc>
        <w:tc>
          <w:tcPr>
            <w:tcBorders/>
            <w:tcW w:w="4320" w:type="dxa"/>
            <w:vMerge w:val="restart"/>
            <w:textDirection w:val="lrTb"/>
            <w:noWrap w:val="false"/>
          </w:tcPr>
          <w:p w14:paraId="7308CB80">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865</w:t>
            </w:r>
            <w:r>
              <w:rPr>
                <w:color w:val="000000" w:themeColor="text1"/>
              </w:rPr>
            </w:r>
          </w:p>
        </w:tc>
      </w:tr>
    </w:tbl>
    <w:p w14:paraId="456EB6FC">
      <w:pPr>
        <w:pStyle w:val="1056"/>
        <w:suppressLineNumbers w:val="false"/>
        <w:pBdr/>
        <w:spacing w:line="300" w:lineRule="auto"/>
        <w:ind w:firstLine="720" w:left="1440"/>
        <w:rPr/>
      </w:pPr>
      <w:r>
        <w:t xml:space="preserve">Table 4.1. LIMUC Split Distribution</w:t>
      </w:r>
      <w:r/>
    </w:p>
    <w:p w14:paraId="6A53ED9B">
      <w:pPr>
        <w:pStyle w:val="1056"/>
        <w:suppressLineNumbers w:val="false"/>
        <w:pBdr/>
        <w:spacing w:line="300" w:lineRule="auto"/>
        <w:ind w:firstLine="0"/>
        <w:rPr/>
      </w:pPr>
      <w:r/>
      <w:r/>
    </w:p>
    <w:tbl>
      <w:tblPr>
        <w:tblStyle w:val="1113"/>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B48D3BB">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p>
        </w:tc>
        <w:tc>
          <w:tcPr>
            <w:tcBorders/>
            <w:tcW w:w="4320" w:type="dxa"/>
            <w:textDirection w:val="lrTb"/>
            <w:noWrap w:val="false"/>
          </w:tcPr>
          <w:p w14:paraId="3E551221">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Frames</w:t>
            </w:r>
            <w:r>
              <w:rPr>
                <w:color w:val="000000" w:themeColor="text1"/>
              </w:rPr>
            </w:r>
          </w:p>
        </w:tc>
      </w:tr>
      <w:tr>
        <w:trPr/>
        <w:tc>
          <w:tcPr>
            <w:tcBorders/>
            <w:tcW w:w="4320" w:type="dxa"/>
            <w:textDirection w:val="lrTb"/>
            <w:noWrap w:val="false"/>
          </w:tcPr>
          <w:p w14:paraId="44F8A9CC">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p>
        </w:tc>
        <w:tc>
          <w:tcPr>
            <w:tcBorders/>
            <w:tcW w:w="4320" w:type="dxa"/>
            <w:textDirection w:val="lrTb"/>
            <w:noWrap w:val="false"/>
          </w:tcPr>
          <w:p w14:paraId="2B2DB15A">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6,105</w:t>
            </w:r>
            <w:r>
              <w:rPr>
                <w:color w:val="000000" w:themeColor="text1"/>
              </w:rPr>
            </w:r>
          </w:p>
        </w:tc>
      </w:tr>
      <w:tr>
        <w:trPr/>
        <w:tc>
          <w:tcPr>
            <w:tcBorders/>
            <w:tcW w:w="4320" w:type="dxa"/>
            <w:textDirection w:val="lrTb"/>
            <w:noWrap w:val="false"/>
          </w:tcPr>
          <w:p w14:paraId="7E25E3E3">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p>
        </w:tc>
        <w:tc>
          <w:tcPr>
            <w:tcBorders/>
            <w:tcW w:w="4320" w:type="dxa"/>
            <w:textDirection w:val="lrTb"/>
            <w:noWrap w:val="false"/>
          </w:tcPr>
          <w:p w14:paraId="695D3AA6">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3,052</w:t>
            </w:r>
            <w:r>
              <w:rPr>
                <w:color w:val="000000" w:themeColor="text1"/>
              </w:rPr>
            </w:r>
          </w:p>
        </w:tc>
      </w:tr>
      <w:tr>
        <w:trPr/>
        <w:tc>
          <w:tcPr>
            <w:tcBorders/>
            <w:tcW w:w="4320" w:type="dxa"/>
            <w:textDirection w:val="lrTb"/>
            <w:noWrap w:val="false"/>
          </w:tcPr>
          <w:p w14:paraId="63619FF6">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p>
        </w:tc>
        <w:tc>
          <w:tcPr>
            <w:tcBorders/>
            <w:tcW w:w="4320" w:type="dxa"/>
            <w:textDirection w:val="lrTb"/>
            <w:noWrap w:val="false"/>
          </w:tcPr>
          <w:p w14:paraId="040FF6A4">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1,254</w:t>
            </w:r>
            <w:r>
              <w:rPr>
                <w:color w:val="000000" w:themeColor="text1"/>
              </w:rPr>
            </w:r>
          </w:p>
        </w:tc>
      </w:tr>
      <w:tr>
        <w:trPr/>
        <w:tc>
          <w:tcPr>
            <w:tcBorders/>
            <w:tcW w:w="4320" w:type="dxa"/>
            <w:textDirection w:val="lrTb"/>
            <w:noWrap w:val="false"/>
          </w:tcPr>
          <w:p w14:paraId="0F267368">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p>
        </w:tc>
        <w:tc>
          <w:tcPr>
            <w:tcBorders/>
            <w:tcW w:w="4320" w:type="dxa"/>
            <w:textDirection w:val="lrTb"/>
            <w:noWrap w:val="false"/>
          </w:tcPr>
          <w:p w14:paraId="5D96F452">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865</w:t>
            </w:r>
            <w:r>
              <w:rPr>
                <w:color w:val="000000" w:themeColor="text1"/>
              </w:rPr>
            </w:r>
          </w:p>
        </w:tc>
      </w:tr>
    </w:tbl>
    <w:p w14:paraId="3D4BBF24">
      <w:pPr>
        <w:pStyle w:val="1056"/>
        <w:suppressLineNumbers w:val="false"/>
        <w:pBdr/>
        <w:spacing w:line="300" w:lineRule="auto"/>
        <w:ind w:firstLine="720"/>
        <w:rPr/>
      </w:pPr>
      <w:r>
        <w:rPr>
          <w:lang w:val="en-US"/>
        </w:rPr>
        <w:t xml:space="preserve">   </w:t>
      </w:r>
      <w:r>
        <w:t xml:space="preserve">Table 4.2. LIMUC Mayo Class Distribution Across All Splits</w:t>
      </w:r>
      <w:r/>
    </w:p>
    <w:p w14:paraId="3E09FED2">
      <w:pPr>
        <w:pStyle w:val="1056"/>
        <w:suppressLineNumbers w:val="false"/>
        <w:pBdr/>
        <w:spacing w:line="300" w:lineRule="auto"/>
        <w:ind w:firstLine="0"/>
        <w:rPr/>
      </w:pPr>
      <w:r/>
      <w:r/>
    </w:p>
    <w:p w14:paraId="5B6B95B0">
      <w:pPr>
        <w:pStyle w:val="1056"/>
        <w:suppressLineNumbers w:val="false"/>
        <w:pBdr/>
        <w:spacing w:line="300" w:lineRule="auto"/>
        <w:ind w:firstLine="0"/>
        <w:rPr/>
      </w:pPr>
      <w:r/>
      <w:r/>
    </w:p>
    <w:p w14:paraId="7F094034">
      <w:pPr>
        <w:pStyle w:val="1056"/>
        <w:suppressLineNumbers w:val="false"/>
        <w:pBdr/>
        <w:spacing w:line="300" w:lineRule="auto"/>
        <w:ind w:firstLine="0"/>
        <w:rPr>
          <w:highlight w:val="none"/>
        </w:rPr>
      </w:pPr>
      <w:r>
        <w:t xml:space="preserve">S</w:t>
      </w:r>
      <w:r>
        <w:t xml:space="preserve">everal properties of this distribution shape the methodological design. First, classes 0 and 1 dominate the dataset, while classes 2 and 3 are comparatively rare. Second, the task is ordinal, so adjacent-class confusion is more plausible than arbitrary mis</w:t>
      </w:r>
      <w:r>
        <w:t xml:space="preserve">c</w:t>
      </w:r>
      <w:r>
        <w:t xml:space="preserve">lassification. Third, the dataset is large enough to support supervised training, yet imbalanced enough that a simple accuracy-only reading would be misleading. For this reason, the proposed approach is evaluated with class-balanced and ordinal metrics, an</w:t>
      </w:r>
      <w:r>
        <w:t xml:space="preserve">d the generative lane is trained with balanced sampling rather than naive frequency-following.</w:t>
      </w:r>
      <w:r>
        <w:rPr>
          <w:highlight w:val="none"/>
        </w:rPr>
      </w:r>
    </w:p>
    <w:p w14:paraId="4574381B">
      <w:pPr>
        <w:pStyle w:val="1056"/>
        <w:suppressLineNumbers w:val="false"/>
        <w:pBdr/>
        <w:spacing w:line="300" w:lineRule="auto"/>
        <w:ind w:firstLine="0"/>
        <w:rPr/>
      </w:pPr>
      <w:r/>
      <w:r/>
    </w:p>
    <w:p w14:paraId="5ED78973">
      <w:pPr>
        <w:pStyle w:val="1056"/>
        <w:suppressLineNumbers w:val="false"/>
        <w:pBdr/>
        <w:spacing w:line="300" w:lineRule="auto"/>
        <w:ind w:firstLine="0"/>
        <w:rPr/>
      </w:pPr>
      <w:r/>
      <w:r/>
    </w:p>
    <w:p w14:paraId="6BA04EE0">
      <w:pPr>
        <w:pStyle w:val="1056"/>
        <w:suppressLineNumbers w:val="false"/>
        <w:pBdr/>
        <w:spacing w:line="300" w:lineRule="auto"/>
        <w:ind w:firstLine="0"/>
        <w:rPr>
          <w:b/>
          <w:bCs/>
        </w:rPr>
      </w:pPr>
      <w:r>
        <w:rPr>
          <w:b/>
          <w:bCs/>
          <w:highlight w:val="none"/>
        </w:rPr>
        <w:t xml:space="preserve">4.2.2 Scope Boundary for Chapter 4 Claims</w:t>
      </w:r>
      <w:r>
        <w:rPr>
          <w:b/>
          <w:bCs/>
        </w:rPr>
      </w:r>
      <w:r>
        <w:rPr>
          <w:b/>
          <w:bCs/>
        </w:rPr>
      </w:r>
    </w:p>
    <w:p w14:paraId="7D924491">
      <w:pPr>
        <w:pStyle w:val="1056"/>
        <w:suppressLineNumbers w:val="false"/>
        <w:pBdr/>
        <w:spacing w:line="300" w:lineRule="auto"/>
        <w:ind w:firstLine="0"/>
        <w:rPr/>
      </w:pPr>
      <w:r>
        <w:rPr>
          <w:highlight w:val="none"/>
        </w:rPr>
        <w:t xml:space="preserve">T</w:t>
      </w:r>
      <w:r>
        <w:rPr>
          <w:highlight w:val="none"/>
        </w:rPr>
        <w:t xml:space="preserve">he primary claims of Chapter 4 are deliberately restricted to internal LIMUC evaluation under the fixed split and reporting protocol described in this chapter. This means that the headline comparison is not between arbitrary best runs collected from differ</w:t>
      </w:r>
      <w:r>
        <w:rPr>
          <w:highlight w:val="none"/>
        </w:rPr>
        <w:t xml:space="preserve">ent settings; it is a like-for-like comparison between a supervised baseline family and a generative adaptation family evaluated on the same internal task.</w:t>
      </w:r>
      <w:r>
        <w:rPr>
          <w:highlight w:val="none"/>
        </w:rPr>
      </w:r>
      <w:r/>
    </w:p>
    <w:p w14:paraId="41617BB7">
      <w:pPr>
        <w:pStyle w:val="1056"/>
        <w:suppressLineNumbers w:val="false"/>
        <w:pBdr/>
        <w:spacing w:line="300" w:lineRule="auto"/>
        <w:ind w:firstLine="0"/>
        <w:rPr/>
      </w:pPr>
      <w:r>
        <w:rPr>
          <w:highlight w:val="none"/>
        </w:rPr>
        <w:t xml:space="preserve">T</w:t>
      </w:r>
      <w:r>
        <w:rPr>
          <w:highlight w:val="none"/>
        </w:rPr>
        <w:t xml:space="preserve">his boundary matters because several other datasets in the repository, including Kvasir-VQA, Kvasir-VQA-x1, and ImageCLEF MEDVQA-GI, are important for the dissertation as a whole but are not necessary to establish the core Chapter 4 claim. Their role is co</w:t>
      </w:r>
      <w:r>
        <w:rPr>
          <w:highlight w:val="none"/>
        </w:rPr>
        <w:t xml:space="preserve">ntextual and comparative, primarily in Chapters 2 and 3. Chapter 4, by contrast, is intentionally focused on a single clinically grounded severity problem so that the methodological contribution can be assessed cleanly.</w:t>
      </w:r>
      <w:r>
        <w:rPr>
          <w:highlight w:val="none"/>
        </w:rPr>
      </w:r>
      <w:r/>
    </w:p>
    <w:p w14:paraId="784550E9">
      <w:pPr>
        <w:pStyle w:val="1056"/>
        <w:suppressLineNumbers w:val="false"/>
        <w:pBdr/>
        <w:spacing w:line="300" w:lineRule="auto"/>
        <w:ind w:firstLine="0"/>
        <w:rPr/>
      </w:pPr>
      <w:r>
        <w:rPr>
          <w:highlight w:val="none"/>
        </w:rPr>
        <w:t xml:space="preserve">T</w:t>
      </w:r>
      <w:r>
        <w:rPr>
          <w:highlight w:val="none"/>
        </w:rPr>
        <w:t xml:space="preserve">he reporting policy follows the same logic. The primary optimization and reporting target is internal LIMUC mode1/test QWK. Accuracy, macro-F1, balanced accuracy, mean absolute error (MAE), root mean squared error (RMSE), and parse rate are reported as sup</w:t>
      </w:r>
      <w:r>
        <w:rPr>
          <w:highlight w:val="none"/>
        </w:rPr>
        <w:t xml:space="preserve">porting metrics, but they do not override the ordinal agreement objective. This is appropriate because the Mayo task is inherently ordered and because clinically meaningful performance cannot be captured by raw accuracy alone.</w:t>
      </w:r>
      <w:r/>
    </w:p>
    <w:p w14:paraId="04A53D62">
      <w:pPr>
        <w:pStyle w:val="1056"/>
        <w:suppressLineNumbers w:val="false"/>
        <w:pBdr/>
        <w:spacing w:line="300" w:lineRule="auto"/>
        <w:ind w:firstLine="0"/>
        <w:rPr/>
      </w:pPr>
      <w:r>
        <w:rPr>
          <w:highlight w:val="none"/>
        </w:rPr>
      </w:r>
      <w:r/>
    </w:p>
    <w:p w14:paraId="37B05096">
      <w:pPr>
        <w:pStyle w:val="1056"/>
        <w:suppressLineNumbers w:val="false"/>
        <w:pBdr/>
        <w:spacing w:line="300" w:lineRule="auto"/>
        <w:ind w:firstLine="0"/>
        <w:rPr>
          <w:b/>
          <w:bCs/>
        </w:rPr>
      </w:pPr>
      <w:r>
        <w:rPr>
          <w:b/>
          <w:bCs/>
          <w:highlight w:val="none"/>
        </w:rPr>
        <w:t xml:space="preserve">4.2.3 External HyperKvasir UC Proxy Stress Test</w:t>
      </w:r>
      <w:r>
        <w:rPr>
          <w:b/>
          <w:bCs/>
        </w:rPr>
      </w:r>
      <w:r>
        <w:rPr>
          <w:b/>
          <w:bCs/>
        </w:rPr>
      </w:r>
    </w:p>
    <w:p w14:paraId="0760CC68">
      <w:pPr>
        <w:pStyle w:val="1056"/>
        <w:suppressLineNumbers w:val="false"/>
        <w:pBdr/>
        <w:spacing w:line="300" w:lineRule="auto"/>
        <w:ind w:firstLine="0"/>
        <w:rPr/>
      </w:pPr>
      <w:r>
        <w:rPr>
          <w:highlight w:val="none"/>
        </w:rPr>
        <w:t xml:space="preserve">I</w:t>
      </w:r>
      <w:r>
        <w:rPr>
          <w:highlight w:val="none"/>
        </w:rPr>
        <w:t xml:space="preserve">n addition to the internal LIMUC evaluation, this chapter includes an external-only stress test based on a HyperKvasir-derived UC proxy set. The purpose of this evaluation is not to provide definitive generalization proof. Instead, it is used to test wheth</w:t>
      </w:r>
      <w:r>
        <w:rPr>
          <w:highlight w:val="none"/>
        </w:rPr>
        <w:t xml:space="preserve">er the internal gains observed on LIMUC survive a shift in data source, label compatibility, and output conditions.</w:t>
      </w:r>
      <w:r>
        <w:rPr>
          <w:highlight w:val="none"/>
        </w:rPr>
      </w:r>
      <w:r/>
    </w:p>
    <w:p w14:paraId="2259A46B">
      <w:pPr>
        <w:pStyle w:val="1056"/>
        <w:suppressLineNumbers w:val="false"/>
        <w:pBdr/>
        <w:spacing w:line="300" w:lineRule="auto"/>
        <w:ind w:firstLine="0"/>
        <w:rPr/>
      </w:pPr>
      <w:r>
        <w:rPr>
          <w:highlight w:val="none"/>
        </w:rPr>
        <w:t xml:space="preserve">T</w:t>
      </w:r>
      <w:r>
        <w:rPr>
          <w:highlight w:val="none"/>
        </w:rPr>
        <w:t xml:space="preserve">he external protocol uses metadata_hyperkvasir_uc_proxy_mayo_floor.csv, which applies a floor-based mapping to interval labels. Specifically, interval findings are mapped as 0-1 -&gt; 0, 1-2 -&gt; 1, and 2-3 -&gt; 2. This mapping is useful for stress testing, but i</w:t>
      </w:r>
      <w:r>
        <w:rPr>
          <w:highlight w:val="none"/>
        </w:rPr>
        <w:t xml:space="preserve">t is not equivalent to native Mayo annotation. The external set therefore functions as a robustness probe rather than a clinically final benchmark.</w:t>
      </w:r>
      <w:r>
        <w:rPr>
          <w:highlight w:val="none"/>
        </w:rPr>
      </w:r>
      <w:r/>
      <w:r/>
      <w:r/>
      <w:r/>
    </w:p>
    <w:p w14:paraId="2A13CF93">
      <w:pPr>
        <w:pStyle w:val="1056"/>
        <w:suppressLineNumbers w:val="false"/>
        <w:pBdr/>
        <w:spacing w:line="300" w:lineRule="auto"/>
        <w:ind w:firstLine="0"/>
        <w:rPr/>
      </w:pPr>
      <w:r/>
      <w:r/>
    </w:p>
    <w:tbl>
      <w:tblPr>
        <w:tblStyle w:val="1113"/>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0FBD8E82">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Mayo proxy class</w:t>
            </w:r>
            <w:r>
              <w:rPr>
                <w:color w:val="000000" w:themeColor="text1"/>
              </w:rPr>
            </w:r>
          </w:p>
        </w:tc>
        <w:tc>
          <w:tcPr>
            <w:tcBorders/>
            <w:tcW w:w="4320" w:type="dxa"/>
            <w:textDirection w:val="lrTb"/>
            <w:noWrap w:val="false"/>
          </w:tcPr>
          <w:p w14:paraId="65051E0F">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Frames</w:t>
            </w:r>
            <w:r>
              <w:rPr>
                <w:color w:val="000000" w:themeColor="text1"/>
              </w:rPr>
            </w:r>
          </w:p>
        </w:tc>
      </w:tr>
      <w:tr>
        <w:trPr/>
        <w:tc>
          <w:tcPr>
            <w:tcBorders/>
            <w:tcW w:w="4320" w:type="dxa"/>
            <w:textDirection w:val="lrTb"/>
            <w:noWrap w:val="false"/>
          </w:tcPr>
          <w:p w14:paraId="1CCF69A5">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p>
        </w:tc>
        <w:tc>
          <w:tcPr>
            <w:tcBorders/>
            <w:tcW w:w="4320" w:type="dxa"/>
            <w:textDirection w:val="lrTb"/>
            <w:noWrap w:val="false"/>
          </w:tcPr>
          <w:p w14:paraId="711C080F">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35</w:t>
            </w:r>
            <w:r>
              <w:rPr>
                <w:color w:val="000000" w:themeColor="text1"/>
              </w:rPr>
            </w:r>
          </w:p>
        </w:tc>
      </w:tr>
      <w:tr>
        <w:trPr/>
        <w:tc>
          <w:tcPr>
            <w:tcBorders/>
            <w:tcW w:w="4320" w:type="dxa"/>
            <w:textDirection w:val="lrTb"/>
            <w:noWrap w:val="false"/>
          </w:tcPr>
          <w:p w14:paraId="39A6CB21">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p>
        </w:tc>
        <w:tc>
          <w:tcPr>
            <w:tcBorders/>
            <w:tcW w:w="4320" w:type="dxa"/>
            <w:textDirection w:val="lrTb"/>
            <w:noWrap w:val="false"/>
          </w:tcPr>
          <w:p w14:paraId="3A4732B7">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212</w:t>
            </w:r>
            <w:r>
              <w:rPr>
                <w:color w:val="000000" w:themeColor="text1"/>
              </w:rPr>
            </w:r>
          </w:p>
        </w:tc>
      </w:tr>
      <w:tr>
        <w:trPr/>
        <w:tc>
          <w:tcPr>
            <w:tcBorders/>
            <w:tcW w:w="4320" w:type="dxa"/>
            <w:textDirection w:val="lrTb"/>
            <w:noWrap w:val="false"/>
          </w:tcPr>
          <w:p w14:paraId="5064B0E5">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p>
        </w:tc>
        <w:tc>
          <w:tcPr>
            <w:tcBorders/>
            <w:tcW w:w="4320" w:type="dxa"/>
            <w:textDirection w:val="lrTb"/>
            <w:noWrap w:val="false"/>
          </w:tcPr>
          <w:p w14:paraId="5BCAD586">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471</w:t>
            </w:r>
            <w:r>
              <w:rPr>
                <w:color w:val="000000" w:themeColor="text1"/>
              </w:rPr>
            </w:r>
          </w:p>
        </w:tc>
      </w:tr>
      <w:tr>
        <w:trPr/>
        <w:tc>
          <w:tcPr>
            <w:tcBorders/>
            <w:tcW w:w="4320" w:type="dxa"/>
            <w:vMerge w:val="restart"/>
            <w:textDirection w:val="lrTb"/>
            <w:noWrap w:val="false"/>
          </w:tcPr>
          <w:p w14:paraId="1E7BFBB0">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p>
        </w:tc>
        <w:tc>
          <w:tcPr>
            <w:tcBorders/>
            <w:tcW w:w="4320" w:type="dxa"/>
            <w:vMerge w:val="restart"/>
            <w:textDirection w:val="lrTb"/>
            <w:noWrap w:val="false"/>
          </w:tcPr>
          <w:p w14:paraId="3D9B6B5E">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133</w:t>
            </w:r>
            <w:r>
              <w:rPr>
                <w:color w:val="000000" w:themeColor="text1"/>
              </w:rPr>
            </w:r>
          </w:p>
        </w:tc>
      </w:tr>
    </w:tbl>
    <w:p w14:paraId="4C362E1A">
      <w:pPr>
        <w:pStyle w:val="1056"/>
        <w:suppressLineNumbers w:val="false"/>
        <w:pBdr/>
        <w:spacing w:line="300" w:lineRule="auto"/>
        <w:ind w:firstLine="720" w:left="720"/>
        <w:rPr/>
      </w:pPr>
      <w:r>
        <w:t xml:space="preserve">Table 4.3. External HyperKvasir UC Proxy Distribution</w:t>
      </w:r>
      <w:r/>
    </w:p>
    <w:p w14:paraId="3122DB9B">
      <w:pPr>
        <w:pStyle w:val="1056"/>
        <w:suppressLineNumbers w:val="false"/>
        <w:pBdr/>
        <w:spacing w:line="300" w:lineRule="auto"/>
        <w:ind w:firstLine="0"/>
        <w:rPr/>
      </w:pPr>
      <w:r/>
      <w:r/>
    </w:p>
    <w:p w14:paraId="4820D874">
      <w:pPr>
        <w:pStyle w:val="1056"/>
        <w:suppressLineNumbers w:val="false"/>
        <w:pBdr/>
        <w:spacing w:line="300" w:lineRule="auto"/>
        <w:ind w:firstLine="0"/>
        <w:rPr>
          <w:highlight w:val="none"/>
        </w:rPr>
      </w:pPr>
      <w:r>
        <w:t xml:space="preserve">T</w:t>
      </w:r>
      <w:r>
        <w:t xml:space="preserve">he total external set size is 851 frames. Two implications should be stated explicitly. First, the class profile differs materially from LIMUC, especially at the low-severity end. Second, the proxy mapping introduces label-space uncertainty that is absent </w:t>
      </w:r>
      <w:r>
        <w:t xml:space="preserve">from the internal dataset. For both reasons, external results are interpreted as limitation evidence and domain-shift analysis, not as the main basis for model selection.</w:t>
      </w:r>
      <w:r>
        <w:rPr>
          <w:highlight w:val="none"/>
        </w:rPr>
      </w:r>
    </w:p>
    <w:p w14:paraId="36B540DD">
      <w:pPr>
        <w:pStyle w:val="1056"/>
        <w:suppressLineNumbers w:val="false"/>
        <w:pBdr/>
        <w:spacing w:line="300" w:lineRule="auto"/>
        <w:ind w:firstLine="0"/>
        <w:rPr/>
      </w:pPr>
      <w:r/>
      <w:r/>
    </w:p>
    <w:p w14:paraId="7B85D757">
      <w:pPr>
        <w:pStyle w:val="1056"/>
        <w:suppressLineNumbers w:val="false"/>
        <w:pBdr/>
        <w:spacing w:line="300" w:lineRule="auto"/>
        <w:ind w:firstLine="0"/>
        <w:rPr>
          <w:b/>
          <w:bCs/>
          <w:sz w:val="28"/>
          <w:szCs w:val="28"/>
        </w:rPr>
      </w:pPr>
      <w:r>
        <w:rPr>
          <w:b/>
          <w:bCs/>
          <w:sz w:val="28"/>
          <w:szCs w:val="28"/>
          <w:highlight w:val="none"/>
        </w:rPr>
        <w:t xml:space="preserve">4.3 Proposed Severity-Oriented Pipeline</w:t>
      </w:r>
      <w:r>
        <w:rPr>
          <w:b/>
          <w:bCs/>
          <w:sz w:val="28"/>
          <w:szCs w:val="28"/>
        </w:rPr>
      </w:r>
      <w:r>
        <w:rPr>
          <w:b/>
          <w:bCs/>
          <w:sz w:val="28"/>
          <w:szCs w:val="28"/>
        </w:rPr>
      </w:r>
    </w:p>
    <w:p w14:paraId="227DC6DE">
      <w:pPr>
        <w:pStyle w:val="1056"/>
        <w:suppressLineNumbers w:val="false"/>
        <w:pBdr/>
        <w:spacing w:line="300" w:lineRule="auto"/>
        <w:ind w:firstLine="0"/>
        <w:rPr/>
      </w:pPr>
      <w:r>
        <w:rPr>
          <w:highlight w:val="none"/>
        </w:rPr>
        <w:t xml:space="preserve">The proposed Chapter 4 pipeline can be summarized as follows:</w:t>
      </w:r>
      <w:r>
        <w:rPr>
          <w:highlight w:val="none"/>
        </w:rPr>
      </w:r>
      <w:r/>
    </w:p>
    <w:p w14:paraId="4F2331F7">
      <w:pPr>
        <w:pStyle w:val="1056"/>
        <w:suppressLineNumbers w:val="false"/>
        <w:pBdr/>
        <w:spacing w:line="300" w:lineRule="auto"/>
        <w:ind w:firstLine="0"/>
        <w:rPr>
          <w:b w:val="0"/>
          <w:bCs w:val="0"/>
        </w:rPr>
      </w:pPr>
      <w:r>
        <w:rPr>
          <w:b w:val="0"/>
          <w:bCs w:val="0"/>
          <w:highlight w:val="none"/>
        </w:rPr>
        <w:t xml:space="preserve">dataset curation and split freezing -&gt; supervised and generative baseline construction -&gt; controlled severity prediction -&gt; statistical evaluation -&gt; error analysis</w:t>
      </w:r>
      <w:r>
        <w:rPr>
          <w:b w:val="0"/>
          <w:bCs w:val="0"/>
          <w:highlight w:val="none"/>
        </w:rPr>
      </w:r>
      <w:r>
        <w:rPr>
          <w:b w:val="0"/>
          <w:bCs w:val="0"/>
        </w:rPr>
      </w:r>
    </w:p>
    <w:p w14:paraId="75835759">
      <w:pPr>
        <w:pStyle w:val="1056"/>
        <w:suppressLineNumbers w:val="false"/>
        <w:pBdr/>
        <w:spacing w:line="300" w:lineRule="auto"/>
        <w:ind w:firstLine="0"/>
        <w:rPr/>
      </w:pPr>
      <w:r>
        <w:rPr>
          <w:highlight w:val="none"/>
        </w:rPr>
        <w:t xml:space="preserve">T</w:t>
      </w:r>
      <w:r>
        <w:rPr>
          <w:highlight w:val="none"/>
        </w:rPr>
        <w:t xml:space="preserve">he key design principle is that each stage should narrow the gap between flexible multimodal generation and clinically disciplined scoring. The pipeline is therefore built in layers, where each layer has a distinct role in separating genuine improvement fr</w:t>
      </w:r>
      <w:r>
        <w:rPr>
          <w:highlight w:val="none"/>
        </w:rPr>
        <w:t xml:space="preserve">om prompt-induced noise.</w:t>
      </w:r>
      <w:r>
        <w:rPr>
          <w:highlight w:val="none"/>
        </w:rPr>
      </w:r>
      <w:r/>
    </w:p>
    <w:p w14:paraId="538872A3">
      <w:pPr>
        <w:pStyle w:val="1056"/>
        <w:suppressLineNumbers w:val="false"/>
        <w:pBdr/>
        <w:spacing w:line="300" w:lineRule="auto"/>
        <w:ind w:firstLine="0"/>
        <w:rPr>
          <w:b/>
          <w:bCs/>
        </w:rPr>
      </w:pPr>
      <w:r>
        <w:rPr>
          <w:b/>
          <w:bCs/>
          <w:highlight w:val="none"/>
        </w:rPr>
        <w:t xml:space="preserve">4.3.1 Data Preparation and Split Freezing</w:t>
      </w:r>
      <w:r>
        <w:rPr>
          <w:b/>
          <w:bCs/>
        </w:rPr>
      </w:r>
      <w:r>
        <w:rPr>
          <w:b/>
          <w:bCs/>
        </w:rPr>
      </w:r>
    </w:p>
    <w:p w14:paraId="51BDCFEB">
      <w:pPr>
        <w:pStyle w:val="1056"/>
        <w:suppressLineNumbers w:val="false"/>
        <w:pBdr/>
        <w:spacing w:line="300" w:lineRule="auto"/>
        <w:ind w:firstLine="0"/>
        <w:rPr/>
      </w:pPr>
      <w:r>
        <w:rPr>
          <w:highlight w:val="none"/>
        </w:rPr>
        <w:t xml:space="preserve">T</w:t>
      </w:r>
      <w:r>
        <w:rPr>
          <w:highlight w:val="none"/>
        </w:rPr>
        <w:t xml:space="preserve">he first layer is the preparation layer implemented in Prototyping_reformat/DatasetAnalysis/LIMUC/0_dataset_prep/01_build_metadata_images_and_manifests.ipynb [69]. Its purpose is not only to gather images and labels, but to create a reproducible task defin</w:t>
      </w:r>
      <w:r>
        <w:rPr>
          <w:highlight w:val="none"/>
        </w:rPr>
        <w:t xml:space="preserve">ition. The notebook generates metadata tables, split assignments, label mappings, and a split hash so that downstream experiments can be traced back to a fixed data state.</w:t>
      </w:r>
      <w:r/>
      <w:r>
        <w:rPr>
          <w:highlight w:val="none"/>
        </w:rPr>
      </w:r>
      <w:r/>
      <w:r/>
    </w:p>
    <w:p w14:paraId="435899B7">
      <w:pPr>
        <w:pStyle w:val="1056"/>
        <w:suppressLineNumbers w:val="false"/>
        <w:pBdr/>
        <w:spacing w:line="300" w:lineRule="auto"/>
        <w:ind w:firstLine="0"/>
        <w:rPr/>
      </w:pPr>
      <w:r>
        <w:rPr>
          <w:highlight w:val="none"/>
        </w:rPr>
        <w:t xml:space="preserve">T</w:t>
      </w:r>
      <w:r>
        <w:rPr>
          <w:highlight w:val="none"/>
        </w:rPr>
        <w:t xml:space="preserve">his step is methodologically important because later comparisons would be difficult to defend if the underlying train, validation, and test composition were allowed to drift. In a dissertation setting, reproducibility is not a convenience feature; it is pa</w:t>
      </w:r>
      <w:r>
        <w:rPr>
          <w:highlight w:val="none"/>
        </w:rPr>
        <w:t xml:space="preserve">r</w:t>
      </w:r>
      <w:r>
        <w:rPr>
          <w:highlight w:val="none"/>
        </w:rPr>
        <w:t xml:space="preserve">t of the evidential argument. By freezing the metadata snapshot and the split structure before model comparison, the chapter avoids a common problem in multimodal experimentation where performance differences become entangled with unnoticed preprocessing c</w:t>
      </w:r>
      <w:r>
        <w:rPr>
          <w:highlight w:val="none"/>
        </w:rPr>
        <w:t xml:space="preserve">hanges.</w:t>
      </w:r>
      <w:r>
        <w:rPr>
          <w:highlight w:val="none"/>
        </w:rPr>
      </w:r>
      <w:r/>
    </w:p>
    <w:p w14:paraId="07575C15">
      <w:pPr>
        <w:pStyle w:val="1056"/>
        <w:suppressLineNumbers w:val="false"/>
        <w:pBdr/>
        <w:spacing w:line="300" w:lineRule="auto"/>
        <w:ind w:firstLine="0"/>
        <w:rPr>
          <w:b/>
          <w:bCs/>
        </w:rPr>
      </w:pPr>
      <w:r>
        <w:rPr>
          <w:b/>
          <w:bCs/>
          <w:highlight w:val="none"/>
        </w:rPr>
        <w:t xml:space="preserve">4.3.2 Supervised Reliability Anchor</w:t>
      </w:r>
      <w:r>
        <w:rPr>
          <w:b/>
          <w:bCs/>
        </w:rPr>
      </w:r>
      <w:r>
        <w:rPr>
          <w:b/>
          <w:bCs/>
        </w:rPr>
      </w:r>
    </w:p>
    <w:p w14:paraId="50DE3832">
      <w:pPr>
        <w:pStyle w:val="1056"/>
        <w:suppressLineNumbers w:val="false"/>
        <w:pBdr/>
        <w:spacing w:line="300" w:lineRule="auto"/>
        <w:ind w:firstLine="0"/>
        <w:rPr/>
      </w:pPr>
      <w:r>
        <w:rPr>
          <w:highlight w:val="none"/>
        </w:rPr>
        <w:t xml:space="preserve">The second layer establishes a strong supervised anchor. This layer includes both frozen-encoder baselines and fine-tuned discriminative baselines. The frozen-encoder baselines are implemented in:</w:t>
      </w:r>
      <w:r>
        <w:rPr>
          <w:highlight w:val="none"/>
        </w:rPr>
      </w:r>
      <w:r/>
    </w:p>
    <w:p w14:paraId="352F9AE2">
      <w:pPr>
        <w:pStyle w:val="1056"/>
        <w:numPr>
          <w:ilvl w:val="0"/>
          <w:numId w:val="75"/>
        </w:numPr>
        <w:suppressLineNumbers w:val="false"/>
        <w:pBdr/>
        <w:spacing w:line="300" w:lineRule="auto"/>
        <w:ind/>
        <w:rPr/>
      </w:pPr>
      <w:r>
        <w:rPr>
          <w:highlight w:val="none"/>
        </w:rPr>
        <w:t xml:space="preserve">Prototyping_reformat/DatasetAnalysis/LIMUC/1_frozen_encoders/resnet50_frozen_logreg.ipynb [70]</w:t>
      </w:r>
      <w:r/>
    </w:p>
    <w:p w14:paraId="125B2467">
      <w:pPr>
        <w:pStyle w:val="1056"/>
        <w:numPr>
          <w:ilvl w:val="0"/>
          <w:numId w:val="75"/>
        </w:numPr>
        <w:suppressLineNumbers w:val="false"/>
        <w:pBdr/>
        <w:spacing w:line="300" w:lineRule="auto"/>
        <w:ind/>
        <w:rPr/>
      </w:pPr>
      <w:r>
        <w:rPr>
          <w:highlight w:val="none"/>
        </w:rPr>
        <w:t xml:space="preserve">Prototyping_reformat/DatasetAnalysis/LIMUC/1_frozen_encoders/vit_frozen_logreg.ipynb [71]</w:t>
      </w:r>
      <w:r/>
    </w:p>
    <w:p w14:paraId="570921E0">
      <w:pPr>
        <w:pStyle w:val="1056"/>
        <w:numPr>
          <w:ilvl w:val="0"/>
          <w:numId w:val="75"/>
        </w:numPr>
        <w:suppressLineNumbers w:val="false"/>
        <w:pBdr/>
        <w:spacing w:line="300" w:lineRule="auto"/>
        <w:ind/>
        <w:rPr/>
      </w:pPr>
      <w:r>
        <w:rPr>
          <w:highlight w:val="none"/>
        </w:rPr>
        <w:t xml:space="preserve">Prototyping_reformat/DatasetAnalysis/LIMUC/1_frozen_encoders/clip_linear_baseline.ipynb [72]</w:t>
      </w:r>
      <w:r/>
    </w:p>
    <w:p w14:paraId="2F9F99D5">
      <w:pPr>
        <w:pStyle w:val="1056"/>
        <w:suppressLineNumbers w:val="false"/>
        <w:pBdr/>
        <w:spacing w:line="300" w:lineRule="auto"/>
        <w:ind w:firstLine="0"/>
        <w:rPr/>
      </w:pPr>
      <w:r>
        <w:rPr>
          <w:highlight w:val="none"/>
        </w:rPr>
        <w:t xml:space="preserve">The fine-tuned baselines are implemented in:</w:t>
      </w:r>
      <w:r>
        <w:rPr>
          <w:highlight w:val="none"/>
        </w:rPr>
      </w:r>
      <w:r/>
    </w:p>
    <w:p w14:paraId="46BF3408">
      <w:pPr>
        <w:pStyle w:val="1056"/>
        <w:numPr>
          <w:ilvl w:val="0"/>
          <w:numId w:val="76"/>
        </w:numPr>
        <w:suppressLineNumbers w:val="false"/>
        <w:pBdr/>
        <w:spacing w:line="300" w:lineRule="auto"/>
        <w:ind/>
        <w:rPr/>
      </w:pPr>
      <w:r>
        <w:rPr>
          <w:highlight w:val="none"/>
        </w:rPr>
        <w:t xml:space="preserve">Prototyping_reformat/DatasetAnalysis/LIMUC/2_supervised_finetuning/finetune_resnet50.ipynb [73]</w:t>
      </w:r>
      <w:r/>
    </w:p>
    <w:p w14:paraId="04A7E25E">
      <w:pPr>
        <w:pStyle w:val="1056"/>
        <w:numPr>
          <w:ilvl w:val="0"/>
          <w:numId w:val="76"/>
        </w:numPr>
        <w:suppressLineNumbers w:val="false"/>
        <w:pBdr/>
        <w:spacing w:line="300" w:lineRule="auto"/>
        <w:ind/>
        <w:rPr/>
      </w:pPr>
      <w:r>
        <w:rPr>
          <w:highlight w:val="none"/>
        </w:rPr>
        <w:t xml:space="preserve">Prototyping_reformat/DatasetAnalysis/LIMUC/2_supervised_finetuning/finetune_vit_or_swin.ipynb [74]</w:t>
      </w:r>
      <w:r/>
    </w:p>
    <w:p w14:paraId="26C1DAC9">
      <w:pPr>
        <w:pStyle w:val="1056"/>
        <w:suppressLineNumbers w:val="false"/>
        <w:pBdr/>
        <w:spacing w:line="300" w:lineRule="auto"/>
        <w:ind w:firstLine="0"/>
        <w:rPr/>
      </w:pPr>
      <w:r>
        <w:rPr>
          <w:highlight w:val="none"/>
        </w:rPr>
        <w:t xml:space="preserve">T</w:t>
      </w:r>
      <w:r>
        <w:rPr>
          <w:highlight w:val="none"/>
        </w:rPr>
        <w:t xml:space="preserve">hese baselines are not included merely for completeness. They define the minimum standard that any generative method must surpass to be taken seriously. In many medical-imaging settings, a generative system appears attractive because it produces human-read</w:t>
      </w:r>
      <w:r>
        <w:rPr>
          <w:highlight w:val="none"/>
        </w:rPr>
        <w:t xml:space="preserve">a</w:t>
      </w:r>
      <w:r>
        <w:rPr>
          <w:highlight w:val="none"/>
        </w:rPr>
        <w:t xml:space="preserve">ble text, yet still underperforms a simpler classifier on the actual decision variable of interest. By anchoring the chapter on supervised performance first, the proposed method is evaluated against the best currently justified alternative rather than agai</w:t>
      </w:r>
      <w:r>
        <w:rPr>
          <w:highlight w:val="none"/>
        </w:rPr>
        <w:t xml:space="preserve">nst an artificially weak baseline.</w:t>
      </w:r>
      <w:r/>
    </w:p>
    <w:p w14:paraId="68680794">
      <w:pPr>
        <w:pStyle w:val="1056"/>
        <w:suppressLineNumbers w:val="false"/>
        <w:pBdr/>
        <w:spacing w:line="300" w:lineRule="auto"/>
        <w:ind w:firstLine="0"/>
        <w:rPr/>
      </w:pPr>
      <w:r>
        <w:rPr>
          <w:highlight w:val="none"/>
        </w:rPr>
      </w:r>
      <w:r/>
    </w:p>
    <w:p w14:paraId="12CC7DB8">
      <w:pPr>
        <w:pStyle w:val="1056"/>
        <w:suppressLineNumbers w:val="false"/>
        <w:pBdr/>
        <w:spacing w:line="300" w:lineRule="auto"/>
        <w:ind w:firstLine="0"/>
        <w:rPr>
          <w:b/>
          <w:bCs/>
        </w:rPr>
      </w:pPr>
      <w:r>
        <w:rPr>
          <w:b/>
          <w:bCs/>
          <w:highlight w:val="none"/>
        </w:rPr>
        <w:t xml:space="preserve">4.3.3 Zero-Shot Generative Baseline</w:t>
      </w:r>
      <w:r>
        <w:rPr>
          <w:b/>
          <w:bCs/>
        </w:rPr>
      </w:r>
      <w:r>
        <w:rPr>
          <w:b/>
          <w:bCs/>
        </w:rPr>
      </w:r>
    </w:p>
    <w:p w14:paraId="09CF77E6">
      <w:pPr>
        <w:pStyle w:val="1056"/>
        <w:suppressLineNumbers w:val="false"/>
        <w:pBdr/>
        <w:spacing w:line="300" w:lineRule="auto"/>
        <w:ind w:firstLine="0"/>
        <w:rPr/>
      </w:pPr>
      <w:r>
        <w:rPr>
          <w:highlight w:val="none"/>
        </w:rPr>
        <w:t xml:space="preserve">T</w:t>
      </w:r>
      <w:r>
        <w:rPr>
          <w:highlight w:val="none"/>
        </w:rPr>
        <w:t xml:space="preserve">he third layer introduces a zero-shot generative severity baseline through Prototyping_reformat/DatasetAnalysis/LIMUC/3_vlm_severity/vlm_zero_shot_mayo.ipynb [75]. This layer is important because it exposes the raw transfer gap between general multimodal f</w:t>
      </w:r>
      <w:r>
        <w:rPr>
          <w:highlight w:val="none"/>
        </w:rPr>
        <w:t xml:space="preserve">luency and clinically controlled severity scoring.</w:t>
      </w:r>
      <w:r>
        <w:rPr>
          <w:highlight w:val="none"/>
        </w:rPr>
      </w:r>
      <w:r/>
    </w:p>
    <w:p w14:paraId="1C382258">
      <w:pPr>
        <w:pStyle w:val="1056"/>
        <w:suppressLineNumbers w:val="false"/>
        <w:pBdr/>
        <w:spacing w:line="300" w:lineRule="auto"/>
        <w:ind w:firstLine="0"/>
        <w:rPr/>
      </w:pPr>
      <w:r>
        <w:rPr>
          <w:highlight w:val="none"/>
        </w:rPr>
        <w:t xml:space="preserve">T</w:t>
      </w:r>
      <w:r>
        <w:rPr>
          <w:highlight w:val="none"/>
        </w:rPr>
        <w:t xml:space="preserve">he zero-shot setup uses a fixed severity question prompt and expects a constrained textual output in the form SCORE: X, where X must belong to {0,1,2,3}. A strict parser then extracts the score and marks invalid or noncompliant generations explicitly. This</w:t>
      </w:r>
      <w:r>
        <w:rPr>
          <w:highlight w:val="none"/>
        </w:rPr>
        <w:t xml:space="preserve"> </w:t>
      </w:r>
      <w:r>
        <w:rPr>
          <w:highlight w:val="none"/>
        </w:rPr>
        <w:t xml:space="preserve">design serves two functions. First, it gives the zero-shot model the best possible chance to succeed under a clear format. Second, it prevents the evaluation from rewarding free-form answers that sound plausible but cannot be mapped reliably to the task la</w:t>
      </w:r>
      <w:r>
        <w:rPr>
          <w:highlight w:val="none"/>
        </w:rPr>
        <w:t xml:space="preserve">bel space.</w:t>
      </w:r>
      <w:r>
        <w:rPr>
          <w:highlight w:val="none"/>
        </w:rPr>
      </w:r>
      <w:r/>
    </w:p>
    <w:p w14:paraId="0D62754C">
      <w:pPr>
        <w:pStyle w:val="1056"/>
        <w:suppressLineNumbers w:val="false"/>
        <w:pBdr/>
        <w:spacing w:line="300" w:lineRule="auto"/>
        <w:ind w:firstLine="0"/>
        <w:rPr/>
      </w:pPr>
      <w:r>
        <w:rPr>
          <w:highlight w:val="none"/>
        </w:rPr>
        <w:t xml:space="preserve">Zero-shot evaluation is therefore treated as a diagnostic baseline, not as the proposed solution. Its role is to show what prompt-only transfer can and cannot do before any in-domain adaptation is introduced.</w:t>
      </w:r>
      <w:r/>
    </w:p>
    <w:p w14:paraId="65E808BF">
      <w:pPr>
        <w:pStyle w:val="1056"/>
        <w:suppressLineNumbers w:val="false"/>
        <w:pBdr/>
        <w:spacing w:line="300" w:lineRule="auto"/>
        <w:ind w:firstLine="0"/>
        <w:rPr/>
      </w:pPr>
      <w:r>
        <w:rPr>
          <w:highlight w:val="none"/>
        </w:rPr>
      </w:r>
      <w:r/>
    </w:p>
    <w:p w14:paraId="6D4E490B">
      <w:pPr>
        <w:pStyle w:val="1056"/>
        <w:suppressLineNumbers w:val="false"/>
        <w:pBdr/>
        <w:spacing w:line="300" w:lineRule="auto"/>
        <w:ind w:firstLine="0"/>
        <w:rPr>
          <w:b/>
          <w:bCs/>
        </w:rPr>
      </w:pPr>
      <w:r>
        <w:rPr>
          <w:b/>
          <w:bCs/>
          <w:highlight w:val="none"/>
        </w:rPr>
        <w:t xml:space="preserve">4.3.4 Parameter-Efficient Generative Adaptation with LoRA</w:t>
      </w:r>
      <w:r>
        <w:rPr>
          <w:b/>
          <w:bCs/>
        </w:rPr>
      </w:r>
      <w:r>
        <w:rPr>
          <w:b/>
          <w:bCs/>
        </w:rPr>
      </w:r>
    </w:p>
    <w:p w14:paraId="4F82708E">
      <w:pPr>
        <w:pStyle w:val="1056"/>
        <w:suppressLineNumbers w:val="false"/>
        <w:pBdr/>
        <w:spacing w:line="300" w:lineRule="auto"/>
        <w:ind w:firstLine="0"/>
        <w:rPr/>
      </w:pPr>
      <w:r>
        <w:rPr>
          <w:highlight w:val="none"/>
        </w:rPr>
        <w:t xml:space="preserve">T</w:t>
      </w:r>
      <w:r>
        <w:rPr>
          <w:highlight w:val="none"/>
        </w:rPr>
        <w:t xml:space="preserve">he central methodological contribution of this chapter is the parameter-efficient adaptation layer implemented in Prototyping_reformat/DatasetAnalysis/LIMUC/3_vlm_severity/vlm_lora_finetune_mayo.ipynb [76]. This stage adapts a vision-language generation st</w:t>
      </w:r>
      <w:r>
        <w:rPr>
          <w:highlight w:val="none"/>
        </w:rPr>
        <w:t xml:space="preserve">ack using Low-Rank Adaptation (LoRA) rather than full end-to-end retraining [67].</w:t>
      </w:r>
      <w:r>
        <w:rPr>
          <w:highlight w:val="none"/>
        </w:rPr>
      </w:r>
      <w:r/>
    </w:p>
    <w:p w14:paraId="18C6E4D9">
      <w:pPr>
        <w:pStyle w:val="1056"/>
        <w:suppressLineNumbers w:val="false"/>
        <w:pBdr/>
        <w:spacing w:line="300" w:lineRule="auto"/>
        <w:ind w:firstLine="0"/>
        <w:rPr/>
      </w:pPr>
      <w:r>
        <w:rPr>
          <w:highlight w:val="none"/>
        </w:rPr>
        <w:t xml:space="preserve">L</w:t>
      </w:r>
      <w:r>
        <w:rPr>
          <w:highlight w:val="none"/>
        </w:rPr>
        <w:t xml:space="preserve">oRA is appropriate here for both practical and scientific reasons. Practically, it reduces the memory and optimization cost of adapting a large multimodal model. Scientifically, it allows the chapter to test whether a large pretrained vision-language model</w:t>
      </w:r>
      <w:r>
        <w:rPr>
          <w:highlight w:val="none"/>
        </w:rPr>
        <w:t xml:space="preserve"> </w:t>
      </w:r>
      <w:r>
        <w:rPr>
          <w:highlight w:val="none"/>
        </w:rPr>
        <w:t xml:space="preserve">can be made clinically useful for severity grading through targeted task adaptation rather than through unrestricted generation. The final architecture used in the comparison is BLIP2-Flan-T5-XL with LoRA adapters applied to the generative stack [68], [76]</w:t>
      </w:r>
      <w:r>
        <w:rPr>
          <w:highlight w:val="none"/>
        </w:rPr>
        <w:t xml:space="preserve">.</w:t>
      </w:r>
      <w:r>
        <w:rPr>
          <w:highlight w:val="none"/>
        </w:rPr>
      </w:r>
      <w:r/>
    </w:p>
    <w:p w14:paraId="3F37A53E">
      <w:pPr>
        <w:pStyle w:val="1056"/>
        <w:suppressLineNumbers w:val="false"/>
        <w:pBdr/>
        <w:spacing w:line="300" w:lineRule="auto"/>
        <w:ind w:firstLine="0"/>
        <w:rPr/>
      </w:pPr>
      <w:r>
        <w:rPr>
          <w:highlight w:val="none"/>
        </w:rPr>
        <w:t xml:space="preserve">This design direction is consistent with recent medical multimodal literature that emphasizes integrating vision and language foundation models under task-aware constraints for clinically useful behavior [105], [106].</w:t>
      </w:r>
      <w:r>
        <w:rPr>
          <w:highlight w:val="none"/>
        </w:rPr>
      </w:r>
      <w:r/>
    </w:p>
    <w:p w14:paraId="0614E0C4">
      <w:pPr>
        <w:pStyle w:val="1056"/>
        <w:suppressLineNumbers w:val="false"/>
        <w:pBdr/>
        <w:spacing w:line="300" w:lineRule="auto"/>
        <w:ind w:firstLine="0"/>
        <w:rPr/>
      </w:pPr>
      <w:r>
        <w:rPr>
          <w:highlight w:val="none"/>
        </w:rPr>
        <w:t xml:space="preserve">T</w:t>
      </w:r>
      <w:r>
        <w:rPr>
          <w:highlight w:val="none"/>
        </w:rPr>
        <w:t xml:space="preserve">wo design choices are especially important. First, the target format is supervised explicitly so that the model learns to emit the severity token under a stable prefix rather than producing unconstrained prose. Second, the objective is label-token-focused,</w:t>
      </w:r>
      <w:r>
        <w:rPr>
          <w:highlight w:val="none"/>
        </w:rPr>
        <w:t xml:space="preserve"> </w:t>
      </w:r>
      <w:r>
        <w:rPr>
          <w:highlight w:val="none"/>
        </w:rPr>
        <w:t xml:space="preserve">which reduces the incentive to learn decorative language that is irrelevant to the Mayo decision itself. In other words, the model is still generative at the interface level, but its training objective is deliberately aligned with a bounded clinical output</w:t>
      </w:r>
      <w:r>
        <w:rPr>
          <w:highlight w:val="none"/>
        </w:rPr>
        <w:t xml:space="preserve">.</w:t>
      </w:r>
      <w:r/>
    </w:p>
    <w:p w14:paraId="319B94D9">
      <w:pPr>
        <w:pStyle w:val="1056"/>
        <w:suppressLineNumbers w:val="false"/>
        <w:pBdr/>
        <w:spacing w:line="300" w:lineRule="auto"/>
        <w:ind w:firstLine="0"/>
        <w:rPr/>
      </w:pPr>
      <w:r>
        <w:rPr>
          <w:highlight w:val="none"/>
        </w:rPr>
      </w:r>
      <w:r/>
    </w:p>
    <w:p w14:paraId="74CCCD86">
      <w:pPr>
        <w:pStyle w:val="1056"/>
        <w:suppressLineNumbers w:val="false"/>
        <w:pBdr/>
        <w:spacing w:line="300" w:lineRule="auto"/>
        <w:ind w:firstLine="0"/>
        <w:rPr>
          <w:b/>
          <w:bCs/>
        </w:rPr>
      </w:pPr>
      <w:r>
        <w:rPr>
          <w:b/>
          <w:bCs/>
          <w:highlight w:val="none"/>
        </w:rPr>
        <w:t xml:space="preserve">4.3.5 Retrieval-Supported Extension Path</w:t>
      </w:r>
      <w:r>
        <w:rPr>
          <w:b/>
          <w:bCs/>
        </w:rPr>
      </w:r>
      <w:r>
        <w:rPr>
          <w:b/>
          <w:bCs/>
        </w:rPr>
      </w:r>
    </w:p>
    <w:p w14:paraId="60E61F4B">
      <w:pPr>
        <w:pStyle w:val="1056"/>
        <w:suppressLineNumbers w:val="false"/>
        <w:pBdr/>
        <w:spacing w:line="300" w:lineRule="auto"/>
        <w:ind w:firstLine="0"/>
        <w:rPr/>
      </w:pPr>
      <w:r>
        <w:rPr>
          <w:highlight w:val="none"/>
        </w:rPr>
        <w:t xml:space="preserve">T</w:t>
      </w:r>
      <w:r>
        <w:rPr>
          <w:highlight w:val="none"/>
        </w:rPr>
        <w:t xml:space="preserve">he repository also contains a retrieval-backed design pattern in Prototyping_reformat/DatasetAnalysis/Kvasir_VQA_x1/2_modeling/09_rag_blip2_eval/01_rag_blip2_eval.ipynb [77]. That pattern is relevant to the broader dissertation because it anticipates evide</w:t>
      </w:r>
      <w:r>
        <w:rPr>
          <w:highlight w:val="none"/>
        </w:rPr>
        <w:t xml:space="preserve">nce-grounded multimodal reasoning. However, it is not part of the primary Chapter 4 claim.</w:t>
      </w:r>
      <w:r>
        <w:rPr>
          <w:highlight w:val="none"/>
        </w:rPr>
      </w:r>
      <w:r/>
    </w:p>
    <w:p w14:paraId="1D270E04">
      <w:pPr>
        <w:pStyle w:val="1056"/>
        <w:suppressLineNumbers w:val="false"/>
        <w:pBdr/>
        <w:spacing w:line="300" w:lineRule="auto"/>
        <w:ind w:firstLine="0"/>
        <w:rPr/>
      </w:pPr>
      <w:r>
        <w:rPr>
          <w:highlight w:val="none"/>
        </w:rPr>
        <w:t xml:space="preserve">T</w:t>
      </w:r>
      <w:r>
        <w:rPr>
          <w:highlight w:val="none"/>
        </w:rPr>
        <w:t xml:space="preserve">his exclusion is intentional. If retrieval support were added at the same time as severity adaptation, any improvement would become harder to attribute. Chapter 4 is therefore designed to answer a narrower question first: can a generative severity model ou</w:t>
      </w:r>
      <w:r>
        <w:rPr>
          <w:highlight w:val="none"/>
        </w:rPr>
        <w:t xml:space="preserve">tperform a strong supervised baseline on the internal task when the output space is tightly controlled? Only after that question is answered does the dissertation move, in Chapter 5, to the separate problem of evidence-grounded query support.</w:t>
      </w:r>
      <w:r/>
    </w:p>
    <w:p w14:paraId="22509F81">
      <w:pPr>
        <w:pStyle w:val="1056"/>
        <w:suppressLineNumbers w:val="false"/>
        <w:pBdr/>
        <w:spacing w:line="300" w:lineRule="auto"/>
        <w:ind w:firstLine="0"/>
        <w:rPr/>
      </w:pPr>
      <w:r>
        <w:rPr>
          <w:highlight w:val="none"/>
        </w:rPr>
      </w:r>
      <w:r/>
    </w:p>
    <w:p w14:paraId="12FCA65B">
      <w:pPr>
        <w:pStyle w:val="1056"/>
        <w:suppressLineNumbers w:val="false"/>
        <w:pBdr/>
        <w:spacing w:line="300" w:lineRule="auto"/>
        <w:ind w:firstLine="0"/>
        <w:rPr>
          <w:b/>
          <w:bCs/>
          <w:sz w:val="28"/>
          <w:szCs w:val="28"/>
        </w:rPr>
      </w:pPr>
      <w:r>
        <w:rPr>
          <w:b/>
          <w:bCs/>
          <w:sz w:val="28"/>
          <w:szCs w:val="28"/>
          <w:highlight w:val="none"/>
        </w:rPr>
        <w:t xml:space="preserve">4.4 Experimental Design and Evaluation Protocol</w:t>
      </w:r>
      <w:r>
        <w:rPr>
          <w:b/>
          <w:bCs/>
          <w:sz w:val="28"/>
          <w:szCs w:val="28"/>
        </w:rPr>
      </w:r>
      <w:r>
        <w:rPr>
          <w:b/>
          <w:bCs/>
          <w:sz w:val="28"/>
          <w:szCs w:val="28"/>
        </w:rPr>
      </w:r>
    </w:p>
    <w:p w14:paraId="2A1AB235">
      <w:pPr>
        <w:pStyle w:val="1056"/>
        <w:suppressLineNumbers w:val="false"/>
        <w:pBdr/>
        <w:spacing w:line="300" w:lineRule="auto"/>
        <w:ind w:firstLine="0"/>
        <w:rPr/>
      </w:pPr>
      <w:r>
        <w:rPr>
          <w:highlight w:val="none"/>
        </w:rPr>
        <w:t xml:space="preserve">T</w:t>
      </w:r>
      <w:r>
        <w:rPr>
          <w:highlight w:val="none"/>
        </w:rPr>
        <w:t xml:space="preserve">he experimental design is structured to distinguish genuine task learning from output-format artifacts. Because the proposed method sits between classification and generation, the evaluation protocol must measure both predictive quality and output controll</w:t>
      </w:r>
      <w:r>
        <w:rPr>
          <w:highlight w:val="none"/>
        </w:rPr>
        <w:t xml:space="preserve">ability.</w:t>
      </w:r>
      <w:r>
        <w:rPr>
          <w:highlight w:val="none"/>
        </w:rPr>
      </w:r>
      <w:r/>
    </w:p>
    <w:p w14:paraId="0C79154A">
      <w:pPr>
        <w:pStyle w:val="1056"/>
        <w:suppressLineNumbers w:val="false"/>
        <w:pBdr/>
        <w:spacing w:line="300" w:lineRule="auto"/>
        <w:ind w:firstLine="0"/>
        <w:rPr>
          <w:b/>
          <w:bCs/>
        </w:rPr>
      </w:pPr>
      <w:r>
        <w:rPr>
          <w:b/>
          <w:bCs/>
          <w:highlight w:val="none"/>
        </w:rPr>
        <w:t xml:space="preserve">4.4.1 Task Formulation and Output Modes</w:t>
      </w:r>
      <w:r>
        <w:rPr>
          <w:b/>
          <w:bCs/>
        </w:rPr>
      </w:r>
      <w:r>
        <w:rPr>
          <w:b/>
          <w:bCs/>
        </w:rPr>
      </w:r>
    </w:p>
    <w:p w14:paraId="657485D4">
      <w:pPr>
        <w:pStyle w:val="1056"/>
        <w:suppressLineNumbers w:val="false"/>
        <w:pBdr/>
        <w:spacing w:line="300" w:lineRule="auto"/>
        <w:ind w:firstLine="0"/>
        <w:rPr/>
      </w:pPr>
      <w:r>
        <w:rPr>
          <w:highlight w:val="none"/>
        </w:rPr>
        <w:t xml:space="preserve">T</w:t>
      </w:r>
      <w:r>
        <w:rPr>
          <w:highlight w:val="none"/>
        </w:rPr>
        <w:t xml:space="preserve">he input to the system is a single colonoscopy frame paired with a fixed severity question prompt. The required output is a Mayo score in the closed set {0,1,2,3}. Although the broader dissertation is interested in richer physician-facing interaction, the </w:t>
      </w:r>
      <w:r>
        <w:rPr>
          <w:highlight w:val="none"/>
        </w:rPr>
        <w:t xml:space="preserve">formal Chapter 4 task remains score prediction. Any optional evidence phrase is therefore treated as a deferred extension rather than a headline result.</w:t>
      </w:r>
      <w:r>
        <w:rPr>
          <w:highlight w:val="none"/>
        </w:rPr>
      </w:r>
      <w:r/>
    </w:p>
    <w:p w14:paraId="543C0EAC">
      <w:pPr>
        <w:pStyle w:val="1056"/>
        <w:suppressLineNumbers w:val="false"/>
        <w:pBdr/>
        <w:spacing w:line="300" w:lineRule="auto"/>
        <w:ind w:firstLine="0"/>
        <w:rPr/>
      </w:pPr>
      <w:r>
        <w:rPr>
          <w:highlight w:val="none"/>
        </w:rPr>
        <w:t xml:space="preserve">Two evaluation lanes are used for the LoRA-adapted system:</w:t>
      </w:r>
      <w:r>
        <w:rPr>
          <w:highlight w:val="none"/>
        </w:rPr>
      </w:r>
      <w:r/>
    </w:p>
    <w:p w14:paraId="7FBD838D">
      <w:pPr>
        <w:pStyle w:val="1056"/>
        <w:numPr>
          <w:ilvl w:val="0"/>
          <w:numId w:val="77"/>
        </w:numPr>
        <w:suppressLineNumbers w:val="false"/>
        <w:pBdr/>
        <w:spacing w:line="300" w:lineRule="auto"/>
        <w:ind/>
        <w:rPr/>
      </w:pPr>
      <w:r>
        <w:rPr>
          <w:highlight w:val="none"/>
        </w:rPr>
        <w:t xml:space="preserve">mode1 (lora_mode1_train): the model generates text under the constrained prompt format, after which a strict parser extracts SCORE: &lt;0|1|2|3&gt;.</w:t>
      </w:r>
      <w:r/>
    </w:p>
    <w:p w14:paraId="75261ACF">
      <w:pPr>
        <w:pStyle w:val="1056"/>
        <w:numPr>
          <w:ilvl w:val="0"/>
          <w:numId w:val="77"/>
        </w:numPr>
        <w:suppressLineNumbers w:val="false"/>
        <w:pBdr/>
        <w:spacing w:line="300" w:lineRule="auto"/>
        <w:ind/>
        <w:rPr/>
      </w:pPr>
      <w:r>
        <w:rPr>
          <w:highlight w:val="none"/>
        </w:rPr>
        <w:t xml:space="preserve">mode2 (lora_mode2_eval): the score is selected by candidate-label likelihood after the SCORE: prefix using a sequence_logprob strategy, without relying on free-text parsing.</w:t>
      </w:r>
      <w:r/>
    </w:p>
    <w:p w14:paraId="2ED61A48">
      <w:pPr>
        <w:pStyle w:val="1056"/>
        <w:suppressLineNumbers w:val="false"/>
        <w:pBdr/>
        <w:spacing w:line="300" w:lineRule="auto"/>
        <w:ind w:firstLine="0"/>
        <w:rPr/>
      </w:pPr>
      <w:r>
        <w:rPr>
          <w:highlight w:val="none"/>
        </w:rPr>
        <w:t xml:space="preserve">T</w:t>
      </w:r>
      <w:r>
        <w:rPr>
          <w:highlight w:val="none"/>
        </w:rPr>
        <w:t xml:space="preserve">hese two lanes serve different purposes. mode1 is the primary generative lane because it preserves a natural generation pathway while still enforcing explicit output control. mode2 is a controlled ablation that removes free-text parsing and reduces the tas</w:t>
      </w:r>
      <w:r>
        <w:rPr>
          <w:highlight w:val="none"/>
        </w:rPr>
        <w:t xml:space="preserve">k</w:t>
      </w:r>
      <w:r>
        <w:rPr>
          <w:highlight w:val="none"/>
        </w:rPr>
        <w:t xml:space="preserve"> to likelihood-based label selection. If mode2 were to match or exceed mode1, the implication would be that free-text generation is unnecessary. If mode2 fails, the implication is that the observed benefit comes from the adapted generation process rather t</w:t>
      </w:r>
      <w:r>
        <w:rPr>
          <w:highlight w:val="none"/>
        </w:rPr>
        <w:t xml:space="preserve">han from a trivial label-probability shortcut.</w:t>
      </w:r>
      <w:r/>
    </w:p>
    <w:p w14:paraId="326E43D3">
      <w:pPr>
        <w:pStyle w:val="1056"/>
        <w:suppressLineNumbers w:val="false"/>
        <w:pBdr/>
        <w:spacing w:line="300" w:lineRule="auto"/>
        <w:ind w:firstLine="0"/>
        <w:rPr/>
      </w:pPr>
      <w:r>
        <w:rPr>
          <w:highlight w:val="none"/>
        </w:rPr>
      </w:r>
      <w:r/>
    </w:p>
    <w:p w14:paraId="4C4A45A1">
      <w:pPr>
        <w:pStyle w:val="1056"/>
        <w:suppressLineNumbers w:val="false"/>
        <w:pBdr/>
        <w:spacing w:line="300" w:lineRule="auto"/>
        <w:ind w:firstLine="0"/>
        <w:rPr>
          <w:b/>
          <w:bCs/>
        </w:rPr>
      </w:pPr>
      <w:r>
        <w:rPr>
          <w:b/>
          <w:bCs/>
          <w:highlight w:val="none"/>
        </w:rPr>
        <w:t xml:space="preserve">4.4.2 Metric Bundle and Clinical Interpretation</w:t>
      </w:r>
      <w:r>
        <w:rPr>
          <w:b/>
          <w:bCs/>
        </w:rPr>
      </w:r>
      <w:r>
        <w:rPr>
          <w:b/>
          <w:bCs/>
        </w:rPr>
      </w:r>
    </w:p>
    <w:p w14:paraId="66A636CA">
      <w:pPr>
        <w:pStyle w:val="1056"/>
        <w:suppressLineNumbers w:val="false"/>
        <w:pBdr/>
        <w:spacing w:line="300" w:lineRule="auto"/>
        <w:ind w:firstLine="0"/>
        <w:rPr/>
      </w:pPr>
      <w:r>
        <w:rPr>
          <w:highlight w:val="none"/>
        </w:rPr>
        <w:t xml:space="preserve">No single metric is sufficient for this task. Chapter 4 therefore evaluates each lane using a bundle of complementary measures.</w:t>
      </w:r>
      <w:r>
        <w:rPr>
          <w:highlight w:val="none"/>
        </w:rPr>
      </w:r>
      <w:r/>
    </w:p>
    <w:tbl>
      <w:tblPr>
        <w:tblStyle w:val="1113"/>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1E3A8EB7">
            <w:pPr>
              <w:pBdr/>
              <w:spacing w:after="0" w:before="0" w:line="240"/>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p>
        </w:tc>
        <w:tc>
          <w:tcPr>
            <w:tcBorders/>
            <w:tcW w:w="4320" w:type="dxa"/>
            <w:textDirection w:val="lrTb"/>
            <w:noWrap w:val="false"/>
          </w:tcPr>
          <w:p w14:paraId="334ED096">
            <w:pPr>
              <w:pBdr/>
              <w:spacing w:after="0" w:before="0" w:line="240"/>
              <w:ind/>
              <w:rPr>
                <w:color w:val="000000" w:themeColor="text1"/>
              </w:rPr>
            </w:pPr>
            <w:r>
              <w:rPr>
                <w:rFonts w:ascii="Liberation Sans" w:hAnsi="Liberation Sans" w:eastAsia="Liberation Sans" w:cs="Liberation Sans"/>
                <w:b/>
                <w:color w:val="000000" w:themeColor="text1"/>
                <w:sz w:val="21"/>
              </w:rPr>
              <w:t xml:space="preserve">Role in evaluation</w:t>
            </w:r>
            <w:r>
              <w:rPr>
                <w:color w:val="000000" w:themeColor="text1"/>
              </w:rPr>
            </w:r>
          </w:p>
        </w:tc>
      </w:tr>
      <w:tr>
        <w:trPr/>
        <w:tc>
          <w:tcPr>
            <w:tcBorders/>
            <w:tcW w:w="4320" w:type="dxa"/>
            <w:textDirection w:val="lrTb"/>
            <w:noWrap w:val="false"/>
          </w:tcPr>
          <w:p w14:paraId="5C1B99C7">
            <w:pPr>
              <w:pBdr/>
              <w:spacing w:after="0" w:before="0" w:line="240"/>
              <w:ind/>
              <w:rPr>
                <w:color w:val="000000" w:themeColor="text1"/>
              </w:rPr>
            </w:pPr>
            <w:r>
              <w:rPr>
                <w:rFonts w:ascii="Liberation Sans" w:hAnsi="Liberation Sans" w:eastAsia="Liberation Sans" w:cs="Liberation Sans"/>
                <w:color w:val="000000" w:themeColor="text1"/>
                <w:sz w:val="21"/>
              </w:rPr>
              <w:t xml:space="preserve">Accuracy</w:t>
            </w:r>
            <w:r>
              <w:rPr>
                <w:color w:val="000000" w:themeColor="text1"/>
              </w:rPr>
            </w:r>
          </w:p>
        </w:tc>
        <w:tc>
          <w:tcPr>
            <w:tcBorders/>
            <w:tcW w:w="4320" w:type="dxa"/>
            <w:textDirection w:val="lrTb"/>
            <w:noWrap w:val="false"/>
          </w:tcPr>
          <w:p w14:paraId="66CDAB69">
            <w:pPr>
              <w:pBdr/>
              <w:spacing w:after="0" w:before="0" w:line="240"/>
              <w:ind/>
              <w:rPr>
                <w:color w:val="000000" w:themeColor="text1"/>
              </w:rPr>
            </w:pPr>
            <w:r>
              <w:rPr>
                <w:rFonts w:ascii="Liberation Sans" w:hAnsi="Liberation Sans" w:eastAsia="Liberation Sans" w:cs="Liberation Sans"/>
                <w:color w:val="000000" w:themeColor="text1"/>
                <w:sz w:val="21"/>
              </w:rPr>
              <w:t xml:space="preserve">Overall correctness across all test cases</w:t>
            </w:r>
            <w:r>
              <w:rPr>
                <w:color w:val="000000" w:themeColor="text1"/>
              </w:rPr>
            </w:r>
          </w:p>
        </w:tc>
      </w:tr>
      <w:tr>
        <w:trPr/>
        <w:tc>
          <w:tcPr>
            <w:tcBorders/>
            <w:tcW w:w="4320" w:type="dxa"/>
            <w:textDirection w:val="lrTb"/>
            <w:noWrap w:val="false"/>
          </w:tcPr>
          <w:p w14:paraId="0255F371">
            <w:pPr>
              <w:pBdr/>
              <w:spacing w:after="0" w:before="0" w:line="240"/>
              <w:ind/>
              <w:rPr>
                <w:color w:val="000000" w:themeColor="text1"/>
              </w:rPr>
            </w:pPr>
            <w:r>
              <w:rPr>
                <w:rFonts w:ascii="Liberation Sans" w:hAnsi="Liberation Sans" w:eastAsia="Liberation Sans" w:cs="Liberation Sans"/>
                <w:color w:val="000000" w:themeColor="text1"/>
                <w:sz w:val="21"/>
              </w:rPr>
              <w:t xml:space="preserve">Macro-F1</w:t>
            </w:r>
            <w:r>
              <w:rPr>
                <w:color w:val="000000" w:themeColor="text1"/>
              </w:rPr>
            </w:r>
          </w:p>
        </w:tc>
        <w:tc>
          <w:tcPr>
            <w:tcBorders/>
            <w:tcW w:w="4320" w:type="dxa"/>
            <w:textDirection w:val="lrTb"/>
            <w:noWrap w:val="false"/>
          </w:tcPr>
          <w:p w14:paraId="7CC98AC0">
            <w:pPr>
              <w:pBdr/>
              <w:spacing w:after="0" w:before="0" w:line="240"/>
              <w:ind/>
              <w:rPr>
                <w:color w:val="000000" w:themeColor="text1"/>
              </w:rPr>
            </w:pPr>
            <w:r>
              <w:rPr>
                <w:rFonts w:ascii="Liberation Sans" w:hAnsi="Liberation Sans" w:eastAsia="Liberation Sans" w:cs="Liberation Sans"/>
                <w:color w:val="000000" w:themeColor="text1"/>
                <w:sz w:val="21"/>
              </w:rPr>
              <w:t xml:space="preserve">Class-balanced discrimination under label imbalance</w:t>
            </w:r>
            <w:r>
              <w:rPr>
                <w:color w:val="000000" w:themeColor="text1"/>
              </w:rPr>
            </w:r>
          </w:p>
        </w:tc>
      </w:tr>
      <w:tr>
        <w:trPr/>
        <w:tc>
          <w:tcPr>
            <w:tcBorders/>
            <w:tcW w:w="4320" w:type="dxa"/>
            <w:textDirection w:val="lrTb"/>
            <w:noWrap w:val="false"/>
          </w:tcPr>
          <w:p w14:paraId="721E6C0A">
            <w:pPr>
              <w:pBdr/>
              <w:spacing w:after="0" w:before="0" w:line="240"/>
              <w:ind/>
              <w:rPr>
                <w:color w:val="000000" w:themeColor="text1"/>
              </w:rPr>
            </w:pPr>
            <w:r>
              <w:rPr>
                <w:rFonts w:ascii="Liberation Sans" w:hAnsi="Liberation Sans" w:eastAsia="Liberation Sans" w:cs="Liberation Sans"/>
                <w:color w:val="000000" w:themeColor="text1"/>
                <w:sz w:val="21"/>
              </w:rPr>
              <w:t xml:space="preserve">Balanced accuracy</w:t>
            </w:r>
            <w:r>
              <w:rPr>
                <w:color w:val="000000" w:themeColor="text1"/>
              </w:rPr>
            </w:r>
          </w:p>
        </w:tc>
        <w:tc>
          <w:tcPr>
            <w:tcBorders/>
            <w:tcW w:w="4320" w:type="dxa"/>
            <w:textDirection w:val="lrTb"/>
            <w:noWrap w:val="false"/>
          </w:tcPr>
          <w:p w14:paraId="6B87DAFB">
            <w:pPr>
              <w:pBdr/>
              <w:spacing w:after="0" w:before="0" w:line="240"/>
              <w:ind/>
              <w:rPr>
                <w:color w:val="000000" w:themeColor="text1"/>
              </w:rPr>
            </w:pPr>
            <w:r>
              <w:rPr>
                <w:rFonts w:ascii="Liberation Sans" w:hAnsi="Liberation Sans" w:eastAsia="Liberation Sans" w:cs="Liberation Sans"/>
                <w:color w:val="000000" w:themeColor="text1"/>
                <w:sz w:val="21"/>
              </w:rPr>
              <w:t xml:space="preserve">Mean recall across classes, reducing majority-class dominance</w:t>
            </w:r>
            <w:r>
              <w:rPr>
                <w:color w:val="000000" w:themeColor="text1"/>
              </w:rPr>
            </w:r>
          </w:p>
        </w:tc>
      </w:tr>
      <w:tr>
        <w:trPr/>
        <w:tc>
          <w:tcPr>
            <w:tcBorders/>
            <w:tcW w:w="4320" w:type="dxa"/>
            <w:textDirection w:val="lrTb"/>
            <w:noWrap w:val="false"/>
          </w:tcPr>
          <w:p w14:paraId="5C7116E5">
            <w:pPr>
              <w:pBdr/>
              <w:spacing w:after="0" w:before="0" w:line="240"/>
              <w:ind/>
              <w:rPr>
                <w:color w:val="000000" w:themeColor="text1"/>
              </w:rPr>
            </w:pPr>
            <w:r>
              <w:rPr>
                <w:rFonts w:ascii="Liberation Sans" w:hAnsi="Liberation Sans" w:eastAsia="Liberation Sans" w:cs="Liberation Sans"/>
                <w:color w:val="000000" w:themeColor="text1"/>
                <w:sz w:val="21"/>
              </w:rPr>
              <w:t xml:space="preserve">QWK</w:t>
            </w:r>
            <w:r>
              <w:rPr>
                <w:color w:val="000000" w:themeColor="text1"/>
              </w:rPr>
            </w:r>
          </w:p>
        </w:tc>
        <w:tc>
          <w:tcPr>
            <w:tcBorders/>
            <w:tcW w:w="4320" w:type="dxa"/>
            <w:textDirection w:val="lrTb"/>
            <w:noWrap w:val="false"/>
          </w:tcPr>
          <w:p w14:paraId="419ABE39">
            <w:pPr>
              <w:pBdr/>
              <w:spacing w:after="0" w:before="0" w:line="240"/>
              <w:ind/>
              <w:rPr>
                <w:color w:val="000000" w:themeColor="text1"/>
              </w:rPr>
            </w:pPr>
            <w:r>
              <w:rPr>
                <w:rFonts w:ascii="Liberation Sans" w:hAnsi="Liberation Sans" w:eastAsia="Liberation Sans" w:cs="Liberation Sans"/>
                <w:color w:val="000000" w:themeColor="text1"/>
                <w:sz w:val="21"/>
              </w:rPr>
              <w:t xml:space="preserve">Primary ordinal-agreement metric for Mayo 0-3 scoring</w:t>
            </w:r>
            <w:r>
              <w:rPr>
                <w:color w:val="000000" w:themeColor="text1"/>
              </w:rPr>
            </w:r>
          </w:p>
        </w:tc>
      </w:tr>
      <w:tr>
        <w:trPr/>
        <w:tc>
          <w:tcPr>
            <w:tcBorders/>
            <w:tcW w:w="4320" w:type="dxa"/>
            <w:textDirection w:val="lrTb"/>
            <w:noWrap w:val="false"/>
          </w:tcPr>
          <w:p w14:paraId="613314FB">
            <w:pPr>
              <w:pBdr/>
              <w:spacing w:after="0" w:before="0" w:line="240"/>
              <w:ind/>
              <w:rPr>
                <w:color w:val="000000" w:themeColor="text1"/>
              </w:rPr>
            </w:pPr>
            <w:r>
              <w:rPr>
                <w:rFonts w:ascii="Liberation Sans" w:hAnsi="Liberation Sans" w:eastAsia="Liberation Sans" w:cs="Liberation Sans"/>
                <w:color w:val="000000" w:themeColor="text1"/>
                <w:sz w:val="21"/>
              </w:rPr>
              <w:t xml:space="preserve">MAE / RMSE</w:t>
            </w:r>
            <w:r>
              <w:rPr>
                <w:color w:val="000000" w:themeColor="text1"/>
              </w:rPr>
            </w:r>
          </w:p>
        </w:tc>
        <w:tc>
          <w:tcPr>
            <w:tcBorders/>
            <w:tcW w:w="4320" w:type="dxa"/>
            <w:textDirection w:val="lrTb"/>
            <w:noWrap w:val="false"/>
          </w:tcPr>
          <w:p w14:paraId="0E1F40F8">
            <w:pPr>
              <w:pBdr/>
              <w:spacing w:after="0" w:before="0" w:line="240"/>
              <w:ind/>
              <w:rPr>
                <w:color w:val="000000" w:themeColor="text1"/>
              </w:rPr>
            </w:pPr>
            <w:r>
              <w:rPr>
                <w:rFonts w:ascii="Liberation Sans" w:hAnsi="Liberation Sans" w:eastAsia="Liberation Sans" w:cs="Liberation Sans"/>
                <w:color w:val="000000" w:themeColor="text1"/>
                <w:sz w:val="21"/>
              </w:rPr>
              <w:t xml:space="preserve">Magnitude of ordinal error, penalizing distant mistakes</w:t>
            </w:r>
            <w:r>
              <w:rPr>
                <w:color w:val="000000" w:themeColor="text1"/>
              </w:rPr>
            </w:r>
          </w:p>
        </w:tc>
      </w:tr>
      <w:tr>
        <w:trPr/>
        <w:tc>
          <w:tcPr>
            <w:tcBorders/>
            <w:tcW w:w="4320" w:type="dxa"/>
            <w:textDirection w:val="lrTb"/>
            <w:noWrap w:val="false"/>
          </w:tcPr>
          <w:p w14:paraId="5CC33A54">
            <w:pPr>
              <w:pBdr/>
              <w:spacing w:after="0" w:before="0" w:line="240"/>
              <w:ind/>
              <w:rPr>
                <w:color w:val="000000" w:themeColor="text1"/>
              </w:rPr>
            </w:pPr>
            <w:r>
              <w:rPr>
                <w:rFonts w:ascii="Liberation Sans" w:hAnsi="Liberation Sans" w:eastAsia="Liberation Sans" w:cs="Liberation Sans"/>
                <w:color w:val="000000" w:themeColor="text1"/>
                <w:sz w:val="21"/>
              </w:rPr>
              <w:t xml:space="preserve">Per-class precision, recall, and F1</w:t>
            </w:r>
            <w:r>
              <w:rPr>
                <w:color w:val="000000" w:themeColor="text1"/>
              </w:rPr>
            </w:r>
          </w:p>
        </w:tc>
        <w:tc>
          <w:tcPr>
            <w:tcBorders/>
            <w:tcW w:w="4320" w:type="dxa"/>
            <w:textDirection w:val="lrTb"/>
            <w:noWrap w:val="false"/>
          </w:tcPr>
          <w:p w14:paraId="38861805">
            <w:pPr>
              <w:pBdr/>
              <w:spacing w:after="0" w:before="0" w:line="240"/>
              <w:ind/>
              <w:rPr>
                <w:color w:val="000000" w:themeColor="text1"/>
              </w:rPr>
            </w:pPr>
            <w:r>
              <w:rPr>
                <w:rFonts w:ascii="Liberation Sans" w:hAnsi="Liberation Sans" w:eastAsia="Liberation Sans" w:cs="Liberation Sans"/>
                <w:color w:val="000000" w:themeColor="text1"/>
                <w:sz w:val="21"/>
              </w:rPr>
              <w:t xml:space="preserve">Class-specific error interpretation</w:t>
            </w:r>
            <w:r>
              <w:rPr>
                <w:color w:val="000000" w:themeColor="text1"/>
              </w:rPr>
            </w:r>
          </w:p>
        </w:tc>
      </w:tr>
      <w:tr>
        <w:trPr>
          <w:trHeight w:val="640"/>
        </w:trPr>
        <w:tc>
          <w:tcPr>
            <w:tcBorders/>
            <w:tcW w:w="4320" w:type="dxa"/>
            <w:textDirection w:val="lrTb"/>
            <w:noWrap w:val="false"/>
          </w:tcPr>
          <w:p w14:paraId="72E83A8A">
            <w:pPr>
              <w:pBdr/>
              <w:spacing w:after="0" w:before="0" w:line="240"/>
              <w:ind/>
              <w:rPr>
                <w:color w:val="000000" w:themeColor="text1"/>
              </w:rPr>
            </w:pPr>
            <w:r>
              <w:rPr>
                <w:rFonts w:ascii="Liberation Sans" w:hAnsi="Liberation Sans" w:eastAsia="Liberation Sans" w:cs="Liberation Sans"/>
                <w:color w:val="000000" w:themeColor="text1"/>
                <w:sz w:val="21"/>
              </w:rPr>
              <w:t xml:space="preserve">Parse rate</w:t>
            </w:r>
            <w:r>
              <w:rPr>
                <w:color w:val="000000" w:themeColor="text1"/>
              </w:rPr>
            </w:r>
          </w:p>
        </w:tc>
        <w:tc>
          <w:tcPr>
            <w:tcBorders/>
            <w:tcW w:w="4320" w:type="dxa"/>
            <w:textDirection w:val="lrTb"/>
            <w:noWrap w:val="false"/>
          </w:tcPr>
          <w:p w14:paraId="1A2FBC89">
            <w:pPr>
              <w:pBdr/>
              <w:spacing w:after="0" w:before="0" w:line="240"/>
              <w:ind/>
              <w:rPr>
                <w:color w:val="000000" w:themeColor="text1"/>
              </w:rPr>
            </w:pPr>
            <w:r>
              <w:rPr>
                <w:rFonts w:ascii="Liberation Sans" w:hAnsi="Liberation Sans" w:eastAsia="Liberation Sans" w:cs="Liberation Sans"/>
                <w:color w:val="000000" w:themeColor="text1"/>
                <w:sz w:val="21"/>
              </w:rPr>
              <w:t xml:space="preserve">Validity of generative outputs under strict extraction</w:t>
            </w:r>
            <w:r>
              <w:rPr>
                <w:color w:val="000000" w:themeColor="text1"/>
              </w:rPr>
            </w:r>
          </w:p>
        </w:tc>
      </w:tr>
      <w:tr>
        <w:trPr>
          <w:trHeight w:val="640"/>
        </w:trPr>
        <w:tc>
          <w:tcPr>
            <w:tcBorders/>
            <w:tcW w:w="4320" w:type="dxa"/>
            <w:vMerge w:val="restart"/>
            <w:textDirection w:val="lrTb"/>
            <w:noWrap w:val="false"/>
          </w:tcPr>
          <w:p w14:paraId="335DB6EE">
            <w:pPr>
              <w:pBdr/>
              <w:spacing w:after="0" w:before="0" w:line="240"/>
              <w:ind/>
              <w:rPr>
                <w:color w:val="000000" w:themeColor="text1"/>
              </w:rPr>
            </w:pPr>
            <w:r>
              <w:rPr>
                <w:rFonts w:ascii="Liberation Sans" w:hAnsi="Liberation Sans" w:eastAsia="Liberation Sans" w:cs="Liberation Sans"/>
                <w:color w:val="000000" w:themeColor="text1"/>
                <w:sz w:val="21"/>
              </w:rPr>
              <w:t xml:space="preserve">Remission-oriented slice (</w:t>
            </w:r>
            <w:r>
              <w:rPr>
                <w:rFonts w:ascii="Droid Sans Mono" w:hAnsi="Droid Sans Mono" w:eastAsia="Droid Sans Mono" w:cs="Droid Sans Mono"/>
                <w:color w:val="000000" w:themeColor="text1"/>
                <w:sz w:val="24"/>
                <w:highlight w:val="white"/>
              </w:rPr>
              <w:t xml:space="preserve">0-1</w:t>
            </w:r>
            <w:r>
              <w:rPr>
                <w:rFonts w:ascii="Liberation Sans" w:hAnsi="Liberation Sans" w:eastAsia="Liberation Sans" w:cs="Liberation Sans"/>
                <w:color w:val="000000" w:themeColor="text1"/>
                <w:sz w:val="21"/>
              </w:rPr>
              <w:t xml:space="preserve"> vs </w:t>
            </w:r>
            <w:r>
              <w:rPr>
                <w:rFonts w:ascii="Droid Sans Mono" w:hAnsi="Droid Sans Mono" w:eastAsia="Droid Sans Mono" w:cs="Droid Sans Mono"/>
                <w:color w:val="000000" w:themeColor="text1"/>
                <w:sz w:val="24"/>
                <w:highlight w:val="white"/>
              </w:rPr>
              <w:t xml:space="preserve">2-3</w:t>
            </w:r>
            <w:r>
              <w:rPr>
                <w:rFonts w:ascii="Liberation Sans" w:hAnsi="Liberation Sans" w:eastAsia="Liberation Sans" w:cs="Liberation Sans"/>
                <w:color w:val="000000" w:themeColor="text1"/>
                <w:sz w:val="21"/>
              </w:rPr>
              <w:t xml:space="preserve">)</w:t>
            </w:r>
            <w:r>
              <w:rPr>
                <w:color w:val="000000" w:themeColor="text1"/>
              </w:rPr>
            </w:r>
          </w:p>
        </w:tc>
        <w:tc>
          <w:tcPr>
            <w:tcBorders/>
            <w:tcW w:w="4320" w:type="dxa"/>
            <w:vMerge w:val="restart"/>
            <w:textDirection w:val="lrTb"/>
            <w:noWrap w:val="false"/>
          </w:tcPr>
          <w:p w14:paraId="49E3D6AA">
            <w:pPr>
              <w:pBdr/>
              <w:spacing w:after="0" w:before="0" w:line="240"/>
              <w:ind/>
              <w:rPr>
                <w:color w:val="000000" w:themeColor="text1"/>
              </w:rPr>
            </w:pPr>
            <w:r>
              <w:rPr>
                <w:rFonts w:ascii="Liberation Sans" w:hAnsi="Liberation Sans" w:eastAsia="Liberation Sans" w:cs="Liberation Sans"/>
                <w:color w:val="000000" w:themeColor="text1"/>
                <w:sz w:val="21"/>
              </w:rPr>
              <w:t xml:space="preserve">Clinically simplified threshold behavior</w:t>
            </w:r>
            <w:r>
              <w:rPr>
                <w:color w:val="000000" w:themeColor="text1"/>
              </w:rPr>
            </w:r>
          </w:p>
        </w:tc>
      </w:tr>
    </w:tbl>
    <w:p w14:paraId="3D1A3372">
      <w:pPr>
        <w:pStyle w:val="1056"/>
        <w:suppressLineNumbers w:val="false"/>
        <w:pBdr/>
        <w:spacing w:line="300" w:lineRule="auto"/>
        <w:ind w:firstLine="720" w:left="2160"/>
        <w:rPr/>
      </w:pPr>
      <w:r>
        <w:t xml:space="preserve">Table 4.4. Metric Bundle</w:t>
      </w:r>
      <w:r/>
    </w:p>
    <w:p w14:paraId="349ABB83">
      <w:pPr>
        <w:pStyle w:val="1056"/>
        <w:suppressLineNumbers w:val="false"/>
        <w:pBdr/>
        <w:spacing w:line="300" w:lineRule="auto"/>
        <w:ind w:firstLine="0"/>
        <w:rPr>
          <w:highlight w:val="none"/>
        </w:rPr>
      </w:pPr>
      <w:r>
        <w:t xml:space="preserve">Q</w:t>
      </w:r>
      <w:r>
        <w:t xml:space="preserve">WK is the primary metric because it rewards correct ordinal agreement and penalizes distant disagreements more strongly than adjacent ones. This is better aligned with the severity task than plain accuracy. Macro-F1 and balanced accuracy are also essential</w:t>
      </w:r>
      <w:r>
        <w:t xml:space="preserve"> </w:t>
      </w:r>
      <w:r>
        <w:t xml:space="preserve">because the dataset is imbalanced and a model that over-predicts common classes could achieve superficially acceptable accuracy while still failing on clinically important minority severities. Parse rate is included because a generative system cannot be co</w:t>
      </w:r>
      <w:r>
        <w:t xml:space="preserve">nsidered reliable if its textual outputs cannot be converted back into a score consistently.</w:t>
      </w:r>
      <w:r>
        <w:rPr>
          <w:highlight w:val="none"/>
        </w:rPr>
      </w:r>
    </w:p>
    <w:p w14:paraId="0B4A25E6">
      <w:pPr>
        <w:pStyle w:val="1056"/>
        <w:suppressLineNumbers w:val="false"/>
        <w:pBdr/>
        <w:spacing w:line="300" w:lineRule="auto"/>
        <w:ind w:firstLine="0"/>
        <w:rPr/>
      </w:pPr>
      <w:r/>
      <w:r/>
    </w:p>
    <w:p w14:paraId="4A5BFA45">
      <w:pPr>
        <w:pStyle w:val="1056"/>
        <w:suppressLineNumbers w:val="false"/>
        <w:pBdr/>
        <w:spacing w:line="300" w:lineRule="auto"/>
        <w:ind w:firstLine="0"/>
        <w:rPr/>
      </w:pPr>
      <w:r>
        <w:rPr>
          <w:highlight w:val="none"/>
        </w:rPr>
      </w:r>
      <w:r>
        <w:rPr>
          <w:highlight w:val="none"/>
        </w:rPr>
      </w:r>
      <w:r/>
    </w:p>
    <w:p w14:paraId="6B83ED55">
      <w:pPr>
        <w:pStyle w:val="1056"/>
        <w:suppressLineNumbers w:val="false"/>
        <w:pBdr/>
        <w:spacing w:line="300" w:lineRule="auto"/>
        <w:ind w:firstLine="0"/>
        <w:rPr>
          <w:b/>
          <w:bCs/>
        </w:rPr>
      </w:pPr>
      <w:r>
        <w:rPr>
          <w:b/>
          <w:bCs/>
        </w:rPr>
        <w:t xml:space="preserve">4.4.3 Reporting Policy, Statistical Checks, and Multi-Seed Aggregation</w:t>
      </w:r>
      <w:r>
        <w:rPr>
          <w:b/>
          <w:bCs/>
        </w:rPr>
      </w:r>
      <w:r>
        <w:rPr>
          <w:b/>
          <w:bCs/>
        </w:rPr>
      </w:r>
    </w:p>
    <w:p w14:paraId="7AE68234">
      <w:pPr>
        <w:pStyle w:val="1056"/>
        <w:suppressLineNumbers w:val="false"/>
        <w:pBdr/>
        <w:spacing w:line="300" w:lineRule="auto"/>
        <w:ind w:firstLine="0"/>
        <w:rPr/>
      </w:pPr>
      <w:r>
        <w:t xml:space="preserve">T</w:t>
      </w:r>
      <w:r>
        <w:t xml:space="preserve">he chapter reports multi-seed aggregates rather than a single favorable run. This decision is especially important for the generative lane, where optimization variance can otherwise create misleading impressions of robustness. The supervised family is repo</w:t>
      </w:r>
      <w:r>
        <w:t xml:space="preserve">rted with seeds 11/23/42, and the final generative family is reported with seeds 11/23/77.</w:t>
      </w:r>
      <w:r/>
    </w:p>
    <w:p w14:paraId="387A2C52">
      <w:pPr>
        <w:pStyle w:val="1056"/>
        <w:suppressLineNumbers w:val="false"/>
        <w:pBdr/>
        <w:spacing w:line="300" w:lineRule="auto"/>
        <w:ind w:firstLine="0"/>
        <w:rPr/>
      </w:pPr>
      <w:r/>
      <w:r/>
    </w:p>
    <w:p w14:paraId="60A53244">
      <w:pPr>
        <w:pStyle w:val="1056"/>
        <w:suppressLineNumbers w:val="false"/>
        <w:pBdr/>
        <w:spacing w:line="300" w:lineRule="auto"/>
        <w:ind w:firstLine="0"/>
        <w:rPr/>
      </w:pPr>
      <w:r>
        <w:t xml:space="preserve">C</w:t>
      </w:r>
      <w:r>
        <w:t xml:space="preserve">onfidence intervals are included for the key aggregate metrics, particularly QWK, so that the reader can judge whether apparent improvements are stable or merely within random variation. Where paired predictions are available, paired significance testing s</w:t>
      </w:r>
      <w:r>
        <w:t xml:space="preserve">uch as McNemar's test is used as an additional check. The chapter also includes a seed-level quality-control table for the mode1 generative lane, confirming that all reported runs converged non-degenerately and predicted all four classes.</w:t>
      </w:r>
      <w:r/>
    </w:p>
    <w:p w14:paraId="0D56BAAB">
      <w:pPr>
        <w:pStyle w:val="1056"/>
        <w:suppressLineNumbers w:val="false"/>
        <w:pBdr/>
        <w:spacing w:line="300" w:lineRule="auto"/>
        <w:ind w:firstLine="0"/>
        <w:rPr/>
      </w:pPr>
      <w:r/>
      <w:r/>
    </w:p>
    <w:p w14:paraId="35ADF978">
      <w:pPr>
        <w:pStyle w:val="1056"/>
        <w:suppressLineNumbers w:val="false"/>
        <w:pBdr/>
        <w:spacing w:line="300" w:lineRule="auto"/>
        <w:ind w:firstLine="0"/>
        <w:rPr/>
      </w:pPr>
      <w:r>
        <w:t xml:space="preserve">T</w:t>
      </w:r>
      <w:r>
        <w:t xml:space="preserve">his reporting policy reflects the evidential standard of the dissertation. The goal is not to maximize a single number under flexible conditions. The goal is to determine whether the proposed modeling strategy produces a stable, reproducible, and clinicall</w:t>
      </w:r>
      <w:r>
        <w:t xml:space="preserve">y interpretable improvement over the supervised anchor.</w:t>
      </w:r>
      <w:r/>
    </w:p>
    <w:p w14:paraId="23D13945">
      <w:pPr>
        <w:pStyle w:val="1056"/>
        <w:suppressLineNumbers w:val="false"/>
        <w:pBdr/>
        <w:spacing w:line="300" w:lineRule="auto"/>
        <w:ind w:firstLine="0"/>
        <w:rPr/>
      </w:pPr>
      <w:r/>
      <w:r/>
    </w:p>
    <w:p w14:paraId="73513218">
      <w:pPr>
        <w:pStyle w:val="1056"/>
        <w:suppressLineNumbers w:val="false"/>
        <w:pBdr/>
        <w:spacing w:line="300" w:lineRule="auto"/>
        <w:ind w:firstLine="0"/>
        <w:rPr>
          <w:b/>
          <w:bCs/>
        </w:rPr>
      </w:pPr>
      <w:r>
        <w:rPr>
          <w:b/>
          <w:bCs/>
        </w:rPr>
        <w:t xml:space="preserve">4.4.4 Final Training Configuration Used for Reporting</w:t>
      </w:r>
      <w:r>
        <w:rPr>
          <w:b/>
          <w:bCs/>
        </w:rPr>
      </w:r>
      <w:r>
        <w:rPr>
          <w:b/>
          <w:bCs/>
        </w:rPr>
      </w:r>
    </w:p>
    <w:p w14:paraId="4574E8A6">
      <w:pPr>
        <w:pStyle w:val="1056"/>
        <w:suppressLineNumbers w:val="false"/>
        <w:pBdr/>
        <w:spacing w:line="300" w:lineRule="auto"/>
        <w:ind w:firstLine="0"/>
        <w:rPr>
          <w:highlight w:val="none"/>
          <w:lang w:val="en-US"/>
        </w:rPr>
      </w:pPr>
      <w:r>
        <w:t xml:space="preserve">The official configurations used in the chapter are compiled from the persisted reporting artifacts in Prototyping_reformat/DatasetAnalysis/LIMUC/4_reporting/out/ [78], specifically the multi-seed summaries for Pass 5 and Pass 6</w:t>
      </w:r>
      <w:r>
        <w:rPr>
          <w:lang w:val="en-US"/>
        </w:rPr>
        <w:t xml:space="preserve">.</w:t>
      </w:r>
      <w:r>
        <w:rPr>
          <w:highlight w:val="none"/>
          <w:lang w:val="en-US"/>
        </w:rPr>
      </w:r>
    </w:p>
    <w:p w14:paraId="3D09D06E">
      <w:pPr>
        <w:pStyle w:val="1056"/>
        <w:suppressLineNumbers w:val="false"/>
        <w:pBdr/>
        <w:spacing w:line="300" w:lineRule="auto"/>
        <w:ind w:firstLine="0"/>
        <w:rPr/>
      </w:pPr>
      <w:r/>
      <w:r/>
    </w:p>
    <w:p w14:paraId="3CAA1F19">
      <w:pPr>
        <w:pStyle w:val="1056"/>
        <w:suppressLineNumbers w:val="false"/>
        <w:pBdr/>
        <w:spacing w:line="300" w:lineRule="auto"/>
        <w:ind w:firstLine="0"/>
        <w:rPr/>
      </w:pPr>
      <w:r/>
      <w:r/>
    </w:p>
    <w:tbl>
      <w:tblPr>
        <w:tblStyle w:val="1113"/>
        <w:tblW w:w="0" w:type="auto"/>
        <w:tblBorders/>
        <w:tblLayout w:type="fixed"/>
        <w:tblLook w:val="04A0" w:firstRow="1" w:lastRow="0" w:firstColumn="1" w:lastColumn="0" w:noHBand="0" w:noVBand="1"/>
      </w:tblPr>
      <w:tblGrid>
        <w:gridCol w:w="2735"/>
        <w:gridCol w:w="5905"/>
      </w:tblGrid>
      <w:tr>
        <w:trPr/>
        <w:tc>
          <w:tcPr>
            <w:tcBorders/>
            <w:tcW w:w="2735" w:type="dxa"/>
            <w:textDirection w:val="lrTb"/>
            <w:noWrap w:val="false"/>
          </w:tcPr>
          <w:p w14:paraId="2AA2D072">
            <w:pPr>
              <w:pBdr/>
              <w:spacing w:after="0" w:before="0" w:line="240"/>
              <w:ind/>
              <w:rPr>
                <w:color w:val="000000" w:themeColor="text1"/>
              </w:rPr>
            </w:pPr>
            <w:r>
              <w:rPr>
                <w:rFonts w:ascii="Liberation Sans" w:hAnsi="Liberation Sans" w:eastAsia="Liberation Sans" w:cs="Liberation Sans"/>
                <w:b/>
                <w:color w:val="000000" w:themeColor="text1"/>
                <w:sz w:val="21"/>
              </w:rPr>
              <w:t xml:space="preserve">Lane</w:t>
            </w:r>
            <w:r>
              <w:rPr>
                <w:color w:val="000000" w:themeColor="text1"/>
              </w:rPr>
            </w:r>
          </w:p>
        </w:tc>
        <w:tc>
          <w:tcPr>
            <w:tcBorders/>
            <w:tcW w:w="5905" w:type="dxa"/>
            <w:textDirection w:val="lrTb"/>
            <w:noWrap w:val="false"/>
          </w:tcPr>
          <w:p w14:paraId="010D38EA">
            <w:pPr>
              <w:pBdr/>
              <w:spacing w:after="0" w:before="0" w:line="240"/>
              <w:ind/>
              <w:rPr>
                <w:color w:val="000000" w:themeColor="text1"/>
              </w:rPr>
            </w:pPr>
            <w:r>
              <w:rPr>
                <w:rFonts w:ascii="Liberation Sans" w:hAnsi="Liberation Sans" w:eastAsia="Liberation Sans" w:cs="Liberation Sans"/>
                <w:b/>
                <w:color w:val="000000" w:themeColor="text1"/>
                <w:sz w:val="21"/>
              </w:rPr>
              <w:t xml:space="preserve">Core setup</w:t>
            </w:r>
            <w:r>
              <w:rPr>
                <w:color w:val="000000" w:themeColor="text1"/>
              </w:rPr>
            </w:r>
          </w:p>
        </w:tc>
      </w:tr>
      <w:tr>
        <w:trPr/>
        <w:tc>
          <w:tcPr>
            <w:tcBorders/>
            <w:tcW w:w="2735" w:type="dxa"/>
            <w:textDirection w:val="lrTb"/>
            <w:noWrap w:val="false"/>
          </w:tcPr>
          <w:p w14:paraId="3738B4B6">
            <w:pPr>
              <w:pBdr/>
              <w:spacing w:after="0" w:before="0" w:line="240"/>
              <w:ind/>
              <w:rPr>
                <w:color w:val="000000" w:themeColor="text1"/>
              </w:rPr>
            </w:pPr>
            <w:r>
              <w:rPr>
                <w:rFonts w:ascii="Liberation Sans" w:hAnsi="Liberation Sans" w:eastAsia="Liberation Sans" w:cs="Liberation Sans"/>
                <w:color w:val="000000" w:themeColor="text1"/>
                <w:sz w:val="21"/>
              </w:rPr>
              <w:t xml:space="preserve">Pass 5 supervised</w:t>
            </w:r>
            <w:r>
              <w:rPr>
                <w:color w:val="000000" w:themeColor="text1"/>
              </w:rPr>
            </w:r>
          </w:p>
        </w:tc>
        <w:tc>
          <w:tcPr>
            <w:tcBorders/>
            <w:tcW w:w="5905" w:type="dxa"/>
            <w:textDirection w:val="lrTb"/>
            <w:noWrap w:val="false"/>
          </w:tcPr>
          <w:p w14:paraId="46218B89">
            <w:pPr>
              <w:pBdr/>
              <w:spacing w:after="0" w:before="0" w:line="240"/>
              <w:ind/>
              <w:rPr>
                <w:color w:val="000000" w:themeColor="text1"/>
              </w:rPr>
            </w:pPr>
            <w:r>
              <w:rPr>
                <w:rFonts w:ascii="Liberation Sans" w:hAnsi="Liberation Sans" w:eastAsia="Liberation Sans" w:cs="Liberation Sans"/>
                <w:color w:val="000000" w:themeColor="text1"/>
                <w:sz w:val="21"/>
              </w:rPr>
              <w:t xml:space="preserve">ResNet50 fine-tuning, seeds </w:t>
            </w:r>
            <w:r>
              <w:rPr>
                <w:rFonts w:ascii="Droid Sans Mono" w:hAnsi="Droid Sans Mono" w:eastAsia="Droid Sans Mono" w:cs="Droid Sans Mono"/>
                <w:color w:val="000000" w:themeColor="text1"/>
                <w:sz w:val="24"/>
                <w:highlight w:val="white"/>
              </w:rPr>
              <w:t xml:space="preserve">11/23/42</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15</w:t>
            </w:r>
            <w:r>
              <w:rPr>
                <w:rFonts w:ascii="Liberation Sans" w:hAnsi="Liberation Sans" w:eastAsia="Liberation Sans" w:cs="Liberation Sans"/>
                <w:color w:val="000000" w:themeColor="text1"/>
                <w:sz w:val="21"/>
              </w:rPr>
              <w:t xml:space="preserve"> epochs, batch size </w:t>
            </w:r>
            <w:r>
              <w:rPr>
                <w:rFonts w:ascii="Droid Sans Mono" w:hAnsi="Droid Sans Mono" w:eastAsia="Droid Sans Mono" w:cs="Droid Sans Mono"/>
                <w:color w:val="000000" w:themeColor="text1"/>
                <w:sz w:val="24"/>
                <w:highlight w:val="white"/>
              </w:rPr>
              <w:t xml:space="preserve">16</w:t>
            </w:r>
            <w:r>
              <w:rPr>
                <w:rFonts w:ascii="Liberation Sans" w:hAnsi="Liberation Sans" w:eastAsia="Liberation Sans" w:cs="Liberation Sans"/>
                <w:color w:val="000000" w:themeColor="text1"/>
                <w:sz w:val="21"/>
              </w:rPr>
              <w:t xml:space="preserve">, learning rate </w:t>
            </w:r>
            <w:r>
              <w:rPr>
                <w:rFonts w:ascii="Droid Sans Mono" w:hAnsi="Droid Sans Mono" w:eastAsia="Droid Sans Mono" w:cs="Droid Sans Mono"/>
                <w:color w:val="000000" w:themeColor="text1"/>
                <w:sz w:val="24"/>
                <w:highlight w:val="white"/>
              </w:rPr>
              <w:t xml:space="preserve">3e-4</w:t>
            </w:r>
            <w:r>
              <w:rPr>
                <w:rFonts w:ascii="Liberation Sans" w:hAnsi="Liberation Sans" w:eastAsia="Liberation Sans" w:cs="Liberation Sans"/>
                <w:color w:val="000000" w:themeColor="text1"/>
                <w:sz w:val="21"/>
              </w:rPr>
              <w:t xml:space="preserve">, weight decay </w:t>
            </w:r>
            <w:r>
              <w:rPr>
                <w:rFonts w:ascii="Droid Sans Mono" w:hAnsi="Droid Sans Mono" w:eastAsia="Droid Sans Mono" w:cs="Droid Sans Mono"/>
                <w:color w:val="000000" w:themeColor="text1"/>
                <w:sz w:val="24"/>
                <w:highlight w:val="white"/>
              </w:rPr>
              <w:t xml:space="preserve">1e-4</w:t>
            </w:r>
            <w:r>
              <w:rPr>
                <w:color w:val="000000" w:themeColor="text1"/>
              </w:rPr>
            </w:r>
          </w:p>
        </w:tc>
      </w:tr>
      <w:tr>
        <w:trPr/>
        <w:tc>
          <w:tcPr>
            <w:tcBorders/>
            <w:tcW w:w="2735" w:type="dxa"/>
            <w:textDirection w:val="lrTb"/>
            <w:noWrap w:val="false"/>
          </w:tcPr>
          <w:p w14:paraId="377935B7">
            <w:pPr>
              <w:pBdr/>
              <w:spacing w:after="0" w:before="0" w:line="240"/>
              <w:ind/>
              <w:rPr>
                <w:color w:val="000000" w:themeColor="text1"/>
              </w:rPr>
            </w:pPr>
            <w:r>
              <w:rPr>
                <w:rFonts w:ascii="Liberation Sans" w:hAnsi="Liberation Sans" w:eastAsia="Liberation Sans" w:cs="Liberation Sans"/>
                <w:color w:val="000000" w:themeColor="text1"/>
                <w:sz w:val="21"/>
              </w:rPr>
              <w:t xml:space="preserve">Pass 6 generative</w:t>
            </w:r>
            <w:r>
              <w:rPr>
                <w:color w:val="000000" w:themeColor="text1"/>
              </w:rPr>
            </w:r>
          </w:p>
        </w:tc>
        <w:tc>
          <w:tcPr>
            <w:tcBorders/>
            <w:tcW w:w="5905" w:type="dxa"/>
            <w:textDirection w:val="lrTb"/>
            <w:noWrap w:val="false"/>
          </w:tcPr>
          <w:p w14:paraId="0168F433">
            <w:pPr>
              <w:pBdr/>
              <w:spacing w:after="0" w:before="0" w:line="240"/>
              <w:ind/>
              <w:rPr>
                <w:color w:val="000000" w:themeColor="text1"/>
              </w:rPr>
            </w:pPr>
            <w:r>
              <w:rPr>
                <w:rFonts w:ascii="Liberation Sans" w:hAnsi="Liberation Sans" w:eastAsia="Liberation Sans" w:cs="Liberation Sans"/>
                <w:color w:val="000000" w:themeColor="text1"/>
                <w:sz w:val="21"/>
              </w:rPr>
              <w:t xml:space="preserve">BLIP2-Flan-T5-XL with LoRA, seeds </w:t>
            </w:r>
            <w:r>
              <w:rPr>
                <w:rFonts w:ascii="Droid Sans Mono" w:hAnsi="Droid Sans Mono" w:eastAsia="Droid Sans Mono" w:cs="Droid Sans Mono"/>
                <w:color w:val="000000" w:themeColor="text1"/>
                <w:sz w:val="24"/>
                <w:highlight w:val="white"/>
              </w:rPr>
              <w:t xml:space="preserve">11/23/77</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2</w:t>
            </w:r>
            <w:r>
              <w:rPr>
                <w:rFonts w:ascii="Liberation Sans" w:hAnsi="Liberation Sans" w:eastAsia="Liberation Sans" w:cs="Liberation Sans"/>
                <w:color w:val="000000" w:themeColor="text1"/>
                <w:sz w:val="21"/>
              </w:rPr>
              <w:t xml:space="preserve"> epochs, batch size </w:t>
            </w:r>
            <w:r>
              <w:rPr>
                <w:rFonts w:ascii="Droid Sans Mono" w:hAnsi="Droid Sans Mono" w:eastAsia="Droid Sans Mono" w:cs="Droid Sans Mono"/>
                <w:color w:val="000000" w:themeColor="text1"/>
                <w:sz w:val="24"/>
                <w:highlight w:val="white"/>
              </w:rPr>
              <w:t xml:space="preserve">2</w:t>
            </w:r>
            <w:r>
              <w:rPr>
                <w:rFonts w:ascii="Liberation Sans" w:hAnsi="Liberation Sans" w:eastAsia="Liberation Sans" w:cs="Liberation Sans"/>
                <w:color w:val="000000" w:themeColor="text1"/>
                <w:sz w:val="21"/>
              </w:rPr>
              <w:t xml:space="preserve">, gradient accumulation </w:t>
            </w:r>
            <w:r>
              <w:rPr>
                <w:rFonts w:ascii="Droid Sans Mono" w:hAnsi="Droid Sans Mono" w:eastAsia="Droid Sans Mono" w:cs="Droid Sans Mono"/>
                <w:color w:val="000000" w:themeColor="text1"/>
                <w:sz w:val="24"/>
                <w:highlight w:val="white"/>
              </w:rPr>
              <w:t xml:space="preserve">4</w:t>
            </w:r>
            <w:r>
              <w:rPr>
                <w:rFonts w:ascii="Liberation Sans" w:hAnsi="Liberation Sans" w:eastAsia="Liberation Sans" w:cs="Liberation Sans"/>
                <w:color w:val="000000" w:themeColor="text1"/>
                <w:sz w:val="21"/>
              </w:rPr>
              <w:t xml:space="preserve">, learning rate </w:t>
            </w:r>
            <w:r>
              <w:rPr>
                <w:rFonts w:ascii="Droid Sans Mono" w:hAnsi="Droid Sans Mono" w:eastAsia="Droid Sans Mono" w:cs="Droid Sans Mono"/>
                <w:color w:val="000000" w:themeColor="text1"/>
                <w:sz w:val="24"/>
                <w:highlight w:val="white"/>
              </w:rPr>
              <w:t xml:space="preserve">5e-5</w:t>
            </w:r>
            <w:r>
              <w:rPr>
                <w:rFonts w:ascii="Liberation Sans" w:hAnsi="Liberation Sans" w:eastAsia="Liberation Sans" w:cs="Liberation Sans"/>
                <w:color w:val="000000" w:themeColor="text1"/>
                <w:sz w:val="21"/>
              </w:rPr>
              <w:t xml:space="preserve">, LoRA </w:t>
            </w:r>
            <w:r>
              <w:rPr>
                <w:rFonts w:ascii="Droid Sans Mono" w:hAnsi="Droid Sans Mono" w:eastAsia="Droid Sans Mono" w:cs="Droid Sans Mono"/>
                <w:color w:val="000000" w:themeColor="text1"/>
                <w:sz w:val="24"/>
                <w:highlight w:val="white"/>
              </w:rPr>
              <w:t xml:space="preserve">r=8</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alpha=16</w:t>
            </w:r>
            <w:r>
              <w:rPr>
                <w:rFonts w:ascii="Liberation Sans" w:hAnsi="Liberation Sans" w:eastAsia="Liberation Sans" w:cs="Liberation Sans"/>
                <w:color w:val="000000" w:themeColor="text1"/>
                <w:sz w:val="21"/>
              </w:rPr>
              <w:t xml:space="preserve">, dropout </w:t>
            </w:r>
            <w:r>
              <w:rPr>
                <w:rFonts w:ascii="Droid Sans Mono" w:hAnsi="Droid Sans Mono" w:eastAsia="Droid Sans Mono" w:cs="Droid Sans Mono"/>
                <w:color w:val="000000" w:themeColor="text1"/>
                <w:sz w:val="24"/>
                <w:highlight w:val="white"/>
              </w:rPr>
              <w:t xml:space="preserve">0.1</w:t>
            </w:r>
            <w:r>
              <w:rPr>
                <w:rFonts w:ascii="Liberation Sans" w:hAnsi="Liberation Sans" w:eastAsia="Liberation Sans" w:cs="Liberation Sans"/>
                <w:color w:val="000000" w:themeColor="text1"/>
                <w:sz w:val="21"/>
              </w:rPr>
              <w:t xml:space="preserve">, balanced sampling, label-token-only objective</w:t>
            </w:r>
            <w:r>
              <w:rPr>
                <w:color w:val="000000" w:themeColor="text1"/>
              </w:rPr>
            </w:r>
          </w:p>
        </w:tc>
      </w:tr>
    </w:tbl>
    <w:p w14:paraId="0D126694">
      <w:pPr>
        <w:pStyle w:val="1056"/>
        <w:suppressLineNumbers w:val="false"/>
        <w:pBdr/>
        <w:spacing w:line="300" w:lineRule="auto"/>
        <w:ind w:firstLine="720"/>
        <w:rPr/>
      </w:pPr>
      <w:r>
        <w:rPr>
          <w:highlight w:val="none"/>
          <w:lang w:val="en-US"/>
        </w:rPr>
      </w:r>
      <w:r>
        <w:rPr>
          <w:highlight w:val="none"/>
          <w:lang w:val="en-US"/>
        </w:rPr>
        <w:t xml:space="preserve">Table 4.5. Final Configuration Summary for Reported Results</w:t>
      </w:r>
      <w:r>
        <w:rPr>
          <w:highlight w:val="none"/>
          <w:lang w:val="en-US"/>
        </w:rPr>
      </w:r>
      <w:r/>
    </w:p>
    <w:p w14:paraId="54AA934B">
      <w:pPr>
        <w:pStyle w:val="1056"/>
        <w:suppressLineNumbers w:val="false"/>
        <w:pBdr/>
        <w:spacing w:line="300" w:lineRule="auto"/>
        <w:ind w:firstLine="0"/>
        <w:rPr/>
      </w:pPr>
      <w:r/>
      <w:r/>
    </w:p>
    <w:p w14:paraId="7060072D">
      <w:pPr>
        <w:pStyle w:val="1056"/>
        <w:suppressLineNumbers w:val="false"/>
        <w:pBdr/>
        <w:spacing w:line="300" w:lineRule="auto"/>
        <w:ind w:firstLine="0"/>
        <w:rPr>
          <w:highlight w:val="none"/>
        </w:rPr>
      </w:pPr>
      <w:r>
        <w:t xml:space="preserve">T</w:t>
      </w:r>
      <w:r>
        <w:t xml:space="preserve">he asymmetry between the supervised and generative configurations is expected rather than problematic. The models belong to different families and have different optimization constraints. The important point is not that they use identical hyperparameters, </w:t>
      </w:r>
      <w:r>
        <w:t xml:space="preserve">but that each family is trained under a reasonable and fixed protocol, and that the final comparison is based on the resulting multi-seed aggregates rather than on cherry-picked exceptions.</w:t>
      </w:r>
      <w:r>
        <w:rPr>
          <w:highlight w:val="none"/>
        </w:rPr>
      </w:r>
    </w:p>
    <w:p w14:paraId="10AF7586">
      <w:pPr>
        <w:pStyle w:val="1056"/>
        <w:suppressLineNumbers w:val="false"/>
        <w:pBdr/>
        <w:spacing w:line="300" w:lineRule="auto"/>
        <w:ind w:firstLine="0"/>
        <w:rPr/>
      </w:pPr>
      <w:r/>
      <w:r/>
    </w:p>
    <w:p w14:paraId="6F57CF7E">
      <w:pPr>
        <w:pStyle w:val="1056"/>
        <w:suppressLineNumbers w:val="false"/>
        <w:pBdr/>
        <w:spacing w:line="300" w:lineRule="auto"/>
        <w:ind w:firstLine="0"/>
        <w:rPr>
          <w:b/>
          <w:bCs/>
          <w:sz w:val="28"/>
          <w:szCs w:val="28"/>
        </w:rPr>
      </w:pPr>
      <w:r>
        <w:rPr>
          <w:b/>
          <w:bCs/>
          <w:sz w:val="28"/>
          <w:szCs w:val="28"/>
        </w:rPr>
        <w:t xml:space="preserve">4.5 Results</w:t>
      </w:r>
      <w:r>
        <w:rPr>
          <w:b/>
          <w:bCs/>
          <w:sz w:val="28"/>
          <w:szCs w:val="28"/>
        </w:rPr>
      </w:r>
      <w:r>
        <w:rPr>
          <w:b/>
          <w:bCs/>
          <w:sz w:val="28"/>
          <w:szCs w:val="28"/>
        </w:rPr>
      </w:r>
    </w:p>
    <w:p w14:paraId="2101321D">
      <w:pPr>
        <w:pStyle w:val="1056"/>
        <w:suppressLineNumbers w:val="false"/>
        <w:pBdr/>
        <w:spacing w:line="300" w:lineRule="auto"/>
        <w:ind w:firstLine="0"/>
        <w:rPr/>
      </w:pPr>
      <w:r>
        <w:t xml:space="preserve">A</w:t>
      </w:r>
      <w:r>
        <w:t xml:space="preserve">ll reported values in this section are compiled from the persisted LIMUC reporting outputs under Prototyping_reformat/DatasetAnalysis/LIMUC/4_reporting/out/ [78] and the synchronized chapter tables under Thesis/markdown/figures/ch4_representations/ [79]. T</w:t>
      </w:r>
      <w:r>
        <w:t xml:space="preserve">he chapter interpretation below is restricted to those fixed results.</w:t>
      </w:r>
      <w:r/>
    </w:p>
    <w:p w14:paraId="7390D47B">
      <w:pPr>
        <w:pStyle w:val="1056"/>
        <w:suppressLineNumbers w:val="false"/>
        <w:pBdr/>
        <w:spacing w:line="300" w:lineRule="auto"/>
        <w:ind w:firstLine="0"/>
        <w:rPr/>
      </w:pPr>
      <w:r/>
      <w:r/>
    </w:p>
    <w:p w14:paraId="26BCBBE8">
      <w:pPr>
        <w:pStyle w:val="1056"/>
        <w:suppressLineNumbers w:val="false"/>
        <w:pBdr/>
        <w:spacing w:line="300" w:lineRule="auto"/>
        <w:ind w:firstLine="0"/>
        <w:rPr>
          <w:b/>
          <w:bCs/>
        </w:rPr>
      </w:pPr>
      <w:r>
        <w:rPr>
          <w:b/>
          <w:bCs/>
        </w:rPr>
        <w:t xml:space="preserve">4.5.1 Internal Multi-Seed Comparison on LIMUC</w:t>
      </w:r>
      <w:r>
        <w:rPr>
          <w:b/>
          <w:bCs/>
        </w:rPr>
      </w:r>
      <w:r>
        <w:rPr>
          <w:b/>
          <w:bCs/>
        </w:rPr>
      </w:r>
    </w:p>
    <w:p w14:paraId="40980E7D">
      <w:pPr>
        <w:pStyle w:val="1056"/>
        <w:suppressLineNumbers w:val="false"/>
        <w:pBdr/>
        <w:spacing w:line="300" w:lineRule="auto"/>
        <w:ind w:firstLine="0"/>
        <w:rPr>
          <w:highlight w:val="none"/>
        </w:rPr>
      </w:pPr>
      <w:r>
        <w:t xml:space="preserve">The main result of Chapter 4 is that the LoRA-adapted generative lane (mode1) outperforms the official supervised baseline on the internal LIMUC test set across every headline metric that matters for this task.</w:t>
      </w:r>
      <w:r/>
    </w:p>
    <w:p w14:paraId="74F4BC43">
      <w:pPr>
        <w:pStyle w:val="1056"/>
        <w:suppressLineNumbers w:val="false"/>
        <w:pBdr/>
        <w:spacing w:line="300" w:lineRule="auto"/>
        <w:ind w:firstLine="0"/>
        <w:rPr/>
      </w:pPr>
      <w:r/>
      <w:r/>
      <w:r/>
    </w:p>
    <w:tbl>
      <w:tblPr>
        <w:tblStyle w:val="1113"/>
        <w:tblInd w:w="-524" w:type="dxa"/>
        <w:tblW w:w="0" w:type="auto"/>
        <w:tblBorders/>
        <w:tblLayout w:type="fixed"/>
        <w:tblLook w:val="04A0" w:firstRow="1" w:lastRow="0" w:firstColumn="1" w:lastColumn="0" w:noHBand="0" w:noVBand="1"/>
      </w:tblPr>
      <w:tblGrid>
        <w:gridCol w:w="1559"/>
        <w:gridCol w:w="1134"/>
        <w:gridCol w:w="1276"/>
        <w:gridCol w:w="1134"/>
        <w:gridCol w:w="1276"/>
        <w:gridCol w:w="835"/>
        <w:gridCol w:w="1291"/>
        <w:gridCol w:w="992"/>
      </w:tblGrid>
      <w:tr>
        <w:trPr/>
        <w:tc>
          <w:tcPr>
            <w:tcBorders/>
            <w:tcW w:w="1559" w:type="dxa"/>
            <w:textDirection w:val="lrTb"/>
            <w:noWrap w:val="false"/>
          </w:tcPr>
          <w:p w14:paraId="1BBCD8E2">
            <w:pPr>
              <w:pBdr/>
              <w:spacing w:after="0" w:before="0" w:line="240"/>
              <w:ind/>
              <w:rPr>
                <w:color w:val="000000" w:themeColor="text1"/>
                <w:sz w:val="22"/>
                <w:szCs w:val="22"/>
              </w:rPr>
            </w:pPr>
            <w:r>
              <w:rPr>
                <w:rFonts w:ascii="Liberation Sans" w:hAnsi="Liberation Sans" w:eastAsia="Liberation Sans" w:cs="Liberation Sans"/>
                <w:b/>
                <w:color w:val="000000" w:themeColor="text1"/>
                <w:sz w:val="22"/>
                <w:szCs w:val="22"/>
              </w:rPr>
              <w:t xml:space="preserve">Lane</w:t>
            </w:r>
            <w:r>
              <w:rPr>
                <w:color w:val="000000" w:themeColor="text1"/>
                <w:sz w:val="22"/>
                <w:szCs w:val="22"/>
              </w:rPr>
            </w:r>
          </w:p>
        </w:tc>
        <w:tc>
          <w:tcPr>
            <w:tcBorders/>
            <w:tcW w:w="1134" w:type="dxa"/>
            <w:textDirection w:val="lrTb"/>
            <w:noWrap w:val="false"/>
          </w:tcPr>
          <w:p w14:paraId="1B2374D9">
            <w:pPr>
              <w:pBdr/>
              <w:spacing w:after="0" w:before="0" w:line="240"/>
              <w:ind/>
              <w:rPr>
                <w:color w:val="000000" w:themeColor="text1"/>
                <w:sz w:val="22"/>
                <w:szCs w:val="22"/>
              </w:rPr>
            </w:pPr>
            <w:r>
              <w:rPr>
                <w:rFonts w:ascii="Liberation Sans" w:hAnsi="Liberation Sans" w:eastAsia="Liberation Sans" w:cs="Liberation Sans"/>
                <w:b/>
                <w:color w:val="000000" w:themeColor="text1"/>
                <w:sz w:val="22"/>
                <w:szCs w:val="22"/>
              </w:rPr>
              <w:t xml:space="preserve">Seeds</w:t>
            </w:r>
            <w:r>
              <w:rPr>
                <w:color w:val="000000" w:themeColor="text1"/>
                <w:sz w:val="22"/>
                <w:szCs w:val="22"/>
              </w:rPr>
            </w:r>
          </w:p>
        </w:tc>
        <w:tc>
          <w:tcPr>
            <w:tcBorders/>
            <w:tcW w:w="1276" w:type="dxa"/>
            <w:textDirection w:val="lrTb"/>
            <w:noWrap w:val="false"/>
          </w:tcPr>
          <w:p w14:paraId="37D5EF18">
            <w:pPr>
              <w:pBdr/>
              <w:spacing w:after="0" w:before="0" w:line="240"/>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Accuracy</w:t>
            </w:r>
            <w:r>
              <w:rPr>
                <w:color w:val="000000" w:themeColor="text1"/>
                <w:sz w:val="22"/>
                <w:szCs w:val="22"/>
              </w:rPr>
            </w:r>
          </w:p>
        </w:tc>
        <w:tc>
          <w:tcPr>
            <w:tcBorders/>
            <w:tcW w:w="1134" w:type="dxa"/>
            <w:textDirection w:val="lrTb"/>
            <w:noWrap w:val="false"/>
          </w:tcPr>
          <w:p w14:paraId="197C48F1">
            <w:pPr>
              <w:pBdr/>
              <w:spacing w:after="0" w:before="0" w:line="240"/>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Macro-F1</w:t>
            </w:r>
            <w:r>
              <w:rPr>
                <w:color w:val="000000" w:themeColor="text1"/>
                <w:sz w:val="22"/>
                <w:szCs w:val="22"/>
              </w:rPr>
            </w:r>
          </w:p>
        </w:tc>
        <w:tc>
          <w:tcPr>
            <w:tcBorders/>
            <w:tcW w:w="1276" w:type="dxa"/>
            <w:textDirection w:val="lrTb"/>
            <w:noWrap w:val="false"/>
          </w:tcPr>
          <w:p w14:paraId="34496CC5">
            <w:pPr>
              <w:pBdr/>
              <w:spacing w:after="0" w:before="0" w:line="240"/>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Balanced accuracy</w:t>
            </w:r>
            <w:r>
              <w:rPr>
                <w:color w:val="000000" w:themeColor="text1"/>
                <w:sz w:val="22"/>
                <w:szCs w:val="22"/>
              </w:rPr>
            </w:r>
          </w:p>
        </w:tc>
        <w:tc>
          <w:tcPr>
            <w:tcBorders/>
            <w:tcW w:w="835" w:type="dxa"/>
            <w:textDirection w:val="lrTb"/>
            <w:noWrap w:val="false"/>
          </w:tcPr>
          <w:p w14:paraId="5E171B91">
            <w:pPr>
              <w:pBdr/>
              <w:spacing w:after="0" w:before="0" w:line="240"/>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QWK</w:t>
            </w:r>
            <w:r>
              <w:rPr>
                <w:color w:val="000000" w:themeColor="text1"/>
                <w:sz w:val="22"/>
                <w:szCs w:val="22"/>
              </w:rPr>
            </w:r>
          </w:p>
        </w:tc>
        <w:tc>
          <w:tcPr>
            <w:tcBorders/>
            <w:tcW w:w="1291" w:type="dxa"/>
            <w:textDirection w:val="lrTb"/>
            <w:noWrap w:val="false"/>
          </w:tcPr>
          <w:p w14:paraId="021FAA1D">
            <w:pPr>
              <w:pBdr/>
              <w:spacing w:after="0" w:before="0" w:line="240"/>
              <w:ind/>
              <w:rPr>
                <w:color w:val="000000" w:themeColor="text1"/>
                <w:sz w:val="22"/>
                <w:szCs w:val="22"/>
              </w:rPr>
            </w:pPr>
            <w:r>
              <w:rPr>
                <w:rFonts w:ascii="Liberation Sans" w:hAnsi="Liberation Sans" w:eastAsia="Liberation Sans" w:cs="Liberation Sans"/>
                <w:b/>
                <w:color w:val="000000" w:themeColor="text1"/>
                <w:sz w:val="22"/>
                <w:szCs w:val="22"/>
              </w:rPr>
              <w:t xml:space="preserve">95% CI (QWK)</w:t>
            </w:r>
            <w:r>
              <w:rPr>
                <w:color w:val="000000" w:themeColor="text1"/>
                <w:sz w:val="22"/>
                <w:szCs w:val="22"/>
              </w:rPr>
            </w:r>
          </w:p>
        </w:tc>
        <w:tc>
          <w:tcPr>
            <w:tcBorders/>
            <w:tcW w:w="992" w:type="dxa"/>
            <w:textDirection w:val="lrTb"/>
            <w:noWrap w:val="false"/>
          </w:tcPr>
          <w:p w14:paraId="2C6BE2C0">
            <w:pPr>
              <w:pBdr/>
              <w:spacing w:after="0" w:before="0" w:line="240"/>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Parse rate</w:t>
            </w:r>
            <w:r>
              <w:rPr>
                <w:color w:val="000000" w:themeColor="text1"/>
                <w:sz w:val="22"/>
                <w:szCs w:val="22"/>
              </w:rPr>
            </w:r>
          </w:p>
        </w:tc>
      </w:tr>
      <w:tr>
        <w:trPr/>
        <w:tc>
          <w:tcPr>
            <w:tcBorders/>
            <w:tcW w:w="1559" w:type="dxa"/>
            <w:textDirection w:val="lrTb"/>
            <w:noWrap w:val="false"/>
          </w:tcPr>
          <w:p w14:paraId="1E69AA60">
            <w:pPr>
              <w:pBdr/>
              <w:spacing w:after="0" w:before="0" w:line="240"/>
              <w:ind/>
              <w:rPr>
                <w:color w:val="000000" w:themeColor="text1"/>
                <w:sz w:val="22"/>
                <w:szCs w:val="22"/>
              </w:rPr>
            </w:pPr>
            <w:r>
              <w:rPr>
                <w:rFonts w:ascii="Liberation Sans" w:hAnsi="Liberation Sans" w:eastAsia="Liberation Sans" w:cs="Liberation Sans"/>
                <w:color w:val="000000" w:themeColor="text1"/>
                <w:sz w:val="22"/>
                <w:szCs w:val="22"/>
              </w:rPr>
              <w:t xml:space="preserve">Pass 5 supervised</w:t>
            </w:r>
            <w:r>
              <w:rPr>
                <w:color w:val="000000" w:themeColor="text1"/>
                <w:sz w:val="22"/>
                <w:szCs w:val="22"/>
              </w:rPr>
            </w:r>
          </w:p>
        </w:tc>
        <w:tc>
          <w:tcPr>
            <w:tcBorders/>
            <w:tcW w:w="1134" w:type="dxa"/>
            <w:textDirection w:val="lrTb"/>
            <w:noWrap w:val="false"/>
          </w:tcPr>
          <w:p w14:paraId="08320713">
            <w:pPr>
              <w:pBdr/>
              <w:spacing w:after="0" w:before="0" w:line="240"/>
              <w:ind/>
              <w:rPr>
                <w:color w:val="000000" w:themeColor="text1"/>
                <w:sz w:val="22"/>
                <w:szCs w:val="22"/>
              </w:rPr>
            </w:pPr>
            <w:r>
              <w:rPr>
                <w:rFonts w:ascii="Liberation Sans" w:hAnsi="Liberation Sans" w:eastAsia="Liberation Sans" w:cs="Liberation Sans"/>
                <w:color w:val="000000" w:themeColor="text1"/>
                <w:sz w:val="22"/>
                <w:szCs w:val="22"/>
              </w:rPr>
              <w:t xml:space="preserve">11/23/42</w:t>
            </w:r>
            <w:r>
              <w:rPr>
                <w:color w:val="000000" w:themeColor="text1"/>
                <w:sz w:val="22"/>
                <w:szCs w:val="22"/>
              </w:rPr>
            </w:r>
          </w:p>
        </w:tc>
        <w:tc>
          <w:tcPr>
            <w:tcBorders/>
            <w:tcW w:w="1276" w:type="dxa"/>
            <w:textDirection w:val="lrTb"/>
            <w:noWrap w:val="false"/>
          </w:tcPr>
          <w:p w14:paraId="52A8316D">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0.737643</w:t>
            </w:r>
            <w:r>
              <w:rPr>
                <w:color w:val="000000" w:themeColor="text1"/>
                <w:sz w:val="22"/>
                <w:szCs w:val="22"/>
              </w:rPr>
            </w:r>
          </w:p>
        </w:tc>
        <w:tc>
          <w:tcPr>
            <w:tcBorders/>
            <w:tcW w:w="1134" w:type="dxa"/>
            <w:textDirection w:val="lrTb"/>
            <w:noWrap w:val="false"/>
          </w:tcPr>
          <w:p w14:paraId="7EBBAA66">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0.667330</w:t>
            </w:r>
            <w:r>
              <w:rPr>
                <w:color w:val="000000" w:themeColor="text1"/>
                <w:sz w:val="22"/>
                <w:szCs w:val="22"/>
              </w:rPr>
            </w:r>
          </w:p>
        </w:tc>
        <w:tc>
          <w:tcPr>
            <w:tcBorders/>
            <w:tcW w:w="1276" w:type="dxa"/>
            <w:textDirection w:val="lrTb"/>
            <w:noWrap w:val="false"/>
          </w:tcPr>
          <w:p w14:paraId="0ACEB123">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0.670907</w:t>
            </w:r>
            <w:r>
              <w:rPr>
                <w:color w:val="000000" w:themeColor="text1"/>
                <w:sz w:val="22"/>
                <w:szCs w:val="22"/>
              </w:rPr>
            </w:r>
          </w:p>
        </w:tc>
        <w:tc>
          <w:tcPr>
            <w:tcBorders/>
            <w:tcW w:w="835" w:type="dxa"/>
            <w:textDirection w:val="lrTb"/>
            <w:noWrap w:val="false"/>
          </w:tcPr>
          <w:p w14:paraId="2DA2F926">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0.818649</w:t>
            </w:r>
            <w:r>
              <w:rPr>
                <w:color w:val="000000" w:themeColor="text1"/>
                <w:sz w:val="22"/>
                <w:szCs w:val="22"/>
              </w:rPr>
            </w:r>
          </w:p>
        </w:tc>
        <w:tc>
          <w:tcPr>
            <w:tcBorders/>
            <w:tcW w:w="1291" w:type="dxa"/>
            <w:textDirection w:val="lrTb"/>
            <w:noWrap w:val="false"/>
          </w:tcPr>
          <w:p w14:paraId="17039D0F">
            <w:pPr>
              <w:pBdr/>
              <w:spacing w:after="0" w:before="0" w:line="240"/>
              <w:ind/>
              <w:rPr>
                <w:color w:val="000000" w:themeColor="text1"/>
                <w:sz w:val="22"/>
                <w:szCs w:val="22"/>
              </w:rPr>
            </w:pPr>
            <w:r>
              <w:rPr>
                <w:rFonts w:ascii="Liberation Sans" w:hAnsi="Liberation Sans" w:eastAsia="Liberation Sans" w:cs="Liberation Sans"/>
                <w:color w:val="000000" w:themeColor="text1"/>
                <w:sz w:val="22"/>
                <w:szCs w:val="22"/>
              </w:rPr>
              <w:t xml:space="preserve">[0.807920, 0.830582]</w:t>
            </w:r>
            <w:r>
              <w:rPr>
                <w:color w:val="000000" w:themeColor="text1"/>
                <w:sz w:val="22"/>
                <w:szCs w:val="22"/>
              </w:rPr>
            </w:r>
          </w:p>
        </w:tc>
        <w:tc>
          <w:tcPr>
            <w:tcBorders/>
            <w:tcW w:w="992" w:type="dxa"/>
            <w:textDirection w:val="lrTb"/>
            <w:noWrap w:val="false"/>
          </w:tcPr>
          <w:p w14:paraId="0E52E2DE">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w:t>
            </w:r>
            <w:r>
              <w:rPr>
                <w:color w:val="000000" w:themeColor="text1"/>
                <w:sz w:val="22"/>
                <w:szCs w:val="22"/>
              </w:rPr>
            </w:r>
          </w:p>
        </w:tc>
      </w:tr>
      <w:tr>
        <w:trPr/>
        <w:tc>
          <w:tcPr>
            <w:tcBorders/>
            <w:tcW w:w="1559" w:type="dxa"/>
            <w:textDirection w:val="lrTb"/>
            <w:noWrap w:val="false"/>
          </w:tcPr>
          <w:p w14:paraId="17073926">
            <w:pPr>
              <w:pBdr/>
              <w:spacing w:after="0" w:before="0" w:line="240"/>
              <w:ind/>
              <w:rPr>
                <w:color w:val="000000" w:themeColor="text1"/>
                <w:sz w:val="22"/>
                <w:szCs w:val="22"/>
              </w:rPr>
            </w:pPr>
            <w:r>
              <w:rPr>
                <w:rFonts w:ascii="Liberation Sans" w:hAnsi="Liberation Sans" w:eastAsia="Liberation Sans" w:cs="Liberation Sans"/>
                <w:color w:val="000000" w:themeColor="text1"/>
                <w:sz w:val="22"/>
                <w:szCs w:val="22"/>
              </w:rPr>
              <w:t xml:space="preserve">Pass 6 </w:t>
            </w:r>
            <w:r>
              <w:rPr>
                <w:rFonts w:ascii="Droid Sans Mono" w:hAnsi="Droid Sans Mono" w:eastAsia="Droid Sans Mono" w:cs="Droid Sans Mono"/>
                <w:color w:val="000000" w:themeColor="text1"/>
                <w:sz w:val="22"/>
                <w:szCs w:val="22"/>
                <w:highlight w:val="white"/>
              </w:rPr>
              <w:t xml:space="preserve">lora_mode1_train</w:t>
            </w:r>
            <w:r>
              <w:rPr>
                <w:color w:val="000000" w:themeColor="text1"/>
                <w:sz w:val="22"/>
                <w:szCs w:val="22"/>
              </w:rPr>
            </w:r>
          </w:p>
        </w:tc>
        <w:tc>
          <w:tcPr>
            <w:tcBorders/>
            <w:tcW w:w="1134" w:type="dxa"/>
            <w:textDirection w:val="lrTb"/>
            <w:noWrap w:val="false"/>
          </w:tcPr>
          <w:p w14:paraId="37288D76">
            <w:pPr>
              <w:pBdr/>
              <w:spacing w:after="0" w:before="0" w:line="240"/>
              <w:ind/>
              <w:rPr>
                <w:color w:val="000000" w:themeColor="text1"/>
                <w:sz w:val="22"/>
                <w:szCs w:val="22"/>
              </w:rPr>
            </w:pPr>
            <w:r>
              <w:rPr>
                <w:rFonts w:ascii="Liberation Sans" w:hAnsi="Liberation Sans" w:eastAsia="Liberation Sans" w:cs="Liberation Sans"/>
                <w:color w:val="000000" w:themeColor="text1"/>
                <w:sz w:val="22"/>
                <w:szCs w:val="22"/>
              </w:rPr>
              <w:t xml:space="preserve">11/23/77</w:t>
            </w:r>
            <w:r>
              <w:rPr>
                <w:color w:val="000000" w:themeColor="text1"/>
                <w:sz w:val="22"/>
                <w:szCs w:val="22"/>
              </w:rPr>
            </w:r>
          </w:p>
        </w:tc>
        <w:tc>
          <w:tcPr>
            <w:tcBorders/>
            <w:tcW w:w="1276" w:type="dxa"/>
            <w:textDirection w:val="lrTb"/>
            <w:noWrap w:val="false"/>
          </w:tcPr>
          <w:p w14:paraId="36E4A2C6">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0.781930</w:t>
            </w:r>
            <w:r>
              <w:rPr>
                <w:color w:val="000000" w:themeColor="text1"/>
                <w:sz w:val="22"/>
                <w:szCs w:val="22"/>
              </w:rPr>
            </w:r>
          </w:p>
        </w:tc>
        <w:tc>
          <w:tcPr>
            <w:tcBorders/>
            <w:tcW w:w="1134" w:type="dxa"/>
            <w:textDirection w:val="lrTb"/>
            <w:noWrap w:val="false"/>
          </w:tcPr>
          <w:p w14:paraId="3022E92B">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0.727920</w:t>
            </w:r>
            <w:r>
              <w:rPr>
                <w:color w:val="000000" w:themeColor="text1"/>
                <w:sz w:val="22"/>
                <w:szCs w:val="22"/>
              </w:rPr>
            </w:r>
          </w:p>
        </w:tc>
        <w:tc>
          <w:tcPr>
            <w:tcBorders/>
            <w:tcW w:w="1276" w:type="dxa"/>
            <w:textDirection w:val="lrTb"/>
            <w:noWrap w:val="false"/>
          </w:tcPr>
          <w:p w14:paraId="77308439">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0.736292</w:t>
            </w:r>
            <w:r>
              <w:rPr>
                <w:color w:val="000000" w:themeColor="text1"/>
                <w:sz w:val="22"/>
                <w:szCs w:val="22"/>
              </w:rPr>
            </w:r>
          </w:p>
        </w:tc>
        <w:tc>
          <w:tcPr>
            <w:tcBorders/>
            <w:tcW w:w="835" w:type="dxa"/>
            <w:textDirection w:val="lrTb"/>
            <w:noWrap w:val="false"/>
          </w:tcPr>
          <w:p w14:paraId="61E6D392">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0.863656</w:t>
            </w:r>
            <w:r>
              <w:rPr>
                <w:color w:val="000000" w:themeColor="text1"/>
                <w:sz w:val="22"/>
                <w:szCs w:val="22"/>
              </w:rPr>
            </w:r>
          </w:p>
        </w:tc>
        <w:tc>
          <w:tcPr>
            <w:tcBorders/>
            <w:tcW w:w="1291" w:type="dxa"/>
            <w:textDirection w:val="lrTb"/>
            <w:noWrap w:val="false"/>
          </w:tcPr>
          <w:p w14:paraId="42BF7CC5">
            <w:pPr>
              <w:pBdr/>
              <w:spacing w:after="0" w:before="0" w:line="240"/>
              <w:ind/>
              <w:rPr>
                <w:color w:val="000000" w:themeColor="text1"/>
                <w:sz w:val="22"/>
                <w:szCs w:val="22"/>
              </w:rPr>
            </w:pPr>
            <w:r>
              <w:rPr>
                <w:rFonts w:ascii="Liberation Sans" w:hAnsi="Liberation Sans" w:eastAsia="Liberation Sans" w:cs="Liberation Sans"/>
                <w:color w:val="000000" w:themeColor="text1"/>
                <w:sz w:val="22"/>
                <w:szCs w:val="22"/>
              </w:rPr>
              <w:t xml:space="preserve">[0.862382, 0.865836]</w:t>
            </w:r>
            <w:r>
              <w:rPr>
                <w:color w:val="000000" w:themeColor="text1"/>
                <w:sz w:val="22"/>
                <w:szCs w:val="22"/>
              </w:rPr>
            </w:r>
          </w:p>
        </w:tc>
        <w:tc>
          <w:tcPr>
            <w:tcBorders/>
            <w:tcW w:w="992" w:type="dxa"/>
            <w:textDirection w:val="lrTb"/>
            <w:noWrap w:val="false"/>
          </w:tcPr>
          <w:p w14:paraId="00286B7B">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1.000000</w:t>
            </w:r>
            <w:r>
              <w:rPr>
                <w:color w:val="000000" w:themeColor="text1"/>
                <w:sz w:val="22"/>
                <w:szCs w:val="22"/>
              </w:rPr>
            </w:r>
          </w:p>
        </w:tc>
      </w:tr>
      <w:tr>
        <w:trPr/>
        <w:tc>
          <w:tcPr>
            <w:tcBorders/>
            <w:tcW w:w="1559" w:type="dxa"/>
            <w:textDirection w:val="lrTb"/>
            <w:noWrap w:val="false"/>
          </w:tcPr>
          <w:p w14:paraId="1EE06CFF">
            <w:pPr>
              <w:pBdr/>
              <w:spacing w:after="0" w:before="0" w:line="240"/>
              <w:ind/>
              <w:rPr>
                <w:color w:val="000000" w:themeColor="text1"/>
                <w:sz w:val="22"/>
                <w:szCs w:val="22"/>
              </w:rPr>
            </w:pPr>
            <w:r>
              <w:rPr>
                <w:rFonts w:ascii="Liberation Sans" w:hAnsi="Liberation Sans" w:eastAsia="Liberation Sans" w:cs="Liberation Sans"/>
                <w:color w:val="000000" w:themeColor="text1"/>
                <w:sz w:val="22"/>
                <w:szCs w:val="22"/>
              </w:rPr>
              <w:t xml:space="preserve">Pass 6 </w:t>
            </w:r>
            <w:r>
              <w:rPr>
                <w:rFonts w:ascii="Droid Sans Mono" w:hAnsi="Droid Sans Mono" w:eastAsia="Droid Sans Mono" w:cs="Droid Sans Mono"/>
                <w:color w:val="000000" w:themeColor="text1"/>
                <w:sz w:val="22"/>
                <w:szCs w:val="22"/>
                <w:highlight w:val="white"/>
              </w:rPr>
              <w:t xml:space="preserve">lora_mode2_eval</w:t>
            </w:r>
            <w:r>
              <w:rPr>
                <w:color w:val="000000" w:themeColor="text1"/>
                <w:sz w:val="22"/>
                <w:szCs w:val="22"/>
              </w:rPr>
            </w:r>
          </w:p>
        </w:tc>
        <w:tc>
          <w:tcPr>
            <w:tcBorders/>
            <w:tcW w:w="1134" w:type="dxa"/>
            <w:textDirection w:val="lrTb"/>
            <w:noWrap w:val="false"/>
          </w:tcPr>
          <w:p w14:paraId="1C8AF788">
            <w:pPr>
              <w:pBdr/>
              <w:spacing w:after="0" w:before="0" w:line="240"/>
              <w:ind/>
              <w:rPr>
                <w:color w:val="000000" w:themeColor="text1"/>
                <w:sz w:val="22"/>
                <w:szCs w:val="22"/>
              </w:rPr>
            </w:pPr>
            <w:r>
              <w:rPr>
                <w:rFonts w:ascii="Liberation Sans" w:hAnsi="Liberation Sans" w:eastAsia="Liberation Sans" w:cs="Liberation Sans"/>
                <w:color w:val="000000" w:themeColor="text1"/>
                <w:sz w:val="22"/>
                <w:szCs w:val="22"/>
              </w:rPr>
              <w:t xml:space="preserve">11/23/77</w:t>
            </w:r>
            <w:r>
              <w:rPr>
                <w:color w:val="000000" w:themeColor="text1"/>
                <w:sz w:val="22"/>
                <w:szCs w:val="22"/>
              </w:rPr>
            </w:r>
          </w:p>
        </w:tc>
        <w:tc>
          <w:tcPr>
            <w:tcBorders/>
            <w:tcW w:w="1276" w:type="dxa"/>
            <w:textDirection w:val="lrTb"/>
            <w:noWrap w:val="false"/>
          </w:tcPr>
          <w:p w14:paraId="4E055FEB">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0.548636</w:t>
            </w:r>
            <w:r>
              <w:rPr>
                <w:color w:val="000000" w:themeColor="text1"/>
                <w:sz w:val="22"/>
                <w:szCs w:val="22"/>
              </w:rPr>
            </w:r>
          </w:p>
        </w:tc>
        <w:tc>
          <w:tcPr>
            <w:tcBorders/>
            <w:tcW w:w="1134" w:type="dxa"/>
            <w:textDirection w:val="lrTb"/>
            <w:noWrap w:val="false"/>
          </w:tcPr>
          <w:p w14:paraId="72ABD512">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0.177135</w:t>
            </w:r>
            <w:r>
              <w:rPr>
                <w:color w:val="000000" w:themeColor="text1"/>
                <w:sz w:val="22"/>
                <w:szCs w:val="22"/>
              </w:rPr>
            </w:r>
          </w:p>
        </w:tc>
        <w:tc>
          <w:tcPr>
            <w:tcBorders/>
            <w:tcW w:w="1276" w:type="dxa"/>
            <w:textDirection w:val="lrTb"/>
            <w:noWrap w:val="false"/>
          </w:tcPr>
          <w:p w14:paraId="148AE357">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0.250000</w:t>
            </w:r>
            <w:r>
              <w:rPr>
                <w:color w:val="000000" w:themeColor="text1"/>
                <w:sz w:val="22"/>
                <w:szCs w:val="22"/>
              </w:rPr>
            </w:r>
          </w:p>
        </w:tc>
        <w:tc>
          <w:tcPr>
            <w:tcBorders/>
            <w:tcW w:w="835" w:type="dxa"/>
            <w:textDirection w:val="lrTb"/>
            <w:noWrap w:val="false"/>
          </w:tcPr>
          <w:p w14:paraId="3A48919F">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0.000000</w:t>
            </w:r>
            <w:r>
              <w:rPr>
                <w:color w:val="000000" w:themeColor="text1"/>
                <w:sz w:val="22"/>
                <w:szCs w:val="22"/>
              </w:rPr>
            </w:r>
          </w:p>
        </w:tc>
        <w:tc>
          <w:tcPr>
            <w:tcBorders/>
            <w:tcW w:w="1291" w:type="dxa"/>
            <w:textDirection w:val="lrTb"/>
            <w:noWrap w:val="false"/>
          </w:tcPr>
          <w:p w14:paraId="4CB2289C">
            <w:pPr>
              <w:pBdr/>
              <w:spacing w:after="0" w:before="0" w:line="240"/>
              <w:ind/>
              <w:rPr>
                <w:color w:val="000000" w:themeColor="text1"/>
                <w:sz w:val="22"/>
                <w:szCs w:val="22"/>
              </w:rPr>
            </w:pPr>
            <w:r>
              <w:rPr>
                <w:rFonts w:ascii="Liberation Sans" w:hAnsi="Liberation Sans" w:eastAsia="Liberation Sans" w:cs="Liberation Sans"/>
                <w:color w:val="000000" w:themeColor="text1"/>
                <w:sz w:val="22"/>
                <w:szCs w:val="22"/>
              </w:rPr>
              <w:t xml:space="preserve">[0.000000, 0.000000]</w:t>
            </w:r>
            <w:r>
              <w:rPr>
                <w:color w:val="000000" w:themeColor="text1"/>
                <w:sz w:val="22"/>
                <w:szCs w:val="22"/>
              </w:rPr>
            </w:r>
          </w:p>
        </w:tc>
        <w:tc>
          <w:tcPr>
            <w:tcBorders/>
            <w:tcW w:w="992" w:type="dxa"/>
            <w:textDirection w:val="lrTb"/>
            <w:noWrap w:val="false"/>
          </w:tcPr>
          <w:p w14:paraId="5514322E">
            <w:pPr>
              <w:pBdr/>
              <w:spacing w:after="0" w:before="0" w:line="240"/>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1.000000</w:t>
            </w:r>
            <w:r>
              <w:rPr>
                <w:color w:val="000000" w:themeColor="text1"/>
                <w:sz w:val="22"/>
                <w:szCs w:val="22"/>
              </w:rPr>
            </w:r>
          </w:p>
        </w:tc>
      </w:tr>
    </w:tbl>
    <w:p w14:paraId="6EB932AF">
      <w:pPr>
        <w:pStyle w:val="1056"/>
        <w:suppressLineNumbers w:val="false"/>
        <w:pBdr/>
        <w:spacing w:line="300" w:lineRule="auto"/>
        <w:ind w:firstLine="720" w:left="720"/>
        <w:rPr/>
      </w:pPr>
      <w:r>
        <w:rPr>
          <w:highlight w:val="none"/>
        </w:rPr>
      </w:r>
      <w:r>
        <w:rPr>
          <w:highlight w:val="none"/>
        </w:rPr>
        <w:t xml:space="preserve">Table 4.6. Internal Multi-Seed Results on LIMUC</w:t>
      </w:r>
      <w:r>
        <w:rPr>
          <w:highlight w:val="none"/>
        </w:rPr>
      </w:r>
      <w:r/>
    </w:p>
    <w:p w14:paraId="73E82463">
      <w:pPr>
        <w:pStyle w:val="1056"/>
        <w:suppressLineNumbers w:val="false"/>
        <w:pBdr/>
        <w:spacing w:line="300" w:lineRule="auto"/>
        <w:ind w:firstLine="0"/>
        <w:rPr/>
      </w:pPr>
      <w:r/>
      <w:r/>
    </w:p>
    <w:p w14:paraId="3A4DB826">
      <w:pPr>
        <w:pStyle w:val="1056"/>
        <w:suppressLineNumbers w:val="false"/>
        <w:pBdr/>
        <w:spacing w:line="300" w:lineRule="auto"/>
        <w:ind w:firstLine="0"/>
        <w:rPr/>
      </w:pPr>
      <w:r>
        <w:t xml:space="preserve">R</w:t>
      </w:r>
      <w:r>
        <w:t xml:space="preserve">elative to the supervised baseline, mode1 improves internal QWK by +0.045007, macro-F1 by +0.060590, balanced accuracy by +0.065385, and accuracy by +0.044286. At the same time, it preserves a parse rate of 1.000000, meaning that every generated answer in </w:t>
      </w:r>
      <w:r>
        <w:t xml:space="preserve">t</w:t>
      </w:r>
      <w:r>
        <w:t xml:space="preserve">he reported internal evaluation remained convertible to a valid score. This is a critical result because it shows that the proposed method does not trade improved scoring for unstable text output. Instead, it achieves both better ordinal agreement and perf</w:t>
      </w:r>
      <w:r>
        <w:t xml:space="preserve">ect format compliance under the constrained protocol.</w:t>
      </w:r>
      <w:r/>
    </w:p>
    <w:p w14:paraId="7664FC86">
      <w:pPr>
        <w:pStyle w:val="1056"/>
        <w:suppressLineNumbers w:val="false"/>
        <w:pBdr/>
        <w:spacing w:line="300" w:lineRule="auto"/>
        <w:ind w:firstLine="0"/>
        <w:rPr/>
      </w:pPr>
      <w:r>
        <w:t xml:space="preserve">T</w:t>
      </w:r>
      <w:r>
        <w:t xml:space="preserve">he narrow QWK confidence interval for mode1 also suggests stable multi-seed behavior. This is supported by the seed-level quality-control record, where all three reported runs pass the non-degeneracy checks and each run predicts all four classes. In contra</w:t>
      </w:r>
      <w:r>
        <w:t xml:space="preserve">st, mode2 performs poorly despite also achieving a parse rate of 1.000000. This immediate contrast shows that syntactic validity alone is not sufficient; the model must also preserve meaningful class discr</w:t>
      </w:r>
      <w:r/>
      <w:r>
        <w:t xml:space="preserve">imination.</w:t>
      </w:r>
      <w:r/>
    </w:p>
    <w:p w14:paraId="0A9B6619">
      <w:pPr>
        <w:pStyle w:val="1056"/>
        <w:suppressLineNumbers w:val="false"/>
        <w:pBdr/>
        <w:spacing w:line="300" w:lineRule="auto"/>
        <w:ind w:firstLine="0"/>
        <w:rPr>
          <w:highlight w:val="none"/>
        </w:rPr>
      </w:pPr>
      <w:r/>
      <w:r>
        <mc:AlternateContent>
          <mc:Choice Requires="wpg">
            <w:drawing>
              <wp:inline xmlns:wp="http://schemas.openxmlformats.org/drawingml/2006/wordprocessingDrawing" distT="0" distB="0" distL="0" distR="0">
                <wp:extent cx="5486400" cy="337624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23661" name=""/>
                        <pic:cNvPicPr>
                          <a:picLocks noChangeAspect="1"/>
                        </pic:cNvPicPr>
                        <pic:nvPr/>
                      </pic:nvPicPr>
                      <pic:blipFill rotWithShape="1">
                        <a:blip r:embed="rId22"/>
                        <a:stretch/>
                      </pic:blipFill>
                      <pic:spPr bwMode="auto">
                        <a:xfrm>
                          <a:off x="0" y="0"/>
                          <a:ext cx="5486399" cy="3376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265.85pt;mso-wrap-distance-left:0.00pt;mso-wrap-distance-top:0.00pt;mso-wrap-distance-right:0.00pt;mso-wrap-distance-bottom:0.00pt;z-index:1;" stroked="false">
                <v:imagedata r:id="rId22" o:title=""/>
                <o:lock v:ext="edit" rotation="t"/>
              </v:shape>
            </w:pict>
          </mc:Fallback>
        </mc:AlternateContent>
      </w:r>
      <w:r/>
      <w:r/>
    </w:p>
    <w:p w14:paraId="22F32644">
      <w:pPr>
        <w:pStyle w:val="1056"/>
        <w:suppressLineNumbers w:val="false"/>
        <w:pBdr/>
        <w:spacing w:line="300" w:lineRule="auto"/>
        <w:ind w:firstLine="0"/>
        <w:rPr>
          <w:highlight w:val="none"/>
        </w:rPr>
      </w:pPr>
      <w:r>
        <w:rPr>
          <w:highlight w:val="none"/>
        </w:rPr>
      </w:r>
      <w:r>
        <w:rPr>
          <w:highlight w:val="none"/>
        </w:rPr>
        <w:t xml:space="preserve">Figure 4.1 highlights the headline internal result: the LoRA-adapted mode1 lane exceeds the supervised baseline, while the mode2 ablation collapses despite perfect parse compliance [80].</w:t>
      </w:r>
      <w:r>
        <w:rPr>
          <w:highlight w:val="none"/>
        </w:rPr>
      </w:r>
      <w:r/>
    </w:p>
    <w:p w14:paraId="16C99B35">
      <w:pPr>
        <w:pStyle w:val="1056"/>
        <w:suppressLineNumbers w:val="false"/>
        <w:pBdr/>
        <w:spacing w:line="300" w:lineRule="auto"/>
        <w:ind w:firstLine="0"/>
        <w:rPr/>
      </w:pPr>
      <w:r/>
      <w:r/>
      <w:r/>
    </w:p>
    <w:p w14:paraId="111FDDC4">
      <w:pPr>
        <w:pStyle w:val="1056"/>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154910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67297" name=""/>
                        <pic:cNvPicPr>
                          <a:picLocks noChangeAspect="1"/>
                        </pic:cNvPicPr>
                        <pic:nvPr/>
                      </pic:nvPicPr>
                      <pic:blipFill rotWithShape="1">
                        <a:blip r:embed="rId23"/>
                        <a:stretch/>
                      </pic:blipFill>
                      <pic:spPr bwMode="auto">
                        <a:xfrm>
                          <a:off x="0" y="0"/>
                          <a:ext cx="5486399" cy="1549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121.98pt;mso-wrap-distance-left:0.00pt;mso-wrap-distance-top:0.00pt;mso-wrap-distance-right:0.00pt;mso-wrap-distance-bottom:0.00pt;z-index:1;" stroked="false">
                <v:imagedata r:id="rId23" o:title=""/>
                <o:lock v:ext="edit" rotation="t"/>
              </v:shape>
            </w:pict>
          </mc:Fallback>
        </mc:AlternateContent>
      </w:r>
      <w:r>
        <w:rPr>
          <w:highlight w:val="none"/>
        </w:rPr>
      </w:r>
      <w:r/>
    </w:p>
    <w:p w14:paraId="3713A30B">
      <w:pPr>
        <w:pStyle w:val="1056"/>
        <w:suppressLineNumbers w:val="false"/>
        <w:pBdr/>
        <w:spacing w:line="300" w:lineRule="auto"/>
        <w:ind w:firstLine="0"/>
        <w:rPr>
          <w:highlight w:val="none"/>
        </w:rPr>
      </w:pPr>
      <w:r>
        <w:rPr>
          <w:highlight w:val="none"/>
        </w:rPr>
      </w:r>
      <w:r>
        <w:rPr>
          <w:highlight w:val="none"/>
        </w:rPr>
        <w:t xml:space="preserve">Figure 4.2 shows that the mode1 advantage is not limited to one metric. The improvement is coherent across accuracy, macro-F1, balanced accuracy, and QWK [81].</w:t>
      </w:r>
      <w:r>
        <w:rPr>
          <w:highlight w:val="none"/>
        </w:rPr>
      </w:r>
      <w:r/>
    </w:p>
    <w:p w14:paraId="4C3B6045">
      <w:pPr>
        <w:pStyle w:val="1056"/>
        <w:suppressLineNumbers w:val="false"/>
        <w:pBdr/>
        <w:spacing w:line="300" w:lineRule="auto"/>
        <w:ind w:firstLine="0"/>
        <w:rPr/>
      </w:pPr>
      <w:r/>
      <w:r/>
      <w:r/>
    </w:p>
    <w:p w14:paraId="6555B3DB">
      <w:pPr>
        <w:pStyle w:val="1056"/>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287382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0871" name=""/>
                        <pic:cNvPicPr>
                          <a:picLocks noChangeAspect="1"/>
                        </pic:cNvPicPr>
                        <pic:nvPr/>
                      </pic:nvPicPr>
                      <pic:blipFill rotWithShape="1">
                        <a:blip r:embed="rId24"/>
                        <a:stretch/>
                      </pic:blipFill>
                      <pic:spPr bwMode="auto">
                        <a:xfrm>
                          <a:off x="0" y="0"/>
                          <a:ext cx="5486399" cy="2873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226.29pt;mso-wrap-distance-left:0.00pt;mso-wrap-distance-top:0.00pt;mso-wrap-distance-right:0.00pt;mso-wrap-distance-bottom:0.00pt;z-index:1;" stroked="false">
                <v:imagedata r:id="rId24" o:title=""/>
                <o:lock v:ext="edit" rotation="t"/>
              </v:shape>
            </w:pict>
          </mc:Fallback>
        </mc:AlternateContent>
      </w:r>
      <w:r>
        <w:rPr>
          <w:highlight w:val="none"/>
        </w:rPr>
      </w:r>
      <w:r/>
    </w:p>
    <w:p w14:paraId="082F1AAF">
      <w:pPr>
        <w:pStyle w:val="1056"/>
        <w:suppressLineNumbers w:val="false"/>
        <w:pBdr/>
        <w:spacing w:line="300" w:lineRule="auto"/>
        <w:ind w:firstLine="0"/>
        <w:rPr>
          <w:highlight w:val="none"/>
        </w:rPr>
      </w:pPr>
      <w:r>
        <w:rPr>
          <w:highlight w:val="none"/>
        </w:rPr>
      </w:r>
      <w:r>
        <w:rPr>
          <w:highlight w:val="none"/>
        </w:rPr>
        <w:t xml:space="preserve">Figure 4.3 documents run stability for the reported generative lane. The legacy filename is preserved for reproducibility, but the figure is used here as a seed-level quality-control view rather than as a headline significance display [83].</w:t>
      </w:r>
      <w:r>
        <w:rPr>
          <w:highlight w:val="none"/>
        </w:rPr>
      </w:r>
      <w:r/>
    </w:p>
    <w:p w14:paraId="34FFF19C">
      <w:pPr>
        <w:pStyle w:val="1056"/>
        <w:suppressLineNumbers w:val="false"/>
        <w:pBdr/>
        <w:spacing w:line="300" w:lineRule="auto"/>
        <w:ind w:firstLine="0"/>
        <w:rPr/>
      </w:pPr>
      <w:r/>
      <w:r/>
      <w:r/>
    </w:p>
    <w:p w14:paraId="346238A4">
      <w:pPr>
        <w:pStyle w:val="1056"/>
        <w:suppressLineNumbers w:val="false"/>
        <w:pBdr/>
        <w:spacing w:line="300" w:lineRule="auto"/>
        <w:ind w:firstLine="0"/>
        <w:rPr/>
      </w:pPr>
      <w:r/>
      <w:r/>
      <w:r/>
    </w:p>
    <w:p w14:paraId="14ED7728">
      <w:pPr>
        <w:pStyle w:val="1056"/>
        <w:suppressLineNumbers w:val="false"/>
        <w:pBdr/>
        <w:spacing w:line="300" w:lineRule="auto"/>
        <w:ind w:firstLine="0"/>
        <w:rPr/>
      </w:pPr>
      <w:r/>
      <w:r/>
      <w:r/>
    </w:p>
    <w:p w14:paraId="3F075E3F">
      <w:pPr>
        <w:pStyle w:val="1056"/>
        <w:suppressLineNumbers w:val="false"/>
        <w:pBdr/>
        <w:spacing w:line="300" w:lineRule="auto"/>
        <w:ind w:firstLine="0"/>
        <w:rPr>
          <w:b/>
          <w:bCs/>
        </w:rPr>
      </w:pPr>
      <w:r>
        <w:rPr>
          <w:b/>
          <w:bCs/>
          <w:highlight w:val="none"/>
        </w:rPr>
        <w:t xml:space="preserve">4.5.2 Class-Wise Behavior and Error Structure</w:t>
      </w:r>
      <w:r>
        <w:rPr>
          <w:b/>
          <w:bCs/>
        </w:rPr>
      </w:r>
    </w:p>
    <w:p w14:paraId="52FB58F6">
      <w:pPr>
        <w:pStyle w:val="1056"/>
        <w:suppressLineNumbers w:val="false"/>
        <w:pBdr/>
        <w:spacing w:line="300" w:lineRule="auto"/>
        <w:ind w:firstLine="0"/>
        <w:rPr>
          <w:highlight w:val="none"/>
        </w:rPr>
      </w:pPr>
      <w:r>
        <w:rPr>
          <w:highlight w:val="none"/>
        </w:rPr>
        <w:t xml:space="preserve">Aggregate improvement is important, but it does not by itself show where the gains come from. The class-wise recall summary indicates that mode1 improves recall for every Mayo class and is especially stronger on the more difficult higher-severity classes.</w:t>
      </w:r>
      <w:r/>
      <w:r>
        <w:rPr>
          <w:highlight w:val="none"/>
        </w:rPr>
      </w:r>
      <w:r>
        <w:rPr>
          <w:highlight w:val="none"/>
        </w:rPr>
      </w:r>
      <w:r/>
      <w:r/>
      <w:r/>
      <w:r/>
      <w:r>
        <w:rPr>
          <w:highlight w:val="none"/>
        </w:rP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3EF7B35">
            <w:pPr>
              <w:pBdr/>
              <w:spacing w:after="0" w:before="0" w:line="240"/>
              <w:ind/>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p>
        </w:tc>
        <w:tc>
          <w:tcPr>
            <w:tcBorders/>
            <w:tcW w:w="2160" w:type="dxa"/>
            <w:textDirection w:val="lrTb"/>
            <w:noWrap w:val="false"/>
          </w:tcPr>
          <w:p w14:paraId="7FBF4437">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Pass 5 supervised</w:t>
            </w:r>
            <w:r>
              <w:rPr>
                <w:color w:val="000000" w:themeColor="text1"/>
              </w:rPr>
            </w:r>
          </w:p>
        </w:tc>
        <w:tc>
          <w:tcPr>
            <w:tcBorders/>
            <w:tcW w:w="2160" w:type="dxa"/>
            <w:textDirection w:val="lrTb"/>
            <w:noWrap w:val="false"/>
          </w:tcPr>
          <w:p w14:paraId="20514E38">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Pass 6 </w:t>
            </w:r>
            <w:r>
              <w:rPr>
                <w:rFonts w:ascii="Droid Sans Mono" w:hAnsi="Droid Sans Mono" w:eastAsia="Droid Sans Mono" w:cs="Droid Sans Mono"/>
                <w:b/>
                <w:color w:val="000000" w:themeColor="text1"/>
                <w:sz w:val="24"/>
                <w:highlight w:val="white"/>
              </w:rPr>
              <w:t xml:space="preserve">mode1</w:t>
            </w:r>
            <w:r>
              <w:rPr>
                <w:color w:val="000000" w:themeColor="text1"/>
              </w:rPr>
            </w:r>
          </w:p>
        </w:tc>
        <w:tc>
          <w:tcPr>
            <w:tcBorders/>
            <w:tcW w:w="2160" w:type="dxa"/>
            <w:textDirection w:val="lrTb"/>
            <w:noWrap w:val="false"/>
          </w:tcPr>
          <w:p w14:paraId="0CFCCCC2">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Absolute gain</w:t>
            </w:r>
            <w:r>
              <w:rPr>
                <w:color w:val="000000" w:themeColor="text1"/>
              </w:rPr>
            </w:r>
          </w:p>
        </w:tc>
      </w:tr>
      <w:tr>
        <w:trPr/>
        <w:tc>
          <w:tcPr>
            <w:tcBorders/>
            <w:tcW w:w="2160" w:type="dxa"/>
            <w:textDirection w:val="lrTb"/>
            <w:noWrap w:val="false"/>
          </w:tcPr>
          <w:p w14:paraId="563415C6">
            <w:pPr>
              <w:pBdr/>
              <w:spacing w:after="0" w:before="0" w:line="240"/>
              <w:ind/>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p>
        </w:tc>
        <w:tc>
          <w:tcPr>
            <w:tcBorders/>
            <w:tcW w:w="2160" w:type="dxa"/>
            <w:textDirection w:val="lrTb"/>
            <w:noWrap w:val="false"/>
          </w:tcPr>
          <w:p w14:paraId="7846263C">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0.8043</w:t>
            </w:r>
            <w:r>
              <w:rPr>
                <w:color w:val="000000" w:themeColor="text1"/>
              </w:rPr>
            </w:r>
          </w:p>
        </w:tc>
        <w:tc>
          <w:tcPr>
            <w:tcBorders/>
            <w:tcW w:w="2160" w:type="dxa"/>
            <w:textDirection w:val="lrTb"/>
            <w:noWrap w:val="false"/>
          </w:tcPr>
          <w:p w14:paraId="780A0E6B">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0.8346</w:t>
            </w:r>
            <w:r>
              <w:rPr>
                <w:color w:val="000000" w:themeColor="text1"/>
              </w:rPr>
            </w:r>
          </w:p>
        </w:tc>
        <w:tc>
          <w:tcPr>
            <w:tcBorders/>
            <w:tcW w:w="2160" w:type="dxa"/>
            <w:textDirection w:val="lrTb"/>
            <w:noWrap w:val="false"/>
          </w:tcPr>
          <w:p w14:paraId="05D48CE5">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+0.0303</w:t>
            </w:r>
            <w:r>
              <w:rPr>
                <w:color w:val="000000" w:themeColor="text1"/>
              </w:rPr>
            </w:r>
          </w:p>
        </w:tc>
      </w:tr>
      <w:tr>
        <w:trPr/>
        <w:tc>
          <w:tcPr>
            <w:tcBorders/>
            <w:tcW w:w="2160" w:type="dxa"/>
            <w:textDirection w:val="lrTb"/>
            <w:noWrap w:val="false"/>
          </w:tcPr>
          <w:p w14:paraId="7CC8DA1E">
            <w:pPr>
              <w:pBdr/>
              <w:spacing w:after="0" w:before="0" w:line="240"/>
              <w:ind/>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p>
        </w:tc>
        <w:tc>
          <w:tcPr>
            <w:tcBorders/>
            <w:tcW w:w="2160" w:type="dxa"/>
            <w:textDirection w:val="lrTb"/>
            <w:noWrap w:val="false"/>
          </w:tcPr>
          <w:p w14:paraId="48EC4579">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0.7011</w:t>
            </w:r>
            <w:r>
              <w:rPr>
                <w:color w:val="000000" w:themeColor="text1"/>
              </w:rPr>
            </w:r>
          </w:p>
        </w:tc>
        <w:tc>
          <w:tcPr>
            <w:tcBorders/>
            <w:tcW w:w="2160" w:type="dxa"/>
            <w:textDirection w:val="lrTb"/>
            <w:noWrap w:val="false"/>
          </w:tcPr>
          <w:p w14:paraId="673D6C3D">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0.7349</w:t>
            </w:r>
            <w:r>
              <w:rPr>
                <w:color w:val="000000" w:themeColor="text1"/>
              </w:rPr>
            </w:r>
          </w:p>
        </w:tc>
        <w:tc>
          <w:tcPr>
            <w:tcBorders/>
            <w:tcW w:w="2160" w:type="dxa"/>
            <w:textDirection w:val="lrTb"/>
            <w:noWrap w:val="false"/>
          </w:tcPr>
          <w:p w14:paraId="47461353">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+0.0338</w:t>
            </w:r>
            <w:r>
              <w:rPr>
                <w:color w:val="000000" w:themeColor="text1"/>
              </w:rPr>
            </w:r>
          </w:p>
        </w:tc>
      </w:tr>
      <w:tr>
        <w:trPr/>
        <w:tc>
          <w:tcPr>
            <w:tcBorders/>
            <w:tcW w:w="2160" w:type="dxa"/>
            <w:textDirection w:val="lrTb"/>
            <w:noWrap w:val="false"/>
          </w:tcPr>
          <w:p w14:paraId="34C1DFF6">
            <w:pPr>
              <w:pBdr/>
              <w:spacing w:after="0" w:before="0" w:line="240"/>
              <w:ind/>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p>
        </w:tc>
        <w:tc>
          <w:tcPr>
            <w:tcBorders/>
            <w:tcW w:w="2160" w:type="dxa"/>
            <w:textDirection w:val="lrTb"/>
            <w:noWrap w:val="false"/>
          </w:tcPr>
          <w:p w14:paraId="39511AFF">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0.5782</w:t>
            </w:r>
            <w:r>
              <w:rPr>
                <w:color w:val="000000" w:themeColor="text1"/>
              </w:rPr>
            </w:r>
          </w:p>
        </w:tc>
        <w:tc>
          <w:tcPr>
            <w:tcBorders/>
            <w:tcW w:w="2160" w:type="dxa"/>
            <w:textDirection w:val="lrTb"/>
            <w:noWrap w:val="false"/>
          </w:tcPr>
          <w:p w14:paraId="4434F448">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0.7062</w:t>
            </w:r>
            <w:r>
              <w:rPr>
                <w:color w:val="000000" w:themeColor="text1"/>
              </w:rPr>
            </w:r>
          </w:p>
        </w:tc>
        <w:tc>
          <w:tcPr>
            <w:tcBorders/>
            <w:tcW w:w="2160" w:type="dxa"/>
            <w:textDirection w:val="lrTb"/>
            <w:noWrap w:val="false"/>
          </w:tcPr>
          <w:p w14:paraId="0AD25076">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+0.1281</w:t>
            </w:r>
            <w:r>
              <w:rPr>
                <w:color w:val="000000" w:themeColor="text1"/>
              </w:rPr>
            </w:r>
          </w:p>
        </w:tc>
      </w:tr>
      <w:tr>
        <w:trPr/>
        <w:tc>
          <w:tcPr>
            <w:tcBorders/>
            <w:tcW w:w="2160" w:type="dxa"/>
            <w:textDirection w:val="lrTb"/>
            <w:noWrap w:val="false"/>
          </w:tcPr>
          <w:p w14:paraId="55ABC4D0">
            <w:pPr>
              <w:pBdr/>
              <w:spacing w:after="0" w:before="0" w:line="240"/>
              <w:ind/>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p>
        </w:tc>
        <w:tc>
          <w:tcPr>
            <w:tcBorders/>
            <w:tcW w:w="2160" w:type="dxa"/>
            <w:textDirection w:val="lrTb"/>
            <w:noWrap w:val="false"/>
          </w:tcPr>
          <w:p w14:paraId="49FDCBC5">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0.6000</w:t>
            </w:r>
            <w:r>
              <w:rPr>
                <w:color w:val="000000" w:themeColor="text1"/>
              </w:rPr>
            </w:r>
          </w:p>
        </w:tc>
        <w:tc>
          <w:tcPr>
            <w:tcBorders/>
            <w:tcW w:w="2160" w:type="dxa"/>
            <w:textDirection w:val="lrTb"/>
            <w:noWrap w:val="false"/>
          </w:tcPr>
          <w:p w14:paraId="310767AF">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0.6694</w:t>
            </w:r>
            <w:r>
              <w:rPr>
                <w:color w:val="000000" w:themeColor="text1"/>
              </w:rPr>
            </w:r>
          </w:p>
        </w:tc>
        <w:tc>
          <w:tcPr>
            <w:tcBorders/>
            <w:tcW w:w="2160" w:type="dxa"/>
            <w:textDirection w:val="lrTb"/>
            <w:noWrap w:val="false"/>
          </w:tcPr>
          <w:p w14:paraId="1AD30CE4">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+0.0694</w:t>
            </w:r>
            <w:r>
              <w:rPr>
                <w:color w:val="000000" w:themeColor="text1"/>
              </w:rPr>
            </w:r>
          </w:p>
        </w:tc>
      </w:tr>
    </w:tbl>
    <w:p w14:paraId="69B64241">
      <w:pPr>
        <w:pStyle w:val="1056"/>
        <w:suppressLineNumbers w:val="false"/>
        <w:pBdr/>
        <w:spacing w:line="300" w:lineRule="auto"/>
        <w:ind w:firstLine="720" w:left="720"/>
        <w:rPr/>
      </w:pPr>
      <w:r/>
      <w:r/>
      <w:r>
        <w:t xml:space="preserve">Table 4.7. Mean Per-Class Recall on LIMUC</w:t>
      </w:r>
      <w:r/>
      <w:r/>
    </w:p>
    <w:p w14:paraId="2BCED1AE">
      <w:pPr>
        <w:pStyle w:val="1056"/>
        <w:suppressLineNumbers w:val="false"/>
        <w:pBdr/>
        <w:spacing w:line="300" w:lineRule="auto"/>
        <w:ind w:firstLine="0"/>
        <w:rPr/>
      </w:pPr>
      <w:r/>
      <w:r/>
      <w:r/>
    </w:p>
    <w:p w14:paraId="08DB43E0">
      <w:pPr>
        <w:pStyle w:val="1056"/>
        <w:suppressLineNumbers w:val="false"/>
        <w:pBdr/>
        <w:spacing w:line="300" w:lineRule="auto"/>
        <w:ind w:firstLine="0"/>
        <w:rPr/>
      </w:pPr>
      <w:r>
        <w:t xml:space="preserve">The largest gain appears in Mayo class 2, where recall rises from approximately 0.5782 to 0.7062. This is a substantial improvement because class 2 occupies a clinically meaningful middle-to-high severity region and is often vulnerable to confusion with adj</w:t>
      </w:r>
      <w:r>
        <w:t xml:space="preserve">acent classes. Class 3 also improves noticeably, indicating that the proposed generative adaptation is not merely optimizing for the dominant remission or low-severity cases.</w:t>
      </w:r>
      <w:r/>
    </w:p>
    <w:p w14:paraId="518A2989">
      <w:pPr>
        <w:pStyle w:val="1056"/>
        <w:suppressLineNumbers w:val="false"/>
        <w:pBdr/>
        <w:spacing w:line="300" w:lineRule="auto"/>
        <w:ind w:firstLine="0"/>
        <w:rPr/>
      </w:pPr>
      <w:r/>
      <w:r/>
    </w:p>
    <w:p w14:paraId="1719AC9C">
      <w:pPr>
        <w:pStyle w:val="1056"/>
        <w:suppressLineNumbers w:val="false"/>
        <w:pBdr/>
        <w:spacing w:line="300" w:lineRule="auto"/>
        <w:ind w:firstLine="0"/>
        <w:rPr/>
      </w:pPr>
      <w:r>
        <w:t xml:space="preserve">At the same time, the class-wise profile confirms that the task remains difficult. The improvement does not eliminate adjacent-boundary ambiguity, especially between neighboring severity levels. This is consistent with the visual nature of the problem, wher</w:t>
      </w:r>
      <w:r>
        <w:t xml:space="preserve">e subtle mucosal differences and frame-level ambiguity can make strict categorical separation inherently challenging.</w:t>
      </w:r>
      <w:r/>
    </w:p>
    <w:p w14:paraId="26A061C0">
      <w:pPr>
        <w:pStyle w:val="1056"/>
        <w:suppressLineNumbers w:val="false"/>
        <w:pBdr/>
        <w:spacing w:line="300" w:lineRule="auto"/>
        <w:ind w:firstLine="0"/>
        <w:rPr/>
      </w:pPr>
      <w:r/>
      <w:r/>
    </w:p>
    <w:p w14:paraId="73AFAF63">
      <w:pPr>
        <w:pStyle w:val="1056"/>
        <w:suppressLineNumbers w:val="false"/>
        <w:pBdr/>
        <w:spacing w:line="300" w:lineRule="auto"/>
        <w:ind w:firstLine="0"/>
        <w:rPr>
          <w:highlight w:val="none"/>
        </w:rPr>
      </w:pPr>
      <w:r>
        <w:t xml:space="preserve">The mode2 ablation clarifies the failure mode even more sharply. Its class-wise recall profile is 1.0 for class 0 and 0.0 for classes 1, 2, and 3, indicating an effective collapse into majority-class prediction. That pattern explains why mode2 can preserve </w:t>
      </w:r>
      <w:r>
        <w:t xml:space="preserve">perfect parse rate while still reaching QWK = 0.0: the model is producing valid labels, but those labels are clinically uninformative because the ordinal structure has collapsed.</w:t>
      </w:r>
      <w:r/>
      <w:r/>
      <w:r/>
    </w:p>
    <w:p w14:paraId="3D77CCC7">
      <w:pPr>
        <w:pStyle w:val="1056"/>
        <w:suppressLineNumbers w:val="false"/>
        <w:pBdr/>
        <w:spacing w:line="300" w:lineRule="auto"/>
        <w:ind w:firstLine="0"/>
        <w:rPr/>
      </w:pPr>
      <w:r/>
      <w:r/>
      <w:r/>
    </w:p>
    <w:p w14:paraId="2AC987A8">
      <w:pPr>
        <w:pStyle w:val="1056"/>
        <w:suppressLineNumbers w:val="false"/>
        <w:pBdr/>
        <w:spacing w:line="300" w:lineRule="auto"/>
        <w:ind w:firstLine="0"/>
        <w:rPr/>
      </w:pPr>
      <w:r/>
      <w:r/>
      <w:r/>
    </w:p>
    <w:p w14:paraId="3A4E235B">
      <w:pPr>
        <w:pStyle w:val="1056"/>
        <w:suppressLineNumbers w:val="false"/>
        <w:pBdr/>
        <w:spacing w:line="300" w:lineRule="auto"/>
        <w:ind w:firstLine="0"/>
        <w:rPr/>
      </w:pPr>
      <w:r/>
      <w:r/>
      <w:r/>
    </w:p>
    <w:p w14:paraId="4396FFF2">
      <w:pPr>
        <w:pStyle w:val="1056"/>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6121579" cy="19292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3452" name=""/>
                        <pic:cNvPicPr>
                          <a:picLocks noChangeAspect="1"/>
                        </pic:cNvPicPr>
                        <pic:nvPr/>
                      </pic:nvPicPr>
                      <pic:blipFill rotWithShape="1">
                        <a:blip r:embed="rId25"/>
                        <a:stretch/>
                      </pic:blipFill>
                      <pic:spPr bwMode="auto">
                        <a:xfrm flipH="0" flipV="0">
                          <a:off x="0" y="0"/>
                          <a:ext cx="6121579" cy="192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2.01pt;height:151.91pt;mso-wrap-distance-left:0.00pt;mso-wrap-distance-top:0.00pt;mso-wrap-distance-right:0.00pt;mso-wrap-distance-bottom:0.00pt;z-index:1;" stroked="false">
                <v:imagedata r:id="rId25" o:title=""/>
                <o:lock v:ext="edit" rotation="t"/>
              </v:shape>
            </w:pict>
          </mc:Fallback>
        </mc:AlternateContent>
      </w:r>
      <w:r>
        <w:rPr>
          <w:highlight w:val="none"/>
        </w:rPr>
      </w:r>
      <w:r/>
    </w:p>
    <w:p w14:paraId="51AB43AB">
      <w:pPr>
        <w:pStyle w:val="1056"/>
        <w:suppressLineNumbers w:val="false"/>
        <w:pBdr/>
        <w:spacing w:line="300" w:lineRule="auto"/>
        <w:ind w:firstLine="0"/>
        <w:rPr>
          <w:highlight w:val="none"/>
        </w:rPr>
      </w:pPr>
      <w:r>
        <w:rPr>
          <w:highlight w:val="none"/>
        </w:rPr>
      </w:r>
      <w:r>
        <w:rPr>
          <w:highlight w:val="none"/>
        </w:rPr>
        <w:t xml:space="preserve">Figure 4.4 visualizes the error structure behind the aggregate metrics. The mode1 lane reduces confusion more evenly across classes, whereas mode2 degenerates into a class-0-dominant pattern [84].</w:t>
      </w:r>
      <w:r>
        <w:rPr>
          <w:highlight w:val="none"/>
        </w:rPr>
      </w:r>
      <w:r/>
    </w:p>
    <w:p w14:paraId="50C0BB75">
      <w:pPr>
        <w:pStyle w:val="1056"/>
        <w:suppressLineNumbers w:val="false"/>
        <w:pBdr/>
        <w:spacing w:line="300" w:lineRule="auto"/>
        <w:ind w:firstLine="0"/>
        <w:rPr/>
      </w:pPr>
      <w:r/>
      <w:r/>
      <w:r/>
    </w:p>
    <w:p w14:paraId="3C4286F4">
      <w:pPr>
        <w:pStyle w:val="1056"/>
        <w:suppressLineNumbers w:val="false"/>
        <w:pBdr/>
        <w:spacing w:line="300" w:lineRule="auto"/>
        <w:ind w:firstLine="0"/>
        <w:rPr/>
      </w:pPr>
      <w:r/>
      <w:r/>
      <w:r/>
    </w:p>
    <w:p w14:paraId="432F305F">
      <w:pPr>
        <w:pStyle w:val="1056"/>
        <w:suppressLineNumbers w:val="false"/>
        <w:pBdr/>
        <w:spacing w:line="300" w:lineRule="auto"/>
        <w:ind w:firstLine="0"/>
        <w:rPr>
          <w:b/>
          <w:bCs/>
        </w:rPr>
      </w:pPr>
      <w:r>
        <w:rPr>
          <w:b/>
          <w:bCs/>
          <w:highlight w:val="none"/>
        </w:rPr>
        <w:t xml:space="preserve">4.5.3 External Stress Test Under Domain Shift</w:t>
      </w:r>
      <w:r>
        <w:rPr>
          <w:b/>
          <w:bCs/>
        </w:rPr>
      </w:r>
    </w:p>
    <w:p w14:paraId="169DB2E9">
      <w:pPr>
        <w:pStyle w:val="1056"/>
        <w:suppressLineNumbers w:val="false"/>
        <w:pBdr/>
        <w:spacing w:line="300" w:lineRule="auto"/>
        <w:ind w:firstLine="0"/>
        <w:rPr>
          <w:highlight w:val="none"/>
        </w:rPr>
      </w:pPr>
      <w:r>
        <w:rPr>
          <w:highlight w:val="none"/>
        </w:rPr>
        <w:t xml:space="preserve">The internal LIMUC improvement is not automatically evidence of broader robustness. For that reason, the chapter includes an external-only HyperKvasir UC proxy evaluation as a stress test.</w:t>
      </w:r>
      <w:r/>
      <w:r>
        <w:rPr>
          <w:highlight w:val="none"/>
        </w:rPr>
      </w:r>
      <w:r>
        <w:rPr>
          <w:highlight w:val="none"/>
        </w:rPr>
      </w:r>
      <w:r/>
      <w:r/>
      <w:r/>
      <w:r/>
      <w:r>
        <w:rPr>
          <w:highlight w:val="none"/>
        </w:rPr>
      </w:r>
    </w:p>
    <w:tbl>
      <w:tblPr>
        <w:tblStyle w:val="1113"/>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48E2FE5">
            <w:pPr>
              <w:pBdr/>
              <w:spacing w:after="0" w:before="0" w:line="240"/>
              <w:ind/>
              <w:rPr>
                <w:color w:val="000000" w:themeColor="text1"/>
              </w:rPr>
            </w:pPr>
            <w:r>
              <w:rPr>
                <w:rFonts w:ascii="Liberation Sans" w:hAnsi="Liberation Sans" w:eastAsia="Liberation Sans" w:cs="Liberation Sans"/>
                <w:b/>
                <w:color w:val="000000" w:themeColor="text1"/>
                <w:sz w:val="21"/>
              </w:rPr>
              <w:t xml:space="preserve">Lane</w:t>
            </w:r>
            <w:r>
              <w:rPr>
                <w:color w:val="000000" w:themeColor="text1"/>
              </w:rPr>
            </w:r>
          </w:p>
        </w:tc>
        <w:tc>
          <w:tcPr>
            <w:tcBorders/>
            <w:tcW w:w="1440" w:type="dxa"/>
            <w:textDirection w:val="lrTb"/>
            <w:noWrap w:val="false"/>
          </w:tcPr>
          <w:p w14:paraId="123A8AFD">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Internal QWK</w:t>
            </w:r>
            <w:r>
              <w:rPr>
                <w:color w:val="000000" w:themeColor="text1"/>
              </w:rPr>
            </w:r>
          </w:p>
        </w:tc>
        <w:tc>
          <w:tcPr>
            <w:tcBorders/>
            <w:tcW w:w="1440" w:type="dxa"/>
            <w:textDirection w:val="lrTb"/>
            <w:noWrap w:val="false"/>
          </w:tcPr>
          <w:p w14:paraId="417FE2AA">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External QWK</w:t>
            </w:r>
            <w:r>
              <w:rPr>
                <w:color w:val="000000" w:themeColor="text1"/>
              </w:rPr>
            </w:r>
          </w:p>
        </w:tc>
        <w:tc>
          <w:tcPr>
            <w:tcBorders/>
            <w:tcW w:w="1440" w:type="dxa"/>
            <w:textDirection w:val="lrTb"/>
            <w:noWrap w:val="false"/>
          </w:tcPr>
          <w:p w14:paraId="4E640F85">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Delta (external-internal)</w:t>
            </w:r>
            <w:r>
              <w:rPr>
                <w:color w:val="000000" w:themeColor="text1"/>
              </w:rPr>
            </w:r>
          </w:p>
        </w:tc>
        <w:tc>
          <w:tcPr>
            <w:tcBorders/>
            <w:tcW w:w="1440" w:type="dxa"/>
            <w:textDirection w:val="lrTb"/>
            <w:noWrap w:val="false"/>
          </w:tcPr>
          <w:p w14:paraId="70BB58E7">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Internal parse rate</w:t>
            </w:r>
            <w:r>
              <w:rPr>
                <w:color w:val="000000" w:themeColor="text1"/>
              </w:rPr>
            </w:r>
          </w:p>
        </w:tc>
        <w:tc>
          <w:tcPr>
            <w:tcBorders/>
            <w:tcW w:w="1440" w:type="dxa"/>
            <w:textDirection w:val="lrTb"/>
            <w:noWrap w:val="false"/>
          </w:tcPr>
          <w:p w14:paraId="22F29129">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External parse rate</w:t>
            </w:r>
            <w:r>
              <w:rPr>
                <w:color w:val="000000" w:themeColor="text1"/>
              </w:rPr>
            </w:r>
          </w:p>
        </w:tc>
      </w:tr>
      <w:tr>
        <w:trPr/>
        <w:tc>
          <w:tcPr>
            <w:tcBorders/>
            <w:tcW w:w="1440" w:type="dxa"/>
            <w:textDirection w:val="lrTb"/>
            <w:noWrap w:val="false"/>
          </w:tcPr>
          <w:p w14:paraId="7CA2BEE5">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resnet50_supervised</w:t>
            </w:r>
            <w:r>
              <w:rPr>
                <w:color w:val="000000" w:themeColor="text1"/>
              </w:rPr>
            </w:r>
          </w:p>
        </w:tc>
        <w:tc>
          <w:tcPr>
            <w:tcBorders/>
            <w:tcW w:w="1440" w:type="dxa"/>
            <w:textDirection w:val="lrTb"/>
            <w:noWrap w:val="false"/>
          </w:tcPr>
          <w:p w14:paraId="6A53AE0D">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0.828762</w:t>
            </w:r>
            <w:r>
              <w:rPr>
                <w:color w:val="000000" w:themeColor="text1"/>
              </w:rPr>
            </w:r>
          </w:p>
        </w:tc>
        <w:tc>
          <w:tcPr>
            <w:tcBorders/>
            <w:tcW w:w="1440" w:type="dxa"/>
            <w:textDirection w:val="lrTb"/>
            <w:noWrap w:val="false"/>
          </w:tcPr>
          <w:p w14:paraId="6F927CAD">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0.359597</w:t>
            </w:r>
            <w:r>
              <w:rPr>
                <w:color w:val="000000" w:themeColor="text1"/>
              </w:rPr>
            </w:r>
          </w:p>
        </w:tc>
        <w:tc>
          <w:tcPr>
            <w:tcBorders/>
            <w:tcW w:w="1440" w:type="dxa"/>
            <w:textDirection w:val="lrTb"/>
            <w:noWrap w:val="false"/>
          </w:tcPr>
          <w:p w14:paraId="002FF98D">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-0.469165</w:t>
            </w:r>
            <w:r>
              <w:rPr>
                <w:color w:val="000000" w:themeColor="text1"/>
              </w:rPr>
            </w:r>
          </w:p>
        </w:tc>
        <w:tc>
          <w:tcPr>
            <w:tcBorders/>
            <w:tcW w:w="1440" w:type="dxa"/>
            <w:textDirection w:val="lrTb"/>
            <w:noWrap w:val="false"/>
          </w:tcPr>
          <w:p w14:paraId="569F4B0B">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p>
        </w:tc>
        <w:tc>
          <w:tcPr>
            <w:tcBorders/>
            <w:tcW w:w="1440" w:type="dxa"/>
            <w:textDirection w:val="lrTb"/>
            <w:noWrap w:val="false"/>
          </w:tcPr>
          <w:p w14:paraId="37737D3B">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p>
        </w:tc>
      </w:tr>
      <w:tr>
        <w:trPr/>
        <w:tc>
          <w:tcPr>
            <w:tcBorders/>
            <w:tcW w:w="1440" w:type="dxa"/>
            <w:textDirection w:val="lrTb"/>
            <w:noWrap w:val="false"/>
          </w:tcPr>
          <w:p w14:paraId="1BF0CFC1">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vlm_lora_mode1</w:t>
            </w:r>
            <w:r>
              <w:rPr>
                <w:color w:val="000000" w:themeColor="text1"/>
              </w:rPr>
            </w:r>
          </w:p>
        </w:tc>
        <w:tc>
          <w:tcPr>
            <w:tcBorders/>
            <w:tcW w:w="1440" w:type="dxa"/>
            <w:textDirection w:val="lrTb"/>
            <w:noWrap w:val="false"/>
          </w:tcPr>
          <w:p w14:paraId="5348C978">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0.862752</w:t>
            </w:r>
            <w:r>
              <w:rPr>
                <w:color w:val="000000" w:themeColor="text1"/>
              </w:rPr>
            </w:r>
          </w:p>
        </w:tc>
        <w:tc>
          <w:tcPr>
            <w:tcBorders/>
            <w:tcW w:w="1440" w:type="dxa"/>
            <w:textDirection w:val="lrTb"/>
            <w:noWrap w:val="false"/>
          </w:tcPr>
          <w:p w14:paraId="28534F06">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p>
        </w:tc>
        <w:tc>
          <w:tcPr>
            <w:tcBorders/>
            <w:tcW w:w="1440" w:type="dxa"/>
            <w:textDirection w:val="lrTb"/>
            <w:noWrap w:val="false"/>
          </w:tcPr>
          <w:p w14:paraId="35270927">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-0.862752</w:t>
            </w:r>
            <w:r>
              <w:rPr>
                <w:color w:val="000000" w:themeColor="text1"/>
              </w:rPr>
            </w:r>
          </w:p>
        </w:tc>
        <w:tc>
          <w:tcPr>
            <w:tcBorders/>
            <w:tcW w:w="1440" w:type="dxa"/>
            <w:textDirection w:val="lrTb"/>
            <w:noWrap w:val="false"/>
          </w:tcPr>
          <w:p w14:paraId="099A756C">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p>
        </w:tc>
        <w:tc>
          <w:tcPr>
            <w:tcBorders/>
            <w:tcW w:w="1440" w:type="dxa"/>
            <w:textDirection w:val="lrTb"/>
            <w:noWrap w:val="false"/>
          </w:tcPr>
          <w:p w14:paraId="43F04615">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w:t>
            </w:r>
            <w:r>
              <w:rPr>
                <w:color w:val="000000" w:themeColor="text1"/>
              </w:rPr>
            </w:r>
          </w:p>
        </w:tc>
      </w:tr>
      <w:tr>
        <w:trPr/>
        <w:tc>
          <w:tcPr>
            <w:tcBorders/>
            <w:tcW w:w="1440" w:type="dxa"/>
            <w:textDirection w:val="lrTb"/>
            <w:noWrap w:val="false"/>
          </w:tcPr>
          <w:p w14:paraId="3E67C07C">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vlm_lora_mode2</w:t>
            </w:r>
            <w:r>
              <w:rPr>
                <w:color w:val="000000" w:themeColor="text1"/>
              </w:rPr>
            </w:r>
          </w:p>
        </w:tc>
        <w:tc>
          <w:tcPr>
            <w:tcBorders/>
            <w:tcW w:w="1440" w:type="dxa"/>
            <w:textDirection w:val="lrTb"/>
            <w:noWrap w:val="false"/>
          </w:tcPr>
          <w:p w14:paraId="092815B3">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p>
        </w:tc>
        <w:tc>
          <w:tcPr>
            <w:tcBorders/>
            <w:tcW w:w="1440" w:type="dxa"/>
            <w:textDirection w:val="lrTb"/>
            <w:noWrap w:val="false"/>
          </w:tcPr>
          <w:p w14:paraId="1E1D80DA">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p>
        </w:tc>
        <w:tc>
          <w:tcPr>
            <w:tcBorders/>
            <w:tcW w:w="1440" w:type="dxa"/>
            <w:textDirection w:val="lrTb"/>
            <w:noWrap w:val="false"/>
          </w:tcPr>
          <w:p w14:paraId="4947E8D7">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p>
        </w:tc>
        <w:tc>
          <w:tcPr>
            <w:tcBorders/>
            <w:tcW w:w="1440" w:type="dxa"/>
            <w:textDirection w:val="lrTb"/>
            <w:noWrap w:val="false"/>
          </w:tcPr>
          <w:p w14:paraId="173EECE8">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p>
        </w:tc>
        <w:tc>
          <w:tcPr>
            <w:tcBorders/>
            <w:tcW w:w="1440" w:type="dxa"/>
            <w:textDirection w:val="lrTb"/>
            <w:noWrap w:val="false"/>
          </w:tcPr>
          <w:p w14:paraId="58B3B9B8">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p>
        </w:tc>
      </w:tr>
    </w:tbl>
    <w:p w14:paraId="1B5BFEA0">
      <w:pPr>
        <w:pStyle w:val="1056"/>
        <w:suppressLineNumbers w:val="false"/>
        <w:pBdr/>
        <w:spacing w:line="300" w:lineRule="auto"/>
        <w:ind w:firstLine="720" w:left="720"/>
        <w:rPr>
          <w:highlight w:val="none"/>
        </w:rPr>
      </w:pPr>
      <w:r>
        <w:rPr>
          <w:highlight w:val="none"/>
        </w:rPr>
        <w:t xml:space="preserve">Table 4.8. Internal-to-External Performance Shift</w:t>
      </w:r>
      <w:r>
        <w:rPr>
          <w:highlight w:val="none"/>
        </w:rPr>
      </w:r>
    </w:p>
    <w:p w14:paraId="45D8098F">
      <w:pPr>
        <w:pStyle w:val="1056"/>
        <w:suppressLineNumbers w:val="false"/>
        <w:pBdr/>
        <w:spacing w:line="300" w:lineRule="auto"/>
        <w:ind w:firstLine="720" w:left="720"/>
        <w:rPr>
          <w:highlight w:val="none"/>
        </w:rPr>
      </w:pPr>
      <w:r>
        <w:rPr>
          <w:highlight w:val="none"/>
        </w:rPr>
      </w:r>
      <w:r>
        <w:rPr>
          <w:highlight w:val="none"/>
        </w:rPr>
      </w:r>
      <w:r>
        <w:rPr>
          <w:highlight w:val="none"/>
        </w:rPr>
      </w:r>
    </w:p>
    <w:p w14:paraId="771B4591">
      <w:pPr>
        <w:pStyle w:val="1056"/>
        <w:suppressLineNumbers w:val="false"/>
        <w:pBdr/>
        <w:spacing w:line="300" w:lineRule="auto"/>
        <w:ind w:firstLine="0" w:left="0"/>
        <w:rPr/>
      </w:pPr>
      <w:r>
        <w:rPr>
          <w:highlight w:val="none"/>
        </w:rPr>
        <w:t xml:space="preserve">The external results are poor for all model families, but the failure pattern differs by lane. The supervised ResNet50 baseline degrades substantially, yet still retains non-zero external agreement (QWK = 0.359597). The mode1 generative lane, by contrast, c</w:t>
      </w:r>
      <w:r>
        <w:rPr>
          <w:highlight w:val="none"/>
        </w:rPr>
        <w:t xml:space="preserve">ollapses almost completely under this proxy setting: external accuracy falls to 0.041128, macro-F1 to 0.019752, QWK to 0.0, and parse rate to 0.0. This means that under the external proxy condition the model does not merely become less accurate; it stops em</w:t>
      </w:r>
      <w:r>
        <w:rPr>
          <w:highlight w:val="none"/>
        </w:rPr>
        <w:t xml:space="preserve">itting outputs that can be parsed as valid scores at all.</w:t>
      </w:r>
      <w:r/>
    </w:p>
    <w:p w14:paraId="08D24874">
      <w:pPr>
        <w:pStyle w:val="1056"/>
        <w:suppressLineNumbers w:val="false"/>
        <w:pBdr/>
        <w:spacing w:line="300" w:lineRule="auto"/>
        <w:ind w:firstLine="0" w:left="0"/>
        <w:rPr/>
      </w:pPr>
      <w:r>
        <w:rPr>
          <w:highlight w:val="none"/>
        </w:rPr>
      </w:r>
      <w:r/>
    </w:p>
    <w:p w14:paraId="7A4A2CAA">
      <w:pPr>
        <w:pStyle w:val="1056"/>
        <w:suppressLineNumbers w:val="false"/>
        <w:pBdr/>
        <w:spacing w:line="300" w:lineRule="auto"/>
        <w:ind w:firstLine="0" w:left="0"/>
        <w:rPr>
          <w:highlight w:val="none"/>
        </w:rPr>
      </w:pPr>
      <w:r>
        <w:rPr>
          <w:highlight w:val="none"/>
        </w:rPr>
        <w:t xml:space="preserve">This is an important negative result. It indicates that the internal success of the proposed generative lane is real but not yet domain-robust. The likely causes are a combination of dataset shift, label-space mismatch introduced by the proxy mapping, and o</w:t>
      </w:r>
      <w:r>
        <w:rPr>
          <w:highlight w:val="none"/>
        </w:rPr>
        <w:t xml:space="preserve">utput-style fragility when the visual distribution no longer matches the in-domain training regime. The mode2 lane remains degenerate internally and externally, which reinforces the interpretation that it is not a viable alternative scoring strategy under t</w:t>
      </w:r>
      <w:r>
        <w:rPr>
          <w:highlight w:val="none"/>
        </w:rPr>
        <w:t xml:space="preserve">he present design.</w:t>
      </w:r>
      <w:r/>
      <w:r>
        <w:rPr>
          <w:highlight w:val="none"/>
        </w:rPr>
      </w:r>
      <w:r>
        <w:rPr>
          <w:highlight w:val="none"/>
        </w:rPr>
      </w:r>
    </w:p>
    <w:p w14:paraId="13328220">
      <w:pPr>
        <w:pStyle w:val="1056"/>
        <w:suppressLineNumbers w:val="false"/>
        <w:pBdr/>
        <w:spacing w:line="300" w:lineRule="auto"/>
        <w:ind w:firstLine="0" w:left="0"/>
        <w:rPr>
          <w:highlight w:val="none"/>
        </w:rPr>
      </w:pPr>
      <w:r>
        <w:rPr>
          <w:highlight w:val="none"/>
        </w:rPr>
      </w:r>
      <w:r>
        <w:rPr>
          <w:highlight w:val="none"/>
        </w:rPr>
      </w:r>
      <w:r>
        <w:rPr>
          <w:highlight w:val="none"/>
        </w:rPr>
      </w:r>
    </w:p>
    <w:p w14:paraId="183C1461">
      <w:pPr>
        <w:pStyle w:val="1056"/>
        <w:suppressLineNumbers w:val="false"/>
        <w:pBdr/>
        <w:spacing w:line="300" w:lineRule="auto"/>
        <w:ind w:firstLine="0" w:left="0"/>
        <w:rPr>
          <w:highlight w:val="none"/>
        </w:rPr>
      </w:pPr>
      <w:r>
        <w:rPr>
          <w:highlight w:val="none"/>
        </w:rPr>
        <mc:AlternateContent>
          <mc:Choice Requires="wpg">
            <w:drawing>
              <wp:inline xmlns:wp="http://schemas.openxmlformats.org/drawingml/2006/wordprocessingDrawing" distT="0" distB="0" distL="0" distR="0">
                <wp:extent cx="5486400" cy="276705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84772" name=""/>
                        <pic:cNvPicPr>
                          <a:picLocks noChangeAspect="1"/>
                        </pic:cNvPicPr>
                        <pic:nvPr/>
                      </pic:nvPicPr>
                      <pic:blipFill rotWithShape="1">
                        <a:blip r:embed="rId26"/>
                        <a:stretch/>
                      </pic:blipFill>
                      <pic:spPr bwMode="auto">
                        <a:xfrm>
                          <a:off x="0" y="0"/>
                          <a:ext cx="5486399" cy="2767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217.88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2BF8B80A">
      <w:pPr>
        <w:pStyle w:val="1056"/>
        <w:suppressLineNumbers w:val="false"/>
        <w:pBdr/>
        <w:spacing w:line="300" w:lineRule="auto"/>
        <w:ind w:firstLine="0" w:left="0"/>
        <w:rPr>
          <w:highlight w:val="none"/>
        </w:rPr>
      </w:pPr>
      <w:r>
        <w:rPr>
          <w:highlight w:val="none"/>
        </w:rPr>
      </w:r>
      <w:r>
        <w:rPr>
          <w:highlight w:val="none"/>
        </w:rPr>
        <w:t xml:space="preserve">Figure 4.5 summarizes the scale of the external degradation. The figure should be read as robustness-limitation evidence rather than as a contradiction of the internal LIMUC improvement [82].</w:t>
      </w:r>
      <w:r>
        <w:rPr>
          <w:highlight w:val="none"/>
        </w:rPr>
      </w:r>
      <w:r>
        <w:rPr>
          <w:highlight w:val="none"/>
        </w:rPr>
      </w:r>
      <w:r>
        <w:rPr>
          <w:highlight w:val="none"/>
        </w:rPr>
      </w:r>
    </w:p>
    <w:p w14:paraId="09CCC8D4">
      <w:pPr>
        <w:pStyle w:val="1056"/>
        <w:suppressLineNumbers w:val="false"/>
        <w:pBdr/>
        <w:spacing w:line="300" w:lineRule="auto"/>
        <w:ind w:firstLine="0"/>
        <w:rPr/>
      </w:pPr>
      <w:r>
        <w:rPr>
          <w:highlight w:val="none"/>
        </w:rPr>
      </w:r>
      <w:r/>
      <w:r>
        <w:rPr>
          <w:highlight w:val="none"/>
        </w:rPr>
      </w:r>
      <w:r>
        <w:rPr>
          <w:highlight w:val="none"/>
        </w:rPr>
      </w:r>
      <w:r>
        <w:rPr>
          <w:highlight w:val="none"/>
        </w:rPr>
      </w:r>
    </w:p>
    <w:p w14:paraId="4999A6F1">
      <w:pPr>
        <w:pStyle w:val="1056"/>
        <w:suppressLineNumbers w:val="false"/>
        <w:pBdr/>
        <w:spacing w:line="300" w:lineRule="auto"/>
        <w:ind w:firstLine="0"/>
        <w:rPr>
          <w:b/>
          <w:bCs/>
          <w:sz w:val="28"/>
          <w:szCs w:val="28"/>
        </w:rPr>
      </w:pPr>
      <w:r>
        <w:rPr>
          <w:b/>
          <w:bCs/>
          <w:sz w:val="28"/>
          <w:szCs w:val="28"/>
        </w:rPr>
        <w:t xml:space="preserve">4.6 Discussion</w:t>
      </w:r>
      <w:r>
        <w:rPr>
          <w:b/>
          <w:bCs/>
          <w:sz w:val="28"/>
          <w:szCs w:val="28"/>
        </w:rPr>
      </w:r>
    </w:p>
    <w:p w14:paraId="2F77AEE9">
      <w:pPr>
        <w:pStyle w:val="1056"/>
        <w:suppressLineNumbers w:val="false"/>
        <w:pBdr/>
        <w:spacing w:line="300" w:lineRule="auto"/>
        <w:ind w:firstLine="0"/>
        <w:rPr/>
      </w:pPr>
      <w:r>
        <w:t xml:space="preserve">The results support a precise conclusion: a vision-language model can outperform a strong supervised baseline on internal UC severity grading when its generation is adapted to the task through parameter-efficient training and constrained output design. This</w:t>
      </w:r>
      <w:r>
        <w:t xml:space="preserve"> is not evidence that unrestricted multimodal generation is superior to classification. It is evidence that a carefully controlled generative interface can function as an effective ordinal scorer when the task, output space, and training objective are tight</w:t>
      </w:r>
      <w:r>
        <w:t xml:space="preserve">ly aligned.</w:t>
      </w:r>
      <w:r/>
    </w:p>
    <w:p w14:paraId="4E71B951">
      <w:pPr>
        <w:pStyle w:val="1056"/>
        <w:suppressLineNumbers w:val="false"/>
        <w:pBdr/>
        <w:spacing w:line="300" w:lineRule="auto"/>
        <w:ind w:firstLine="0"/>
        <w:rPr/>
      </w:pPr>
      <w:r/>
      <w:r/>
    </w:p>
    <w:p w14:paraId="222D9B86">
      <w:pPr>
        <w:pStyle w:val="1056"/>
        <w:suppressLineNumbers w:val="false"/>
        <w:pBdr/>
        <w:spacing w:line="300" w:lineRule="auto"/>
        <w:ind w:firstLine="0"/>
        <w:rPr>
          <w:b/>
          <w:bCs/>
        </w:rPr>
      </w:pPr>
      <w:r>
        <w:rPr>
          <w:b/>
          <w:bCs/>
        </w:rPr>
        <w:t xml:space="preserve">4.6.1 Why the Adapted Generative Lane Improves Internal Severity Grading</w:t>
      </w:r>
      <w:r>
        <w:rPr>
          <w:b/>
          <w:bCs/>
        </w:rPr>
      </w:r>
    </w:p>
    <w:p w14:paraId="487D2548">
      <w:pPr>
        <w:pStyle w:val="1056"/>
        <w:suppressLineNumbers w:val="false"/>
        <w:pBdr/>
        <w:spacing w:line="300" w:lineRule="auto"/>
        <w:ind w:firstLine="0"/>
        <w:rPr/>
      </w:pPr>
      <w:r>
        <w:t xml:space="preserve">The mode1 lane succeeds because it combines three properties that are often separated in the MedVQA literature. First, it retains the representational capacity of a large pretrained vision-language model. Second, it is adapted in-domain rather than prompted</w:t>
      </w:r>
      <w:r>
        <w:t xml:space="preserve"> naively. Third, its output behavior is constrained strongly enough that the model is rewarded for emitting the clinically relevant decision token rather than for producing fluent but task-irrelevant text.</w:t>
      </w:r>
      <w:r/>
    </w:p>
    <w:p w14:paraId="56C15F79">
      <w:pPr>
        <w:pStyle w:val="1056"/>
        <w:suppressLineNumbers w:val="false"/>
        <w:pBdr/>
        <w:spacing w:line="300" w:lineRule="auto"/>
        <w:ind w:firstLine="0"/>
        <w:rPr/>
      </w:pPr>
      <w:r/>
      <w:r/>
    </w:p>
    <w:p w14:paraId="074E6D33">
      <w:pPr>
        <w:pStyle w:val="1056"/>
        <w:suppressLineNumbers w:val="false"/>
        <w:pBdr/>
        <w:spacing w:line="300" w:lineRule="auto"/>
        <w:ind w:firstLine="0"/>
        <w:rPr/>
      </w:pPr>
      <w:r>
        <w:t xml:space="preserve">This combination appears to matter particularly for the minority and higher-severity classes. The class-wise recall gains suggest that the LoRA-adapted model is not simply memorizing majority labels more effectively than the supervised baseline. Instead, it</w:t>
      </w:r>
      <w:r>
        <w:t xml:space="preserve"> seems to learn a better ordering-sensitive decision surface for the four Mayo categories under the fixed prompt format. That is the key methodological result of the chapter.</w:t>
      </w:r>
      <w:r/>
    </w:p>
    <w:p w14:paraId="21F4F8E0">
      <w:pPr>
        <w:pStyle w:val="1056"/>
        <w:suppressLineNumbers w:val="false"/>
        <w:pBdr/>
        <w:spacing w:line="300" w:lineRule="auto"/>
        <w:ind w:firstLine="0"/>
        <w:rPr/>
      </w:pPr>
      <w:r/>
      <w:r/>
    </w:p>
    <w:p w14:paraId="38B08A3C">
      <w:pPr>
        <w:pStyle w:val="1056"/>
        <w:suppressLineNumbers w:val="false"/>
        <w:pBdr/>
        <w:spacing w:line="300" w:lineRule="auto"/>
        <w:ind w:firstLine="0"/>
        <w:rPr>
          <w:b/>
          <w:bCs/>
        </w:rPr>
      </w:pPr>
      <w:r>
        <w:rPr>
          <w:b/>
          <w:bCs/>
        </w:rPr>
        <w:t xml:space="preserve">4.6.2 Why the Likelihood-Only Lane Fails</w:t>
      </w:r>
      <w:r>
        <w:rPr>
          <w:b/>
          <w:bCs/>
        </w:rPr>
      </w:r>
    </w:p>
    <w:p w14:paraId="77CC55DD">
      <w:pPr>
        <w:pStyle w:val="1056"/>
        <w:suppressLineNumbers w:val="false"/>
        <w:pBdr/>
        <w:spacing w:line="300" w:lineRule="auto"/>
        <w:ind w:firstLine="0"/>
        <w:rPr/>
      </w:pPr>
      <w:r>
        <w:t xml:space="preserve">The failure of mode2 is just as informative as the success of mode1. In principle, likelihood-based label selection after a fixed prefix could have offered a cleaner and more classifier-like use of the generative backbone. In practice, it collapses to major</w:t>
      </w:r>
      <w:r>
        <w:t xml:space="preserve">ity behavior. The saved class-wise recall profile shows that mode2 effectively predicts class 0 only, which is enough to preserve superficial syntax but destroys clinical utility.</w:t>
      </w:r>
      <w:r/>
    </w:p>
    <w:p w14:paraId="79698D6C">
      <w:pPr>
        <w:pStyle w:val="1056"/>
        <w:suppressLineNumbers w:val="false"/>
        <w:pBdr/>
        <w:spacing w:line="300" w:lineRule="auto"/>
        <w:ind w:firstLine="0"/>
        <w:rPr/>
      </w:pPr>
      <w:r/>
      <w:r/>
    </w:p>
    <w:p w14:paraId="46E60790">
      <w:pPr>
        <w:pStyle w:val="1056"/>
        <w:suppressLineNumbers w:val="false"/>
        <w:pBdr/>
        <w:spacing w:line="300" w:lineRule="auto"/>
        <w:ind w:firstLine="0"/>
        <w:rPr/>
      </w:pPr>
      <w:r>
        <w:t xml:space="preserve">This negative result illustrates a broader thesis point: stricter output control is not automatically better if it removes the mechanism through which the adapted model expresses the decision boundary it has learned. A clinically useful generative system mu</w:t>
      </w:r>
      <w:r>
        <w:t xml:space="preserve">st be controlled, but the form of control must still allow task-relevant discrimination. Mode1 achieves that balance under the internal protocol; mode2 does not.</w:t>
      </w:r>
      <w:r/>
    </w:p>
    <w:p w14:paraId="39F7FA0C">
      <w:pPr>
        <w:pStyle w:val="1056"/>
        <w:suppressLineNumbers w:val="false"/>
        <w:pBdr/>
        <w:spacing w:line="300" w:lineRule="auto"/>
        <w:ind w:firstLine="0"/>
        <w:rPr/>
      </w:pPr>
      <w:r/>
      <w:r/>
    </w:p>
    <w:p w14:paraId="2E5BCCA2">
      <w:pPr>
        <w:pStyle w:val="1056"/>
        <w:suppressLineNumbers w:val="false"/>
        <w:pBdr/>
        <w:spacing w:line="300" w:lineRule="auto"/>
        <w:ind w:firstLine="0"/>
        <w:rPr>
          <w:b/>
          <w:bCs/>
        </w:rPr>
      </w:pPr>
      <w:r>
        <w:rPr>
          <w:b/>
          <w:bCs/>
        </w:rPr>
        <w:t xml:space="preserve">4.6.3 Implications for the Broader Dissertation</w:t>
      </w:r>
      <w:r>
        <w:rPr>
          <w:b/>
          <w:bCs/>
        </w:rPr>
      </w:r>
    </w:p>
    <w:p w14:paraId="52D8F18A">
      <w:pPr>
        <w:pStyle w:val="1056"/>
        <w:suppressLineNumbers w:val="false"/>
        <w:pBdr/>
        <w:spacing w:line="300" w:lineRule="auto"/>
        <w:ind w:firstLine="0"/>
        <w:rPr/>
      </w:pPr>
      <w:r>
        <w:t xml:space="preserve">The broader significance of Chapter 4 is methodological. It shows that the path from benchmark MedVQA to clinically usable multimodal systems does not run through unconstrained prompting. Instead, it requires bounded task design, explicit evaluation of outp</w:t>
      </w:r>
      <w:r>
        <w:t xml:space="preserve">ut validity, and comparison against strong supervised anchors. In that sense, Chapter 4 is the bridge between the diagnostic benchmarking of Chapter 3 and the physician-facing wrapper of Chapter 5.</w:t>
      </w:r>
      <w:r/>
    </w:p>
    <w:p w14:paraId="47650077">
      <w:pPr>
        <w:pStyle w:val="1056"/>
        <w:suppressLineNumbers w:val="false"/>
        <w:pBdr/>
        <w:spacing w:line="300" w:lineRule="auto"/>
        <w:ind w:firstLine="0"/>
        <w:rPr/>
      </w:pPr>
      <w:r/>
      <w:r/>
    </w:p>
    <w:p w14:paraId="363AD047">
      <w:pPr>
        <w:pStyle w:val="1056"/>
        <w:suppressLineNumbers w:val="false"/>
        <w:pBdr/>
        <w:spacing w:line="300" w:lineRule="auto"/>
        <w:ind w:firstLine="0"/>
        <w:rPr/>
      </w:pPr>
      <w:r>
        <w:t xml:space="preserve">The chapter also clarifies what kind of generative model is worth carrying forward. The severity component advanced from Chapter 4 is not a general-purpose conversational model. It is a controlled upstream module whose job is to convert an image into a stab</w:t>
      </w:r>
      <w:r>
        <w:t xml:space="preserve">le severity signal under explicit formatting rules. That is precisely the kind of component that can be embedded safely into a larger evidence-grounded decision-support pipeline.</w:t>
      </w:r>
      <w:r/>
    </w:p>
    <w:p w14:paraId="54A0764B">
      <w:pPr>
        <w:pStyle w:val="1056"/>
        <w:suppressLineNumbers w:val="false"/>
        <w:pBdr/>
        <w:spacing w:line="300" w:lineRule="auto"/>
        <w:ind w:firstLine="0"/>
        <w:rPr/>
      </w:pPr>
      <w:r/>
      <w:r/>
    </w:p>
    <w:p w14:paraId="6C03B91D">
      <w:pPr>
        <w:pStyle w:val="1056"/>
        <w:suppressLineNumbers w:val="false"/>
        <w:pBdr/>
        <w:spacing w:line="300" w:lineRule="auto"/>
        <w:ind w:firstLine="0"/>
        <w:rPr>
          <w:b/>
          <w:bCs/>
          <w:sz w:val="28"/>
          <w:szCs w:val="28"/>
        </w:rPr>
      </w:pPr>
      <w:r>
        <w:rPr>
          <w:b/>
          <w:bCs/>
          <w:sz w:val="28"/>
          <w:szCs w:val="28"/>
        </w:rPr>
        <w:t xml:space="preserve">4.7 Limitations and Claim Boundary</w:t>
      </w:r>
      <w:r>
        <w:rPr>
          <w:b/>
          <w:bCs/>
          <w:sz w:val="28"/>
          <w:szCs w:val="28"/>
        </w:rPr>
      </w:r>
    </w:p>
    <w:p w14:paraId="7B911386">
      <w:pPr>
        <w:pStyle w:val="1056"/>
        <w:suppressLineNumbers w:val="false"/>
        <w:pBdr/>
        <w:spacing w:line="300" w:lineRule="auto"/>
        <w:ind w:firstLine="0"/>
        <w:rPr/>
      </w:pPr>
      <w:r>
        <w:t xml:space="preserve">Several limitations constrain the interpretation of the results and should be stated explicitly in the dissertation text.</w:t>
      </w:r>
      <w:r/>
    </w:p>
    <w:p w14:paraId="680076FF">
      <w:pPr>
        <w:pStyle w:val="1056"/>
        <w:suppressLineNumbers w:val="false"/>
        <w:pBdr/>
        <w:spacing w:line="300" w:lineRule="auto"/>
        <w:ind w:firstLine="0"/>
        <w:rPr/>
      </w:pPr>
      <w:r/>
      <w:r/>
    </w:p>
    <w:p w14:paraId="439557A0">
      <w:pPr>
        <w:pStyle w:val="1056"/>
        <w:numPr>
          <w:ilvl w:val="0"/>
          <w:numId w:val="78"/>
        </w:numPr>
        <w:suppressLineNumbers w:val="false"/>
        <w:pBdr/>
        <w:spacing w:line="300" w:lineRule="auto"/>
        <w:ind/>
        <w:rPr/>
      </w:pPr>
      <w:r>
        <w:t xml:space="preserve">The task is frame-based rather than procedure-based. A single image can support severity estimation, but it is not equivalent to full-video or full-case clinical assessment.</w:t>
      </w:r>
      <w:r/>
    </w:p>
    <w:p w14:paraId="757B5BBD">
      <w:pPr>
        <w:pStyle w:val="1056"/>
        <w:numPr>
          <w:ilvl w:val="0"/>
          <w:numId w:val="78"/>
        </w:numPr>
        <w:suppressLineNumbers w:val="false"/>
        <w:pBdr/>
        <w:spacing w:line="300" w:lineRule="auto"/>
        <w:ind/>
        <w:rPr/>
      </w:pPr>
      <w:r>
        <w:t xml:space="preserve">Class-boundary ambiguity remains a persistent source of error, especially for adjacent Mayo categories such as 0 &lt;-&gt; 1 and 1 &lt;-&gt; 2.</w:t>
      </w:r>
      <w:r/>
    </w:p>
    <w:p w14:paraId="4F71BDF3">
      <w:pPr>
        <w:pStyle w:val="1056"/>
        <w:numPr>
          <w:ilvl w:val="0"/>
          <w:numId w:val="78"/>
        </w:numPr>
        <w:suppressLineNumbers w:val="false"/>
        <w:pBdr/>
        <w:spacing w:line="300" w:lineRule="auto"/>
        <w:ind/>
        <w:rPr/>
      </w:pPr>
      <w:r>
        <w:t xml:space="preserve">The mode2 lane fails under the present design and should be treated as a negative-result ablation rather than as a viable alternative deployment mode.</w:t>
      </w:r>
      <w:r/>
    </w:p>
    <w:p w14:paraId="0F4B176A">
      <w:pPr>
        <w:pStyle w:val="1056"/>
        <w:numPr>
          <w:ilvl w:val="0"/>
          <w:numId w:val="78"/>
        </w:numPr>
        <w:suppressLineNumbers w:val="false"/>
        <w:pBdr/>
        <w:spacing w:line="300" w:lineRule="auto"/>
        <w:ind/>
        <w:rPr/>
      </w:pPr>
      <w:r>
        <w:t xml:space="preserve">The external HyperKvasir UC proxy evaluation uses mapped interval labels rather than native Mayo annotation. Its results are therefore informative for robustness analysis but insufficient for deployment claims.</w:t>
      </w:r>
      <w:r/>
    </w:p>
    <w:p w14:paraId="5B5BC736">
      <w:pPr>
        <w:pStyle w:val="1056"/>
        <w:numPr>
          <w:ilvl w:val="0"/>
          <w:numId w:val="78"/>
        </w:numPr>
        <w:suppressLineNumbers w:val="false"/>
        <w:pBdr/>
        <w:spacing w:line="300" w:lineRule="auto"/>
        <w:ind/>
        <w:rPr/>
      </w:pPr>
      <w:r>
        <w:t xml:space="preserve">Although mode1 improves internal QWK to 0.863656, the result remains below a 0.90 threshold and therefore still leaves meaningful headroom for future improvement.</w:t>
      </w:r>
      <w:r/>
    </w:p>
    <w:p w14:paraId="0ACDFBBD">
      <w:pPr>
        <w:pStyle w:val="1056"/>
        <w:numPr>
          <w:ilvl w:val="0"/>
          <w:numId w:val="78"/>
        </w:numPr>
        <w:suppressLineNumbers w:val="false"/>
        <w:pBdr/>
        <w:spacing w:line="300" w:lineRule="auto"/>
        <w:ind/>
        <w:rPr/>
      </w:pPr>
      <w:r>
        <w:t xml:space="preserve">Structured outputs that combine Mayo + evidence phrase are not part of the headline claim in this chapter. The contribution established here is limited to controlled severity scoring.</w:t>
      </w:r>
      <w:r/>
    </w:p>
    <w:p w14:paraId="244B3FEB">
      <w:pPr>
        <w:pStyle w:val="1056"/>
        <w:suppressLineNumbers w:val="false"/>
        <w:pBdr/>
        <w:spacing w:line="300" w:lineRule="auto"/>
        <w:ind w:firstLine="0"/>
        <w:rPr/>
      </w:pPr>
      <w:r>
        <w:t xml:space="preserve">Accordingly, the central claim of Chapter 4 should be read narrowly and precisely: under the fixed internal LIMUC protocol, the LoRA-adapted generative mode1 lane exceeds the official supervised baseline on ordinal and class-balanced severity metrics while </w:t>
      </w:r>
      <w:r>
        <w:t xml:space="preserve">maintaining perfect parse compliance. The chapter does not claim external deployment readiness, general GI reasoning competence, or robust cross-domain severity transfer.</w:t>
      </w:r>
      <w:r/>
    </w:p>
    <w:p w14:paraId="6A75D189">
      <w:pPr>
        <w:pStyle w:val="1056"/>
        <w:suppressLineNumbers w:val="false"/>
        <w:pBdr/>
        <w:spacing w:line="300" w:lineRule="auto"/>
        <w:ind w:firstLine="0"/>
        <w:rPr>
          <w:b/>
          <w:bCs/>
          <w:sz w:val="28"/>
          <w:szCs w:val="28"/>
        </w:rPr>
      </w:pPr>
      <w:r>
        <w:rPr>
          <w:b/>
          <w:bCs/>
          <w:sz w:val="28"/>
          <w:szCs w:val="28"/>
        </w:rPr>
      </w:r>
      <w:r>
        <w:rPr>
          <w:b/>
          <w:bCs/>
          <w:sz w:val="28"/>
          <w:szCs w:val="28"/>
        </w:rPr>
      </w:r>
    </w:p>
    <w:p w14:paraId="1FB18BA3">
      <w:pPr>
        <w:pStyle w:val="1056"/>
        <w:suppressLineNumbers w:val="false"/>
        <w:pBdr/>
        <w:spacing w:line="300" w:lineRule="auto"/>
        <w:ind w:firstLine="0"/>
        <w:rPr>
          <w:b/>
          <w:bCs/>
          <w:sz w:val="28"/>
          <w:szCs w:val="28"/>
        </w:rPr>
      </w:pPr>
      <w:r>
        <w:rPr>
          <w:b/>
          <w:bCs/>
          <w:sz w:val="28"/>
          <w:szCs w:val="28"/>
        </w:rPr>
        <w:t xml:space="preserve">4.8 Chapter Summary and Transition to Chapter 5</w:t>
      </w:r>
      <w:r>
        <w:rPr>
          <w:b/>
          <w:bCs/>
          <w:sz w:val="28"/>
          <w:szCs w:val="28"/>
        </w:rPr>
      </w:r>
    </w:p>
    <w:p w14:paraId="74666A03">
      <w:pPr>
        <w:pStyle w:val="1056"/>
        <w:suppressLineNumbers w:val="false"/>
        <w:pBdr/>
        <w:spacing w:line="300" w:lineRule="auto"/>
        <w:ind w:firstLine="0"/>
        <w:rPr/>
      </w:pPr>
      <w:r>
        <w:t xml:space="preserve">Chapter 4 transformed the diagnostic findings of Chapter 3 into a concrete proposed method. Using LIMUC as the primary evidence base, the chapter defined a reproducible Mayo 0-3 severity task, established a strong supervised anchor, implemented a LoRA-adapt</w:t>
      </w:r>
      <w:r>
        <w:t xml:space="preserve">ed vision-language severity model, and evaluated it under a controlled multi-seed protocol. The main empirical result is clear: on internal LIMUC, the generative mode1 lane improves on the supervised baseline in QWK, macro-F1, balanced accuracy, and accurac</w:t>
      </w:r>
      <w:r>
        <w:t xml:space="preserve">y while preserving perfect parse validity. At the same time, the external stress test shows that this gain should be interpreted as in-domain improvement rather than as generalization proof.</w:t>
      </w:r>
      <w:r/>
    </w:p>
    <w:p w14:paraId="35EE84BC">
      <w:pPr>
        <w:pStyle w:val="1056"/>
        <w:suppressLineNumbers w:val="false"/>
        <w:pBdr/>
        <w:spacing w:line="300" w:lineRule="auto"/>
        <w:ind w:firstLine="0"/>
        <w:rPr/>
      </w:pPr>
      <w:r/>
      <w:r/>
    </w:p>
    <w:p w14:paraId="6350D145">
      <w:pPr>
        <w:pStyle w:val="1056"/>
        <w:suppressLineNumbers w:val="false"/>
        <w:pBdr/>
        <w:spacing w:line="300" w:lineRule="auto"/>
        <w:ind w:firstLine="0"/>
        <w:rPr/>
      </w:pPr>
      <w:r>
        <w:t xml:space="preserve">This outcome provides the exact kind of upstream component needed for the next stage of the dissertation. Chapter 5 takes the severity signal developed here as a fixed input and places it inside a physician-facing wrapper that adds PICO extraction, retrieva</w:t>
      </w:r>
      <w:r>
        <w:t xml:space="preserve">l grounding, citation linkage, and safety constraints. In other words, Chapter 4 solves the bounded severity-estimation problem; Chapter 5 asks how that bounded signal can be integrated into a more traceable and clinically useful multimodal interaction laye</w:t>
      </w:r>
      <w:r>
        <w:t xml:space="preserve">r.</w:t>
      </w:r>
      <w:r/>
    </w:p>
    <w:p w14:paraId="7857BF40">
      <w:pPr>
        <w:pStyle w:val="1056"/>
        <w:suppressLineNumbers w:val="false"/>
        <w:pBdr/>
        <w:spacing w:line="300" w:lineRule="auto"/>
        <w:ind w:firstLine="0"/>
        <w:rPr/>
      </w:pPr>
      <w:r/>
      <w:r/>
      <w:r/>
      <w:r/>
      <w:r/>
    </w:p>
    <w:p w14:paraId="5B0C8B7A">
      <w:pPr>
        <w:pStyle w:val="1056"/>
        <w:suppressLineNumbers w:val="false"/>
        <w:pBdr/>
        <w:spacing w:line="300" w:lineRule="auto"/>
        <w:ind w:firstLine="0"/>
        <w:rPr/>
      </w:pPr>
      <w:r/>
      <w:r/>
      <w:r/>
    </w:p>
    <w:p w14:paraId="29E3354C">
      <w:pPr>
        <w:pStyle w:val="1043"/>
        <w:suppressLineNumbers w:val="false"/>
        <w:pBdr/>
        <w:spacing w:line="300" w:lineRule="auto"/>
        <w:ind/>
        <w:rPr/>
      </w:pPr>
      <w:r>
        <w:br/>
      </w:r>
      <w:r>
        <w:br/>
      </w:r>
      <w:r/>
      <w:r>
        <w:t xml:space="preserve">PICO-Grounded GenAI Wrapper for Physician Query Support</w:t>
      </w:r>
      <w:r/>
      <w:r/>
    </w:p>
    <w:p w14:paraId="24ADFCAC">
      <w:pPr>
        <w:pStyle w:val="1056"/>
        <w:suppressLineNumbers w:val="false"/>
        <w:pBdr/>
        <w:spacing w:line="300" w:lineRule="auto"/>
        <w:ind w:firstLine="0"/>
        <w:rPr>
          <w:b/>
          <w:bCs/>
        </w:rPr>
      </w:pPr>
      <w:r>
        <w:rPr>
          <w:b/>
          <w:bCs/>
        </w:rPr>
      </w:r>
      <w:r>
        <w:rPr>
          <w:b/>
          <w:bCs/>
        </w:rPr>
      </w:r>
      <w:r>
        <w:rPr>
          <w:b/>
          <w:bCs/>
        </w:rPr>
      </w:r>
    </w:p>
    <w:p w14:paraId="6B790CCC">
      <w:pPr>
        <w:pStyle w:val="1056"/>
        <w:suppressLineNumbers w:val="false"/>
        <w:pBdr/>
        <w:spacing w:line="300" w:lineRule="auto"/>
        <w:ind w:firstLine="0"/>
        <w:rPr>
          <w:b/>
          <w:bCs/>
          <w:sz w:val="28"/>
          <w:szCs w:val="28"/>
        </w:rPr>
      </w:pPr>
      <w:r>
        <w:rPr>
          <w:b/>
          <w:bCs/>
          <w:sz w:val="28"/>
          <w:szCs w:val="28"/>
          <w:lang w:val="en-US"/>
        </w:rPr>
        <w:t xml:space="preserve">5</w:t>
      </w:r>
      <w:r>
        <w:rPr>
          <w:b/>
          <w:bCs/>
          <w:sz w:val="28"/>
          <w:szCs w:val="28"/>
        </w:rPr>
        <w:t xml:space="preserve">.1 </w:t>
      </w:r>
      <w:r>
        <w:rPr>
          <w:b/>
          <w:bCs/>
          <w:sz w:val="28"/>
          <w:szCs w:val="28"/>
        </w:rPr>
        <w:t xml:space="preserve">Chapter Purpose and Contribution</w:t>
      </w:r>
      <w:r>
        <w:rPr>
          <w:b/>
          <w:bCs/>
          <w:sz w:val="28"/>
          <w:szCs w:val="28"/>
        </w:rPr>
      </w:r>
      <w:r>
        <w:rPr>
          <w:b/>
          <w:bCs/>
          <w:sz w:val="28"/>
          <w:szCs w:val="28"/>
        </w:rPr>
      </w:r>
    </w:p>
    <w:p w14:paraId="397B6265">
      <w:pPr>
        <w:pStyle w:val="1056"/>
        <w:suppressLineNumbers w:val="false"/>
        <w:pBdr/>
        <w:spacing w:line="300" w:lineRule="auto"/>
        <w:ind w:firstLine="0"/>
        <w:rPr/>
      </w:pPr>
      <w:r>
        <w:t xml:space="preserve">C</w:t>
      </w:r>
      <w:r>
        <w:t xml:space="preserve">hapter 3 established the central empirical tension that motivates this chapter. Across multiple GI-endoscopy settings, constrained and supervised models were consistently more reliable than naive zero-shot vision-language prompting. That pattern was </w:t>
      </w:r>
      <w:r/>
      <w:r/>
      <w:r/>
      <w:r/>
      <w:r/>
      <w:r/>
      <w:r/>
      <w:r/>
      <w:r/>
    </w:p>
    <w:p w14:paraId="5BBB0D0E">
      <w:pPr>
        <w:pStyle w:val="1056"/>
        <w:suppressLineNumbers w:val="false"/>
        <w:pBdr/>
        <w:spacing w:line="300" w:lineRule="auto"/>
        <w:ind w:firstLine="0"/>
        <w:rPr/>
      </w:pPr>
      <w:r>
        <w:t xml:space="preserve">Chapter 4 established a frozen, reproducible ulcerative colitis (UC) severity component under explicit claim boundaries. Chapter 5 extends that work into a physician-query wrapper that is designed for traceable decision support, not autonomous recommendatio</w:t>
      </w:r>
      <w:r>
        <w:t xml:space="preserve">n.</w:t>
      </w:r>
      <w:r/>
      <w:r/>
      <w:r/>
      <w:r/>
    </w:p>
    <w:p w14:paraId="25DA5590">
      <w:pPr>
        <w:pStyle w:val="1056"/>
        <w:suppressLineNumbers w:val="false"/>
        <w:pBdr/>
        <w:spacing w:line="300" w:lineRule="auto"/>
        <w:ind w:firstLine="0"/>
        <w:rPr/>
      </w:pPr>
      <w:r>
        <w:t xml:space="preserve">The chapter contribution is practical and system-level:</w:t>
      </w:r>
      <w:r/>
      <w:r/>
      <w:r/>
      <w:r/>
    </w:p>
    <w:p w14:paraId="56B7219E">
      <w:pPr>
        <w:pStyle w:val="1056"/>
        <w:numPr>
          <w:ilvl w:val="0"/>
          <w:numId w:val="80"/>
        </w:numPr>
        <w:suppressLineNumbers w:val="false"/>
        <w:pBdr/>
        <w:spacing w:line="300" w:lineRule="auto"/>
        <w:ind/>
        <w:rPr/>
      </w:pPr>
      <w:r>
        <w:t xml:space="preserve">convert physician-style queries into structured PICO fields;</w:t>
      </w:r>
      <w:r/>
    </w:p>
    <w:p w14:paraId="7371B133">
      <w:pPr>
        <w:pStyle w:val="1056"/>
        <w:numPr>
          <w:ilvl w:val="0"/>
          <w:numId w:val="80"/>
        </w:numPr>
        <w:suppressLineNumbers w:val="false"/>
        <w:pBdr/>
        <w:spacing w:line="300" w:lineRule="auto"/>
        <w:ind/>
        <w:rPr/>
      </w:pPr>
      <w:r>
        <w:t xml:space="preserve">retrieve evidence chunks conditioned on PICO intent;</w:t>
      </w:r>
      <w:r/>
    </w:p>
    <w:p w14:paraId="551DCC7E">
      <w:pPr>
        <w:pStyle w:val="1056"/>
        <w:numPr>
          <w:ilvl w:val="0"/>
          <w:numId w:val="80"/>
        </w:numPr>
        <w:suppressLineNumbers w:val="false"/>
        <w:pBdr/>
        <w:spacing w:line="300" w:lineRule="auto"/>
        <w:ind/>
        <w:rPr/>
      </w:pPr>
      <w:r>
        <w:t xml:space="preserve">synthesize citation-linked claims under explicit safety rules;</w:t>
      </w:r>
      <w:r/>
    </w:p>
    <w:p w14:paraId="418F6EA7">
      <w:pPr>
        <w:pStyle w:val="1056"/>
        <w:numPr>
          <w:ilvl w:val="0"/>
          <w:numId w:val="80"/>
        </w:numPr>
        <w:suppressLineNumbers w:val="false"/>
        <w:pBdr/>
        <w:spacing w:line="300" w:lineRule="auto"/>
        <w:ind/>
        <w:rPr/>
      </w:pPr>
      <w:r>
        <w:t xml:space="preserve">preserve compatibility with frozen Chapter 4 severity context via typed schemas;</w:t>
      </w:r>
      <w:r/>
    </w:p>
    <w:p w14:paraId="0B30A640">
      <w:pPr>
        <w:pStyle w:val="1056"/>
        <w:numPr>
          <w:ilvl w:val="0"/>
          <w:numId w:val="80"/>
        </w:numPr>
        <w:suppressLineNumbers w:val="false"/>
        <w:pBdr/>
        <w:spacing w:line="300" w:lineRule="auto"/>
        <w:ind/>
        <w:rPr/>
      </w:pPr>
      <w:r>
        <w:t xml:space="preserve">provide reproducible evaluation and completion-audit artifacts.</w:t>
      </w:r>
      <w:r/>
      <w:r/>
      <w:r/>
      <w:r/>
    </w:p>
    <w:p w14:paraId="5C24B280">
      <w:pPr>
        <w:pStyle w:val="1056"/>
        <w:suppressLineNumbers w:val="false"/>
        <w:pBdr/>
        <w:spacing w:line="300" w:lineRule="auto"/>
        <w:ind w:firstLine="0"/>
        <w:rPr/>
      </w:pPr>
      <w:r>
        <w:rPr>
          <w:highlight w:val="none"/>
        </w:rPr>
      </w:r>
      <w:r>
        <w:rPr>
          <w:highlight w:val="none"/>
        </w:rPr>
      </w:r>
      <w:r>
        <w:rPr>
          <w:highlight w:val="none"/>
        </w:rPr>
      </w:r>
    </w:p>
    <w:p w14:paraId="07294DD4">
      <w:pPr>
        <w:pStyle w:val="1056"/>
        <w:suppressLineNumbers w:val="false"/>
        <w:pBdr/>
        <w:spacing w:line="300" w:lineRule="auto"/>
        <w:ind w:firstLine="0"/>
        <w:rPr>
          <w:b/>
          <w:bCs/>
          <w:sz w:val="28"/>
          <w:szCs w:val="28"/>
        </w:rPr>
      </w:pPr>
      <w:r>
        <w:rPr>
          <w:b/>
          <w:bCs/>
          <w:sz w:val="28"/>
          <w:szCs w:val="28"/>
        </w:rPr>
        <w:t xml:space="preserve">5.2 Boundary Conditions from Chapter 4 Freeze</w:t>
      </w:r>
      <w:r>
        <w:rPr>
          <w:b/>
          <w:bCs/>
          <w:sz w:val="28"/>
          <w:szCs w:val="28"/>
        </w:rPr>
      </w:r>
    </w:p>
    <w:p w14:paraId="260F2FB5">
      <w:pPr>
        <w:pStyle w:val="1056"/>
        <w:suppressLineNumbers w:val="false"/>
        <w:pBdr/>
        <w:spacing w:line="300" w:lineRule="auto"/>
        <w:ind w:firstLine="0"/>
        <w:rPr/>
      </w:pPr>
      <w:r>
        <w:t xml:space="preserve">For cross-chapter consistency, the upstream severity boundary in this chapter aligns to the frozen Pass 5/6/7 reporting policy in Chapter 4 (not exploratory runs). The official internal Chapter 4 reference points used here are:</w:t>
      </w:r>
      <w:r/>
      <w:r/>
      <w:r/>
    </w:p>
    <w:tbl>
      <w:tblPr>
        <w:tblStyle w:val="1113"/>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3D04A18F">
            <w:pPr>
              <w:pBdr/>
              <w:spacing w:after="0" w:before="0" w:line="240"/>
              <w:ind/>
              <w:rPr>
                <w:color w:val="000000" w:themeColor="text1"/>
              </w:rPr>
            </w:pPr>
            <w:r>
              <w:rPr>
                <w:rFonts w:ascii="Liberation Sans" w:hAnsi="Liberation Sans" w:eastAsia="Liberation Sans" w:cs="Liberation Sans"/>
                <w:b/>
                <w:color w:val="000000" w:themeColor="text1"/>
                <w:sz w:val="21"/>
              </w:rPr>
              <w:t xml:space="preserve">Upstream lane (Chapter 4)</w:t>
            </w:r>
            <w:r>
              <w:rPr>
                <w:color w:val="000000" w:themeColor="text1"/>
              </w:rPr>
            </w:r>
          </w:p>
        </w:tc>
        <w:tc>
          <w:tcPr>
            <w:tcBorders/>
            <w:tcW w:w="1440" w:type="dxa"/>
            <w:textDirection w:val="lrTb"/>
            <w:noWrap w:val="false"/>
          </w:tcPr>
          <w:p w14:paraId="2F030F1B">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Accuracy</w:t>
            </w:r>
            <w:r>
              <w:rPr>
                <w:color w:val="000000" w:themeColor="text1"/>
              </w:rPr>
            </w:r>
          </w:p>
        </w:tc>
        <w:tc>
          <w:tcPr>
            <w:tcBorders/>
            <w:tcW w:w="1440" w:type="dxa"/>
            <w:textDirection w:val="lrTb"/>
            <w:noWrap w:val="false"/>
          </w:tcPr>
          <w:p w14:paraId="1D53AE45">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Macro-F1</w:t>
            </w:r>
            <w:r>
              <w:rPr>
                <w:color w:val="000000" w:themeColor="text1"/>
              </w:rPr>
            </w:r>
          </w:p>
        </w:tc>
        <w:tc>
          <w:tcPr>
            <w:tcBorders/>
            <w:tcW w:w="1440" w:type="dxa"/>
            <w:textDirection w:val="lrTb"/>
            <w:noWrap w:val="false"/>
          </w:tcPr>
          <w:p w14:paraId="5EA196E9">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Balanced accuracy</w:t>
            </w:r>
            <w:r>
              <w:rPr>
                <w:color w:val="000000" w:themeColor="text1"/>
              </w:rPr>
            </w:r>
          </w:p>
        </w:tc>
        <w:tc>
          <w:tcPr>
            <w:tcBorders/>
            <w:tcW w:w="1440" w:type="dxa"/>
            <w:textDirection w:val="lrTb"/>
            <w:noWrap w:val="false"/>
          </w:tcPr>
          <w:p w14:paraId="10E9DED9">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QWK</w:t>
            </w:r>
            <w:r>
              <w:rPr>
                <w:color w:val="000000" w:themeColor="text1"/>
              </w:rPr>
            </w:r>
          </w:p>
        </w:tc>
        <w:tc>
          <w:tcPr>
            <w:tcBorders/>
            <w:tcW w:w="1440" w:type="dxa"/>
            <w:textDirection w:val="lrTb"/>
            <w:noWrap w:val="false"/>
          </w:tcPr>
          <w:p w14:paraId="4AAEA465">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Parse rate</w:t>
            </w:r>
            <w:r>
              <w:rPr>
                <w:color w:val="000000" w:themeColor="text1"/>
              </w:rPr>
            </w:r>
          </w:p>
        </w:tc>
      </w:tr>
      <w:tr>
        <w:trPr/>
        <w:tc>
          <w:tcPr>
            <w:tcBorders/>
            <w:tcW w:w="1440" w:type="dxa"/>
            <w:textDirection w:val="lrTb"/>
            <w:noWrap w:val="false"/>
          </w:tcPr>
          <w:p w14:paraId="21AB6DAE">
            <w:pPr>
              <w:pBdr/>
              <w:spacing w:after="0" w:before="0" w:line="240"/>
              <w:ind/>
              <w:rPr>
                <w:color w:val="000000" w:themeColor="text1"/>
              </w:rPr>
            </w:pPr>
            <w:r>
              <w:rPr>
                <w:rFonts w:ascii="Liberation Sans" w:hAnsi="Liberation Sans" w:eastAsia="Liberation Sans" w:cs="Liberation Sans"/>
                <w:color w:val="000000" w:themeColor="text1"/>
                <w:sz w:val="21"/>
              </w:rPr>
              <w:t xml:space="preserve">Pass 5 supervised</w:t>
            </w:r>
            <w:r>
              <w:rPr>
                <w:color w:val="000000" w:themeColor="text1"/>
              </w:rPr>
            </w:r>
          </w:p>
        </w:tc>
        <w:tc>
          <w:tcPr>
            <w:tcBorders/>
            <w:tcW w:w="1440" w:type="dxa"/>
            <w:textDirection w:val="lrTb"/>
            <w:noWrap w:val="false"/>
          </w:tcPr>
          <w:p w14:paraId="349385AF">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0.737643</w:t>
            </w:r>
            <w:r>
              <w:rPr>
                <w:color w:val="000000" w:themeColor="text1"/>
              </w:rPr>
            </w:r>
          </w:p>
        </w:tc>
        <w:tc>
          <w:tcPr>
            <w:tcBorders/>
            <w:tcW w:w="1440" w:type="dxa"/>
            <w:textDirection w:val="lrTb"/>
            <w:noWrap w:val="false"/>
          </w:tcPr>
          <w:p w14:paraId="0B939C0F">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0.667330</w:t>
            </w:r>
            <w:r>
              <w:rPr>
                <w:color w:val="000000" w:themeColor="text1"/>
              </w:rPr>
            </w:r>
          </w:p>
        </w:tc>
        <w:tc>
          <w:tcPr>
            <w:tcBorders/>
            <w:tcW w:w="1440" w:type="dxa"/>
            <w:textDirection w:val="lrTb"/>
            <w:noWrap w:val="false"/>
          </w:tcPr>
          <w:p w14:paraId="7DBB07DF">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0.670907</w:t>
            </w:r>
            <w:r>
              <w:rPr>
                <w:color w:val="000000" w:themeColor="text1"/>
              </w:rPr>
            </w:r>
          </w:p>
        </w:tc>
        <w:tc>
          <w:tcPr>
            <w:tcBorders/>
            <w:tcW w:w="1440" w:type="dxa"/>
            <w:textDirection w:val="lrTb"/>
            <w:noWrap w:val="false"/>
          </w:tcPr>
          <w:p w14:paraId="1005AC33">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0.818649</w:t>
            </w:r>
            <w:r>
              <w:rPr>
                <w:color w:val="000000" w:themeColor="text1"/>
              </w:rPr>
            </w:r>
          </w:p>
        </w:tc>
        <w:tc>
          <w:tcPr>
            <w:tcBorders/>
            <w:tcW w:w="1440" w:type="dxa"/>
            <w:textDirection w:val="lrTb"/>
            <w:noWrap w:val="false"/>
          </w:tcPr>
          <w:p w14:paraId="3CC271D8">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p>
        </w:tc>
      </w:tr>
      <w:tr>
        <w:trPr/>
        <w:tc>
          <w:tcPr>
            <w:tcBorders/>
            <w:tcW w:w="1440" w:type="dxa"/>
            <w:textDirection w:val="lrTb"/>
            <w:noWrap w:val="false"/>
          </w:tcPr>
          <w:p w14:paraId="3017FCC0">
            <w:pPr>
              <w:pBdr/>
              <w:spacing w:after="0" w:before="0" w:line="240"/>
              <w:ind/>
              <w:rPr>
                <w:color w:val="000000" w:themeColor="text1"/>
              </w:rPr>
            </w:pPr>
            <w:r>
              <w:rPr>
                <w:rFonts w:ascii="Liberation Sans" w:hAnsi="Liberation Sans" w:eastAsia="Liberation Sans" w:cs="Liberation Sans"/>
                <w:color w:val="000000" w:themeColor="text1"/>
                <w:sz w:val="21"/>
              </w:rPr>
              <w:t xml:space="preserve">Pass 6 mode1 (primary generative lane)</w:t>
            </w:r>
            <w:r>
              <w:rPr>
                <w:color w:val="000000" w:themeColor="text1"/>
              </w:rPr>
            </w:r>
          </w:p>
        </w:tc>
        <w:tc>
          <w:tcPr>
            <w:tcBorders/>
            <w:tcW w:w="1440" w:type="dxa"/>
            <w:textDirection w:val="lrTb"/>
            <w:noWrap w:val="false"/>
          </w:tcPr>
          <w:p w14:paraId="360DA113">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0.781930</w:t>
            </w:r>
            <w:r>
              <w:rPr>
                <w:color w:val="000000" w:themeColor="text1"/>
              </w:rPr>
            </w:r>
          </w:p>
        </w:tc>
        <w:tc>
          <w:tcPr>
            <w:tcBorders/>
            <w:tcW w:w="1440" w:type="dxa"/>
            <w:textDirection w:val="lrTb"/>
            <w:noWrap w:val="false"/>
          </w:tcPr>
          <w:p w14:paraId="775CF911">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0.727920</w:t>
            </w:r>
            <w:r>
              <w:rPr>
                <w:color w:val="000000" w:themeColor="text1"/>
              </w:rPr>
            </w:r>
          </w:p>
        </w:tc>
        <w:tc>
          <w:tcPr>
            <w:tcBorders/>
            <w:tcW w:w="1440" w:type="dxa"/>
            <w:textDirection w:val="lrTb"/>
            <w:noWrap w:val="false"/>
          </w:tcPr>
          <w:p w14:paraId="17B876C0">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0.736292</w:t>
            </w:r>
            <w:r>
              <w:rPr>
                <w:color w:val="000000" w:themeColor="text1"/>
              </w:rPr>
            </w:r>
          </w:p>
        </w:tc>
        <w:tc>
          <w:tcPr>
            <w:tcBorders/>
            <w:tcW w:w="1440" w:type="dxa"/>
            <w:textDirection w:val="lrTb"/>
            <w:noWrap w:val="false"/>
          </w:tcPr>
          <w:p w14:paraId="1053478B">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0.863656</w:t>
            </w:r>
            <w:r>
              <w:rPr>
                <w:color w:val="000000" w:themeColor="text1"/>
              </w:rPr>
            </w:r>
          </w:p>
        </w:tc>
        <w:tc>
          <w:tcPr>
            <w:tcBorders/>
            <w:tcW w:w="1440" w:type="dxa"/>
            <w:textDirection w:val="lrTb"/>
            <w:noWrap w:val="false"/>
          </w:tcPr>
          <w:p w14:paraId="7DE1D536">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1.000000</w:t>
            </w:r>
            <w:r>
              <w:rPr>
                <w:color w:val="000000" w:themeColor="text1"/>
              </w:rPr>
            </w:r>
          </w:p>
        </w:tc>
      </w:tr>
      <w:tr>
        <w:trPr/>
        <w:tc>
          <w:tcPr>
            <w:tcBorders/>
            <w:tcW w:w="1440" w:type="dxa"/>
            <w:textDirection w:val="lrTb"/>
            <w:noWrap w:val="false"/>
          </w:tcPr>
          <w:p w14:paraId="45DA9713">
            <w:pPr>
              <w:pBdr/>
              <w:spacing w:after="0" w:before="0" w:line="240"/>
              <w:ind/>
              <w:rPr>
                <w:color w:val="000000" w:themeColor="text1"/>
              </w:rPr>
            </w:pPr>
            <w:r>
              <w:rPr>
                <w:rFonts w:ascii="Liberation Sans" w:hAnsi="Liberation Sans" w:eastAsia="Liberation Sans" w:cs="Liberation Sans"/>
                <w:color w:val="000000" w:themeColor="text1"/>
                <w:sz w:val="21"/>
              </w:rPr>
              <w:t xml:space="preserve">Pass 6 mode2 (negative ablation)</w:t>
            </w:r>
            <w:r>
              <w:rPr>
                <w:color w:val="000000" w:themeColor="text1"/>
              </w:rPr>
            </w:r>
          </w:p>
        </w:tc>
        <w:tc>
          <w:tcPr>
            <w:tcBorders/>
            <w:tcW w:w="1440" w:type="dxa"/>
            <w:textDirection w:val="lrTb"/>
            <w:noWrap w:val="false"/>
          </w:tcPr>
          <w:p w14:paraId="4CD3FE00">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0.548636</w:t>
            </w:r>
            <w:r>
              <w:rPr>
                <w:color w:val="000000" w:themeColor="text1"/>
              </w:rPr>
            </w:r>
          </w:p>
        </w:tc>
        <w:tc>
          <w:tcPr>
            <w:tcBorders/>
            <w:tcW w:w="1440" w:type="dxa"/>
            <w:textDirection w:val="lrTb"/>
            <w:noWrap w:val="false"/>
          </w:tcPr>
          <w:p w14:paraId="2165A04E">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0.177135</w:t>
            </w:r>
            <w:r>
              <w:rPr>
                <w:color w:val="000000" w:themeColor="text1"/>
              </w:rPr>
            </w:r>
          </w:p>
        </w:tc>
        <w:tc>
          <w:tcPr>
            <w:tcBorders/>
            <w:tcW w:w="1440" w:type="dxa"/>
            <w:textDirection w:val="lrTb"/>
            <w:noWrap w:val="false"/>
          </w:tcPr>
          <w:p w14:paraId="32C9EEB9">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0.250000</w:t>
            </w:r>
            <w:r>
              <w:rPr>
                <w:color w:val="000000" w:themeColor="text1"/>
              </w:rPr>
            </w:r>
          </w:p>
        </w:tc>
        <w:tc>
          <w:tcPr>
            <w:tcBorders/>
            <w:tcW w:w="1440" w:type="dxa"/>
            <w:textDirection w:val="lrTb"/>
            <w:noWrap w:val="false"/>
          </w:tcPr>
          <w:p w14:paraId="63F9D06E">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p>
        </w:tc>
        <w:tc>
          <w:tcPr>
            <w:tcBorders/>
            <w:tcW w:w="1440" w:type="dxa"/>
            <w:textDirection w:val="lrTb"/>
            <w:noWrap w:val="false"/>
          </w:tcPr>
          <w:p w14:paraId="4BA85866">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1.000000</w:t>
            </w:r>
            <w:r>
              <w:rPr>
                <w:color w:val="000000" w:themeColor="text1"/>
              </w:rPr>
            </w:r>
          </w:p>
        </w:tc>
      </w:tr>
    </w:tbl>
    <w:p w14:paraId="275C1417">
      <w:pPr>
        <w:pStyle w:val="1056"/>
        <w:suppressLineNumbers w:val="false"/>
        <w:pBdr/>
        <w:spacing w:line="300" w:lineRule="auto"/>
        <w:ind w:firstLine="0"/>
        <w:rPr/>
      </w:pPr>
      <w:r/>
      <w:r/>
    </w:p>
    <w:p w14:paraId="559131A9">
      <w:pPr>
        <w:pStyle w:val="1056"/>
        <w:suppressLineNumbers w:val="false"/>
        <w:pBdr/>
        <w:spacing w:line="300" w:lineRule="auto"/>
        <w:ind w:firstLine="0"/>
        <w:rPr>
          <w:highlight w:val="none"/>
        </w:rPr>
      </w:pPr>
      <w:r/>
      <w:r>
        <w:t xml:space="preserve">In the Chapter 5 pass4 wrapper evaluation run, severity context ingestion is supported by schema (SeverityResult) but intentionally disabled for the reported benchmark pass (has_severity_context=false) to isolate wrapper behavior.</w:t>
      </w:r>
      <w:r/>
      <w:r/>
    </w:p>
    <w:p w14:paraId="277955A8">
      <w:pPr>
        <w:pStyle w:val="1056"/>
        <w:suppressLineNumbers w:val="false"/>
        <w:pBdr/>
        <w:spacing w:line="300" w:lineRule="auto"/>
        <w:ind w:firstLine="0"/>
        <w:rPr/>
      </w:pPr>
      <w:r/>
      <w:r/>
      <w:r/>
    </w:p>
    <w:p w14:paraId="0E699669">
      <w:pPr>
        <w:pStyle w:val="1056"/>
        <w:suppressLineNumbers w:val="false"/>
        <w:pBdr/>
        <w:spacing w:line="300" w:lineRule="auto"/>
        <w:ind w:firstLine="0"/>
        <w:rPr>
          <w:b/>
          <w:bCs/>
          <w:sz w:val="28"/>
          <w:szCs w:val="28"/>
        </w:rPr>
      </w:pPr>
      <w:r>
        <w:rPr>
          <w:b/>
          <w:bCs/>
          <w:sz w:val="28"/>
          <w:szCs w:val="28"/>
          <w:highlight w:val="none"/>
        </w:rPr>
        <w:t xml:space="preserve">5.3 Design Objectives and Non-Objectives</w:t>
      </w:r>
      <w:r>
        <w:rPr>
          <w:b/>
          <w:bCs/>
          <w:sz w:val="28"/>
          <w:szCs w:val="28"/>
        </w:rPr>
      </w:r>
    </w:p>
    <w:p w14:paraId="51FFD3F1">
      <w:pPr>
        <w:pStyle w:val="1056"/>
        <w:suppressLineNumbers w:val="false"/>
        <w:pBdr/>
        <w:spacing w:line="300" w:lineRule="auto"/>
        <w:ind w:firstLine="0"/>
        <w:rPr>
          <w:b/>
          <w:bCs/>
        </w:rPr>
      </w:pPr>
      <w:r>
        <w:rPr>
          <w:b/>
          <w:bCs/>
          <w:highlight w:val="none"/>
        </w:rPr>
        <w:t xml:space="preserve">5.3.1 Design objectives</w:t>
      </w:r>
      <w:r>
        <w:rPr>
          <w:b/>
          <w:bCs/>
        </w:rPr>
      </w:r>
    </w:p>
    <w:p w14:paraId="46875332">
      <w:pPr>
        <w:pStyle w:val="1056"/>
        <w:numPr>
          <w:ilvl w:val="0"/>
          <w:numId w:val="81"/>
        </w:numPr>
        <w:suppressLineNumbers w:val="false"/>
        <w:pBdr/>
        <w:spacing w:line="300" w:lineRule="auto"/>
        <w:ind/>
        <w:rPr/>
      </w:pPr>
      <w:r>
        <w:rPr>
          <w:highlight w:val="none"/>
        </w:rPr>
        <w:t xml:space="preserve">enforce structured outputs with explicit claims and citations;</w:t>
      </w:r>
      <w:r/>
    </w:p>
    <w:p w14:paraId="2731CF60">
      <w:pPr>
        <w:pStyle w:val="1056"/>
        <w:numPr>
          <w:ilvl w:val="0"/>
          <w:numId w:val="81"/>
        </w:numPr>
        <w:suppressLineNumbers w:val="false"/>
        <w:pBdr/>
        <w:spacing w:line="300" w:lineRule="auto"/>
        <w:ind/>
        <w:rPr/>
      </w:pPr>
      <w:r>
        <w:rPr>
          <w:highlight w:val="none"/>
        </w:rPr>
        <w:t xml:space="preserve">keep failure behavior visible (refusal/escalation instead of fabricated confidence);</w:t>
      </w:r>
      <w:r/>
    </w:p>
    <w:p w14:paraId="7F08803D">
      <w:pPr>
        <w:pStyle w:val="1056"/>
        <w:numPr>
          <w:ilvl w:val="0"/>
          <w:numId w:val="81"/>
        </w:numPr>
        <w:suppressLineNumbers w:val="false"/>
        <w:pBdr/>
        <w:spacing w:line="300" w:lineRule="auto"/>
        <w:ind/>
        <w:rPr/>
      </w:pPr>
      <w:r>
        <w:rPr>
          <w:highlight w:val="none"/>
        </w:rPr>
        <w:t xml:space="preserve">preserve deterministic, local reproducibility without external API dependence;</w:t>
      </w:r>
      <w:r/>
    </w:p>
    <w:p w14:paraId="7AF58C45">
      <w:pPr>
        <w:pStyle w:val="1056"/>
        <w:numPr>
          <w:ilvl w:val="0"/>
          <w:numId w:val="81"/>
        </w:numPr>
        <w:suppressLineNumbers w:val="false"/>
        <w:pBdr/>
        <w:spacing w:line="300" w:lineRule="auto"/>
        <w:ind/>
        <w:rPr/>
      </w:pPr>
      <w:r>
        <w:rPr>
          <w:highlight w:val="none"/>
        </w:rPr>
        <w:t xml:space="preserve">keep module boundaries clear so the wrapper can be audited independently of Chapter 4 retraining.</w:t>
      </w:r>
      <w:r/>
    </w:p>
    <w:p w14:paraId="41051289">
      <w:pPr>
        <w:pStyle w:val="1056"/>
        <w:suppressLineNumbers w:val="false"/>
        <w:pBdr/>
        <w:spacing w:line="300" w:lineRule="auto"/>
        <w:ind w:firstLine="0"/>
        <w:rPr>
          <w:b/>
          <w:bCs/>
        </w:rPr>
      </w:pPr>
      <w:r>
        <w:rPr>
          <w:b/>
          <w:bCs/>
          <w:highlight w:val="none"/>
        </w:rPr>
        <w:t xml:space="preserve">5.3.2 Non-objectives in this chapter</w:t>
      </w:r>
      <w:r>
        <w:rPr>
          <w:b/>
          <w:bCs/>
        </w:rPr>
      </w:r>
    </w:p>
    <w:p w14:paraId="096AD365">
      <w:pPr>
        <w:pStyle w:val="1056"/>
        <w:numPr>
          <w:ilvl w:val="0"/>
          <w:numId w:val="82"/>
        </w:numPr>
        <w:suppressLineNumbers w:val="false"/>
        <w:pBdr/>
        <w:spacing w:line="300" w:lineRule="auto"/>
        <w:ind/>
        <w:rPr/>
      </w:pPr>
      <w:r>
        <w:rPr>
          <w:highlight w:val="none"/>
        </w:rPr>
        <w:t xml:space="preserve">no patient-specific dosing recommendation generation;</w:t>
      </w:r>
      <w:r/>
    </w:p>
    <w:p w14:paraId="07298D9E">
      <w:pPr>
        <w:pStyle w:val="1056"/>
        <w:numPr>
          <w:ilvl w:val="0"/>
          <w:numId w:val="82"/>
        </w:numPr>
        <w:suppressLineNumbers w:val="false"/>
        <w:pBdr/>
        <w:spacing w:line="300" w:lineRule="auto"/>
        <w:ind/>
        <w:rPr/>
      </w:pPr>
      <w:r>
        <w:rPr>
          <w:highlight w:val="none"/>
        </w:rPr>
        <w:t xml:space="preserve">no claim of external clinical deployment readiness;</w:t>
      </w:r>
      <w:r/>
    </w:p>
    <w:p w14:paraId="52C7AEB9">
      <w:pPr>
        <w:pStyle w:val="1056"/>
        <w:numPr>
          <w:ilvl w:val="0"/>
          <w:numId w:val="82"/>
        </w:numPr>
        <w:suppressLineNumbers w:val="false"/>
        <w:pBdr/>
        <w:spacing w:line="300" w:lineRule="auto"/>
        <w:ind/>
        <w:rPr/>
      </w:pPr>
      <w:r>
        <w:rPr>
          <w:highlight w:val="none"/>
        </w:rPr>
        <w:t xml:space="preserve">no replacement of physician judgement;</w:t>
      </w:r>
      <w:r/>
    </w:p>
    <w:p w14:paraId="4CEBD232">
      <w:pPr>
        <w:pStyle w:val="1056"/>
        <w:numPr>
          <w:ilvl w:val="0"/>
          <w:numId w:val="82"/>
        </w:numPr>
        <w:suppressLineNumbers w:val="false"/>
        <w:pBdr/>
        <w:spacing w:line="300" w:lineRule="auto"/>
        <w:ind/>
        <w:rPr/>
      </w:pPr>
      <w:r>
        <w:rPr>
          <w:highlight w:val="none"/>
        </w:rPr>
        <w:t xml:space="preserve">no claim that current internal KB coverage approximates guideline-complete retrieval.</w:t>
      </w:r>
      <w:r/>
    </w:p>
    <w:p w14:paraId="74450ED4">
      <w:pPr>
        <w:pStyle w:val="1056"/>
        <w:suppressLineNumbers w:val="false"/>
        <w:pBdr/>
        <w:spacing w:line="300" w:lineRule="auto"/>
        <w:ind w:firstLine="0"/>
        <w:rPr>
          <w:b/>
          <w:bCs/>
          <w:sz w:val="28"/>
          <w:szCs w:val="28"/>
        </w:rPr>
      </w:pPr>
      <w:r>
        <w:rPr>
          <w:b/>
          <w:bCs/>
          <w:sz w:val="28"/>
          <w:szCs w:val="28"/>
          <w:highlight w:val="none"/>
        </w:rPr>
        <w:t xml:space="preserve">5.4 System Architecture and Contracts</w:t>
      </w:r>
      <w:r>
        <w:rPr>
          <w:b/>
          <w:bCs/>
          <w:sz w:val="28"/>
          <w:szCs w:val="28"/>
        </w:rPr>
      </w:r>
    </w:p>
    <w:p w14:paraId="1DF7C0C9">
      <w:pPr>
        <w:pStyle w:val="1056"/>
        <w:suppressLineNumbers w:val="false"/>
        <w:pBdr/>
        <w:spacing w:line="300" w:lineRule="auto"/>
        <w:ind w:firstLine="0"/>
        <w:rPr>
          <w:b/>
          <w:bCs/>
          <w:highlight w:val="none"/>
        </w:rPr>
      </w:pPr>
      <w:r>
        <w:rPr>
          <w:b/>
          <w:bCs/>
          <w:highlight w:val="none"/>
        </w:rPr>
        <w:t xml:space="preserve">5.4.1 End-to-end processing flow</w:t>
      </w:r>
      <w:r>
        <w:rPr>
          <w:b/>
          <w:bCs/>
          <w:highlight w:val="none"/>
        </w:rPr>
      </w:r>
      <w:r>
        <w:rPr>
          <w:b/>
          <w:bCs/>
        </w:rPr>
      </w:r>
    </w:p>
    <w:p w14:paraId="5A0593CD">
      <w:pPr>
        <w:pStyle w:val="1056"/>
        <w:suppressLineNumbers w:val="false"/>
        <w:pBdr/>
        <w:spacing w:line="300" w:lineRule="auto"/>
        <w:ind w:right="0" w:hanging="90" w:left="-540"/>
        <w:rPr>
          <w:b/>
          <w:bCs/>
        </w:rPr>
      </w:pPr>
      <w:r>
        <w:rPr>
          <w:b/>
          <w:bCs/>
        </w:rPr>
      </w:r>
      <w:r>
        <w:rPr>
          <w:b/>
          <w:bCs/>
        </w:rPr>
      </w:r>
      <w:r>
        <mc:AlternateContent>
          <mc:Choice Requires="wpg">
            <w:drawing>
              <wp:inline xmlns:wp="http://schemas.openxmlformats.org/drawingml/2006/wordprocessingDrawing" distT="0" distB="0" distL="0" distR="0">
                <wp:extent cx="6344625" cy="2343311"/>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69376" name=""/>
                        <pic:cNvPicPr>
                          <a:picLocks noChangeAspect="1"/>
                        </pic:cNvPicPr>
                        <pic:nvPr/>
                      </pic:nvPicPr>
                      <pic:blipFill rotWithShape="1">
                        <a:blip r:embed="rId27"/>
                        <a:stretch/>
                      </pic:blipFill>
                      <pic:spPr bwMode="auto">
                        <a:xfrm flipH="0" flipV="0">
                          <a:off x="0" y="0"/>
                          <a:ext cx="6344624" cy="23433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99.58pt;height:184.51pt;mso-wrap-distance-left:0.00pt;mso-wrap-distance-top:0.00pt;mso-wrap-distance-right:0.00pt;mso-wrap-distance-bottom:0.00pt;z-index:1;" stroked="false">
                <v:imagedata r:id="rId27" o:title=""/>
                <o:lock v:ext="edit" rotation="t"/>
              </v:shape>
            </w:pict>
          </mc:Fallback>
        </mc:AlternateContent>
      </w:r>
      <w:r>
        <w:rPr>
          <w:b/>
          <w:bCs/>
        </w:rPr>
      </w:r>
      <w:r>
        <w:rPr>
          <w:b/>
          <w:bCs/>
        </w:rPr>
      </w:r>
    </w:p>
    <w:p w14:paraId="45C79727">
      <w:pPr>
        <w:pStyle w:val="1056"/>
        <w:suppressLineNumbers w:val="false"/>
        <w:pBdr/>
        <w:spacing w:line="300" w:lineRule="auto"/>
        <w:ind w:firstLine="0"/>
        <w:rPr>
          <w:b/>
          <w:bCs/>
        </w:rPr>
      </w:pPr>
      <w:r>
        <w:rPr>
          <w:b/>
          <w:bCs/>
        </w:rPr>
      </w:r>
      <w:r>
        <w:rPr>
          <w:b/>
          <w:bCs/>
        </w:rPr>
      </w:r>
      <w:r>
        <w:rPr>
          <w:b/>
          <w:bCs/>
        </w:rPr>
      </w:r>
    </w:p>
    <w:p w14:paraId="25B1A179">
      <w:pPr>
        <w:pStyle w:val="1056"/>
        <w:suppressLineNumbers w:val="false"/>
        <w:pBdr/>
        <w:spacing w:line="300" w:lineRule="auto"/>
        <w:ind w:firstLine="0"/>
        <w:rPr>
          <w:b/>
          <w:bCs/>
          <w:highlight w:val="none"/>
        </w:rPr>
      </w:pPr>
      <w:r>
        <w:rPr>
          <w:b/>
          <w:bCs/>
          <w:highlight w:val="none"/>
        </w:rPr>
      </w:r>
      <w:r>
        <w:rPr>
          <w:b/>
          <w:bCs/>
          <w:highlight w:val="none"/>
        </w:rPr>
      </w:r>
      <w:r>
        <w:rPr>
          <w:b/>
          <w:bCs/>
          <w:highlight w:val="none"/>
        </w:rPr>
        <w:t xml:space="preserve">5.4.2 Module-level implementation map</w:t>
      </w:r>
      <w:r>
        <w:rPr>
          <w:b/>
          <w:bCs/>
          <w:highlight w:val="none"/>
        </w:rPr>
      </w:r>
      <w:r>
        <w:rPr>
          <w:b/>
          <w:bCs/>
        </w:rPr>
      </w:r>
    </w:p>
    <w:p w14:paraId="55025522">
      <w:pPr>
        <w:pStyle w:val="1056"/>
        <w:suppressLineNumbers w:val="false"/>
        <w:pBdr/>
        <w:spacing w:line="300" w:lineRule="auto"/>
        <w:ind w:firstLine="0"/>
        <w:rPr>
          <w:b/>
          <w:bCs/>
        </w:rPr>
      </w:pPr>
      <w:r>
        <w:rPr>
          <w:b/>
          <w:bCs/>
        </w:rPr>
      </w:r>
      <w:r>
        <w:rPr>
          <w:b/>
          <w:bCs/>
        </w:rPr>
      </w:r>
      <w:r>
        <w:rPr>
          <w:b/>
          <w:bCs/>
        </w:rPr>
      </w:r>
    </w:p>
    <w:tbl>
      <w:tblPr>
        <w:tblStyle w:val="1113"/>
        <w:tblW w:w="0" w:type="auto"/>
        <w:tblBorders/>
        <w:tblLayout w:type="fixed"/>
        <w:tblLook w:val="04A0" w:firstRow="1" w:lastRow="0" w:firstColumn="1" w:lastColumn="0" w:noHBand="0" w:noVBand="1"/>
      </w:tblPr>
      <w:tblGrid>
        <w:gridCol w:w="2452"/>
        <w:gridCol w:w="6188"/>
      </w:tblGrid>
      <w:tr>
        <w:trPr/>
        <w:tc>
          <w:tcPr>
            <w:tcBorders/>
            <w:tcW w:w="2452" w:type="dxa"/>
            <w:textDirection w:val="lrTb"/>
            <w:noWrap w:val="false"/>
          </w:tcPr>
          <w:p w14:paraId="74FA1F21">
            <w:pPr>
              <w:pBdr/>
              <w:spacing w:after="0" w:before="0" w:line="240"/>
              <w:ind/>
              <w:rPr>
                <w:color w:val="000000" w:themeColor="text1"/>
              </w:rPr>
            </w:pPr>
            <w:r>
              <w:rPr>
                <w:rFonts w:ascii="Liberation Sans" w:hAnsi="Liberation Sans" w:eastAsia="Liberation Sans" w:cs="Liberation Sans"/>
                <w:b/>
                <w:color w:val="000000" w:themeColor="text1"/>
                <w:sz w:val="21"/>
              </w:rPr>
              <w:t xml:space="preserve">Module</w:t>
            </w:r>
            <w:r>
              <w:rPr>
                <w:color w:val="000000" w:themeColor="text1"/>
              </w:rPr>
            </w:r>
          </w:p>
        </w:tc>
        <w:tc>
          <w:tcPr>
            <w:tcBorders/>
            <w:tcW w:w="6188" w:type="dxa"/>
            <w:textDirection w:val="lrTb"/>
            <w:noWrap w:val="false"/>
          </w:tcPr>
          <w:p w14:paraId="6B87B14A">
            <w:pPr>
              <w:pBdr/>
              <w:spacing w:after="0" w:before="0" w:line="240"/>
              <w:ind/>
              <w:rPr>
                <w:color w:val="000000" w:themeColor="text1"/>
              </w:rPr>
            </w:pPr>
            <w:r>
              <w:rPr>
                <w:rFonts w:ascii="Liberation Sans" w:hAnsi="Liberation Sans" w:eastAsia="Liberation Sans" w:cs="Liberation Sans"/>
                <w:b/>
                <w:color w:val="000000" w:themeColor="text1"/>
                <w:sz w:val="21"/>
              </w:rPr>
              <w:t xml:space="preserve">Responsibility</w:t>
            </w:r>
            <w:r>
              <w:rPr>
                <w:color w:val="000000" w:themeColor="text1"/>
              </w:rPr>
            </w:r>
          </w:p>
        </w:tc>
      </w:tr>
      <w:tr>
        <w:trPr/>
        <w:tc>
          <w:tcPr>
            <w:tcBorders/>
            <w:tcW w:w="2452" w:type="dxa"/>
            <w:textDirection w:val="lrTb"/>
            <w:noWrap w:val="false"/>
          </w:tcPr>
          <w:p w14:paraId="594A51F6">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schemas.py</w:t>
            </w:r>
            <w:r>
              <w:rPr>
                <w:color w:val="000000" w:themeColor="text1"/>
              </w:rPr>
            </w:r>
          </w:p>
        </w:tc>
        <w:tc>
          <w:tcPr>
            <w:tcBorders/>
            <w:tcW w:w="6188" w:type="dxa"/>
            <w:textDirection w:val="lrTb"/>
            <w:noWrap w:val="false"/>
          </w:tcPr>
          <w:p w14:paraId="544E8BAC">
            <w:pPr>
              <w:pBdr/>
              <w:spacing w:after="0" w:before="0" w:line="240"/>
              <w:ind/>
              <w:rPr>
                <w:color w:val="000000" w:themeColor="text1"/>
              </w:rPr>
            </w:pPr>
            <w:r>
              <w:rPr>
                <w:rFonts w:ascii="Liberation Sans" w:hAnsi="Liberation Sans" w:eastAsia="Liberation Sans" w:cs="Liberation Sans"/>
                <w:color w:val="000000" w:themeColor="text1"/>
                <w:sz w:val="21"/>
              </w:rPr>
              <w:t xml:space="preserve">Typed contracts (</w:t>
            </w:r>
            <w:r>
              <w:rPr>
                <w:rFonts w:ascii="Droid Sans Mono" w:hAnsi="Droid Sans Mono" w:eastAsia="Droid Sans Mono" w:cs="Droid Sans Mono"/>
                <w:color w:val="000000" w:themeColor="text1"/>
                <w:sz w:val="24"/>
                <w:highlight w:val="white"/>
              </w:rPr>
              <w:t xml:space="preserve">PicoFrame</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SeverityResult</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EvidenceChunk</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Citation</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WrapperInput</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WrapperOutput</w:t>
            </w:r>
            <w:r>
              <w:rPr>
                <w:rFonts w:ascii="Liberation Sans" w:hAnsi="Liberation Sans" w:eastAsia="Liberation Sans" w:cs="Liberation Sans"/>
                <w:color w:val="000000" w:themeColor="text1"/>
                <w:sz w:val="21"/>
              </w:rPr>
              <w:t xml:space="preserve">)</w:t>
            </w:r>
            <w:r>
              <w:rPr>
                <w:color w:val="000000" w:themeColor="text1"/>
              </w:rPr>
            </w:r>
          </w:p>
        </w:tc>
      </w:tr>
      <w:tr>
        <w:trPr/>
        <w:tc>
          <w:tcPr>
            <w:tcBorders/>
            <w:tcW w:w="2452" w:type="dxa"/>
            <w:textDirection w:val="lrTb"/>
            <w:noWrap w:val="false"/>
          </w:tcPr>
          <w:p w14:paraId="34FDA344">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pico_extract.py</w:t>
            </w:r>
            <w:r>
              <w:rPr>
                <w:color w:val="000000" w:themeColor="text1"/>
              </w:rPr>
            </w:r>
          </w:p>
        </w:tc>
        <w:tc>
          <w:tcPr>
            <w:tcBorders/>
            <w:tcW w:w="6188" w:type="dxa"/>
            <w:textDirection w:val="lrTb"/>
            <w:noWrap w:val="false"/>
          </w:tcPr>
          <w:p w14:paraId="3FE7AC2A">
            <w:pPr>
              <w:pBdr/>
              <w:spacing w:after="0" w:before="0" w:line="240"/>
              <w:ind/>
              <w:rPr>
                <w:color w:val="000000" w:themeColor="text1"/>
              </w:rPr>
            </w:pPr>
            <w:r>
              <w:rPr>
                <w:rFonts w:ascii="Liberation Sans" w:hAnsi="Liberation Sans" w:eastAsia="Liberation Sans" w:cs="Liberation Sans"/>
                <w:color w:val="000000" w:themeColor="text1"/>
                <w:sz w:val="21"/>
              </w:rPr>
              <w:t xml:space="preserve">Rule-based PICO extraction with optional LLM hook and safe fallback</w:t>
            </w:r>
            <w:r>
              <w:rPr>
                <w:color w:val="000000" w:themeColor="text1"/>
              </w:rPr>
            </w:r>
          </w:p>
        </w:tc>
      </w:tr>
      <w:tr>
        <w:trPr/>
        <w:tc>
          <w:tcPr>
            <w:tcBorders/>
            <w:tcW w:w="2452" w:type="dxa"/>
            <w:textDirection w:val="lrTb"/>
            <w:noWrap w:val="false"/>
          </w:tcPr>
          <w:p w14:paraId="1F3FBF5E">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kb_ingest.py</w:t>
            </w:r>
            <w:r>
              <w:rPr>
                <w:color w:val="000000" w:themeColor="text1"/>
              </w:rPr>
            </w:r>
          </w:p>
        </w:tc>
        <w:tc>
          <w:tcPr>
            <w:tcBorders/>
            <w:tcW w:w="6188" w:type="dxa"/>
            <w:textDirection w:val="lrTb"/>
            <w:noWrap w:val="false"/>
          </w:tcPr>
          <w:p w14:paraId="489D8EB8">
            <w:pPr>
              <w:pBdr/>
              <w:spacing w:after="0" w:before="0" w:line="240"/>
              <w:ind/>
              <w:rPr>
                <w:color w:val="000000" w:themeColor="text1"/>
              </w:rPr>
            </w:pPr>
            <w:r>
              <w:rPr>
                <w:rFonts w:ascii="Liberation Sans" w:hAnsi="Liberation Sans" w:eastAsia="Liberation Sans" w:cs="Liberation Sans"/>
                <w:color w:val="000000" w:themeColor="text1"/>
                <w:sz w:val="21"/>
              </w:rPr>
              <w:t xml:space="preserve">KB ingestion, chunking, and index metadata generation</w:t>
            </w:r>
            <w:r>
              <w:rPr>
                <w:color w:val="000000" w:themeColor="text1"/>
              </w:rPr>
            </w:r>
          </w:p>
        </w:tc>
      </w:tr>
      <w:tr>
        <w:trPr/>
        <w:tc>
          <w:tcPr>
            <w:tcBorders/>
            <w:tcW w:w="2452" w:type="dxa"/>
            <w:textDirection w:val="lrTb"/>
            <w:noWrap w:val="false"/>
          </w:tcPr>
          <w:p w14:paraId="2201C340">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retriever.py</w:t>
            </w:r>
            <w:r>
              <w:rPr>
                <w:color w:val="000000" w:themeColor="text1"/>
              </w:rPr>
            </w:r>
          </w:p>
        </w:tc>
        <w:tc>
          <w:tcPr>
            <w:tcBorders/>
            <w:tcW w:w="6188" w:type="dxa"/>
            <w:textDirection w:val="lrTb"/>
            <w:noWrap w:val="false"/>
          </w:tcPr>
          <w:p w14:paraId="788389EE">
            <w:pPr>
              <w:pBdr/>
              <w:spacing w:after="0" w:before="0" w:line="240"/>
              <w:ind/>
              <w:rPr>
                <w:color w:val="000000" w:themeColor="text1"/>
              </w:rPr>
            </w:pPr>
            <w:r>
              <w:rPr>
                <w:rFonts w:ascii="Liberation Sans" w:hAnsi="Liberation Sans" w:eastAsia="Liberation Sans" w:cs="Liberation Sans"/>
                <w:color w:val="000000" w:themeColor="text1"/>
                <w:sz w:val="21"/>
              </w:rPr>
              <w:t xml:space="preserve">Backend-aware retrieval with PICO-conditioned query composition</w:t>
            </w:r>
            <w:r>
              <w:rPr>
                <w:color w:val="000000" w:themeColor="text1"/>
              </w:rPr>
            </w:r>
          </w:p>
        </w:tc>
      </w:tr>
      <w:tr>
        <w:trPr/>
        <w:tc>
          <w:tcPr>
            <w:tcBorders/>
            <w:tcW w:w="2452" w:type="dxa"/>
            <w:textDirection w:val="lrTb"/>
            <w:noWrap w:val="false"/>
          </w:tcPr>
          <w:p w14:paraId="6436DF8F">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synthesis.py</w:t>
            </w:r>
            <w:r>
              <w:rPr>
                <w:color w:val="000000" w:themeColor="text1"/>
              </w:rPr>
            </w:r>
          </w:p>
        </w:tc>
        <w:tc>
          <w:tcPr>
            <w:tcBorders/>
            <w:tcW w:w="6188" w:type="dxa"/>
            <w:textDirection w:val="lrTb"/>
            <w:noWrap w:val="false"/>
          </w:tcPr>
          <w:p w14:paraId="2AEC2205">
            <w:pPr>
              <w:pBdr/>
              <w:spacing w:after="0" w:before="0" w:line="240"/>
              <w:ind/>
              <w:rPr>
                <w:color w:val="000000" w:themeColor="text1"/>
              </w:rPr>
            </w:pPr>
            <w:r>
              <w:rPr>
                <w:rFonts w:ascii="Liberation Sans" w:hAnsi="Liberation Sans" w:eastAsia="Liberation Sans" w:cs="Liberation Sans"/>
                <w:color w:val="000000" w:themeColor="text1"/>
                <w:sz w:val="21"/>
              </w:rPr>
              <w:t xml:space="preserve">Deterministic claim synthesis and citation attachment</w:t>
            </w:r>
            <w:r>
              <w:rPr>
                <w:color w:val="000000" w:themeColor="text1"/>
              </w:rPr>
            </w:r>
          </w:p>
        </w:tc>
      </w:tr>
      <w:tr>
        <w:trPr/>
        <w:tc>
          <w:tcPr>
            <w:tcBorders/>
            <w:tcW w:w="2452" w:type="dxa"/>
            <w:textDirection w:val="lrTb"/>
            <w:noWrap w:val="false"/>
          </w:tcPr>
          <w:p w14:paraId="03FDD035">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safety.py</w:t>
            </w:r>
            <w:r>
              <w:rPr>
                <w:color w:val="000000" w:themeColor="text1"/>
              </w:rPr>
            </w:r>
          </w:p>
        </w:tc>
        <w:tc>
          <w:tcPr>
            <w:tcBorders/>
            <w:tcW w:w="6188" w:type="dxa"/>
            <w:textDirection w:val="lrTb"/>
            <w:noWrap w:val="false"/>
          </w:tcPr>
          <w:p w14:paraId="7AF35BD5">
            <w:pPr>
              <w:pBdr/>
              <w:spacing w:after="0" w:before="0" w:line="240"/>
              <w:ind/>
              <w:rPr>
                <w:color w:val="000000" w:themeColor="text1"/>
              </w:rPr>
            </w:pPr>
            <w:r>
              <w:rPr>
                <w:rFonts w:ascii="Liberation Sans" w:hAnsi="Liberation Sans" w:eastAsia="Liberation Sans" w:cs="Liberation Sans"/>
                <w:color w:val="000000" w:themeColor="text1"/>
                <w:sz w:val="21"/>
              </w:rPr>
              <w:t xml:space="preserve">Refusal/escalation policy and disclaimer enforcement</w:t>
            </w:r>
            <w:r>
              <w:rPr>
                <w:color w:val="000000" w:themeColor="text1"/>
              </w:rPr>
            </w:r>
          </w:p>
        </w:tc>
      </w:tr>
      <w:tr>
        <w:trPr/>
        <w:tc>
          <w:tcPr>
            <w:tcBorders/>
            <w:tcW w:w="2452" w:type="dxa"/>
            <w:textDirection w:val="lrTb"/>
            <w:noWrap w:val="false"/>
          </w:tcPr>
          <w:p w14:paraId="27DA5CE1">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wrapper.py</w:t>
            </w:r>
            <w:r>
              <w:rPr>
                <w:color w:val="000000" w:themeColor="text1"/>
              </w:rPr>
            </w:r>
          </w:p>
        </w:tc>
        <w:tc>
          <w:tcPr>
            <w:tcBorders/>
            <w:tcW w:w="6188" w:type="dxa"/>
            <w:textDirection w:val="lrTb"/>
            <w:noWrap w:val="false"/>
          </w:tcPr>
          <w:p w14:paraId="34057EB8">
            <w:pPr>
              <w:pBdr/>
              <w:spacing w:after="0" w:before="0" w:line="240"/>
              <w:ind/>
              <w:rPr>
                <w:color w:val="000000" w:themeColor="text1"/>
              </w:rPr>
            </w:pPr>
            <w:r>
              <w:rPr>
                <w:rFonts w:ascii="Liberation Sans" w:hAnsi="Liberation Sans" w:eastAsia="Liberation Sans" w:cs="Liberation Sans"/>
                <w:color w:val="000000" w:themeColor="text1"/>
                <w:sz w:val="21"/>
              </w:rPr>
              <w:t xml:space="preserve">Full pipeline orchestration (</w:t>
            </w:r>
            <w:r>
              <w:rPr>
                <w:rFonts w:ascii="Droid Sans Mono" w:hAnsi="Droid Sans Mono" w:eastAsia="Droid Sans Mono" w:cs="Droid Sans Mono"/>
                <w:color w:val="000000" w:themeColor="text1"/>
                <w:sz w:val="24"/>
                <w:highlight w:val="white"/>
              </w:rPr>
              <w:t xml:space="preserve">extract -&gt; retrieve -&gt; synthesize</w:t>
            </w:r>
            <w:r>
              <w:rPr>
                <w:rFonts w:ascii="Liberation Sans" w:hAnsi="Liberation Sans" w:eastAsia="Liberation Sans" w:cs="Liberation Sans"/>
                <w:color w:val="000000" w:themeColor="text1"/>
                <w:sz w:val="21"/>
              </w:rPr>
              <w:t xml:space="preserve">)</w:t>
            </w:r>
            <w:r>
              <w:rPr>
                <w:color w:val="000000" w:themeColor="text1"/>
              </w:rPr>
            </w:r>
          </w:p>
        </w:tc>
      </w:tr>
      <w:tr>
        <w:trPr/>
        <w:tc>
          <w:tcPr>
            <w:tcBorders/>
            <w:tcW w:w="2452" w:type="dxa"/>
            <w:vMerge w:val="restart"/>
            <w:textDirection w:val="lrTb"/>
            <w:noWrap w:val="false"/>
          </w:tcPr>
          <w:p w14:paraId="52B928A4">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ui_support.py</w:t>
            </w:r>
            <w:r>
              <w:rPr>
                <w:color w:val="000000" w:themeColor="text1"/>
              </w:rPr>
            </w:r>
          </w:p>
        </w:tc>
        <w:tc>
          <w:tcPr>
            <w:tcBorders/>
            <w:tcW w:w="6188" w:type="dxa"/>
            <w:vMerge w:val="restart"/>
            <w:textDirection w:val="lrTb"/>
            <w:noWrap w:val="false"/>
          </w:tcPr>
          <w:p w14:paraId="195E9B5A">
            <w:pPr>
              <w:pBdr/>
              <w:spacing w:after="0" w:before="0" w:line="240"/>
              <w:ind/>
              <w:rPr>
                <w:color w:val="000000" w:themeColor="text1"/>
              </w:rPr>
            </w:pPr>
            <w:r>
              <w:rPr>
                <w:rFonts w:ascii="Liberation Sans" w:hAnsi="Liberation Sans" w:eastAsia="Liberation Sans" w:cs="Liberation Sans"/>
                <w:color w:val="000000" w:themeColor="text1"/>
                <w:sz w:val="21"/>
              </w:rPr>
              <w:t xml:space="preserve">UI-side formatting and report helpers</w:t>
            </w:r>
            <w:r>
              <w:rPr>
                <w:color w:val="000000" w:themeColor="text1"/>
              </w:rPr>
            </w:r>
          </w:p>
        </w:tc>
      </w:tr>
    </w:tbl>
    <w:p w14:paraId="7CCF14B0">
      <w:pPr>
        <w:pStyle w:val="1056"/>
        <w:suppressLineNumbers w:val="false"/>
        <w:pBdr/>
        <w:spacing w:line="300" w:lineRule="auto"/>
        <w:ind w:firstLine="0"/>
        <w:rPr>
          <w:b/>
          <w:bCs/>
        </w:rPr>
      </w:pPr>
      <w:r>
        <w:rPr>
          <w:b/>
          <w:bCs/>
          <w:highlight w:val="none"/>
        </w:rPr>
      </w:r>
      <w:r>
        <w:rPr>
          <w:b/>
          <w:bCs/>
          <w:highlight w:val="none"/>
        </w:rPr>
      </w:r>
      <w:r>
        <w:rPr>
          <w:b/>
          <w:bCs/>
          <w:highlight w:val="none"/>
        </w:rPr>
      </w:r>
    </w:p>
    <w:p w14:paraId="0CC188FC">
      <w:pPr>
        <w:pStyle w:val="1056"/>
        <w:suppressLineNumbers w:val="false"/>
        <w:pBdr/>
        <w:spacing w:line="300" w:lineRule="auto"/>
        <w:ind w:firstLine="0"/>
        <w:rPr/>
      </w:pPr>
      <w:r/>
      <w:r/>
    </w:p>
    <w:p w14:paraId="4F2DDACE">
      <w:pPr>
        <w:pStyle w:val="1056"/>
        <w:suppressLineNumbers w:val="false"/>
        <w:pBdr/>
        <w:spacing w:line="300" w:lineRule="auto"/>
        <w:ind w:firstLine="0"/>
        <w:rPr>
          <w:b/>
          <w:bCs/>
          <w:sz w:val="28"/>
          <w:szCs w:val="28"/>
        </w:rPr>
      </w:pPr>
      <w:r>
        <w:rPr>
          <w:b/>
          <w:bCs/>
          <w:sz w:val="28"/>
          <w:szCs w:val="28"/>
          <w:highlight w:val="none"/>
        </w:rPr>
        <w:t xml:space="preserve">5.4.3 Retrieval/index design used in frozen Chapter 5 pass</w:t>
      </w:r>
      <w:r>
        <w:rPr>
          <w:b/>
          <w:bCs/>
          <w:sz w:val="28"/>
          <w:szCs w:val="28"/>
        </w:rPr>
      </w:r>
    </w:p>
    <w:p w14:paraId="06B8F066">
      <w:pPr>
        <w:pStyle w:val="1056"/>
        <w:suppressLineNumbers w:val="false"/>
        <w:pBdr/>
        <w:spacing w:line="300" w:lineRule="auto"/>
        <w:ind w:firstLine="0"/>
        <w:rPr/>
      </w:pPr>
      <w:r>
        <w:rPr>
          <w:highlight w:val="none"/>
        </w:rPr>
        <w:t xml:space="preserve">From Prototyping_reformat/chapter5_pico_wrapper/results/kb_build_pass4_latest/kb_manifest.json:</w:t>
      </w:r>
      <w:r/>
      <w:r>
        <w:rPr>
          <w:highlight w:val="none"/>
        </w:rPr>
      </w:r>
      <w:r/>
      <w:r>
        <w:rPr>
          <w:highlight w:val="none"/>
        </w:rPr>
      </w:r>
    </w:p>
    <w:p w14:paraId="5C005970">
      <w:pPr>
        <w:pStyle w:val="1056"/>
        <w:numPr>
          <w:ilvl w:val="0"/>
          <w:numId w:val="83"/>
        </w:numPr>
        <w:suppressLineNumbers w:val="false"/>
        <w:pBdr/>
        <w:spacing w:line="300" w:lineRule="auto"/>
        <w:ind/>
        <w:rPr/>
      </w:pPr>
      <w:r>
        <w:rPr>
          <w:highlight w:val="none"/>
        </w:rPr>
        <w:t xml:space="preserve">source files: 3</w:t>
      </w:r>
      <w:r/>
    </w:p>
    <w:p w14:paraId="37CE1912">
      <w:pPr>
        <w:pStyle w:val="1056"/>
        <w:numPr>
          <w:ilvl w:val="0"/>
          <w:numId w:val="83"/>
        </w:numPr>
        <w:suppressLineNumbers w:val="false"/>
        <w:pBdr/>
        <w:spacing w:line="300" w:lineRule="auto"/>
        <w:ind/>
        <w:rPr/>
      </w:pPr>
      <w:r>
        <w:rPr>
          <w:highlight w:val="none"/>
        </w:rPr>
        <w:t xml:space="preserve">documents: 3</w:t>
      </w:r>
      <w:r/>
    </w:p>
    <w:p w14:paraId="39DE50A4">
      <w:pPr>
        <w:pStyle w:val="1056"/>
        <w:numPr>
          <w:ilvl w:val="0"/>
          <w:numId w:val="83"/>
        </w:numPr>
        <w:suppressLineNumbers w:val="false"/>
        <w:pBdr/>
        <w:spacing w:line="300" w:lineRule="auto"/>
        <w:ind/>
        <w:rPr/>
      </w:pPr>
      <w:r>
        <w:rPr>
          <w:highlight w:val="none"/>
        </w:rPr>
        <w:t xml:space="preserve">chunks: 12</w:t>
      </w:r>
      <w:r/>
    </w:p>
    <w:p w14:paraId="665342D0">
      <w:pPr>
        <w:pStyle w:val="1056"/>
        <w:numPr>
          <w:ilvl w:val="0"/>
          <w:numId w:val="83"/>
        </w:numPr>
        <w:suppressLineNumbers w:val="false"/>
        <w:pBdr/>
        <w:spacing w:line="300" w:lineRule="auto"/>
        <w:ind/>
        <w:rPr/>
      </w:pPr>
      <w:r>
        <w:rPr>
          <w:highlight w:val="none"/>
        </w:rPr>
        <w:t xml:space="preserve">chunking: max_words=180, overlap_words=30, min_words=30, seed=42</w:t>
      </w:r>
      <w:r/>
    </w:p>
    <w:p w14:paraId="7484D656">
      <w:pPr>
        <w:pStyle w:val="1056"/>
        <w:numPr>
          <w:ilvl w:val="0"/>
          <w:numId w:val="83"/>
        </w:numPr>
        <w:suppressLineNumbers w:val="false"/>
        <w:pBdr/>
        <w:spacing w:line="300" w:lineRule="auto"/>
        <w:ind/>
        <w:rPr/>
      </w:pPr>
      <w:r>
        <w:rPr>
          <w:highlight w:val="none"/>
        </w:rPr>
        <w:t xml:space="preserve">backend family available: keyword, tfidf, semantic_lsa, hybrid</w:t>
      </w:r>
      <w:r/>
    </w:p>
    <w:p w14:paraId="4E4B1CB9">
      <w:pPr>
        <w:pStyle w:val="1056"/>
        <w:numPr>
          <w:ilvl w:val="0"/>
          <w:numId w:val="83"/>
        </w:numPr>
        <w:suppressLineNumbers w:val="false"/>
        <w:pBdr/>
        <w:spacing w:line="300" w:lineRule="auto"/>
        <w:ind/>
        <w:rPr/>
      </w:pPr>
      <w:r>
        <w:rPr>
          <w:highlight w:val="none"/>
        </w:rPr>
        <w:t xml:space="preserve">pass4 reporting backend: hybrid with reranker enabled.</w:t>
      </w:r>
      <w:r/>
    </w:p>
    <w:p w14:paraId="0CF0386C">
      <w:pPr>
        <w:pStyle w:val="1056"/>
        <w:suppressLineNumbers w:val="false"/>
        <w:pBdr/>
        <w:spacing w:line="300" w:lineRule="auto"/>
        <w:ind w:firstLine="0"/>
        <w:rPr>
          <w:b/>
          <w:bCs/>
        </w:rPr>
      </w:pPr>
      <w:r>
        <w:rPr>
          <w:b/>
          <w:bCs/>
          <w:highlight w:val="none"/>
        </w:rPr>
        <w:t xml:space="preserve">5.4.4 Safety policy implementation</w:t>
      </w:r>
      <w:r>
        <w:rPr>
          <w:b/>
          <w:bCs/>
        </w:rPr>
      </w:r>
    </w:p>
    <w:p w14:paraId="21B58EC6">
      <w:pPr>
        <w:pStyle w:val="1056"/>
        <w:suppressLineNumbers w:val="false"/>
        <w:pBdr/>
        <w:spacing w:line="300" w:lineRule="auto"/>
        <w:ind w:firstLine="0"/>
        <w:rPr/>
      </w:pPr>
      <w:r>
        <w:rPr>
          <w:highlight w:val="none"/>
        </w:rPr>
        <w:t xml:space="preserve">The wrapper applies explicit safety constraints:</w:t>
      </w:r>
      <w:r/>
      <w:r>
        <w:rPr>
          <w:highlight w:val="none"/>
        </w:rPr>
      </w:r>
      <w:r/>
      <w:r>
        <w:rPr>
          <w:highlight w:val="none"/>
        </w:rPr>
      </w:r>
    </w:p>
    <w:p w14:paraId="1DB29977">
      <w:pPr>
        <w:pStyle w:val="1056"/>
        <w:numPr>
          <w:ilvl w:val="0"/>
          <w:numId w:val="84"/>
        </w:numPr>
        <w:suppressLineNumbers w:val="false"/>
        <w:pBdr/>
        <w:spacing w:line="300" w:lineRule="auto"/>
        <w:ind/>
        <w:rPr/>
      </w:pPr>
      <w:r>
        <w:rPr>
          <w:highlight w:val="none"/>
        </w:rPr>
        <w:t xml:space="preserve">dosing-sensitive prompts can trigger refusal behavior;</w:t>
      </w:r>
      <w:r/>
    </w:p>
    <w:p w14:paraId="615E12F6">
      <w:pPr>
        <w:pStyle w:val="1056"/>
        <w:numPr>
          <w:ilvl w:val="0"/>
          <w:numId w:val="84"/>
        </w:numPr>
        <w:suppressLineNumbers w:val="false"/>
        <w:pBdr/>
        <w:spacing w:line="300" w:lineRule="auto"/>
        <w:ind/>
        <w:rPr/>
      </w:pPr>
      <w:r>
        <w:rPr>
          <w:highlight w:val="none"/>
        </w:rPr>
        <w:t xml:space="preserve">low-evidence retrieval paths trigger conservative uncertainty/limitation text;</w:t>
      </w:r>
      <w:r/>
    </w:p>
    <w:p w14:paraId="418C867A">
      <w:pPr>
        <w:pStyle w:val="1056"/>
        <w:numPr>
          <w:ilvl w:val="0"/>
          <w:numId w:val="84"/>
        </w:numPr>
        <w:suppressLineNumbers w:val="false"/>
        <w:pBdr/>
        <w:spacing w:line="300" w:lineRule="auto"/>
        <w:ind/>
        <w:rPr/>
      </w:pPr>
      <w:r>
        <w:rPr>
          <w:highlight w:val="none"/>
        </w:rPr>
        <w:t xml:space="preserve">all outputs include clinician-review disclaimers;</w:t>
      </w:r>
      <w:r/>
    </w:p>
    <w:p w14:paraId="3556A12B">
      <w:pPr>
        <w:pStyle w:val="1056"/>
        <w:numPr>
          <w:ilvl w:val="0"/>
          <w:numId w:val="84"/>
        </w:numPr>
        <w:suppressLineNumbers w:val="false"/>
        <w:pBdr/>
        <w:spacing w:line="300" w:lineRule="auto"/>
        <w:ind/>
        <w:rPr/>
      </w:pPr>
      <w:r>
        <w:rPr>
          <w:highlight w:val="none"/>
        </w:rPr>
        <w:t xml:space="preserve">policy-excluded claims are tracked separately in answer evaluation.</w:t>
      </w:r>
      <w:r/>
    </w:p>
    <w:p w14:paraId="790DDB1B">
      <w:pPr>
        <w:pStyle w:val="1056"/>
        <w:suppressLineNumbers w:val="false"/>
        <w:pBdr/>
        <w:spacing w:line="300" w:lineRule="auto"/>
        <w:ind w:firstLine="0"/>
        <w:rPr>
          <w:b/>
          <w:bCs/>
          <w:sz w:val="28"/>
          <w:szCs w:val="28"/>
        </w:rPr>
      </w:pPr>
      <w:r>
        <w:rPr>
          <w:b/>
          <w:bCs/>
          <w:sz w:val="28"/>
          <w:szCs w:val="28"/>
          <w:highlight w:val="none"/>
        </w:rPr>
        <w:t xml:space="preserve">5.5 Experimental Protocol and Frozen Artifacts</w:t>
      </w:r>
      <w:r>
        <w:rPr>
          <w:b/>
          <w:bCs/>
          <w:sz w:val="28"/>
          <w:szCs w:val="28"/>
        </w:rPr>
      </w:r>
    </w:p>
    <w:p w14:paraId="7F4C8C66">
      <w:pPr>
        <w:pStyle w:val="1056"/>
        <w:suppressLineNumbers w:val="false"/>
        <w:pBdr/>
        <w:spacing w:line="300" w:lineRule="auto"/>
        <w:ind w:firstLine="0"/>
        <w:rPr>
          <w:b/>
          <w:bCs/>
        </w:rPr>
      </w:pPr>
      <w:r>
        <w:rPr>
          <w:b/>
          <w:bCs/>
          <w:highlight w:val="none"/>
        </w:rPr>
        <w:t xml:space="preserve">5.5.1 Query and gold sets</w:t>
      </w:r>
      <w:r>
        <w:rPr>
          <w:b/>
          <w:bCs/>
        </w:rPr>
      </w:r>
    </w:p>
    <w:p w14:paraId="1DC60337">
      <w:pPr>
        <w:pStyle w:val="1056"/>
        <w:suppressLineNumbers w:val="false"/>
        <w:pBdr/>
        <w:spacing w:line="300" w:lineRule="auto"/>
        <w:ind w:firstLine="0"/>
        <w:rPr/>
      </w:pPr>
      <w:r>
        <w:rPr>
          <w:highlight w:val="none"/>
        </w:rPr>
        <w:t xml:space="preserve">From Prototyping_reformat/chapter5_pico_wrapper/data/queries/:</w:t>
      </w:r>
      <w:r/>
      <w:r>
        <w:rPr>
          <w:highlight w:val="none"/>
        </w:rPr>
      </w:r>
      <w:r/>
      <w:r>
        <w:rPr>
          <w:highlight w:val="none"/>
        </w:rPr>
      </w:r>
    </w:p>
    <w:p w14:paraId="426D55FC">
      <w:pPr>
        <w:pStyle w:val="1056"/>
        <w:numPr>
          <w:ilvl w:val="0"/>
          <w:numId w:val="85"/>
        </w:numPr>
        <w:suppressLineNumbers w:val="false"/>
        <w:pBdr/>
        <w:spacing w:line="300" w:lineRule="auto"/>
        <w:ind/>
        <w:rPr/>
      </w:pPr>
      <w:r>
        <w:rPr>
          <w:highlight w:val="none"/>
        </w:rPr>
        <w:t xml:space="preserve">queries.jsonl: n=50</w:t>
      </w:r>
      <w:r/>
    </w:p>
    <w:p w14:paraId="511D6A65">
      <w:pPr>
        <w:pStyle w:val="1056"/>
        <w:numPr>
          <w:ilvl w:val="0"/>
          <w:numId w:val="85"/>
        </w:numPr>
        <w:suppressLineNumbers w:val="false"/>
        <w:pBdr/>
        <w:spacing w:line="300" w:lineRule="auto"/>
        <w:ind/>
        <w:rPr/>
      </w:pPr>
      <w:r>
        <w:rPr>
          <w:highlight w:val="none"/>
        </w:rPr>
        <w:t xml:space="preserve">pico_gold.jsonl: n=20</w:t>
      </w:r>
      <w:r/>
    </w:p>
    <w:p w14:paraId="59001894">
      <w:pPr>
        <w:pStyle w:val="1056"/>
        <w:numPr>
          <w:ilvl w:val="0"/>
          <w:numId w:val="85"/>
        </w:numPr>
        <w:suppressLineNumbers w:val="false"/>
        <w:pBdr/>
        <w:spacing w:line="300" w:lineRule="auto"/>
        <w:ind/>
        <w:rPr/>
      </w:pPr>
      <w:r>
        <w:rPr>
          <w:highlight w:val="none"/>
        </w:rPr>
        <w:t xml:space="preserve">retrieval_gold.jsonl: n=10</w:t>
      </w:r>
      <w:r/>
    </w:p>
    <w:p w14:paraId="25A0AF44">
      <w:pPr>
        <w:pStyle w:val="1056"/>
        <w:suppressLineNumbers w:val="false"/>
        <w:pBdr/>
        <w:spacing w:line="300" w:lineRule="auto"/>
        <w:ind w:firstLine="0"/>
        <w:rPr>
          <w:b/>
          <w:bCs/>
        </w:rPr>
      </w:pPr>
      <w:r>
        <w:rPr>
          <w:b/>
          <w:bCs/>
          <w:highlight w:val="none"/>
        </w:rPr>
        <w:t xml:space="preserve">5.5.2 Frozen pass used for chapter reporting</w:t>
      </w:r>
      <w:r>
        <w:rPr>
          <w:b/>
          <w:bCs/>
        </w:rPr>
      </w:r>
    </w:p>
    <w:p w14:paraId="6EBC600E">
      <w:pPr>
        <w:pStyle w:val="1056"/>
        <w:suppressLineNumbers w:val="false"/>
        <w:pBdr/>
        <w:spacing w:line="300" w:lineRule="auto"/>
        <w:ind w:firstLine="0"/>
        <w:rPr/>
      </w:pPr>
      <w:r>
        <w:rPr>
          <w:highlight w:val="none"/>
        </w:rPr>
        <w:t xml:space="preserve">This chapter reports the pass4 artifact set to remain consistent with completion audit and figure pipeline:</w:t>
      </w:r>
      <w:r/>
      <w:r>
        <w:rPr>
          <w:highlight w:val="none"/>
        </w:rPr>
      </w:r>
      <w:r/>
      <w:r>
        <w:rPr>
          <w:highlight w:val="none"/>
        </w:rPr>
      </w:r>
    </w:p>
    <w:p w14:paraId="451A5F91">
      <w:pPr>
        <w:pStyle w:val="1056"/>
        <w:numPr>
          <w:ilvl w:val="0"/>
          <w:numId w:val="86"/>
        </w:numPr>
        <w:suppressLineNumbers w:val="false"/>
        <w:pBdr/>
        <w:spacing w:line="300" w:lineRule="auto"/>
        <w:ind/>
        <w:rPr/>
      </w:pPr>
      <w:r>
        <w:rPr>
          <w:highlight w:val="none"/>
        </w:rPr>
        <w:t xml:space="preserve">KB: results/kb_build_pass4_latest/</w:t>
      </w:r>
      <w:r/>
    </w:p>
    <w:p w14:paraId="6FD29A93">
      <w:pPr>
        <w:pStyle w:val="1056"/>
        <w:numPr>
          <w:ilvl w:val="0"/>
          <w:numId w:val="86"/>
        </w:numPr>
        <w:suppressLineNumbers w:val="false"/>
        <w:pBdr/>
        <w:spacing w:line="300" w:lineRule="auto"/>
        <w:ind/>
        <w:rPr/>
      </w:pPr>
      <w:r>
        <w:rPr>
          <w:highlight w:val="none"/>
        </w:rPr>
        <w:t xml:space="preserve">wrapper outputs: results/wrapper_eval_pass4_latest/</w:t>
      </w:r>
      <w:r/>
    </w:p>
    <w:p w14:paraId="3682BB38">
      <w:pPr>
        <w:pStyle w:val="1056"/>
        <w:numPr>
          <w:ilvl w:val="0"/>
          <w:numId w:val="86"/>
        </w:numPr>
        <w:suppressLineNumbers w:val="false"/>
        <w:pBdr/>
        <w:spacing w:line="300" w:lineRule="auto"/>
        <w:ind/>
        <w:rPr/>
      </w:pPr>
      <w:r>
        <w:rPr>
          <w:highlight w:val="none"/>
        </w:rPr>
        <w:t xml:space="preserve">wrapper output file: Prototyping_reformat/chapter5_pico_wrapper/results/wrapper_eval_pass4_latest/wrapper_outputs.jsonl</w:t>
      </w:r>
      <w:r/>
    </w:p>
    <w:p w14:paraId="2C4817EA">
      <w:pPr>
        <w:pStyle w:val="1056"/>
        <w:numPr>
          <w:ilvl w:val="0"/>
          <w:numId w:val="86"/>
        </w:numPr>
        <w:suppressLineNumbers w:val="false"/>
        <w:pBdr/>
        <w:spacing w:line="300" w:lineRule="auto"/>
        <w:ind/>
        <w:rPr/>
      </w:pPr>
      <w:r>
        <w:rPr>
          <w:highlight w:val="none"/>
        </w:rPr>
        <w:t xml:space="preserve">evaluations: results/eval_pass4_latest/</w:t>
      </w:r>
      <w:r/>
    </w:p>
    <w:p w14:paraId="662E75F9">
      <w:pPr>
        <w:pStyle w:val="1056"/>
        <w:numPr>
          <w:ilvl w:val="0"/>
          <w:numId w:val="86"/>
        </w:numPr>
        <w:suppressLineNumbers w:val="false"/>
        <w:pBdr/>
        <w:spacing w:line="300" w:lineRule="auto"/>
        <w:ind/>
        <w:rPr/>
      </w:pPr>
      <w:r>
        <w:rPr>
          <w:highlight w:val="none"/>
        </w:rPr>
        <w:t xml:space="preserve">completion audit: results/chapter5_completion_audit_ch5_freeze_20260306/</w:t>
      </w:r>
      <w:r/>
    </w:p>
    <w:p w14:paraId="63EF0153">
      <w:pPr>
        <w:pStyle w:val="1056"/>
        <w:numPr>
          <w:ilvl w:val="0"/>
          <w:numId w:val="86"/>
        </w:numPr>
        <w:suppressLineNumbers w:val="false"/>
        <w:pBdr/>
        <w:spacing w:line="300" w:lineRule="auto"/>
        <w:ind/>
        <w:rPr/>
      </w:pPr>
      <w:r>
        <w:rPr>
          <w:highlight w:val="none"/>
        </w:rPr>
        <w:t xml:space="preserve">pipeline summary: results/pipeline_pass4_latest/pipeline_summary.json</w:t>
      </w:r>
      <w:r/>
    </w:p>
    <w:p w14:paraId="5319966C">
      <w:pPr>
        <w:pStyle w:val="1056"/>
        <w:suppressLineNumbers w:val="false"/>
        <w:pBdr/>
        <w:spacing w:line="300" w:lineRule="auto"/>
        <w:ind w:firstLine="0"/>
        <w:rPr/>
      </w:pPr>
      <w:r>
        <w:rPr>
          <w:highlight w:val="none"/>
        </w:rPr>
        <w:t xml:space="preserve">Key wrapper config (results/wrapper_eval_pass4_latest/run_config.json):</w:t>
      </w:r>
      <w:r/>
      <w:r>
        <w:rPr>
          <w:highlight w:val="none"/>
        </w:rPr>
      </w:r>
      <w:r>
        <w:rPr>
          <w:highlight w:val="none"/>
        </w:rPr>
      </w:r>
      <w:r/>
    </w:p>
    <w:tbl>
      <w:tblPr>
        <w:tblStyle w:val="1113"/>
        <w:tblW w:w="0" w:type="auto"/>
        <w:tblBorders/>
        <w:tblLayout w:type="fixed"/>
        <w:tblLook w:val="04A0" w:firstRow="1" w:lastRow="0" w:firstColumn="1" w:lastColumn="0" w:noHBand="0" w:noVBand="1"/>
      </w:tblPr>
      <w:tblGrid>
        <w:gridCol w:w="4011"/>
        <w:gridCol w:w="4629"/>
      </w:tblGrid>
      <w:tr>
        <w:trPr/>
        <w:tc>
          <w:tcPr>
            <w:tcBorders/>
            <w:tcW w:w="4011" w:type="dxa"/>
            <w:textDirection w:val="lrTb"/>
            <w:noWrap w:val="false"/>
          </w:tcPr>
          <w:p w14:paraId="3B1ED205">
            <w:pPr>
              <w:pBdr/>
              <w:spacing w:after="0" w:before="0" w:line="240"/>
              <w:ind/>
              <w:rPr>
                <w:color w:val="000000" w:themeColor="text1"/>
              </w:rPr>
            </w:pPr>
            <w:r>
              <w:rPr>
                <w:rFonts w:ascii="Liberation Sans" w:hAnsi="Liberation Sans" w:eastAsia="Liberation Sans" w:cs="Liberation Sans"/>
                <w:b/>
                <w:color w:val="000000" w:themeColor="text1"/>
                <w:sz w:val="21"/>
              </w:rPr>
              <w:t xml:space="preserve">Parameter</w:t>
            </w:r>
            <w:r>
              <w:rPr>
                <w:color w:val="000000" w:themeColor="text1"/>
              </w:rPr>
            </w:r>
          </w:p>
        </w:tc>
        <w:tc>
          <w:tcPr>
            <w:tcBorders/>
            <w:tcW w:w="4629" w:type="dxa"/>
            <w:textDirection w:val="lrTb"/>
            <w:noWrap w:val="false"/>
          </w:tcPr>
          <w:p w14:paraId="5BFA5EF5">
            <w:pPr>
              <w:pBdr/>
              <w:spacing w:after="0" w:before="0" w:line="240"/>
              <w:ind/>
              <w:rPr>
                <w:color w:val="000000" w:themeColor="text1"/>
              </w:rPr>
            </w:pPr>
            <w:r>
              <w:rPr>
                <w:rFonts w:ascii="Liberation Sans" w:hAnsi="Liberation Sans" w:eastAsia="Liberation Sans" w:cs="Liberation Sans"/>
                <w:b/>
                <w:color w:val="000000" w:themeColor="text1"/>
                <w:sz w:val="21"/>
              </w:rPr>
              <w:t xml:space="preserve">Value</w:t>
            </w:r>
            <w:r>
              <w:rPr>
                <w:color w:val="000000" w:themeColor="text1"/>
              </w:rPr>
            </w:r>
          </w:p>
        </w:tc>
      </w:tr>
      <w:tr>
        <w:trPr/>
        <w:tc>
          <w:tcPr>
            <w:tcBorders/>
            <w:tcW w:w="4011" w:type="dxa"/>
            <w:textDirection w:val="lrTb"/>
            <w:noWrap w:val="false"/>
          </w:tcPr>
          <w:p w14:paraId="3C87EAB8">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run_id</w:t>
            </w:r>
            <w:r>
              <w:rPr>
                <w:color w:val="000000" w:themeColor="text1"/>
              </w:rPr>
            </w:r>
          </w:p>
        </w:tc>
        <w:tc>
          <w:tcPr>
            <w:tcBorders/>
            <w:tcW w:w="4629" w:type="dxa"/>
            <w:textDirection w:val="lrTb"/>
            <w:noWrap w:val="false"/>
          </w:tcPr>
          <w:p w14:paraId="56238A4B">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chapter5_wrapper_20260305T024427Z_6nx5r2</w:t>
            </w:r>
            <w:r>
              <w:rPr>
                <w:color w:val="000000" w:themeColor="text1"/>
              </w:rPr>
            </w:r>
          </w:p>
        </w:tc>
      </w:tr>
      <w:tr>
        <w:trPr/>
        <w:tc>
          <w:tcPr>
            <w:tcBorders/>
            <w:tcW w:w="4011" w:type="dxa"/>
            <w:textDirection w:val="lrTb"/>
            <w:noWrap w:val="false"/>
          </w:tcPr>
          <w:p w14:paraId="1B05C357">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mode_requested</w:t>
            </w:r>
            <w:r>
              <w:rPr>
                <w:color w:val="000000" w:themeColor="text1"/>
              </w:rPr>
            </w:r>
          </w:p>
        </w:tc>
        <w:tc>
          <w:tcPr>
            <w:tcBorders/>
            <w:tcW w:w="4629" w:type="dxa"/>
            <w:textDirection w:val="lrTb"/>
            <w:noWrap w:val="false"/>
          </w:tcPr>
          <w:p w14:paraId="4600CC5C">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baseline</w:t>
            </w:r>
            <w:r>
              <w:rPr>
                <w:color w:val="000000" w:themeColor="text1"/>
              </w:rPr>
            </w:r>
          </w:p>
        </w:tc>
      </w:tr>
      <w:tr>
        <w:trPr/>
        <w:tc>
          <w:tcPr>
            <w:tcBorders/>
            <w:tcW w:w="4011" w:type="dxa"/>
            <w:textDirection w:val="lrTb"/>
            <w:noWrap w:val="false"/>
          </w:tcPr>
          <w:p w14:paraId="63D7E43C">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n_queries</w:t>
            </w:r>
            <w:r>
              <w:rPr>
                <w:color w:val="000000" w:themeColor="text1"/>
              </w:rPr>
            </w:r>
          </w:p>
        </w:tc>
        <w:tc>
          <w:tcPr>
            <w:tcBorders/>
            <w:tcW w:w="4629" w:type="dxa"/>
            <w:textDirection w:val="lrTb"/>
            <w:noWrap w:val="false"/>
          </w:tcPr>
          <w:p w14:paraId="4AABC630">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50</w:t>
            </w:r>
            <w:r>
              <w:rPr>
                <w:color w:val="000000" w:themeColor="text1"/>
              </w:rPr>
            </w:r>
          </w:p>
        </w:tc>
      </w:tr>
      <w:tr>
        <w:trPr/>
        <w:tc>
          <w:tcPr>
            <w:tcBorders/>
            <w:tcW w:w="4011" w:type="dxa"/>
            <w:textDirection w:val="lrTb"/>
            <w:noWrap w:val="false"/>
          </w:tcPr>
          <w:p w14:paraId="08720D14">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retrieval_k</w:t>
            </w:r>
            <w:r>
              <w:rPr>
                <w:color w:val="000000" w:themeColor="text1"/>
              </w:rPr>
            </w:r>
          </w:p>
        </w:tc>
        <w:tc>
          <w:tcPr>
            <w:tcBorders/>
            <w:tcW w:w="4629" w:type="dxa"/>
            <w:textDirection w:val="lrTb"/>
            <w:noWrap w:val="false"/>
          </w:tcPr>
          <w:p w14:paraId="1559BCE7">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5</w:t>
            </w:r>
            <w:r>
              <w:rPr>
                <w:color w:val="000000" w:themeColor="text1"/>
              </w:rPr>
            </w:r>
          </w:p>
        </w:tc>
      </w:tr>
      <w:tr>
        <w:trPr/>
        <w:tc>
          <w:tcPr>
            <w:tcBorders/>
            <w:tcW w:w="4011" w:type="dxa"/>
            <w:textDirection w:val="lrTb"/>
            <w:noWrap w:val="false"/>
          </w:tcPr>
          <w:p w14:paraId="2FDF1638">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retrieval_backend</w:t>
            </w:r>
            <w:r>
              <w:rPr>
                <w:color w:val="000000" w:themeColor="text1"/>
              </w:rPr>
            </w:r>
          </w:p>
        </w:tc>
        <w:tc>
          <w:tcPr>
            <w:tcBorders/>
            <w:tcW w:w="4629" w:type="dxa"/>
            <w:textDirection w:val="lrTb"/>
            <w:noWrap w:val="false"/>
          </w:tcPr>
          <w:p w14:paraId="3D785119">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hybrid</w:t>
            </w:r>
            <w:r>
              <w:rPr>
                <w:color w:val="000000" w:themeColor="text1"/>
              </w:rPr>
            </w:r>
          </w:p>
        </w:tc>
      </w:tr>
      <w:tr>
        <w:trPr/>
        <w:tc>
          <w:tcPr>
            <w:tcBorders/>
            <w:tcW w:w="4011" w:type="dxa"/>
            <w:textDirection w:val="lrTb"/>
            <w:noWrap w:val="false"/>
          </w:tcPr>
          <w:p w14:paraId="4C6121ED">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rerank_enabled</w:t>
            </w:r>
            <w:r>
              <w:rPr>
                <w:color w:val="000000" w:themeColor="text1"/>
              </w:rPr>
            </w:r>
          </w:p>
        </w:tc>
        <w:tc>
          <w:tcPr>
            <w:tcBorders/>
            <w:tcW w:w="4629" w:type="dxa"/>
            <w:textDirection w:val="lrTb"/>
            <w:noWrap w:val="false"/>
          </w:tcPr>
          <w:p w14:paraId="43F81070">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true</w:t>
            </w:r>
            <w:r>
              <w:rPr>
                <w:color w:val="000000" w:themeColor="text1"/>
              </w:rPr>
            </w:r>
          </w:p>
        </w:tc>
      </w:tr>
      <w:tr>
        <w:trPr/>
        <w:tc>
          <w:tcPr>
            <w:tcBorders/>
            <w:tcW w:w="4011" w:type="dxa"/>
            <w:textDirection w:val="lrTb"/>
            <w:noWrap w:val="false"/>
          </w:tcPr>
          <w:p w14:paraId="772B655A">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rerank_pool</w:t>
            </w:r>
            <w:r>
              <w:rPr>
                <w:color w:val="000000" w:themeColor="text1"/>
              </w:rPr>
            </w:r>
          </w:p>
        </w:tc>
        <w:tc>
          <w:tcPr>
            <w:tcBorders/>
            <w:tcW w:w="4629" w:type="dxa"/>
            <w:textDirection w:val="lrTb"/>
            <w:noWrap w:val="false"/>
          </w:tcPr>
          <w:p w14:paraId="03458057">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20</w:t>
            </w:r>
            <w:r>
              <w:rPr>
                <w:color w:val="000000" w:themeColor="text1"/>
              </w:rPr>
            </w:r>
          </w:p>
        </w:tc>
      </w:tr>
      <w:tr>
        <w:trPr/>
        <w:tc>
          <w:tcPr>
            <w:tcBorders/>
            <w:tcW w:w="4011" w:type="dxa"/>
            <w:vMerge w:val="restart"/>
            <w:textDirection w:val="lrTb"/>
            <w:noWrap w:val="false"/>
          </w:tcPr>
          <w:p w14:paraId="17586B56">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rerank_alpha</w:t>
            </w:r>
            <w:r>
              <w:rPr>
                <w:color w:val="000000" w:themeColor="text1"/>
              </w:rPr>
            </w:r>
          </w:p>
        </w:tc>
        <w:tc>
          <w:tcPr>
            <w:tcBorders/>
            <w:tcW w:w="4629" w:type="dxa"/>
            <w:vMerge w:val="restart"/>
            <w:textDirection w:val="lrTb"/>
            <w:noWrap w:val="false"/>
          </w:tcPr>
          <w:p w14:paraId="26D6B6A9">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0.2</w:t>
            </w:r>
            <w:r>
              <w:rPr>
                <w:color w:val="000000" w:themeColor="text1"/>
              </w:rPr>
            </w:r>
          </w:p>
        </w:tc>
      </w:tr>
      <w:tr>
        <w:trPr/>
        <w:tc>
          <w:tcPr>
            <w:tcBorders/>
            <w:tcW w:w="4011" w:type="dxa"/>
            <w:vMerge w:val="restart"/>
            <w:textDirection w:val="lrTb"/>
            <w:noWrap w:val="false"/>
          </w:tcPr>
          <w:p w14:paraId="728A443E">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min_top_score_for_answer</w:t>
            </w:r>
            <w:r>
              <w:rPr>
                <w:color w:val="000000" w:themeColor="text1"/>
              </w:rPr>
            </w:r>
          </w:p>
        </w:tc>
        <w:tc>
          <w:tcPr>
            <w:tcBorders/>
            <w:tcW w:w="4629" w:type="dxa"/>
            <w:vMerge w:val="restart"/>
            <w:textDirection w:val="lrTb"/>
            <w:noWrap w:val="false"/>
          </w:tcPr>
          <w:p w14:paraId="38D82E42">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0.18</w:t>
            </w:r>
            <w:r>
              <w:rPr>
                <w:color w:val="000000" w:themeColor="text1"/>
              </w:rPr>
            </w:r>
          </w:p>
        </w:tc>
      </w:tr>
      <w:tr>
        <w:trPr/>
        <w:tc>
          <w:tcPr>
            <w:tcBorders/>
            <w:tcW w:w="4011" w:type="dxa"/>
            <w:vMerge w:val="restart"/>
            <w:textDirection w:val="lrTb"/>
            <w:noWrap w:val="false"/>
          </w:tcPr>
          <w:p w14:paraId="0D8217DD">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min_mean_score_for_answer</w:t>
            </w:r>
            <w:r>
              <w:rPr>
                <w:color w:val="000000" w:themeColor="text1"/>
              </w:rPr>
            </w:r>
          </w:p>
        </w:tc>
        <w:tc>
          <w:tcPr>
            <w:tcBorders/>
            <w:tcW w:w="4629" w:type="dxa"/>
            <w:vMerge w:val="restart"/>
            <w:textDirection w:val="lrTb"/>
            <w:noWrap w:val="false"/>
          </w:tcPr>
          <w:p w14:paraId="27D93688">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0.12</w:t>
            </w:r>
            <w:r>
              <w:rPr>
                <w:color w:val="000000" w:themeColor="text1"/>
              </w:rPr>
            </w:r>
          </w:p>
        </w:tc>
      </w:tr>
      <w:tr>
        <w:trPr/>
        <w:tc>
          <w:tcPr>
            <w:tcBorders/>
            <w:tcW w:w="4011" w:type="dxa"/>
            <w:vMerge w:val="restart"/>
            <w:textDirection w:val="lrTb"/>
            <w:noWrap w:val="false"/>
          </w:tcPr>
          <w:p w14:paraId="73734277">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min_retrieved_for_answer</w:t>
            </w:r>
            <w:r>
              <w:rPr>
                <w:color w:val="000000" w:themeColor="text1"/>
              </w:rPr>
            </w:r>
          </w:p>
        </w:tc>
        <w:tc>
          <w:tcPr>
            <w:tcBorders/>
            <w:tcW w:w="4629" w:type="dxa"/>
            <w:vMerge w:val="restart"/>
            <w:textDirection w:val="lrTb"/>
            <w:noWrap w:val="false"/>
          </w:tcPr>
          <w:p w14:paraId="515D7CA5">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2</w:t>
            </w:r>
            <w:r>
              <w:rPr>
                <w:color w:val="000000" w:themeColor="text1"/>
              </w:rPr>
            </w:r>
          </w:p>
        </w:tc>
      </w:tr>
      <w:tr>
        <w:trPr/>
        <w:tc>
          <w:tcPr>
            <w:tcBorders/>
            <w:tcW w:w="4011" w:type="dxa"/>
            <w:vMerge w:val="restart"/>
            <w:textDirection w:val="lrTb"/>
            <w:noWrap w:val="false"/>
          </w:tcPr>
          <w:p w14:paraId="6FFCA92E">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has_severity_context</w:t>
            </w:r>
            <w:r>
              <w:rPr>
                <w:color w:val="000000" w:themeColor="text1"/>
              </w:rPr>
            </w:r>
          </w:p>
        </w:tc>
        <w:tc>
          <w:tcPr>
            <w:tcBorders/>
            <w:tcW w:w="4629" w:type="dxa"/>
            <w:vMerge w:val="restart"/>
            <w:textDirection w:val="lrTb"/>
            <w:noWrap w:val="false"/>
          </w:tcPr>
          <w:p w14:paraId="37B7B056">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false</w:t>
            </w:r>
            <w:r>
              <w:rPr>
                <w:color w:val="000000" w:themeColor="text1"/>
              </w:rPr>
            </w:r>
          </w:p>
        </w:tc>
      </w:tr>
    </w:tbl>
    <w:p w14:paraId="6325F197" w14:textId="34188E83">
      <w:pPr>
        <w:pStyle w:val="1056"/>
        <w:suppressLineNumbers w:val="false"/>
        <w:pBdr/>
        <w:spacing w:line="300" w:lineRule="auto"/>
        <w:ind/>
        <w:rPr/>
      </w:pPr>
      <w:r/>
      <w:r/>
    </w:p>
    <w:p w14:paraId="18A1BE9B">
      <w:pPr>
        <w:pStyle w:val="1056"/>
        <w:suppressLineNumbers w:val="false"/>
        <w:pBdr/>
        <w:spacing w:line="300" w:lineRule="auto"/>
        <w:ind w:firstLine="0"/>
        <w:rPr>
          <w:b/>
          <w:bCs/>
          <w:sz w:val="28"/>
          <w:szCs w:val="28"/>
        </w:rPr>
      </w:pPr>
      <w:r>
        <w:rPr>
          <w:b/>
          <w:bCs/>
          <w:sz w:val="28"/>
          <w:szCs w:val="28"/>
        </w:rPr>
        <w:t xml:space="preserve">5.6 Results</w:t>
      </w:r>
      <w:r>
        <w:rPr>
          <w:b/>
          <w:bCs/>
          <w:sz w:val="28"/>
          <w:szCs w:val="28"/>
        </w:rPr>
      </w:r>
    </w:p>
    <w:p w14:paraId="6709D402">
      <w:pPr>
        <w:pStyle w:val="1056"/>
        <w:suppressLineNumbers w:val="false"/>
        <w:pBdr/>
        <w:spacing w:line="300" w:lineRule="auto"/>
        <w:ind w:firstLine="0"/>
        <w:rPr>
          <w:b/>
          <w:bCs/>
        </w:rPr>
      </w:pPr>
      <w:r>
        <w:rPr>
          <w:b/>
          <w:bCs/>
        </w:rPr>
        <w:t xml:space="preserve">5.6.1 PICO extraction quality</w:t>
      </w:r>
      <w:r>
        <w:rPr>
          <w:b/>
          <w:bCs/>
        </w:rPr>
      </w:r>
    </w:p>
    <w:p w14:paraId="1F3FBC0F" w14:textId="2ED9BEBE">
      <w:pPr>
        <w:pStyle w:val="1056"/>
        <w:suppressLineNumbers w:val="false"/>
        <w:pBdr/>
        <w:spacing w:line="300" w:lineRule="auto"/>
        <w:ind w:firstLine="0"/>
        <w:rPr>
          <w:highlight w:val="none"/>
        </w:rPr>
      </w:pPr>
      <w:r>
        <w:t xml:space="preserve">Source: Prototyping_reformat/chapter5_pico_wrapper/results/eval_pass4_latest/pico_eval.json.</w:t>
      </w:r>
      <w:r/>
      <w:r/>
      <w:r/>
    </w:p>
    <w:p w14:paraId="2BB30FC3">
      <w:pPr>
        <w:pStyle w:val="1056"/>
        <w:suppressLineNumbers w:val="false"/>
        <w:pBdr/>
        <w:spacing w:line="300" w:lineRule="auto"/>
        <w:ind w:firstLine="0"/>
        <w:rPr/>
      </w:pPr>
      <w:r/>
      <w: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6337E1A4">
            <w:pPr>
              <w:pBdr/>
              <w:spacing w:after="0" w:before="0" w:line="240"/>
              <w:ind/>
              <w:rPr>
                <w:color w:val="000000" w:themeColor="text1"/>
              </w:rPr>
            </w:pPr>
            <w:r>
              <w:rPr>
                <w:rFonts w:ascii="Liberation Sans" w:hAnsi="Liberation Sans" w:eastAsia="Liberation Sans" w:cs="Liberation Sans"/>
                <w:b/>
                <w:color w:val="000000" w:themeColor="text1"/>
                <w:sz w:val="21"/>
              </w:rPr>
              <w:t xml:space="preserve">Field</w:t>
            </w:r>
            <w:r>
              <w:rPr>
                <w:color w:val="000000" w:themeColor="text1"/>
              </w:rPr>
            </w:r>
          </w:p>
        </w:tc>
        <w:tc>
          <w:tcPr>
            <w:tcBorders/>
            <w:tcW w:w="2160" w:type="dxa"/>
            <w:textDirection w:val="lrTb"/>
            <w:noWrap w:val="false"/>
          </w:tcPr>
          <w:p w14:paraId="4DFA9362">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Precision</w:t>
            </w:r>
            <w:r>
              <w:rPr>
                <w:color w:val="000000" w:themeColor="text1"/>
              </w:rPr>
            </w:r>
          </w:p>
        </w:tc>
        <w:tc>
          <w:tcPr>
            <w:tcBorders/>
            <w:tcW w:w="2160" w:type="dxa"/>
            <w:textDirection w:val="lrTb"/>
            <w:noWrap w:val="false"/>
          </w:tcPr>
          <w:p w14:paraId="1115CF08">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Recall</w:t>
            </w:r>
            <w:r>
              <w:rPr>
                <w:color w:val="000000" w:themeColor="text1"/>
              </w:rPr>
            </w:r>
          </w:p>
        </w:tc>
        <w:tc>
          <w:tcPr>
            <w:tcBorders/>
            <w:tcW w:w="2160" w:type="dxa"/>
            <w:textDirection w:val="lrTb"/>
            <w:noWrap w:val="false"/>
          </w:tcPr>
          <w:p w14:paraId="77EAB3AF">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F1</w:t>
            </w:r>
            <w:r>
              <w:rPr>
                <w:color w:val="000000" w:themeColor="text1"/>
              </w:rPr>
            </w:r>
          </w:p>
        </w:tc>
      </w:tr>
      <w:tr>
        <w:trPr/>
        <w:tc>
          <w:tcPr>
            <w:tcBorders/>
            <w:tcW w:w="2160" w:type="dxa"/>
            <w:textDirection w:val="lrTb"/>
            <w:noWrap w:val="false"/>
          </w:tcPr>
          <w:p w14:paraId="603A5684">
            <w:pPr>
              <w:pBdr/>
              <w:spacing w:after="0" w:before="0" w:line="240"/>
              <w:ind/>
              <w:rPr>
                <w:color w:val="000000" w:themeColor="text1"/>
              </w:rPr>
            </w:pPr>
            <w:r>
              <w:rPr>
                <w:rFonts w:ascii="Liberation Sans" w:hAnsi="Liberation Sans" w:eastAsia="Liberation Sans" w:cs="Liberation Sans"/>
                <w:color w:val="000000" w:themeColor="text1"/>
                <w:sz w:val="21"/>
              </w:rPr>
              <w:t xml:space="preserve">Population</w:t>
            </w:r>
            <w:r>
              <w:rPr>
                <w:color w:val="000000" w:themeColor="text1"/>
              </w:rPr>
            </w:r>
          </w:p>
        </w:tc>
        <w:tc>
          <w:tcPr>
            <w:tcBorders/>
            <w:tcW w:w="2160" w:type="dxa"/>
            <w:textDirection w:val="lrTb"/>
            <w:noWrap w:val="false"/>
          </w:tcPr>
          <w:p w14:paraId="520C46F9">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c>
          <w:tcPr>
            <w:tcBorders/>
            <w:tcW w:w="2160" w:type="dxa"/>
            <w:textDirection w:val="lrTb"/>
            <w:noWrap w:val="false"/>
          </w:tcPr>
          <w:p w14:paraId="6C410187">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c>
          <w:tcPr>
            <w:tcBorders/>
            <w:tcW w:w="2160" w:type="dxa"/>
            <w:textDirection w:val="lrTb"/>
            <w:noWrap w:val="false"/>
          </w:tcPr>
          <w:p w14:paraId="21579F82">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r>
      <w:tr>
        <w:trPr/>
        <w:tc>
          <w:tcPr>
            <w:tcBorders/>
            <w:tcW w:w="2160" w:type="dxa"/>
            <w:textDirection w:val="lrTb"/>
            <w:noWrap w:val="false"/>
          </w:tcPr>
          <w:p w14:paraId="736B9438">
            <w:pPr>
              <w:pBdr/>
              <w:spacing w:after="0" w:before="0" w:line="240"/>
              <w:ind/>
              <w:rPr>
                <w:color w:val="000000" w:themeColor="text1"/>
              </w:rPr>
            </w:pPr>
            <w:r>
              <w:rPr>
                <w:rFonts w:ascii="Liberation Sans" w:hAnsi="Liberation Sans" w:eastAsia="Liberation Sans" w:cs="Liberation Sans"/>
                <w:color w:val="000000" w:themeColor="text1"/>
                <w:sz w:val="21"/>
              </w:rPr>
              <w:t xml:space="preserve">Intervention</w:t>
            </w:r>
            <w:r>
              <w:rPr>
                <w:color w:val="000000" w:themeColor="text1"/>
              </w:rPr>
            </w:r>
          </w:p>
        </w:tc>
        <w:tc>
          <w:tcPr>
            <w:tcBorders/>
            <w:tcW w:w="2160" w:type="dxa"/>
            <w:textDirection w:val="lrTb"/>
            <w:noWrap w:val="false"/>
          </w:tcPr>
          <w:p w14:paraId="143E2EE5">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0.6250</w:t>
            </w:r>
            <w:r>
              <w:rPr>
                <w:color w:val="000000" w:themeColor="text1"/>
              </w:rPr>
            </w:r>
          </w:p>
        </w:tc>
        <w:tc>
          <w:tcPr>
            <w:tcBorders/>
            <w:tcW w:w="2160" w:type="dxa"/>
            <w:textDirection w:val="lrTb"/>
            <w:noWrap w:val="false"/>
          </w:tcPr>
          <w:p w14:paraId="115EC822">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c>
          <w:tcPr>
            <w:tcBorders/>
            <w:tcW w:w="2160" w:type="dxa"/>
            <w:textDirection w:val="lrTb"/>
            <w:noWrap w:val="false"/>
          </w:tcPr>
          <w:p w14:paraId="56D13784">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0.7692</w:t>
            </w:r>
            <w:r>
              <w:rPr>
                <w:color w:val="000000" w:themeColor="text1"/>
              </w:rPr>
            </w:r>
          </w:p>
        </w:tc>
      </w:tr>
      <w:tr>
        <w:trPr/>
        <w:tc>
          <w:tcPr>
            <w:tcBorders/>
            <w:tcW w:w="2160" w:type="dxa"/>
            <w:textDirection w:val="lrTb"/>
            <w:noWrap w:val="false"/>
          </w:tcPr>
          <w:p w14:paraId="5758B98A">
            <w:pPr>
              <w:pBdr/>
              <w:spacing w:after="0" w:before="0" w:line="240"/>
              <w:ind/>
              <w:rPr>
                <w:color w:val="000000" w:themeColor="text1"/>
              </w:rPr>
            </w:pPr>
            <w:r>
              <w:rPr>
                <w:rFonts w:ascii="Liberation Sans" w:hAnsi="Liberation Sans" w:eastAsia="Liberation Sans" w:cs="Liberation Sans"/>
                <w:color w:val="000000" w:themeColor="text1"/>
                <w:sz w:val="21"/>
              </w:rPr>
              <w:t xml:space="preserve">Comparator</w:t>
            </w:r>
            <w:r>
              <w:rPr>
                <w:color w:val="000000" w:themeColor="text1"/>
              </w:rPr>
            </w:r>
          </w:p>
        </w:tc>
        <w:tc>
          <w:tcPr>
            <w:tcBorders/>
            <w:tcW w:w="2160" w:type="dxa"/>
            <w:textDirection w:val="lrTb"/>
            <w:noWrap w:val="false"/>
          </w:tcPr>
          <w:p w14:paraId="2D7CE853">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0.8800</w:t>
            </w:r>
            <w:r>
              <w:rPr>
                <w:color w:val="000000" w:themeColor="text1"/>
              </w:rPr>
            </w:r>
          </w:p>
        </w:tc>
        <w:tc>
          <w:tcPr>
            <w:tcBorders/>
            <w:tcW w:w="2160" w:type="dxa"/>
            <w:textDirection w:val="lrTb"/>
            <w:noWrap w:val="false"/>
          </w:tcPr>
          <w:p w14:paraId="7D021284">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c>
          <w:tcPr>
            <w:tcBorders/>
            <w:tcW w:w="2160" w:type="dxa"/>
            <w:textDirection w:val="lrTb"/>
            <w:noWrap w:val="false"/>
          </w:tcPr>
          <w:p w14:paraId="4089304E">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0.9362</w:t>
            </w:r>
            <w:r>
              <w:rPr>
                <w:color w:val="000000" w:themeColor="text1"/>
              </w:rPr>
            </w:r>
          </w:p>
        </w:tc>
      </w:tr>
      <w:tr>
        <w:trPr/>
        <w:tc>
          <w:tcPr>
            <w:tcBorders/>
            <w:tcW w:w="2160" w:type="dxa"/>
            <w:textDirection w:val="lrTb"/>
            <w:noWrap w:val="false"/>
          </w:tcPr>
          <w:p w14:paraId="3F26CB2A">
            <w:pPr>
              <w:pBdr/>
              <w:spacing w:after="0" w:before="0" w:line="240"/>
              <w:ind/>
              <w:rPr>
                <w:color w:val="000000" w:themeColor="text1"/>
              </w:rPr>
            </w:pPr>
            <w:r>
              <w:rPr>
                <w:rFonts w:ascii="Liberation Sans" w:hAnsi="Liberation Sans" w:eastAsia="Liberation Sans" w:cs="Liberation Sans"/>
                <w:color w:val="000000" w:themeColor="text1"/>
                <w:sz w:val="21"/>
              </w:rPr>
              <w:t xml:space="preserve">Outcomes</w:t>
            </w:r>
            <w:r>
              <w:rPr>
                <w:color w:val="000000" w:themeColor="text1"/>
              </w:rPr>
            </w:r>
          </w:p>
        </w:tc>
        <w:tc>
          <w:tcPr>
            <w:tcBorders/>
            <w:tcW w:w="2160" w:type="dxa"/>
            <w:textDirection w:val="lrTb"/>
            <w:noWrap w:val="false"/>
          </w:tcPr>
          <w:p w14:paraId="63BC4E14">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0.4000</w:t>
            </w:r>
            <w:r>
              <w:rPr>
                <w:color w:val="000000" w:themeColor="text1"/>
              </w:rPr>
            </w:r>
          </w:p>
        </w:tc>
        <w:tc>
          <w:tcPr>
            <w:tcBorders/>
            <w:tcW w:w="2160" w:type="dxa"/>
            <w:textDirection w:val="lrTb"/>
            <w:noWrap w:val="false"/>
          </w:tcPr>
          <w:p w14:paraId="3F7F33CB">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0.5000</w:t>
            </w:r>
            <w:r>
              <w:rPr>
                <w:color w:val="000000" w:themeColor="text1"/>
              </w:rPr>
            </w:r>
          </w:p>
        </w:tc>
        <w:tc>
          <w:tcPr>
            <w:tcBorders/>
            <w:tcW w:w="2160" w:type="dxa"/>
            <w:textDirection w:val="lrTb"/>
            <w:noWrap w:val="false"/>
          </w:tcPr>
          <w:p w14:paraId="4B620143">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0.4444</w:t>
            </w:r>
            <w:r>
              <w:rPr>
                <w:color w:val="000000" w:themeColor="text1"/>
              </w:rPr>
            </w:r>
          </w:p>
        </w:tc>
      </w:tr>
      <w:tr>
        <w:trPr/>
        <w:tc>
          <w:tcPr>
            <w:tcBorders/>
            <w:tcW w:w="2160" w:type="dxa"/>
            <w:textDirection w:val="lrTb"/>
            <w:noWrap w:val="false"/>
          </w:tcPr>
          <w:p w14:paraId="21B2174A">
            <w:pPr>
              <w:pBdr/>
              <w:spacing w:after="0" w:before="0" w:line="240"/>
              <w:ind/>
              <w:rPr>
                <w:color w:val="000000" w:themeColor="text1"/>
              </w:rPr>
            </w:pPr>
            <w:r>
              <w:rPr>
                <w:rFonts w:ascii="Liberation Sans" w:hAnsi="Liberation Sans" w:eastAsia="Liberation Sans" w:cs="Liberation Sans"/>
                <w:color w:val="000000" w:themeColor="text1"/>
                <w:sz w:val="21"/>
              </w:rPr>
              <w:t xml:space="preserve">Severity anchors</w:t>
            </w:r>
            <w:r>
              <w:rPr>
                <w:color w:val="000000" w:themeColor="text1"/>
              </w:rPr>
            </w:r>
          </w:p>
        </w:tc>
        <w:tc>
          <w:tcPr>
            <w:tcBorders/>
            <w:tcW w:w="2160" w:type="dxa"/>
            <w:textDirection w:val="lrTb"/>
            <w:noWrap w:val="false"/>
          </w:tcPr>
          <w:p w14:paraId="1E9CF800">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0.4667</w:t>
            </w:r>
            <w:r>
              <w:rPr>
                <w:color w:val="000000" w:themeColor="text1"/>
              </w:rPr>
            </w:r>
          </w:p>
        </w:tc>
        <w:tc>
          <w:tcPr>
            <w:tcBorders/>
            <w:tcW w:w="2160" w:type="dxa"/>
            <w:textDirection w:val="lrTb"/>
            <w:noWrap w:val="false"/>
          </w:tcPr>
          <w:p w14:paraId="0D7FBD62">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c>
          <w:tcPr>
            <w:tcBorders/>
            <w:tcW w:w="2160" w:type="dxa"/>
            <w:textDirection w:val="lrTb"/>
            <w:noWrap w:val="false"/>
          </w:tcPr>
          <w:p w14:paraId="38E9D7AC">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0.6364</w:t>
            </w:r>
            <w:r>
              <w:rPr>
                <w:color w:val="000000" w:themeColor="text1"/>
              </w:rPr>
            </w:r>
          </w:p>
        </w:tc>
      </w:tr>
      <w:tr>
        <w:trPr/>
        <w:tc>
          <w:tcPr>
            <w:tcBorders/>
            <w:tcW w:w="2160" w:type="dxa"/>
            <w:textDirection w:val="lrTb"/>
            <w:noWrap w:val="false"/>
          </w:tcPr>
          <w:p w14:paraId="43CE56E3">
            <w:pPr>
              <w:pBdr/>
              <w:spacing w:after="0" w:before="0" w:line="240"/>
              <w:ind/>
              <w:rPr>
                <w:color w:val="000000" w:themeColor="text1"/>
              </w:rPr>
            </w:pPr>
            <w:r>
              <w:rPr>
                <w:rFonts w:ascii="Liberation Sans" w:hAnsi="Liberation Sans" w:eastAsia="Liberation Sans" w:cs="Liberation Sans"/>
                <w:color w:val="000000" w:themeColor="text1"/>
                <w:sz w:val="21"/>
              </w:rPr>
              <w:t xml:space="preserve">Timeframe</w:t>
            </w:r>
            <w:r>
              <w:rPr>
                <w:color w:val="000000" w:themeColor="text1"/>
              </w:rPr>
            </w:r>
          </w:p>
        </w:tc>
        <w:tc>
          <w:tcPr>
            <w:tcBorders/>
            <w:tcW w:w="2160" w:type="dxa"/>
            <w:textDirection w:val="lrTb"/>
            <w:noWrap w:val="false"/>
          </w:tcPr>
          <w:p w14:paraId="7B840453">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c>
          <w:tcPr>
            <w:tcBorders/>
            <w:tcW w:w="2160" w:type="dxa"/>
            <w:textDirection w:val="lrTb"/>
            <w:noWrap w:val="false"/>
          </w:tcPr>
          <w:p w14:paraId="7F803F39">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c>
          <w:tcPr>
            <w:tcBorders/>
            <w:tcW w:w="2160" w:type="dxa"/>
            <w:textDirection w:val="lrTb"/>
            <w:noWrap w:val="false"/>
          </w:tcPr>
          <w:p w14:paraId="0FB09402">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r>
      <w:tr>
        <w:trPr/>
        <w:tc>
          <w:tcPr>
            <w:tcBorders/>
            <w:tcW w:w="2160" w:type="dxa"/>
            <w:textDirection w:val="lrTb"/>
            <w:noWrap w:val="false"/>
          </w:tcPr>
          <w:p w14:paraId="4BD91E67">
            <w:pPr>
              <w:pBdr/>
              <w:spacing w:after="0" w:before="0" w:line="240"/>
              <w:ind/>
              <w:rPr>
                <w:color w:val="000000" w:themeColor="text1"/>
              </w:rPr>
            </w:pPr>
            <w:r>
              <w:rPr>
                <w:rFonts w:ascii="Liberation Sans" w:hAnsi="Liberation Sans" w:eastAsia="Liberation Sans" w:cs="Liberation Sans"/>
                <w:color w:val="000000" w:themeColor="text1"/>
                <w:sz w:val="21"/>
              </w:rPr>
              <w:t xml:space="preserve">Setting</w:t>
            </w:r>
            <w:r>
              <w:rPr>
                <w:color w:val="000000" w:themeColor="text1"/>
              </w:rPr>
            </w:r>
          </w:p>
        </w:tc>
        <w:tc>
          <w:tcPr>
            <w:tcBorders/>
            <w:tcW w:w="2160" w:type="dxa"/>
            <w:textDirection w:val="lrTb"/>
            <w:noWrap w:val="false"/>
          </w:tcPr>
          <w:p w14:paraId="029167AB">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0.8000</w:t>
            </w:r>
            <w:r>
              <w:rPr>
                <w:color w:val="000000" w:themeColor="text1"/>
              </w:rPr>
            </w:r>
          </w:p>
        </w:tc>
        <w:tc>
          <w:tcPr>
            <w:tcBorders/>
            <w:tcW w:w="2160" w:type="dxa"/>
            <w:textDirection w:val="lrTb"/>
            <w:noWrap w:val="false"/>
          </w:tcPr>
          <w:p w14:paraId="3F6FAE3F">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0.5000</w:t>
            </w:r>
            <w:r>
              <w:rPr>
                <w:color w:val="000000" w:themeColor="text1"/>
              </w:rPr>
            </w:r>
          </w:p>
        </w:tc>
        <w:tc>
          <w:tcPr>
            <w:tcBorders/>
            <w:tcW w:w="2160" w:type="dxa"/>
            <w:textDirection w:val="lrTb"/>
            <w:noWrap w:val="false"/>
          </w:tcPr>
          <w:p w14:paraId="2957A080">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0.6154</w:t>
            </w:r>
            <w:r>
              <w:rPr>
                <w:color w:val="000000" w:themeColor="text1"/>
              </w:rPr>
            </w:r>
          </w:p>
        </w:tc>
      </w:tr>
      <w:tr>
        <w:trPr/>
        <w:tc>
          <w:tcPr>
            <w:tcBorders/>
            <w:tcW w:w="2160" w:type="dxa"/>
            <w:vMerge w:val="restart"/>
            <w:textDirection w:val="lrTb"/>
            <w:noWrap w:val="false"/>
          </w:tcPr>
          <w:p w14:paraId="4241C026">
            <w:pPr>
              <w:pBdr/>
              <w:spacing w:after="0" w:before="0" w:line="240"/>
              <w:ind/>
              <w:rPr>
                <w:color w:val="000000" w:themeColor="text1"/>
              </w:rPr>
            </w:pPr>
            <w:r>
              <w:rPr>
                <w:rFonts w:ascii="Liberation Sans" w:hAnsi="Liberation Sans" w:eastAsia="Liberation Sans" w:cs="Liberation Sans"/>
                <w:color w:val="000000" w:themeColor="text1"/>
                <w:sz w:val="21"/>
              </w:rPr>
              <w:t xml:space="preserve">Constraints</w:t>
            </w:r>
            <w:r>
              <w:rPr>
                <w:color w:val="000000" w:themeColor="text1"/>
              </w:rPr>
            </w:r>
          </w:p>
        </w:tc>
        <w:tc>
          <w:tcPr>
            <w:tcBorders/>
            <w:tcW w:w="2160" w:type="dxa"/>
            <w:vMerge w:val="restart"/>
            <w:textDirection w:val="lrTb"/>
            <w:noWrap w:val="false"/>
          </w:tcPr>
          <w:p w14:paraId="1863EDAE">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p>
        </w:tc>
        <w:tc>
          <w:tcPr>
            <w:tcBorders/>
            <w:tcW w:w="2160" w:type="dxa"/>
            <w:vMerge w:val="restart"/>
            <w:textDirection w:val="lrTb"/>
            <w:noWrap w:val="false"/>
          </w:tcPr>
          <w:p w14:paraId="694B0031">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p>
        </w:tc>
        <w:tc>
          <w:tcPr>
            <w:tcBorders/>
            <w:tcW w:w="2160" w:type="dxa"/>
            <w:vMerge w:val="restart"/>
            <w:textDirection w:val="lrTb"/>
            <w:noWrap w:val="false"/>
          </w:tcPr>
          <w:p w14:paraId="0B6CB53E">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p>
        </w:tc>
      </w:tr>
    </w:tbl>
    <w:p w14:paraId="18FDBC37">
      <w:pPr>
        <w:pStyle w:val="1056"/>
        <w:suppressLineNumbers w:val="false"/>
        <w:pBdr/>
        <w:spacing w:line="300" w:lineRule="auto"/>
        <w:ind w:firstLine="0"/>
        <w:rPr/>
      </w:pPr>
      <w:r/>
      <w:r/>
      <w:r/>
    </w:p>
    <w:p w14:paraId="3DDCC921">
      <w:pPr>
        <w:pStyle w:val="1056"/>
        <w:suppressLineNumbers w:val="false"/>
        <w:pBdr/>
        <w:spacing w:line="300" w:lineRule="auto"/>
        <w:ind w:firstLine="0"/>
        <w:rPr/>
      </w:pPr>
      <w:r>
        <w:rPr>
          <w:highlight w:val="none"/>
        </w:rPr>
        <w:t xml:space="preserve">Aggregate values:</w:t>
      </w:r>
      <w:r/>
      <w:r>
        <w:rPr>
          <w:highlight w:val="none"/>
        </w:rPr>
      </w:r>
      <w:r/>
      <w:r>
        <w:rPr>
          <w:highlight w:val="none"/>
        </w:rPr>
      </w:r>
    </w:p>
    <w:p w14:paraId="76880DE7">
      <w:pPr>
        <w:pStyle w:val="1056"/>
        <w:numPr>
          <w:ilvl w:val="0"/>
          <w:numId w:val="87"/>
        </w:numPr>
        <w:suppressLineNumbers w:val="false"/>
        <w:pBdr/>
        <w:spacing w:line="300" w:lineRule="auto"/>
        <w:ind/>
        <w:rPr/>
      </w:pPr>
      <w:r>
        <w:rPr>
          <w:highlight w:val="none"/>
        </w:rPr>
        <w:t xml:space="preserve">required-field macro-F1 (P/I/C/O + severity_anchors): 0.7572 (n=20)</w:t>
      </w:r>
      <w:r/>
    </w:p>
    <w:p w14:paraId="710B4D7E">
      <w:pPr>
        <w:pStyle w:val="1056"/>
        <w:numPr>
          <w:ilvl w:val="0"/>
          <w:numId w:val="87"/>
        </w:numPr>
        <w:suppressLineNumbers w:val="false"/>
        <w:pBdr/>
        <w:spacing w:line="300" w:lineRule="auto"/>
        <w:ind/>
        <w:rPr/>
      </w:pPr>
      <w:r>
        <w:rPr>
          <w:highlight w:val="none"/>
        </w:rPr>
        <w:t xml:space="preserve">all-field macro-F1: 0.6752</w:t>
      </w:r>
      <w:r/>
    </w:p>
    <w:p w14:paraId="22783104">
      <w:pPr>
        <w:pStyle w:val="1056"/>
        <w:suppressLineNumbers w:val="false"/>
        <w:pBdr/>
        <w:spacing w:line="300" w:lineRule="auto"/>
        <w:ind w:firstLine="0"/>
        <w:rPr>
          <w:highlight w:val="none"/>
        </w:rPr>
      </w:pPr>
      <w:r>
        <w:rPr>
          <w:highlight w:val="none"/>
        </w:rPr>
        <w:t xml:space="preserve">The extractor is recall-heavy for core required fields but has precision weakness in outcomes and severity anchors, indicating broad lexical matching behavior.</w:t>
      </w:r>
      <w:r/>
      <w:r>
        <w:rPr>
          <w:highlight w:val="none"/>
        </w:rPr>
      </w:r>
      <w:r/>
    </w:p>
    <w:p w14:paraId="66B8241A">
      <w:pPr>
        <w:pStyle w:val="1056"/>
        <w:suppressLineNumbers w:val="false"/>
        <w:pBdr/>
        <w:spacing w:line="300" w:lineRule="auto"/>
        <w:ind w:firstLine="0"/>
        <w:rPr/>
      </w:pPr>
      <w:r/>
      <w:r/>
      <w:r/>
    </w:p>
    <w:p w14:paraId="23F75980">
      <w:pPr>
        <w:pStyle w:val="1056"/>
        <w:suppressLineNumbers w:val="false"/>
        <w:pBdr/>
        <w:spacing w:line="300" w:lineRule="auto"/>
        <w:ind w:firstLine="0"/>
        <w:rPr/>
      </w:pPr>
      <w:r/>
      <w:r/>
      <w:r/>
    </w:p>
    <w:p w14:paraId="2DD38AD1">
      <w:pPr>
        <w:pStyle w:val="1056"/>
        <w:suppressLineNumbers w:val="false"/>
        <w:pBdr/>
        <w:spacing w:line="300" w:lineRule="auto"/>
        <w:ind w:firstLine="0"/>
        <w:rPr>
          <w:highlight w:val="none"/>
        </w:rPr>
      </w:pPr>
      <w:r/>
      <w:r>
        <mc:AlternateContent>
          <mc:Choice Requires="wpg">
            <w:drawing>
              <wp:inline xmlns:wp="http://schemas.openxmlformats.org/drawingml/2006/wordprocessingDrawing" distT="0" distB="0" distL="0" distR="0">
                <wp:extent cx="5942625" cy="25007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05441" name=""/>
                        <pic:cNvPicPr>
                          <a:picLocks noChangeAspect="1"/>
                        </pic:cNvPicPr>
                        <pic:nvPr/>
                      </pic:nvPicPr>
                      <pic:blipFill rotWithShape="1">
                        <a:blip r:embed="rId28"/>
                        <a:stretch/>
                      </pic:blipFill>
                      <pic:spPr bwMode="auto">
                        <a:xfrm flipH="0" flipV="0">
                          <a:off x="0" y="0"/>
                          <a:ext cx="5942624" cy="250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92pt;height:196.91pt;mso-wrap-distance-left:0.00pt;mso-wrap-distance-top:0.00pt;mso-wrap-distance-right:0.00pt;mso-wrap-distance-bottom:0.00pt;z-index:1;" stroked="false">
                <v:imagedata r:id="rId28" o:title=""/>
                <o:lock v:ext="edit" rotation="t"/>
              </v:shape>
            </w:pict>
          </mc:Fallback>
        </mc:AlternateContent>
      </w:r>
      <w:r/>
    </w:p>
    <w:p w14:paraId="363329A6">
      <w:pPr>
        <w:pStyle w:val="1056"/>
        <w:suppressLineNumbers w:val="false"/>
        <w:pBdr/>
        <w:spacing w:line="300" w:lineRule="auto"/>
        <w:ind w:firstLine="0"/>
        <w:rPr>
          <w:highlight w:val="none"/>
        </w:rPr>
      </w:pPr>
      <w:r>
        <w:rPr>
          <w:highlight w:val="none"/>
        </w:rPr>
      </w:r>
      <w:r>
        <w:rPr>
          <w:highlight w:val="none"/>
        </w:rPr>
        <w:t xml:space="preserve">Per-field PICO extraction scores; shaded groups in the figure indicate required fields.</w:t>
      </w:r>
      <w:r>
        <w:rPr>
          <w:highlight w:val="none"/>
        </w:rPr>
      </w:r>
      <w:r/>
    </w:p>
    <w:p w14:paraId="0F65C045">
      <w:pPr>
        <w:pStyle w:val="1056"/>
        <w:suppressLineNumbers w:val="false"/>
        <w:pBdr/>
        <w:spacing w:line="300" w:lineRule="auto"/>
        <w:ind w:firstLine="0"/>
        <w:rPr/>
      </w:pPr>
      <w:r/>
      <w:r/>
      <w:r/>
    </w:p>
    <w:p w14:paraId="18B5B8E1">
      <w:pPr>
        <w:pStyle w:val="1056"/>
        <w:suppressLineNumbers w:val="false"/>
        <w:pBdr/>
        <w:spacing w:line="300" w:lineRule="auto"/>
        <w:ind w:firstLine="0"/>
        <w:rPr>
          <w:b/>
          <w:bCs/>
        </w:rPr>
      </w:pPr>
      <w:r>
        <w:rPr>
          <w:b/>
          <w:bCs/>
          <w:highlight w:val="none"/>
        </w:rPr>
        <w:t xml:space="preserve">5.6.2 Retrieval quality and uncertainty</w:t>
      </w:r>
      <w:r>
        <w:rPr>
          <w:b/>
          <w:bCs/>
        </w:rPr>
      </w:r>
    </w:p>
    <w:p w14:paraId="67733C65">
      <w:pPr>
        <w:pStyle w:val="1056"/>
        <w:suppressLineNumbers w:val="false"/>
        <w:pBdr/>
        <w:spacing w:line="300" w:lineRule="auto"/>
        <w:ind w:firstLine="0"/>
        <w:rPr/>
      </w:pPr>
      <w:r>
        <w:rPr>
          <w:highlight w:val="none"/>
        </w:rPr>
        <w:t xml:space="preserve">Source: Prototyping_reformat/chapter5_pico_wrapper/results/eval_pass4_latest/retrieval_eval.json.</w:t>
      </w:r>
      <w:r/>
      <w:r>
        <w:rPr>
          <w:highlight w:val="none"/>
        </w:rPr>
      </w:r>
      <w:r>
        <w:rPr>
          <w:highlight w:val="none"/>
        </w:rPr>
      </w:r>
      <w:r>
        <w:rPr>
          <w:highlight w:val="none"/>
        </w:rPr>
      </w:r>
      <w:r/>
      <w:r/>
      <w: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8B1C02A">
            <w:pPr>
              <w:pBdr/>
              <w:spacing w:after="0" w:before="0" w:line="240"/>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p>
        </w:tc>
        <w:tc>
          <w:tcPr>
            <w:tcBorders/>
            <w:tcW w:w="2160" w:type="dxa"/>
            <w:textDirection w:val="lrTb"/>
            <w:noWrap w:val="false"/>
          </w:tcPr>
          <w:p w14:paraId="260B607D">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@1</w:t>
            </w:r>
            <w:r>
              <w:rPr>
                <w:color w:val="000000" w:themeColor="text1"/>
              </w:rPr>
            </w:r>
          </w:p>
        </w:tc>
        <w:tc>
          <w:tcPr>
            <w:tcBorders/>
            <w:tcW w:w="2160" w:type="dxa"/>
            <w:textDirection w:val="lrTb"/>
            <w:noWrap w:val="false"/>
          </w:tcPr>
          <w:p w14:paraId="0CCECF68">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@3</w:t>
            </w:r>
            <w:r>
              <w:rPr>
                <w:color w:val="000000" w:themeColor="text1"/>
              </w:rPr>
            </w:r>
          </w:p>
        </w:tc>
        <w:tc>
          <w:tcPr>
            <w:tcBorders/>
            <w:tcW w:w="2160" w:type="dxa"/>
            <w:textDirection w:val="lrTb"/>
            <w:noWrap w:val="false"/>
          </w:tcPr>
          <w:p w14:paraId="30C3817F">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@5</w:t>
            </w:r>
            <w:r>
              <w:rPr>
                <w:color w:val="000000" w:themeColor="text1"/>
              </w:rPr>
            </w:r>
          </w:p>
        </w:tc>
      </w:tr>
      <w:tr>
        <w:trPr/>
        <w:tc>
          <w:tcPr>
            <w:tcBorders/>
            <w:tcW w:w="2160" w:type="dxa"/>
            <w:textDirection w:val="lrTb"/>
            <w:noWrap w:val="false"/>
          </w:tcPr>
          <w:p w14:paraId="7455194A">
            <w:pPr>
              <w:pBdr/>
              <w:spacing w:after="0" w:before="0" w:line="240"/>
              <w:ind/>
              <w:rPr>
                <w:color w:val="000000" w:themeColor="text1"/>
              </w:rPr>
            </w:pPr>
            <w:r>
              <w:rPr>
                <w:rFonts w:ascii="Liberation Sans" w:hAnsi="Liberation Sans" w:eastAsia="Liberation Sans" w:cs="Liberation Sans"/>
                <w:color w:val="000000" w:themeColor="text1"/>
                <w:sz w:val="21"/>
              </w:rPr>
              <w:t xml:space="preserve">Precision@k</w:t>
            </w:r>
            <w:r>
              <w:rPr>
                <w:color w:val="000000" w:themeColor="text1"/>
              </w:rPr>
            </w:r>
          </w:p>
        </w:tc>
        <w:tc>
          <w:tcPr>
            <w:tcBorders/>
            <w:tcW w:w="2160" w:type="dxa"/>
            <w:textDirection w:val="lrTb"/>
            <w:noWrap w:val="false"/>
          </w:tcPr>
          <w:p w14:paraId="0EE07F87">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0.2000</w:t>
            </w:r>
            <w:r>
              <w:rPr>
                <w:color w:val="000000" w:themeColor="text1"/>
              </w:rPr>
            </w:r>
          </w:p>
        </w:tc>
        <w:tc>
          <w:tcPr>
            <w:tcBorders/>
            <w:tcW w:w="2160" w:type="dxa"/>
            <w:textDirection w:val="lrTb"/>
            <w:noWrap w:val="false"/>
          </w:tcPr>
          <w:p w14:paraId="187E1A9F">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0.1667</w:t>
            </w:r>
            <w:r>
              <w:rPr>
                <w:color w:val="000000" w:themeColor="text1"/>
              </w:rPr>
            </w:r>
          </w:p>
        </w:tc>
        <w:tc>
          <w:tcPr>
            <w:tcBorders/>
            <w:tcW w:w="2160" w:type="dxa"/>
            <w:textDirection w:val="lrTb"/>
            <w:noWrap w:val="false"/>
          </w:tcPr>
          <w:p w14:paraId="46817137">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0.1600</w:t>
            </w:r>
            <w:r>
              <w:rPr>
                <w:color w:val="000000" w:themeColor="text1"/>
              </w:rPr>
            </w:r>
          </w:p>
        </w:tc>
      </w:tr>
      <w:tr>
        <w:trPr/>
        <w:tc>
          <w:tcPr>
            <w:tcBorders/>
            <w:tcW w:w="2160" w:type="dxa"/>
            <w:textDirection w:val="lrTb"/>
            <w:noWrap w:val="false"/>
          </w:tcPr>
          <w:p w14:paraId="5910AD58">
            <w:pPr>
              <w:pBdr/>
              <w:spacing w:after="0" w:before="0" w:line="240"/>
              <w:ind/>
              <w:rPr>
                <w:color w:val="000000" w:themeColor="text1"/>
              </w:rPr>
            </w:pPr>
            <w:r>
              <w:rPr>
                <w:rFonts w:ascii="Liberation Sans" w:hAnsi="Liberation Sans" w:eastAsia="Liberation Sans" w:cs="Liberation Sans"/>
                <w:color w:val="000000" w:themeColor="text1"/>
                <w:sz w:val="21"/>
              </w:rPr>
              <w:t xml:space="preserve">Recall@k</w:t>
            </w:r>
            <w:r>
              <w:rPr>
                <w:color w:val="000000" w:themeColor="text1"/>
              </w:rPr>
            </w:r>
          </w:p>
        </w:tc>
        <w:tc>
          <w:tcPr>
            <w:tcBorders/>
            <w:tcW w:w="2160" w:type="dxa"/>
            <w:textDirection w:val="lrTb"/>
            <w:noWrap w:val="false"/>
          </w:tcPr>
          <w:p w14:paraId="78886ED1">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0.1000</w:t>
            </w:r>
            <w:r>
              <w:rPr>
                <w:color w:val="000000" w:themeColor="text1"/>
              </w:rPr>
            </w:r>
          </w:p>
        </w:tc>
        <w:tc>
          <w:tcPr>
            <w:tcBorders/>
            <w:tcW w:w="2160" w:type="dxa"/>
            <w:textDirection w:val="lrTb"/>
            <w:noWrap w:val="false"/>
          </w:tcPr>
          <w:p w14:paraId="65ED25CF">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0.2500</w:t>
            </w:r>
            <w:r>
              <w:rPr>
                <w:color w:val="000000" w:themeColor="text1"/>
              </w:rPr>
            </w:r>
          </w:p>
        </w:tc>
        <w:tc>
          <w:tcPr>
            <w:tcBorders/>
            <w:tcW w:w="2160" w:type="dxa"/>
            <w:textDirection w:val="lrTb"/>
            <w:noWrap w:val="false"/>
          </w:tcPr>
          <w:p w14:paraId="001969B2">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0.4500</w:t>
            </w:r>
            <w:r>
              <w:rPr>
                <w:color w:val="000000" w:themeColor="text1"/>
              </w:rPr>
            </w:r>
          </w:p>
        </w:tc>
      </w:tr>
      <w:tr>
        <w:trPr/>
        <w:tc>
          <w:tcPr>
            <w:tcBorders/>
            <w:tcW w:w="2160" w:type="dxa"/>
            <w:textDirection w:val="lrTb"/>
            <w:noWrap w:val="false"/>
          </w:tcPr>
          <w:p w14:paraId="6FA1721A">
            <w:pPr>
              <w:pBdr/>
              <w:spacing w:after="0" w:before="0" w:line="240"/>
              <w:ind/>
              <w:rPr>
                <w:color w:val="000000" w:themeColor="text1"/>
              </w:rPr>
            </w:pPr>
            <w:r>
              <w:rPr>
                <w:rFonts w:ascii="Liberation Sans" w:hAnsi="Liberation Sans" w:eastAsia="Liberation Sans" w:cs="Liberation Sans"/>
                <w:color w:val="000000" w:themeColor="text1"/>
                <w:sz w:val="21"/>
              </w:rPr>
              <w:t xml:space="preserve">Hit rate@k</w:t>
            </w:r>
            <w:r>
              <w:rPr>
                <w:color w:val="000000" w:themeColor="text1"/>
              </w:rPr>
            </w:r>
          </w:p>
        </w:tc>
        <w:tc>
          <w:tcPr>
            <w:tcBorders/>
            <w:tcW w:w="2160" w:type="dxa"/>
            <w:textDirection w:val="lrTb"/>
            <w:noWrap w:val="false"/>
          </w:tcPr>
          <w:p w14:paraId="530A64ED">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0.2000</w:t>
            </w:r>
            <w:r>
              <w:rPr>
                <w:color w:val="000000" w:themeColor="text1"/>
              </w:rPr>
            </w:r>
          </w:p>
        </w:tc>
        <w:tc>
          <w:tcPr>
            <w:tcBorders/>
            <w:tcW w:w="2160" w:type="dxa"/>
            <w:textDirection w:val="lrTb"/>
            <w:noWrap w:val="false"/>
          </w:tcPr>
          <w:p w14:paraId="2C841809">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0.3000</w:t>
            </w:r>
            <w:r>
              <w:rPr>
                <w:color w:val="000000" w:themeColor="text1"/>
              </w:rPr>
            </w:r>
          </w:p>
        </w:tc>
        <w:tc>
          <w:tcPr>
            <w:tcBorders/>
            <w:tcW w:w="2160" w:type="dxa"/>
            <w:textDirection w:val="lrTb"/>
            <w:noWrap w:val="false"/>
          </w:tcPr>
          <w:p w14:paraId="647997F5">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0.6000</w:t>
            </w:r>
            <w:r>
              <w:rPr>
                <w:color w:val="000000" w:themeColor="text1"/>
              </w:rPr>
            </w:r>
          </w:p>
        </w:tc>
      </w:tr>
    </w:tbl>
    <w:p w14:paraId="131F6EC2">
      <w:pPr>
        <w:pStyle w:val="1056"/>
        <w:suppressLineNumbers w:val="false"/>
        <w:pBdr/>
        <w:spacing w:line="300" w:lineRule="auto"/>
        <w:ind w:firstLine="0"/>
        <w:rPr>
          <w:highlight w:val="none"/>
        </w:rPr>
      </w:pPr>
      <w:r/>
      <w:r>
        <w:t xml:space="preserve">Bootstrap 95% confidence intervals (2000 iterations, seed=42)</w:t>
      </w:r>
      <w:r/>
    </w:p>
    <w:p w14:paraId="1FC1F4C8">
      <w:pPr>
        <w:pStyle w:val="1056"/>
        <w:suppressLineNumbers w:val="false"/>
        <w:pBdr/>
        <w:spacing w:line="300" w:lineRule="auto"/>
        <w:ind w:firstLine="0"/>
        <w:rPr/>
      </w:pPr>
      <w:r/>
      <w:r/>
      <w:r/>
    </w:p>
    <w:tbl>
      <w:tblPr>
        <w:tblStyle w:val="1113"/>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0E93426">
            <w:pPr>
              <w:pBdr/>
              <w:spacing w:after="0" w:before="0" w:line="240"/>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p>
        </w:tc>
        <w:tc>
          <w:tcPr>
            <w:tcBorders/>
            <w:tcW w:w="2160" w:type="dxa"/>
            <w:textDirection w:val="lrTb"/>
            <w:noWrap w:val="false"/>
          </w:tcPr>
          <w:p w14:paraId="21B0D92F">
            <w:pPr>
              <w:pBdr/>
              <w:spacing w:after="0" w:before="0" w:line="240"/>
              <w:ind/>
              <w:rPr>
                <w:color w:val="000000" w:themeColor="text1"/>
              </w:rPr>
            </w:pPr>
            <w:r>
              <w:rPr>
                <w:rFonts w:ascii="Liberation Sans" w:hAnsi="Liberation Sans" w:eastAsia="Liberation Sans" w:cs="Liberation Sans"/>
                <w:b/>
                <w:color w:val="000000" w:themeColor="text1"/>
                <w:sz w:val="21"/>
              </w:rPr>
              <w:t xml:space="preserve">@1 CI</w:t>
            </w:r>
            <w:r>
              <w:rPr>
                <w:color w:val="000000" w:themeColor="text1"/>
              </w:rPr>
            </w:r>
          </w:p>
        </w:tc>
        <w:tc>
          <w:tcPr>
            <w:tcBorders/>
            <w:tcW w:w="2160" w:type="dxa"/>
            <w:textDirection w:val="lrTb"/>
            <w:noWrap w:val="false"/>
          </w:tcPr>
          <w:p w14:paraId="2E680FC8">
            <w:pPr>
              <w:pBdr/>
              <w:spacing w:after="0" w:before="0" w:line="240"/>
              <w:ind/>
              <w:rPr>
                <w:color w:val="000000" w:themeColor="text1"/>
              </w:rPr>
            </w:pPr>
            <w:r>
              <w:rPr>
                <w:rFonts w:ascii="Liberation Sans" w:hAnsi="Liberation Sans" w:eastAsia="Liberation Sans" w:cs="Liberation Sans"/>
                <w:b/>
                <w:color w:val="000000" w:themeColor="text1"/>
                <w:sz w:val="21"/>
              </w:rPr>
              <w:t xml:space="preserve">@3 CI</w:t>
            </w:r>
            <w:r>
              <w:rPr>
                <w:color w:val="000000" w:themeColor="text1"/>
              </w:rPr>
            </w:r>
          </w:p>
        </w:tc>
        <w:tc>
          <w:tcPr>
            <w:tcBorders/>
            <w:tcW w:w="2160" w:type="dxa"/>
            <w:textDirection w:val="lrTb"/>
            <w:noWrap w:val="false"/>
          </w:tcPr>
          <w:p w14:paraId="42B89C98">
            <w:pPr>
              <w:pBdr/>
              <w:spacing w:after="0" w:before="0" w:line="240"/>
              <w:ind/>
              <w:rPr>
                <w:color w:val="000000" w:themeColor="text1"/>
              </w:rPr>
            </w:pPr>
            <w:r>
              <w:rPr>
                <w:rFonts w:ascii="Liberation Sans" w:hAnsi="Liberation Sans" w:eastAsia="Liberation Sans" w:cs="Liberation Sans"/>
                <w:b/>
                <w:color w:val="000000" w:themeColor="text1"/>
                <w:sz w:val="21"/>
              </w:rPr>
              <w:t xml:space="preserve">@5 CI</w:t>
            </w:r>
            <w:r>
              <w:rPr>
                <w:color w:val="000000" w:themeColor="text1"/>
              </w:rPr>
            </w:r>
          </w:p>
        </w:tc>
      </w:tr>
      <w:tr>
        <w:trPr/>
        <w:tc>
          <w:tcPr>
            <w:tcBorders/>
            <w:tcW w:w="2160" w:type="dxa"/>
            <w:textDirection w:val="lrTb"/>
            <w:noWrap w:val="false"/>
          </w:tcPr>
          <w:p w14:paraId="571CCD95">
            <w:pPr>
              <w:pBdr/>
              <w:spacing w:after="0" w:before="0" w:line="240"/>
              <w:ind/>
              <w:rPr>
                <w:color w:val="000000" w:themeColor="text1"/>
              </w:rPr>
            </w:pPr>
            <w:r>
              <w:rPr>
                <w:rFonts w:ascii="Liberation Sans" w:hAnsi="Liberation Sans" w:eastAsia="Liberation Sans" w:cs="Liberation Sans"/>
                <w:color w:val="000000" w:themeColor="text1"/>
                <w:sz w:val="21"/>
              </w:rPr>
              <w:t xml:space="preserve">Precision@k</w:t>
            </w:r>
            <w:r>
              <w:rPr>
                <w:color w:val="000000" w:themeColor="text1"/>
              </w:rPr>
            </w:r>
          </w:p>
        </w:tc>
        <w:tc>
          <w:tcPr>
            <w:tcBorders/>
            <w:tcW w:w="2160" w:type="dxa"/>
            <w:textDirection w:val="lrTb"/>
            <w:noWrap w:val="false"/>
          </w:tcPr>
          <w:p w14:paraId="7E21642E">
            <w:pPr>
              <w:pBdr/>
              <w:spacing w:after="0" w:before="0" w:line="240"/>
              <w:ind/>
              <w:rPr>
                <w:color w:val="000000" w:themeColor="text1"/>
              </w:rPr>
            </w:pPr>
            <w:r>
              <w:rPr>
                <w:rFonts w:ascii="Liberation Sans" w:hAnsi="Liberation Sans" w:eastAsia="Liberation Sans" w:cs="Liberation Sans"/>
                <w:color w:val="000000" w:themeColor="text1"/>
                <w:sz w:val="21"/>
              </w:rPr>
              <w:t xml:space="preserve">[0.00, 0.50]</w:t>
            </w:r>
            <w:r>
              <w:rPr>
                <w:color w:val="000000" w:themeColor="text1"/>
              </w:rPr>
            </w:r>
          </w:p>
        </w:tc>
        <w:tc>
          <w:tcPr>
            <w:tcBorders/>
            <w:tcW w:w="2160" w:type="dxa"/>
            <w:textDirection w:val="lrTb"/>
            <w:noWrap w:val="false"/>
          </w:tcPr>
          <w:p w14:paraId="10D6F1F0">
            <w:pPr>
              <w:pBdr/>
              <w:spacing w:after="0" w:before="0" w:line="240"/>
              <w:ind/>
              <w:rPr>
                <w:color w:val="000000" w:themeColor="text1"/>
              </w:rPr>
            </w:pPr>
            <w:r>
              <w:rPr>
                <w:rFonts w:ascii="Liberation Sans" w:hAnsi="Liberation Sans" w:eastAsia="Liberation Sans" w:cs="Liberation Sans"/>
                <w:color w:val="000000" w:themeColor="text1"/>
                <w:sz w:val="21"/>
              </w:rPr>
              <w:t xml:space="preserve">[0.00, 0.3667]</w:t>
            </w:r>
            <w:r>
              <w:rPr>
                <w:color w:val="000000" w:themeColor="text1"/>
              </w:rPr>
            </w:r>
          </w:p>
        </w:tc>
        <w:tc>
          <w:tcPr>
            <w:tcBorders/>
            <w:tcW w:w="2160" w:type="dxa"/>
            <w:textDirection w:val="lrTb"/>
            <w:noWrap w:val="false"/>
          </w:tcPr>
          <w:p w14:paraId="3C2BA78A">
            <w:pPr>
              <w:pBdr/>
              <w:spacing w:after="0" w:before="0" w:line="240"/>
              <w:ind/>
              <w:rPr>
                <w:color w:val="000000" w:themeColor="text1"/>
              </w:rPr>
            </w:pPr>
            <w:r>
              <w:rPr>
                <w:rFonts w:ascii="Liberation Sans" w:hAnsi="Liberation Sans" w:eastAsia="Liberation Sans" w:cs="Liberation Sans"/>
                <w:color w:val="000000" w:themeColor="text1"/>
                <w:sz w:val="21"/>
              </w:rPr>
              <w:t xml:space="preserve">[0.08, 0.26]</w:t>
            </w:r>
            <w:r>
              <w:rPr>
                <w:color w:val="000000" w:themeColor="text1"/>
              </w:rPr>
            </w:r>
          </w:p>
        </w:tc>
      </w:tr>
      <w:tr>
        <w:trPr/>
        <w:tc>
          <w:tcPr>
            <w:tcBorders/>
            <w:tcW w:w="2160" w:type="dxa"/>
            <w:textDirection w:val="lrTb"/>
            <w:noWrap w:val="false"/>
          </w:tcPr>
          <w:p w14:paraId="0AD2D91B">
            <w:pPr>
              <w:pBdr/>
              <w:spacing w:after="0" w:before="0" w:line="240"/>
              <w:ind/>
              <w:rPr>
                <w:color w:val="000000" w:themeColor="text1"/>
              </w:rPr>
            </w:pPr>
            <w:r>
              <w:rPr>
                <w:rFonts w:ascii="Liberation Sans" w:hAnsi="Liberation Sans" w:eastAsia="Liberation Sans" w:cs="Liberation Sans"/>
                <w:color w:val="000000" w:themeColor="text1"/>
                <w:sz w:val="21"/>
              </w:rPr>
              <w:t xml:space="preserve">Recall@k</w:t>
            </w:r>
            <w:r>
              <w:rPr>
                <w:color w:val="000000" w:themeColor="text1"/>
              </w:rPr>
            </w:r>
          </w:p>
        </w:tc>
        <w:tc>
          <w:tcPr>
            <w:tcBorders/>
            <w:tcW w:w="2160" w:type="dxa"/>
            <w:textDirection w:val="lrTb"/>
            <w:noWrap w:val="false"/>
          </w:tcPr>
          <w:p w14:paraId="5EC5C09D">
            <w:pPr>
              <w:pBdr/>
              <w:spacing w:after="0" w:before="0" w:line="240"/>
              <w:ind/>
              <w:rPr>
                <w:color w:val="000000" w:themeColor="text1"/>
              </w:rPr>
            </w:pPr>
            <w:r>
              <w:rPr>
                <w:rFonts w:ascii="Liberation Sans" w:hAnsi="Liberation Sans" w:eastAsia="Liberation Sans" w:cs="Liberation Sans"/>
                <w:color w:val="000000" w:themeColor="text1"/>
                <w:sz w:val="21"/>
              </w:rPr>
              <w:t xml:space="preserve">[0.00, 0.25]</w:t>
            </w:r>
            <w:r>
              <w:rPr>
                <w:color w:val="000000" w:themeColor="text1"/>
              </w:rPr>
            </w:r>
          </w:p>
        </w:tc>
        <w:tc>
          <w:tcPr>
            <w:tcBorders/>
            <w:tcW w:w="2160" w:type="dxa"/>
            <w:textDirection w:val="lrTb"/>
            <w:noWrap w:val="false"/>
          </w:tcPr>
          <w:p w14:paraId="3ED4F5A3">
            <w:pPr>
              <w:pBdr/>
              <w:spacing w:after="0" w:before="0" w:line="240"/>
              <w:ind/>
              <w:rPr>
                <w:color w:val="000000" w:themeColor="text1"/>
              </w:rPr>
            </w:pPr>
            <w:r>
              <w:rPr>
                <w:rFonts w:ascii="Liberation Sans" w:hAnsi="Liberation Sans" w:eastAsia="Liberation Sans" w:cs="Liberation Sans"/>
                <w:color w:val="000000" w:themeColor="text1"/>
                <w:sz w:val="21"/>
              </w:rPr>
              <w:t xml:space="preserve">[0.00, 0.55]</w:t>
            </w:r>
            <w:r>
              <w:rPr>
                <w:color w:val="000000" w:themeColor="text1"/>
              </w:rPr>
            </w:r>
          </w:p>
        </w:tc>
        <w:tc>
          <w:tcPr>
            <w:tcBorders/>
            <w:tcW w:w="2160" w:type="dxa"/>
            <w:textDirection w:val="lrTb"/>
            <w:noWrap w:val="false"/>
          </w:tcPr>
          <w:p w14:paraId="3BF0191D">
            <w:pPr>
              <w:pBdr/>
              <w:spacing w:after="0" w:before="0" w:line="240"/>
              <w:ind/>
              <w:rPr>
                <w:color w:val="000000" w:themeColor="text1"/>
              </w:rPr>
            </w:pPr>
            <w:r>
              <w:rPr>
                <w:rFonts w:ascii="Liberation Sans" w:hAnsi="Liberation Sans" w:eastAsia="Liberation Sans" w:cs="Liberation Sans"/>
                <w:color w:val="000000" w:themeColor="text1"/>
                <w:sz w:val="21"/>
              </w:rPr>
              <w:t xml:space="preserve">[0.20, 0.70]</w:t>
            </w:r>
            <w:r>
              <w:rPr>
                <w:color w:val="000000" w:themeColor="text1"/>
              </w:rPr>
            </w:r>
          </w:p>
        </w:tc>
      </w:tr>
      <w:tr>
        <w:trPr/>
        <w:tc>
          <w:tcPr>
            <w:tcBorders/>
            <w:tcW w:w="2160" w:type="dxa"/>
            <w:textDirection w:val="lrTb"/>
            <w:noWrap w:val="false"/>
          </w:tcPr>
          <w:p w14:paraId="35E6ECE8">
            <w:pPr>
              <w:pBdr/>
              <w:spacing w:after="0" w:before="0" w:line="240"/>
              <w:ind/>
              <w:rPr>
                <w:color w:val="000000" w:themeColor="text1"/>
              </w:rPr>
            </w:pPr>
            <w:r>
              <w:rPr>
                <w:rFonts w:ascii="Liberation Sans" w:hAnsi="Liberation Sans" w:eastAsia="Liberation Sans" w:cs="Liberation Sans"/>
                <w:color w:val="000000" w:themeColor="text1"/>
                <w:sz w:val="21"/>
              </w:rPr>
              <w:t xml:space="preserve">Hit rate@k</w:t>
            </w:r>
            <w:r>
              <w:rPr>
                <w:color w:val="000000" w:themeColor="text1"/>
              </w:rPr>
            </w:r>
          </w:p>
        </w:tc>
        <w:tc>
          <w:tcPr>
            <w:tcBorders/>
            <w:tcW w:w="2160" w:type="dxa"/>
            <w:textDirection w:val="lrTb"/>
            <w:noWrap w:val="false"/>
          </w:tcPr>
          <w:p w14:paraId="677BDC56">
            <w:pPr>
              <w:pBdr/>
              <w:spacing w:after="0" w:before="0" w:line="240"/>
              <w:ind/>
              <w:rPr>
                <w:color w:val="000000" w:themeColor="text1"/>
              </w:rPr>
            </w:pPr>
            <w:r>
              <w:rPr>
                <w:rFonts w:ascii="Liberation Sans" w:hAnsi="Liberation Sans" w:eastAsia="Liberation Sans" w:cs="Liberation Sans"/>
                <w:color w:val="000000" w:themeColor="text1"/>
                <w:sz w:val="21"/>
              </w:rPr>
              <w:t xml:space="preserve">[0.00, 0.50]</w:t>
            </w:r>
            <w:r>
              <w:rPr>
                <w:color w:val="000000" w:themeColor="text1"/>
              </w:rPr>
            </w:r>
          </w:p>
        </w:tc>
        <w:tc>
          <w:tcPr>
            <w:tcBorders/>
            <w:tcW w:w="2160" w:type="dxa"/>
            <w:textDirection w:val="lrTb"/>
            <w:noWrap w:val="false"/>
          </w:tcPr>
          <w:p w14:paraId="66E748E1">
            <w:pPr>
              <w:pBdr/>
              <w:spacing w:after="0" w:before="0" w:line="240"/>
              <w:ind/>
              <w:rPr>
                <w:color w:val="000000" w:themeColor="text1"/>
              </w:rPr>
            </w:pPr>
            <w:r>
              <w:rPr>
                <w:rFonts w:ascii="Liberation Sans" w:hAnsi="Liberation Sans" w:eastAsia="Liberation Sans" w:cs="Liberation Sans"/>
                <w:color w:val="000000" w:themeColor="text1"/>
                <w:sz w:val="21"/>
              </w:rPr>
              <w:t xml:space="preserve">[0.00, 0.60]</w:t>
            </w:r>
            <w:r>
              <w:rPr>
                <w:color w:val="000000" w:themeColor="text1"/>
              </w:rPr>
            </w:r>
          </w:p>
        </w:tc>
        <w:tc>
          <w:tcPr>
            <w:tcBorders/>
            <w:tcW w:w="2160" w:type="dxa"/>
            <w:textDirection w:val="lrTb"/>
            <w:noWrap w:val="false"/>
          </w:tcPr>
          <w:p w14:paraId="73917109">
            <w:pPr>
              <w:pBdr/>
              <w:spacing w:after="0" w:before="0" w:line="240"/>
              <w:ind/>
              <w:rPr>
                <w:color w:val="000000" w:themeColor="text1"/>
              </w:rPr>
            </w:pPr>
            <w:r>
              <w:rPr>
                <w:rFonts w:ascii="Liberation Sans" w:hAnsi="Liberation Sans" w:eastAsia="Liberation Sans" w:cs="Liberation Sans"/>
                <w:color w:val="000000" w:themeColor="text1"/>
                <w:sz w:val="21"/>
              </w:rPr>
              <w:t xml:space="preserve">[0.30, 0.90]</w:t>
            </w:r>
            <w:r>
              <w:rPr>
                <w:color w:val="000000" w:themeColor="text1"/>
              </w:rPr>
            </w:r>
          </w:p>
        </w:tc>
      </w:tr>
    </w:tbl>
    <w:p w14:paraId="550E2433">
      <w:pPr>
        <w:pStyle w:val="1056"/>
        <w:suppressLineNumbers w:val="false"/>
        <w:pBdr/>
        <w:spacing w:line="300" w:lineRule="auto"/>
        <w:ind w:firstLine="0"/>
        <w:rPr/>
      </w:pPr>
      <w:r/>
      <w:r/>
      <w:r>
        <w:t xml:space="preserve">Interpretation: top-5 retrieval gives workable coverage on the current small KB, but wide intervals reflect small retrieval-gold sample size (n=10).</w:t>
      </w:r>
      <w:r/>
      <w:r/>
    </w:p>
    <w:p w14:paraId="354E27E6">
      <w:pPr>
        <w:pStyle w:val="1056"/>
        <w:suppressLineNumbers w:val="false"/>
        <w:pBdr/>
        <w:spacing w:line="300" w:lineRule="auto"/>
        <w:ind w:firstLine="0"/>
        <w:rPr>
          <w:highlight w:val="none"/>
        </w:rPr>
      </w:pPr>
      <w:r/>
      <w:r/>
      <w:r>
        <mc:AlternateContent>
          <mc:Choice Requires="wpg">
            <w:drawing>
              <wp:inline xmlns:wp="http://schemas.openxmlformats.org/drawingml/2006/wordprocessingDrawing" distT="0" distB="0" distL="0" distR="0">
                <wp:extent cx="5898250" cy="35389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2993" name=""/>
                        <pic:cNvPicPr>
                          <a:picLocks noChangeAspect="1"/>
                        </pic:cNvPicPr>
                        <pic:nvPr/>
                      </pic:nvPicPr>
                      <pic:blipFill rotWithShape="1">
                        <a:blip r:embed="rId29"/>
                        <a:stretch/>
                      </pic:blipFill>
                      <pic:spPr bwMode="auto">
                        <a:xfrm flipH="0" flipV="0">
                          <a:off x="0" y="0"/>
                          <a:ext cx="5898249" cy="3538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4.43pt;height:278.66pt;mso-wrap-distance-left:0.00pt;mso-wrap-distance-top:0.00pt;mso-wrap-distance-right:0.00pt;mso-wrap-distance-bottom:0.00pt;z-index:1;" stroked="false">
                <v:imagedata r:id="rId29" o:title=""/>
                <o:lock v:ext="edit" rotation="t"/>
              </v:shape>
            </w:pict>
          </mc:Fallback>
        </mc:AlternateContent>
      </w:r>
      <w:r/>
      <w:r/>
    </w:p>
    <w:p w14:paraId="2FF02AC4">
      <w:pPr>
        <w:pStyle w:val="1056"/>
        <w:suppressLineNumbers w:val="false"/>
        <w:pBdr/>
        <w:spacing w:line="300" w:lineRule="auto"/>
        <w:ind w:firstLine="0"/>
        <w:rPr>
          <w:highlight w:val="none"/>
        </w:rPr>
      </w:pPr>
      <w:r>
        <w:rPr>
          <w:highlight w:val="none"/>
        </w:rPr>
      </w:r>
      <w:r>
        <w:rPr>
          <w:highlight w:val="none"/>
        </w:rPr>
        <w:t xml:space="preserve">Retrieval precision/recall/hit-rate profiles with uncertainty bands.</w:t>
      </w:r>
      <w:r>
        <w:rPr>
          <w:highlight w:val="none"/>
        </w:rPr>
      </w:r>
      <w:r/>
    </w:p>
    <w:p w14:paraId="2B4EC682">
      <w:pPr>
        <w:pStyle w:val="1056"/>
        <w:suppressLineNumbers w:val="false"/>
        <w:pBdr/>
        <w:spacing w:line="300" w:lineRule="auto"/>
        <w:ind w:firstLine="0"/>
        <w:rPr/>
      </w:pPr>
      <w:r/>
      <w:r/>
      <w:r/>
    </w:p>
    <w:p w14:paraId="4F960A5C">
      <w:pPr>
        <w:pStyle w:val="1056"/>
        <w:suppressLineNumbers w:val="false"/>
        <w:pBdr/>
        <w:spacing w:line="300" w:lineRule="auto"/>
        <w:ind w:firstLine="0"/>
        <w:rPr>
          <w:b/>
          <w:bCs/>
        </w:rPr>
      </w:pPr>
      <w:r>
        <w:rPr>
          <w:b/>
          <w:bCs/>
          <w:highlight w:val="none"/>
        </w:rPr>
      </w:r>
      <w:r>
        <w:rPr>
          <w:b/>
          <w:bCs/>
          <w:highlight w:val="none"/>
        </w:rPr>
        <w:t xml:space="preserve">5.6.3 Retrieval ablation (backend/rerank sensitivity)</w:t>
      </w:r>
      <w:r>
        <w:rPr>
          <w:b/>
          <w:bCs/>
          <w:highlight w:val="none"/>
        </w:rPr>
      </w:r>
      <w:r>
        <w:rPr>
          <w:b/>
          <w:bCs/>
          <w:highlight w:val="none"/>
        </w:rPr>
      </w:r>
    </w:p>
    <w:p w14:paraId="23E6197E">
      <w:pPr>
        <w:pStyle w:val="1056"/>
        <w:suppressLineNumbers w:val="false"/>
        <w:pBdr/>
        <w:spacing w:line="300" w:lineRule="auto"/>
        <w:ind w:firstLine="0"/>
        <w:rPr>
          <w:highlight w:val="none"/>
        </w:rPr>
      </w:pPr>
      <w:r/>
      <w:r/>
      <w:r>
        <w:t xml:space="preserve">Source: Prototyping_reformat/chapter5_pico_wrapper/results/eval_pass3_ablation/retrieval_ablation_summary.tsv.</w:t>
      </w:r>
      <w:r/>
      <w:r/>
    </w:p>
    <w:p w14:paraId="124A3DC4">
      <w:pPr>
        <w:pStyle w:val="1056"/>
        <w:suppressLineNumbers w:val="false"/>
        <w:pBdr/>
        <w:spacing w:line="300" w:lineRule="auto"/>
        <w:ind w:firstLine="0"/>
        <w:rPr/>
      </w:pPr>
      <w:r/>
      <w:r/>
      <w:r/>
    </w:p>
    <w:tbl>
      <w:tblPr>
        <w:tblStyle w:val="1113"/>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2AEF3244">
            <w:pPr>
              <w:pBdr/>
              <w:spacing w:after="0" w:before="0" w:line="240"/>
              <w:ind/>
              <w:rPr>
                <w:color w:val="000000" w:themeColor="text1"/>
              </w:rPr>
            </w:pPr>
            <w:r>
              <w:rPr>
                <w:rFonts w:ascii="Liberation Sans" w:hAnsi="Liberation Sans" w:eastAsia="Liberation Sans" w:cs="Liberation Sans"/>
                <w:b/>
                <w:color w:val="000000" w:themeColor="text1"/>
                <w:sz w:val="21"/>
              </w:rPr>
              <w:t xml:space="preserve">Case</w:t>
            </w:r>
            <w:r>
              <w:rPr>
                <w:color w:val="000000" w:themeColor="text1"/>
              </w:rPr>
            </w:r>
          </w:p>
        </w:tc>
        <w:tc>
          <w:tcPr>
            <w:tcBorders/>
            <w:tcW w:w="1234" w:type="dxa"/>
            <w:textDirection w:val="lrTb"/>
            <w:noWrap w:val="false"/>
          </w:tcPr>
          <w:p w14:paraId="03023128">
            <w:pPr>
              <w:pBdr/>
              <w:spacing w:after="0" w:before="0" w:line="240"/>
              <w:ind/>
              <w:rPr>
                <w:color w:val="000000" w:themeColor="text1"/>
              </w:rPr>
            </w:pPr>
            <w:r>
              <w:rPr>
                <w:rFonts w:ascii="Liberation Sans" w:hAnsi="Liberation Sans" w:eastAsia="Liberation Sans" w:cs="Liberation Sans"/>
                <w:b/>
                <w:color w:val="000000" w:themeColor="text1"/>
                <w:sz w:val="21"/>
              </w:rPr>
              <w:t xml:space="preserve">Backend</w:t>
            </w:r>
            <w:r>
              <w:rPr>
                <w:color w:val="000000" w:themeColor="text1"/>
              </w:rPr>
            </w:r>
          </w:p>
        </w:tc>
        <w:tc>
          <w:tcPr>
            <w:tcBorders/>
            <w:tcW w:w="1234" w:type="dxa"/>
            <w:textDirection w:val="lrTb"/>
            <w:noWrap w:val="false"/>
          </w:tcPr>
          <w:p w14:paraId="10915B06">
            <w:pPr>
              <w:pBdr/>
              <w:spacing w:after="0" w:before="0" w:line="240"/>
              <w:ind/>
              <w:rPr>
                <w:color w:val="000000" w:themeColor="text1"/>
              </w:rPr>
            </w:pPr>
            <w:r>
              <w:rPr>
                <w:rFonts w:ascii="Liberation Sans" w:hAnsi="Liberation Sans" w:eastAsia="Liberation Sans" w:cs="Liberation Sans"/>
                <w:b/>
                <w:color w:val="000000" w:themeColor="text1"/>
                <w:sz w:val="21"/>
              </w:rPr>
              <w:t xml:space="preserve">Rerank</w:t>
            </w:r>
            <w:r>
              <w:rPr>
                <w:color w:val="000000" w:themeColor="text1"/>
              </w:rPr>
            </w:r>
          </w:p>
        </w:tc>
        <w:tc>
          <w:tcPr>
            <w:tcBorders/>
            <w:tcW w:w="1234" w:type="dxa"/>
            <w:textDirection w:val="lrTb"/>
            <w:noWrap w:val="false"/>
          </w:tcPr>
          <w:p w14:paraId="783E2FA3">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Alpha</w:t>
            </w:r>
            <w:r>
              <w:rPr>
                <w:color w:val="000000" w:themeColor="text1"/>
              </w:rPr>
            </w:r>
          </w:p>
        </w:tc>
        <w:tc>
          <w:tcPr>
            <w:tcBorders/>
            <w:tcW w:w="1234" w:type="dxa"/>
            <w:textDirection w:val="lrTb"/>
            <w:noWrap w:val="false"/>
          </w:tcPr>
          <w:p w14:paraId="3689A247">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Hit@1</w:t>
            </w:r>
            <w:r>
              <w:rPr>
                <w:color w:val="000000" w:themeColor="text1"/>
              </w:rPr>
            </w:r>
          </w:p>
        </w:tc>
        <w:tc>
          <w:tcPr>
            <w:tcBorders/>
            <w:tcW w:w="1234" w:type="dxa"/>
            <w:textDirection w:val="lrTb"/>
            <w:noWrap w:val="false"/>
          </w:tcPr>
          <w:p w14:paraId="477D2899">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Hit@5</w:t>
            </w:r>
            <w:r>
              <w:rPr>
                <w:color w:val="000000" w:themeColor="text1"/>
              </w:rPr>
            </w:r>
          </w:p>
        </w:tc>
        <w:tc>
          <w:tcPr>
            <w:tcBorders/>
            <w:tcW w:w="1234" w:type="dxa"/>
            <w:textDirection w:val="lrTb"/>
            <w:noWrap w:val="false"/>
          </w:tcPr>
          <w:p w14:paraId="0C2C28B9">
            <w:pPr>
              <w:pBdr/>
              <w:spacing w:after="0" w:before="0" w:line="240"/>
              <w:ind/>
              <w:jc w:val="right"/>
              <w:rPr>
                <w:color w:val="000000" w:themeColor="text1"/>
              </w:rPr>
            </w:pPr>
            <w:r>
              <w:rPr>
                <w:rFonts w:ascii="Liberation Sans" w:hAnsi="Liberation Sans" w:eastAsia="Liberation Sans" w:cs="Liberation Sans"/>
                <w:b/>
                <w:color w:val="000000" w:themeColor="text1"/>
                <w:sz w:val="21"/>
              </w:rPr>
              <w:t xml:space="preserve">Recall@5</w:t>
            </w:r>
            <w:r>
              <w:rPr>
                <w:color w:val="000000" w:themeColor="text1"/>
              </w:rPr>
            </w:r>
          </w:p>
        </w:tc>
      </w:tr>
      <w:tr>
        <w:trPr/>
        <w:tc>
          <w:tcPr>
            <w:tcBorders/>
            <w:tcW w:w="1234" w:type="dxa"/>
            <w:textDirection w:val="lrTb"/>
            <w:noWrap w:val="false"/>
          </w:tcPr>
          <w:p w14:paraId="7BB74779">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keyword_no_rerank</w:t>
            </w:r>
            <w:r>
              <w:rPr>
                <w:color w:val="000000" w:themeColor="text1"/>
              </w:rPr>
            </w:r>
          </w:p>
        </w:tc>
        <w:tc>
          <w:tcPr>
            <w:tcBorders/>
            <w:tcW w:w="1234" w:type="dxa"/>
            <w:textDirection w:val="lrTb"/>
            <w:noWrap w:val="false"/>
          </w:tcPr>
          <w:p w14:paraId="5D6C8763">
            <w:pPr>
              <w:pBdr/>
              <w:spacing w:after="0" w:before="0" w:line="240"/>
              <w:ind/>
              <w:rPr>
                <w:color w:val="000000" w:themeColor="text1"/>
              </w:rPr>
            </w:pPr>
            <w:r>
              <w:rPr>
                <w:rFonts w:ascii="Liberation Sans" w:hAnsi="Liberation Sans" w:eastAsia="Liberation Sans" w:cs="Liberation Sans"/>
                <w:color w:val="000000" w:themeColor="text1"/>
                <w:sz w:val="21"/>
              </w:rPr>
              <w:t xml:space="preserve">keyword</w:t>
            </w:r>
            <w:r>
              <w:rPr>
                <w:color w:val="000000" w:themeColor="text1"/>
              </w:rPr>
            </w:r>
          </w:p>
        </w:tc>
        <w:tc>
          <w:tcPr>
            <w:tcBorders/>
            <w:tcW w:w="1234" w:type="dxa"/>
            <w:textDirection w:val="lrTb"/>
            <w:noWrap w:val="false"/>
          </w:tcPr>
          <w:p w14:paraId="18778D81">
            <w:pPr>
              <w:pBdr/>
              <w:spacing w:after="0" w:before="0" w:line="240"/>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p>
        </w:tc>
        <w:tc>
          <w:tcPr>
            <w:tcBorders/>
            <w:tcW w:w="1234" w:type="dxa"/>
            <w:textDirection w:val="lrTb"/>
            <w:noWrap w:val="false"/>
          </w:tcPr>
          <w:p w14:paraId="48D1F961">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p>
        </w:tc>
        <w:tc>
          <w:tcPr>
            <w:tcBorders/>
            <w:tcW w:w="1234" w:type="dxa"/>
            <w:textDirection w:val="lrTb"/>
            <w:noWrap w:val="false"/>
          </w:tcPr>
          <w:p w14:paraId="3F709B15">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p>
        </w:tc>
        <w:tc>
          <w:tcPr>
            <w:tcBorders/>
            <w:tcW w:w="1234" w:type="dxa"/>
            <w:textDirection w:val="lrTb"/>
            <w:noWrap w:val="false"/>
          </w:tcPr>
          <w:p w14:paraId="18070BC0">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p>
        </w:tc>
        <w:tc>
          <w:tcPr>
            <w:tcBorders/>
            <w:tcW w:w="1234" w:type="dxa"/>
            <w:textDirection w:val="lrTb"/>
            <w:noWrap w:val="false"/>
          </w:tcPr>
          <w:p w14:paraId="319AE537">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0.30</w:t>
            </w:r>
            <w:r>
              <w:rPr>
                <w:color w:val="000000" w:themeColor="text1"/>
              </w:rPr>
            </w:r>
          </w:p>
        </w:tc>
      </w:tr>
      <w:tr>
        <w:trPr/>
        <w:tc>
          <w:tcPr>
            <w:tcBorders/>
            <w:tcW w:w="1234" w:type="dxa"/>
            <w:textDirection w:val="lrTb"/>
            <w:noWrap w:val="false"/>
          </w:tcPr>
          <w:p w14:paraId="729761E4">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hybrid_rerank_a035</w:t>
            </w:r>
            <w:r>
              <w:rPr>
                <w:color w:val="000000" w:themeColor="text1"/>
              </w:rPr>
            </w:r>
          </w:p>
        </w:tc>
        <w:tc>
          <w:tcPr>
            <w:tcBorders/>
            <w:tcW w:w="1234" w:type="dxa"/>
            <w:textDirection w:val="lrTb"/>
            <w:noWrap w:val="false"/>
          </w:tcPr>
          <w:p w14:paraId="601E9087">
            <w:pPr>
              <w:pBdr/>
              <w:spacing w:after="0" w:before="0" w:line="240"/>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p>
        </w:tc>
        <w:tc>
          <w:tcPr>
            <w:tcBorders/>
            <w:tcW w:w="1234" w:type="dxa"/>
            <w:textDirection w:val="lrTb"/>
            <w:noWrap w:val="false"/>
          </w:tcPr>
          <w:p w14:paraId="49E0C1CB">
            <w:pPr>
              <w:pBdr/>
              <w:spacing w:after="0" w:before="0" w:line="240"/>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p>
        </w:tc>
        <w:tc>
          <w:tcPr>
            <w:tcBorders/>
            <w:tcW w:w="1234" w:type="dxa"/>
            <w:textDirection w:val="lrTb"/>
            <w:noWrap w:val="false"/>
          </w:tcPr>
          <w:p w14:paraId="4630C43F">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p>
        </w:tc>
        <w:tc>
          <w:tcPr>
            <w:tcBorders/>
            <w:tcW w:w="1234" w:type="dxa"/>
            <w:textDirection w:val="lrTb"/>
            <w:noWrap w:val="false"/>
          </w:tcPr>
          <w:p w14:paraId="65194121">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p>
        </w:tc>
        <w:tc>
          <w:tcPr>
            <w:tcBorders/>
            <w:tcW w:w="1234" w:type="dxa"/>
            <w:textDirection w:val="lrTb"/>
            <w:noWrap w:val="false"/>
          </w:tcPr>
          <w:p w14:paraId="43BB2300">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p>
        </w:tc>
        <w:tc>
          <w:tcPr>
            <w:tcBorders/>
            <w:tcW w:w="1234" w:type="dxa"/>
            <w:textDirection w:val="lrTb"/>
            <w:noWrap w:val="false"/>
          </w:tcPr>
          <w:p w14:paraId="44C065A8">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p>
        </w:tc>
      </w:tr>
      <w:tr>
        <w:trPr/>
        <w:tc>
          <w:tcPr>
            <w:tcBorders/>
            <w:tcW w:w="1234" w:type="dxa"/>
            <w:textDirection w:val="lrTb"/>
            <w:noWrap w:val="false"/>
          </w:tcPr>
          <w:p w14:paraId="444813F0">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hybrid_rerank_a050</w:t>
            </w:r>
            <w:r>
              <w:rPr>
                <w:color w:val="000000" w:themeColor="text1"/>
              </w:rPr>
            </w:r>
          </w:p>
        </w:tc>
        <w:tc>
          <w:tcPr>
            <w:tcBorders/>
            <w:tcW w:w="1234" w:type="dxa"/>
            <w:textDirection w:val="lrTb"/>
            <w:noWrap w:val="false"/>
          </w:tcPr>
          <w:p w14:paraId="4722C593">
            <w:pPr>
              <w:pBdr/>
              <w:spacing w:after="0" w:before="0" w:line="240"/>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p>
        </w:tc>
        <w:tc>
          <w:tcPr>
            <w:tcBorders/>
            <w:tcW w:w="1234" w:type="dxa"/>
            <w:textDirection w:val="lrTb"/>
            <w:noWrap w:val="false"/>
          </w:tcPr>
          <w:p w14:paraId="3E325D12">
            <w:pPr>
              <w:pBdr/>
              <w:spacing w:after="0" w:before="0" w:line="240"/>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p>
        </w:tc>
        <w:tc>
          <w:tcPr>
            <w:tcBorders/>
            <w:tcW w:w="1234" w:type="dxa"/>
            <w:textDirection w:val="lrTb"/>
            <w:noWrap w:val="false"/>
          </w:tcPr>
          <w:p w14:paraId="6B8AD128">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p>
        </w:tc>
        <w:tc>
          <w:tcPr>
            <w:tcBorders/>
            <w:tcW w:w="1234" w:type="dxa"/>
            <w:textDirection w:val="lrTb"/>
            <w:noWrap w:val="false"/>
          </w:tcPr>
          <w:p w14:paraId="20A46A79">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p>
        </w:tc>
        <w:tc>
          <w:tcPr>
            <w:tcBorders/>
            <w:tcW w:w="1234" w:type="dxa"/>
            <w:textDirection w:val="lrTb"/>
            <w:noWrap w:val="false"/>
          </w:tcPr>
          <w:p w14:paraId="22F717E4">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p>
        </w:tc>
        <w:tc>
          <w:tcPr>
            <w:tcBorders/>
            <w:tcW w:w="1234" w:type="dxa"/>
            <w:textDirection w:val="lrTb"/>
            <w:noWrap w:val="false"/>
          </w:tcPr>
          <w:p w14:paraId="0782D761">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p>
        </w:tc>
      </w:tr>
      <w:tr>
        <w:trPr/>
        <w:tc>
          <w:tcPr>
            <w:tcBorders/>
            <w:tcW w:w="1234" w:type="dxa"/>
            <w:textDirection w:val="lrTb"/>
            <w:noWrap w:val="false"/>
          </w:tcPr>
          <w:p w14:paraId="6FD84FDA">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tfidf_no_rerank</w:t>
            </w:r>
            <w:r>
              <w:rPr>
                <w:color w:val="000000" w:themeColor="text1"/>
              </w:rPr>
            </w:r>
          </w:p>
        </w:tc>
        <w:tc>
          <w:tcPr>
            <w:tcBorders/>
            <w:tcW w:w="1234" w:type="dxa"/>
            <w:textDirection w:val="lrTb"/>
            <w:noWrap w:val="false"/>
          </w:tcPr>
          <w:p w14:paraId="0805AA9C">
            <w:pPr>
              <w:pBdr/>
              <w:spacing w:after="0" w:before="0" w:line="240"/>
              <w:ind/>
              <w:rPr>
                <w:color w:val="000000" w:themeColor="text1"/>
              </w:rPr>
            </w:pPr>
            <w:r>
              <w:rPr>
                <w:rFonts w:ascii="Liberation Sans" w:hAnsi="Liberation Sans" w:eastAsia="Liberation Sans" w:cs="Liberation Sans"/>
                <w:color w:val="000000" w:themeColor="text1"/>
                <w:sz w:val="21"/>
              </w:rPr>
              <w:t xml:space="preserve">tfidf</w:t>
            </w:r>
            <w:r>
              <w:rPr>
                <w:color w:val="000000" w:themeColor="text1"/>
              </w:rPr>
            </w:r>
          </w:p>
        </w:tc>
        <w:tc>
          <w:tcPr>
            <w:tcBorders/>
            <w:tcW w:w="1234" w:type="dxa"/>
            <w:textDirection w:val="lrTb"/>
            <w:noWrap w:val="false"/>
          </w:tcPr>
          <w:p w14:paraId="239333B1">
            <w:pPr>
              <w:pBdr/>
              <w:spacing w:after="0" w:before="0" w:line="240"/>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p>
        </w:tc>
        <w:tc>
          <w:tcPr>
            <w:tcBorders/>
            <w:tcW w:w="1234" w:type="dxa"/>
            <w:textDirection w:val="lrTb"/>
            <w:noWrap w:val="false"/>
          </w:tcPr>
          <w:p w14:paraId="3DD229DA">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p>
        </w:tc>
        <w:tc>
          <w:tcPr>
            <w:tcBorders/>
            <w:tcW w:w="1234" w:type="dxa"/>
            <w:textDirection w:val="lrTb"/>
            <w:noWrap w:val="false"/>
          </w:tcPr>
          <w:p w14:paraId="34C55A9A">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0.10</w:t>
            </w:r>
            <w:r>
              <w:rPr>
                <w:color w:val="000000" w:themeColor="text1"/>
              </w:rPr>
            </w:r>
          </w:p>
        </w:tc>
        <w:tc>
          <w:tcPr>
            <w:tcBorders/>
            <w:tcW w:w="1234" w:type="dxa"/>
            <w:textDirection w:val="lrTb"/>
            <w:noWrap w:val="false"/>
          </w:tcPr>
          <w:p w14:paraId="3150056F">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p>
        </w:tc>
        <w:tc>
          <w:tcPr>
            <w:tcBorders/>
            <w:tcW w:w="1234" w:type="dxa"/>
            <w:textDirection w:val="lrTb"/>
            <w:noWrap w:val="false"/>
          </w:tcPr>
          <w:p w14:paraId="0F5C1394">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p>
        </w:tc>
      </w:tr>
      <w:tr>
        <w:trPr/>
        <w:tc>
          <w:tcPr>
            <w:tcBorders/>
            <w:tcW w:w="1234" w:type="dxa"/>
            <w:textDirection w:val="lrTb"/>
            <w:noWrap w:val="false"/>
          </w:tcPr>
          <w:p w14:paraId="600C7D5A">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tfidf_rerank_a035</w:t>
            </w:r>
            <w:r>
              <w:rPr>
                <w:color w:val="000000" w:themeColor="text1"/>
              </w:rPr>
            </w:r>
          </w:p>
        </w:tc>
        <w:tc>
          <w:tcPr>
            <w:tcBorders/>
            <w:tcW w:w="1234" w:type="dxa"/>
            <w:textDirection w:val="lrTb"/>
            <w:noWrap w:val="false"/>
          </w:tcPr>
          <w:p w14:paraId="74D830B2">
            <w:pPr>
              <w:pBdr/>
              <w:spacing w:after="0" w:before="0" w:line="240"/>
              <w:ind/>
              <w:rPr>
                <w:color w:val="000000" w:themeColor="text1"/>
              </w:rPr>
            </w:pPr>
            <w:r>
              <w:rPr>
                <w:rFonts w:ascii="Liberation Sans" w:hAnsi="Liberation Sans" w:eastAsia="Liberation Sans" w:cs="Liberation Sans"/>
                <w:color w:val="000000" w:themeColor="text1"/>
                <w:sz w:val="21"/>
              </w:rPr>
              <w:t xml:space="preserve">tfidf</w:t>
            </w:r>
            <w:r>
              <w:rPr>
                <w:color w:val="000000" w:themeColor="text1"/>
              </w:rPr>
            </w:r>
          </w:p>
        </w:tc>
        <w:tc>
          <w:tcPr>
            <w:tcBorders/>
            <w:tcW w:w="1234" w:type="dxa"/>
            <w:textDirection w:val="lrTb"/>
            <w:noWrap w:val="false"/>
          </w:tcPr>
          <w:p w14:paraId="4EF077CC">
            <w:pPr>
              <w:pBdr/>
              <w:spacing w:after="0" w:before="0" w:line="240"/>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p>
        </w:tc>
        <w:tc>
          <w:tcPr>
            <w:tcBorders/>
            <w:tcW w:w="1234" w:type="dxa"/>
            <w:textDirection w:val="lrTb"/>
            <w:noWrap w:val="false"/>
          </w:tcPr>
          <w:p w14:paraId="0B453AF7">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p>
        </w:tc>
        <w:tc>
          <w:tcPr>
            <w:tcBorders/>
            <w:tcW w:w="1234" w:type="dxa"/>
            <w:textDirection w:val="lrTb"/>
            <w:noWrap w:val="false"/>
          </w:tcPr>
          <w:p w14:paraId="1D50C2E5">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p>
        </w:tc>
        <w:tc>
          <w:tcPr>
            <w:tcBorders/>
            <w:tcW w:w="1234" w:type="dxa"/>
            <w:textDirection w:val="lrTb"/>
            <w:noWrap w:val="false"/>
          </w:tcPr>
          <w:p w14:paraId="3BC638BB">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p>
        </w:tc>
        <w:tc>
          <w:tcPr>
            <w:tcBorders/>
            <w:tcW w:w="1234" w:type="dxa"/>
            <w:textDirection w:val="lrTb"/>
            <w:noWrap w:val="false"/>
          </w:tcPr>
          <w:p w14:paraId="6B72BD70">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p>
        </w:tc>
      </w:tr>
      <w:tr>
        <w:trPr/>
        <w:tc>
          <w:tcPr>
            <w:tcBorders/>
            <w:tcW w:w="1234" w:type="dxa"/>
            <w:textDirection w:val="lrTb"/>
            <w:noWrap w:val="false"/>
          </w:tcPr>
          <w:p w14:paraId="44E740CA">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hybrid_no_rerank</w:t>
            </w:r>
            <w:r>
              <w:rPr>
                <w:color w:val="000000" w:themeColor="text1"/>
              </w:rPr>
            </w:r>
          </w:p>
        </w:tc>
        <w:tc>
          <w:tcPr>
            <w:tcBorders/>
            <w:tcW w:w="1234" w:type="dxa"/>
            <w:textDirection w:val="lrTb"/>
            <w:noWrap w:val="false"/>
          </w:tcPr>
          <w:p w14:paraId="2F19941D">
            <w:pPr>
              <w:pBdr/>
              <w:spacing w:after="0" w:before="0" w:line="240"/>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p>
        </w:tc>
        <w:tc>
          <w:tcPr>
            <w:tcBorders/>
            <w:tcW w:w="1234" w:type="dxa"/>
            <w:textDirection w:val="lrTb"/>
            <w:noWrap w:val="false"/>
          </w:tcPr>
          <w:p w14:paraId="1CEFEE7C">
            <w:pPr>
              <w:pBdr/>
              <w:spacing w:after="0" w:before="0" w:line="240"/>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p>
        </w:tc>
        <w:tc>
          <w:tcPr>
            <w:tcBorders/>
            <w:tcW w:w="1234" w:type="dxa"/>
            <w:textDirection w:val="lrTb"/>
            <w:noWrap w:val="false"/>
          </w:tcPr>
          <w:p w14:paraId="1BB71A4D">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p>
        </w:tc>
        <w:tc>
          <w:tcPr>
            <w:tcBorders/>
            <w:tcW w:w="1234" w:type="dxa"/>
            <w:textDirection w:val="lrTb"/>
            <w:noWrap w:val="false"/>
          </w:tcPr>
          <w:p w14:paraId="5CA8A3CC">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p>
        </w:tc>
        <w:tc>
          <w:tcPr>
            <w:tcBorders/>
            <w:tcW w:w="1234" w:type="dxa"/>
            <w:textDirection w:val="lrTb"/>
            <w:noWrap w:val="false"/>
          </w:tcPr>
          <w:p w14:paraId="0B63A098">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p>
        </w:tc>
        <w:tc>
          <w:tcPr>
            <w:tcBorders/>
            <w:tcW w:w="1234" w:type="dxa"/>
            <w:textDirection w:val="lrTb"/>
            <w:noWrap w:val="false"/>
          </w:tcPr>
          <w:p w14:paraId="1C9233CA">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p>
        </w:tc>
      </w:tr>
      <w:tr>
        <w:trPr/>
        <w:tc>
          <w:tcPr>
            <w:tcBorders/>
            <w:tcW w:w="1234" w:type="dxa"/>
            <w:textDirection w:val="lrTb"/>
            <w:noWrap w:val="false"/>
          </w:tcPr>
          <w:p w14:paraId="7453E20B">
            <w:pPr>
              <w:pBdr/>
              <w:spacing w:after="0" w:before="0" w:line="240"/>
              <w:ind/>
              <w:rPr>
                <w:color w:val="000000" w:themeColor="text1"/>
              </w:rPr>
            </w:pPr>
            <w:r>
              <w:rPr>
                <w:rFonts w:ascii="Droid Sans Mono" w:hAnsi="Droid Sans Mono" w:eastAsia="Droid Sans Mono" w:cs="Droid Sans Mono"/>
                <w:color w:val="000000" w:themeColor="text1"/>
                <w:sz w:val="24"/>
                <w:highlight w:val="white"/>
              </w:rPr>
              <w:t xml:space="preserve">hybrid_rerank_a020</w:t>
            </w:r>
            <w:r>
              <w:rPr>
                <w:color w:val="000000" w:themeColor="text1"/>
              </w:rPr>
            </w:r>
          </w:p>
        </w:tc>
        <w:tc>
          <w:tcPr>
            <w:tcBorders/>
            <w:tcW w:w="1234" w:type="dxa"/>
            <w:textDirection w:val="lrTb"/>
            <w:noWrap w:val="false"/>
          </w:tcPr>
          <w:p w14:paraId="7E2F931F">
            <w:pPr>
              <w:pBdr/>
              <w:spacing w:after="0" w:before="0" w:line="240"/>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p>
        </w:tc>
        <w:tc>
          <w:tcPr>
            <w:tcBorders/>
            <w:tcW w:w="1234" w:type="dxa"/>
            <w:textDirection w:val="lrTb"/>
            <w:noWrap w:val="false"/>
          </w:tcPr>
          <w:p w14:paraId="33533573">
            <w:pPr>
              <w:pBdr/>
              <w:spacing w:after="0" w:before="0" w:line="240"/>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p>
        </w:tc>
        <w:tc>
          <w:tcPr>
            <w:tcBorders/>
            <w:tcW w:w="1234" w:type="dxa"/>
            <w:textDirection w:val="lrTb"/>
            <w:noWrap w:val="false"/>
          </w:tcPr>
          <w:p w14:paraId="6BC9BD12">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p>
        </w:tc>
        <w:tc>
          <w:tcPr>
            <w:tcBorders/>
            <w:tcW w:w="1234" w:type="dxa"/>
            <w:textDirection w:val="lrTb"/>
            <w:noWrap w:val="false"/>
          </w:tcPr>
          <w:p w14:paraId="4AB17804">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p>
        </w:tc>
        <w:tc>
          <w:tcPr>
            <w:tcBorders/>
            <w:tcW w:w="1234" w:type="dxa"/>
            <w:textDirection w:val="lrTb"/>
            <w:noWrap w:val="false"/>
          </w:tcPr>
          <w:p w14:paraId="519D089B">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p>
        </w:tc>
        <w:tc>
          <w:tcPr>
            <w:tcBorders/>
            <w:tcW w:w="1234" w:type="dxa"/>
            <w:textDirection w:val="lrTb"/>
            <w:noWrap w:val="false"/>
          </w:tcPr>
          <w:p w14:paraId="6E364B4D">
            <w:pPr>
              <w:pBdr/>
              <w:spacing w:after="0" w:before="0" w:line="240"/>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p>
        </w:tc>
      </w:tr>
    </w:tbl>
    <w:p w14:paraId="01190ED4">
      <w:pPr>
        <w:pStyle w:val="1056"/>
        <w:suppressLineNumbers w:val="false"/>
        <w:pBdr/>
        <w:spacing w:line="300" w:lineRule="auto"/>
        <w:ind w:firstLine="0"/>
        <w:rPr>
          <w:highlight w:val="none"/>
        </w:rPr>
      </w:pPr>
      <w:r>
        <w:rPr>
          <w:highlight w:val="none"/>
        </w:rPr>
      </w:r>
      <w:r>
        <w:rPr>
          <w:highlight w:val="none"/>
        </w:rPr>
      </w:r>
      <w:r>
        <w:rPr>
          <w:highlight w:val="none"/>
        </w:rPr>
        <w:t xml:space="preserve">Selected default in pass4: hybrid + rerank alpha=0.20, which ties best Recall@5 while preserving stronger Hit@1 than non-reranked TF-IDF.</w:t>
      </w:r>
      <w:r>
        <w:rPr>
          <w:highlight w:val="none"/>
        </w:rPr>
      </w:r>
      <w:r/>
    </w:p>
    <w:p w14:paraId="2866B2C8">
      <w:pPr>
        <w:pStyle w:val="1056"/>
        <w:suppressLineNumbers w:val="false"/>
        <w:pBdr/>
        <w:spacing w:line="300" w:lineRule="auto"/>
        <w:ind w:firstLine="0"/>
        <w:rPr/>
      </w:pPr>
      <w:r/>
      <w:r/>
      <w:r/>
    </w:p>
    <w:p w14:paraId="53C81D3B">
      <w:pPr>
        <w:pStyle w:val="1056"/>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858700" cy="29293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11775" name=""/>
                        <pic:cNvPicPr>
                          <a:picLocks noChangeAspect="1"/>
                        </pic:cNvPicPr>
                        <pic:nvPr/>
                      </pic:nvPicPr>
                      <pic:blipFill rotWithShape="1">
                        <a:blip r:embed="rId30"/>
                        <a:stretch/>
                      </pic:blipFill>
                      <pic:spPr bwMode="auto">
                        <a:xfrm flipH="0" flipV="0">
                          <a:off x="0" y="0"/>
                          <a:ext cx="5858699" cy="2929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1.31pt;height:230.66pt;mso-wrap-distance-left:0.00pt;mso-wrap-distance-top:0.00pt;mso-wrap-distance-right:0.00pt;mso-wrap-distance-bottom:0.00pt;z-index:1;" stroked="false">
                <v:imagedata r:id="rId30" o:title=""/>
                <o:lock v:ext="edit" rotation="t"/>
              </v:shape>
            </w:pict>
          </mc:Fallback>
        </mc:AlternateContent>
      </w:r>
      <w:r>
        <w:rPr>
          <w:highlight w:val="none"/>
        </w:rPr>
      </w:r>
      <w:r/>
    </w:p>
    <w:p w14:paraId="613FC46D">
      <w:pPr>
        <w:pStyle w:val="1056"/>
        <w:suppressLineNumbers w:val="false"/>
        <w:pBdr/>
        <w:spacing w:line="300" w:lineRule="auto"/>
        <w:ind w:firstLine="0"/>
        <w:rPr>
          <w:highlight w:val="none"/>
        </w:rPr>
      </w:pPr>
      <w:r>
        <w:rPr>
          <w:highlight w:val="none"/>
        </w:rPr>
      </w:r>
      <w:r>
        <w:rPr>
          <w:highlight w:val="none"/>
        </w:rPr>
        <w:t xml:space="preserve">Recall@5 comparison across backend/rerank configurations; multiple settings tie at the top in this small benchmark.</w:t>
      </w:r>
      <w:r>
        <w:rPr>
          <w:highlight w:val="none"/>
        </w:rPr>
      </w:r>
      <w:r/>
    </w:p>
    <w:p w14:paraId="52E34231">
      <w:pPr>
        <w:pStyle w:val="1056"/>
        <w:suppressLineNumbers w:val="false"/>
        <w:pBdr/>
        <w:spacing w:line="300" w:lineRule="auto"/>
        <w:ind w:firstLine="0"/>
        <w:rPr/>
      </w:pPr>
      <w:r/>
      <w:r/>
      <w:r/>
    </w:p>
    <w:p w14:paraId="2C98503A">
      <w:pPr>
        <w:pStyle w:val="1056"/>
        <w:suppressLineNumbers w:val="false"/>
        <w:pBdr/>
        <w:spacing w:line="300" w:lineRule="auto"/>
        <w:ind w:firstLine="0"/>
        <w:rPr>
          <w:b/>
          <w:bCs/>
        </w:rPr>
      </w:pPr>
      <w:r>
        <w:rPr>
          <w:b/>
          <w:bCs/>
          <w:highlight w:val="none"/>
        </w:rPr>
        <w:t xml:space="preserve">5.6.4 Answer quality and citation grounding</w:t>
      </w:r>
      <w:r>
        <w:rPr>
          <w:b/>
          <w:bCs/>
        </w:rPr>
      </w:r>
    </w:p>
    <w:p w14:paraId="630ADA5D">
      <w:pPr>
        <w:pStyle w:val="1056"/>
        <w:suppressLineNumbers w:val="false"/>
        <w:pBdr/>
        <w:spacing w:line="300" w:lineRule="auto"/>
        <w:ind w:firstLine="0"/>
        <w:rPr/>
      </w:pPr>
      <w:r>
        <w:rPr>
          <w:highlight w:val="none"/>
        </w:rPr>
        <w:t xml:space="preserve">Source: Prototyping_reformat/chapter5_pico_wrapper/results/eval_pass4_latest/answer_eval.json.</w:t>
      </w:r>
      <w:r/>
      <w:r>
        <w:rPr>
          <w:highlight w:val="none"/>
        </w:rPr>
      </w:r>
      <w:r>
        <w:rPr>
          <w:highlight w:val="none"/>
        </w:rPr>
      </w:r>
      <w:r>
        <w:rPr>
          <w:highlight w:val="none"/>
        </w:rPr>
      </w:r>
    </w:p>
    <w:p w14:paraId="1286B50C">
      <w:pPr>
        <w:pStyle w:val="1056"/>
        <w:suppressLineNumbers w:val="false"/>
        <w:pBdr/>
        <w:spacing w:line="300" w:lineRule="auto"/>
        <w:ind w:firstLine="0"/>
        <w:rPr/>
      </w:pPr>
      <w:r/>
      <w:r/>
      <w:r/>
    </w:p>
    <w:tbl>
      <w:tblPr>
        <w:tblStyle w:val="1113"/>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D07916A">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p>
        </w:tc>
        <w:tc>
          <w:tcPr>
            <w:tcBorders/>
            <w:tcW w:w="4320" w:type="dxa"/>
            <w:textDirection w:val="lrTb"/>
            <w:noWrap w:val="false"/>
          </w:tcPr>
          <w:p w14:paraId="68A3046F">
            <w:pPr>
              <w:pBdr/>
              <w:spacing w:after="0" w:before="0" w:line="240"/>
              <w:ind/>
              <w:jc w:val="center"/>
              <w:rPr>
                <w:color w:val="000000" w:themeColor="text1"/>
              </w:rPr>
            </w:pPr>
            <w:r>
              <w:rPr>
                <w:rFonts w:ascii="Liberation Sans" w:hAnsi="Liberation Sans" w:eastAsia="Liberation Sans" w:cs="Liberation Sans"/>
                <w:b/>
                <w:color w:val="000000" w:themeColor="text1"/>
                <w:sz w:val="21"/>
              </w:rPr>
              <w:t xml:space="preserve">Value</w:t>
            </w:r>
            <w:r>
              <w:rPr>
                <w:color w:val="000000" w:themeColor="text1"/>
              </w:rPr>
            </w:r>
          </w:p>
        </w:tc>
      </w:tr>
      <w:tr>
        <w:trPr/>
        <w:tc>
          <w:tcPr>
            <w:tcBorders/>
            <w:tcW w:w="4320" w:type="dxa"/>
            <w:textDirection w:val="lrTb"/>
            <w:noWrap w:val="false"/>
          </w:tcPr>
          <w:p w14:paraId="7B8C509A">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Outputs evaluated</w:t>
            </w:r>
            <w:r>
              <w:rPr>
                <w:color w:val="000000" w:themeColor="text1"/>
              </w:rPr>
            </w:r>
          </w:p>
        </w:tc>
        <w:tc>
          <w:tcPr>
            <w:tcBorders/>
            <w:tcW w:w="4320" w:type="dxa"/>
            <w:textDirection w:val="lrTb"/>
            <w:noWrap w:val="false"/>
          </w:tcPr>
          <w:p w14:paraId="653EF68E">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50</w:t>
            </w:r>
            <w:r>
              <w:rPr>
                <w:color w:val="000000" w:themeColor="text1"/>
              </w:rPr>
            </w:r>
          </w:p>
        </w:tc>
      </w:tr>
      <w:tr>
        <w:trPr/>
        <w:tc>
          <w:tcPr>
            <w:tcBorders/>
            <w:tcW w:w="4320" w:type="dxa"/>
            <w:textDirection w:val="lrTb"/>
            <w:noWrap w:val="false"/>
          </w:tcPr>
          <w:p w14:paraId="596BCF59">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Claims extracted</w:t>
            </w:r>
            <w:r>
              <w:rPr>
                <w:color w:val="000000" w:themeColor="text1"/>
              </w:rPr>
            </w:r>
          </w:p>
        </w:tc>
        <w:tc>
          <w:tcPr>
            <w:tcBorders/>
            <w:tcW w:w="4320" w:type="dxa"/>
            <w:textDirection w:val="lrTb"/>
            <w:noWrap w:val="false"/>
          </w:tcPr>
          <w:p w14:paraId="3EBF0475">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142</w:t>
            </w:r>
            <w:r>
              <w:rPr>
                <w:color w:val="000000" w:themeColor="text1"/>
              </w:rPr>
            </w:r>
          </w:p>
        </w:tc>
      </w:tr>
      <w:tr>
        <w:trPr/>
        <w:tc>
          <w:tcPr>
            <w:tcBorders/>
            <w:tcW w:w="4320" w:type="dxa"/>
            <w:textDirection w:val="lrTb"/>
            <w:noWrap w:val="false"/>
          </w:tcPr>
          <w:p w14:paraId="66D71DCB">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Claims evaluated</w:t>
            </w:r>
            <w:r>
              <w:rPr>
                <w:color w:val="000000" w:themeColor="text1"/>
              </w:rPr>
            </w:r>
          </w:p>
        </w:tc>
        <w:tc>
          <w:tcPr>
            <w:tcBorders/>
            <w:tcW w:w="4320" w:type="dxa"/>
            <w:textDirection w:val="lrTb"/>
            <w:noWrap w:val="false"/>
          </w:tcPr>
          <w:p w14:paraId="5697DCD9">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138</w:t>
            </w:r>
            <w:r>
              <w:rPr>
                <w:color w:val="000000" w:themeColor="text1"/>
              </w:rPr>
            </w:r>
          </w:p>
        </w:tc>
      </w:tr>
      <w:tr>
        <w:trPr/>
        <w:tc>
          <w:tcPr>
            <w:tcBorders/>
            <w:tcW w:w="4320" w:type="dxa"/>
            <w:textDirection w:val="lrTb"/>
            <w:noWrap w:val="false"/>
          </w:tcPr>
          <w:p w14:paraId="158A5602">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Policy claims excluded</w:t>
            </w:r>
            <w:r>
              <w:rPr>
                <w:color w:val="000000" w:themeColor="text1"/>
              </w:rPr>
            </w:r>
          </w:p>
        </w:tc>
        <w:tc>
          <w:tcPr>
            <w:tcBorders/>
            <w:tcW w:w="4320" w:type="dxa"/>
            <w:textDirection w:val="lrTb"/>
            <w:noWrap w:val="false"/>
          </w:tcPr>
          <w:p w14:paraId="00FDC0C9">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4</w:t>
            </w:r>
            <w:r>
              <w:rPr>
                <w:color w:val="000000" w:themeColor="text1"/>
              </w:rPr>
            </w:r>
          </w:p>
        </w:tc>
      </w:tr>
      <w:tr>
        <w:trPr/>
        <w:tc>
          <w:tcPr>
            <w:tcBorders/>
            <w:tcW w:w="4320" w:type="dxa"/>
            <w:textDirection w:val="lrTb"/>
            <w:noWrap w:val="false"/>
          </w:tcPr>
          <w:p w14:paraId="2BCCFC17">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Refusal count</w:t>
            </w:r>
            <w:r>
              <w:rPr>
                <w:color w:val="000000" w:themeColor="text1"/>
              </w:rPr>
            </w:r>
          </w:p>
        </w:tc>
        <w:tc>
          <w:tcPr>
            <w:tcBorders/>
            <w:tcW w:w="4320" w:type="dxa"/>
            <w:textDirection w:val="lrTb"/>
            <w:noWrap w:val="false"/>
          </w:tcPr>
          <w:p w14:paraId="426E4228">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4</w:t>
            </w:r>
            <w:r>
              <w:rPr>
                <w:color w:val="000000" w:themeColor="text1"/>
              </w:rPr>
            </w:r>
          </w:p>
        </w:tc>
      </w:tr>
      <w:tr>
        <w:trPr/>
        <w:tc>
          <w:tcPr>
            <w:tcBorders/>
            <w:tcW w:w="4320" w:type="dxa"/>
            <w:textDirection w:val="lrTb"/>
            <w:noWrap w:val="false"/>
          </w:tcPr>
          <w:p w14:paraId="1553608A">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Refusal rate</w:t>
            </w:r>
            <w:r>
              <w:rPr>
                <w:color w:val="000000" w:themeColor="text1"/>
              </w:rPr>
            </w:r>
          </w:p>
        </w:tc>
        <w:tc>
          <w:tcPr>
            <w:tcBorders/>
            <w:tcW w:w="4320" w:type="dxa"/>
            <w:textDirection w:val="lrTb"/>
            <w:noWrap w:val="false"/>
          </w:tcPr>
          <w:p w14:paraId="7847C7CD">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0.0800</w:t>
            </w:r>
            <w:r>
              <w:rPr>
                <w:color w:val="000000" w:themeColor="text1"/>
              </w:rPr>
            </w:r>
          </w:p>
        </w:tc>
      </w:tr>
      <w:tr>
        <w:trPr/>
        <w:tc>
          <w:tcPr>
            <w:tcBorders/>
            <w:tcW w:w="4320" w:type="dxa"/>
            <w:textDirection w:val="lrTb"/>
            <w:noWrap w:val="false"/>
          </w:tcPr>
          <w:p w14:paraId="294E1A8A">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Citation coverage</w:t>
            </w:r>
            <w:r>
              <w:rPr>
                <w:color w:val="000000" w:themeColor="text1"/>
              </w:rPr>
            </w:r>
          </w:p>
        </w:tc>
        <w:tc>
          <w:tcPr>
            <w:tcBorders/>
            <w:tcW w:w="4320" w:type="dxa"/>
            <w:textDirection w:val="lrTb"/>
            <w:noWrap w:val="false"/>
          </w:tcPr>
          <w:p w14:paraId="44C3B492">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r>
      <w:tr>
        <w:trPr/>
        <w:tc>
          <w:tcPr>
            <w:tcBorders/>
            <w:tcW w:w="4320" w:type="dxa"/>
            <w:vMerge w:val="restart"/>
            <w:textDirection w:val="lrTb"/>
            <w:noWrap w:val="false"/>
          </w:tcPr>
          <w:p w14:paraId="07EFB1D4">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Citation correctness (heuristic)</w:t>
            </w:r>
            <w:r>
              <w:rPr>
                <w:color w:val="000000" w:themeColor="text1"/>
              </w:rPr>
            </w:r>
          </w:p>
        </w:tc>
        <w:tc>
          <w:tcPr>
            <w:tcBorders/>
            <w:tcW w:w="4320" w:type="dxa"/>
            <w:vMerge w:val="restart"/>
            <w:textDirection w:val="lrTb"/>
            <w:noWrap w:val="false"/>
          </w:tcPr>
          <w:p w14:paraId="34DFC67C">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r>
      <w:tr>
        <w:trPr/>
        <w:tc>
          <w:tcPr>
            <w:tcBorders/>
            <w:tcW w:w="4320" w:type="dxa"/>
            <w:vMerge w:val="restart"/>
            <w:textDirection w:val="lrTb"/>
            <w:noWrap w:val="false"/>
          </w:tcPr>
          <w:p w14:paraId="3FD0DE5C">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Claim support (heuristic)</w:t>
            </w:r>
            <w:r>
              <w:rPr>
                <w:color w:val="000000" w:themeColor="text1"/>
              </w:rPr>
            </w:r>
          </w:p>
        </w:tc>
        <w:tc>
          <w:tcPr>
            <w:tcBorders/>
            <w:tcW w:w="4320" w:type="dxa"/>
            <w:vMerge w:val="restart"/>
            <w:textDirection w:val="lrTb"/>
            <w:noWrap w:val="false"/>
          </w:tcPr>
          <w:p w14:paraId="2A5DB359">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r>
      <w:tr>
        <w:trPr/>
        <w:tc>
          <w:tcPr>
            <w:tcBorders/>
            <w:tcW w:w="4320" w:type="dxa"/>
            <w:vMerge w:val="restart"/>
            <w:textDirection w:val="lrTb"/>
            <w:noWrap w:val="false"/>
          </w:tcPr>
          <w:p w14:paraId="6D606A39">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Claim support (strict)</w:t>
            </w:r>
            <w:r>
              <w:rPr>
                <w:color w:val="000000" w:themeColor="text1"/>
              </w:rPr>
            </w:r>
          </w:p>
        </w:tc>
        <w:tc>
          <w:tcPr>
            <w:tcBorders/>
            <w:tcW w:w="4320" w:type="dxa"/>
            <w:vMerge w:val="restart"/>
            <w:textDirection w:val="lrTb"/>
            <w:noWrap w:val="false"/>
          </w:tcPr>
          <w:p w14:paraId="3C5092B0">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0.8696</w:t>
            </w:r>
            <w:r>
              <w:rPr>
                <w:color w:val="000000" w:themeColor="text1"/>
              </w:rPr>
            </w:r>
          </w:p>
        </w:tc>
      </w:tr>
      <w:tr>
        <w:trPr/>
        <w:tc>
          <w:tcPr>
            <w:tcBorders/>
            <w:tcW w:w="4320" w:type="dxa"/>
            <w:vMerge w:val="restart"/>
            <w:textDirection w:val="lrTb"/>
            <w:noWrap w:val="false"/>
          </w:tcPr>
          <w:p w14:paraId="6669866B">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Contradiction proxy</w:t>
            </w:r>
            <w:r>
              <w:rPr>
                <w:color w:val="000000" w:themeColor="text1"/>
              </w:rPr>
            </w:r>
          </w:p>
        </w:tc>
        <w:tc>
          <w:tcPr>
            <w:tcBorders/>
            <w:tcW w:w="4320" w:type="dxa"/>
            <w:vMerge w:val="restart"/>
            <w:textDirection w:val="lrTb"/>
            <w:noWrap w:val="false"/>
          </w:tcPr>
          <w:p w14:paraId="2A10E317">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p>
        </w:tc>
      </w:tr>
      <w:tr>
        <w:trPr/>
        <w:tc>
          <w:tcPr>
            <w:tcBorders/>
            <w:tcW w:w="4320" w:type="dxa"/>
            <w:vMerge w:val="restart"/>
            <w:textDirection w:val="lrTb"/>
            <w:noWrap w:val="false"/>
          </w:tcPr>
          <w:p w14:paraId="7AEBE866">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Hallucination proxy</w:t>
            </w:r>
            <w:r>
              <w:rPr>
                <w:color w:val="000000" w:themeColor="text1"/>
              </w:rPr>
            </w:r>
          </w:p>
        </w:tc>
        <w:tc>
          <w:tcPr>
            <w:tcBorders/>
            <w:tcW w:w="4320" w:type="dxa"/>
            <w:vMerge w:val="restart"/>
            <w:textDirection w:val="lrTb"/>
            <w:noWrap w:val="false"/>
          </w:tcPr>
          <w:p w14:paraId="0AE102B3">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p>
        </w:tc>
      </w:tr>
      <w:tr>
        <w:trPr/>
        <w:tc>
          <w:tcPr>
            <w:tcBorders/>
            <w:tcW w:w="4320" w:type="dxa"/>
            <w:vMerge w:val="restart"/>
            <w:textDirection w:val="lrTb"/>
            <w:noWrap w:val="false"/>
          </w:tcPr>
          <w:p w14:paraId="7C3CA0FC">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Citation link integrity</w:t>
            </w:r>
            <w:r>
              <w:rPr>
                <w:color w:val="000000" w:themeColor="text1"/>
              </w:rPr>
            </w:r>
          </w:p>
        </w:tc>
        <w:tc>
          <w:tcPr>
            <w:tcBorders/>
            <w:tcW w:w="4320" w:type="dxa"/>
            <w:vMerge w:val="restart"/>
            <w:textDirection w:val="lrTb"/>
            <w:noWrap w:val="false"/>
          </w:tcPr>
          <w:p w14:paraId="19CBD580">
            <w:pPr>
              <w:pBdr/>
              <w:spacing w:after="0" w:before="0" w:line="240"/>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p>
        </w:tc>
      </w:tr>
    </w:tbl>
    <w:p w14:paraId="61372E02">
      <w:pPr>
        <w:pStyle w:val="1056"/>
        <w:suppressLineNumbers w:val="false"/>
        <w:pBdr/>
        <w:spacing w:line="300" w:lineRule="auto"/>
        <w:ind w:firstLine="0"/>
        <w:rPr/>
      </w:pPr>
      <w:r/>
      <w:r/>
    </w:p>
    <w:p w14:paraId="3D9D25D3">
      <w:pPr>
        <w:pStyle w:val="1056"/>
        <w:suppressLineNumbers w:val="false"/>
        <w:pBdr/>
        <w:spacing w:line="300" w:lineRule="auto"/>
        <w:ind w:firstLine="0"/>
        <w:rPr>
          <w:highlight w:val="none"/>
        </w:rPr>
      </w:pPr>
      <w:r/>
      <w:r/>
      <w:r>
        <w:t xml:space="preserve">Strict support is intentionally harder than the heuristic overlap checks (min_overlap_ratio=0.25, min_overlap_terms=3), providing a tighter baseline for future manual review.</w:t>
      </w:r>
      <w:r/>
      <w:r/>
    </w:p>
    <w:p w14:paraId="75D88BCB">
      <w:pPr>
        <w:pStyle w:val="1056"/>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313508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5750" name=""/>
                        <pic:cNvPicPr>
                          <a:picLocks noChangeAspect="1"/>
                        </pic:cNvPicPr>
                        <pic:nvPr/>
                      </pic:nvPicPr>
                      <pic:blipFill rotWithShape="1">
                        <a:blip r:embed="rId31"/>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246.86pt;mso-wrap-distance-left:0.00pt;mso-wrap-distance-top:0.00pt;mso-wrap-distance-right:0.00pt;mso-wrap-distance-bottom:0.00pt;z-index:1;" stroked="false">
                <v:imagedata r:id="rId31" o:title=""/>
                <o:lock v:ext="edit" rotation="t"/>
              </v:shape>
            </w:pict>
          </mc:Fallback>
        </mc:AlternateContent>
      </w:r>
      <w:r>
        <w:rPr>
          <w:highlight w:val="none"/>
        </w:rPr>
      </w:r>
      <w:r/>
      <w:r/>
      <w:r/>
      <w:r/>
      <w:r>
        <w:rPr>
          <w:highlight w:val="none"/>
        </w:rPr>
      </w:r>
    </w:p>
    <w:p w14:paraId="0DA77336">
      <w:pPr>
        <w:pStyle w:val="1056"/>
        <w:suppressLineNumbers w:val="false"/>
        <w:pBdr/>
        <w:spacing w:line="300" w:lineRule="auto"/>
        <w:ind w:firstLine="0"/>
        <w:rPr>
          <w:highlight w:val="none"/>
        </w:rPr>
      </w:pPr>
      <w:r>
        <w:rPr>
          <w:highlight w:val="none"/>
        </w:rPr>
      </w:r>
      <w:r>
        <w:rPr>
          <w:highlight w:val="none"/>
        </w:rPr>
        <w:t xml:space="preserve">Composite panel with answer KPIs, refusal rate, and completion audit checklist status.</w:t>
      </w:r>
      <w:r>
        <w:rPr>
          <w:highlight w:val="none"/>
        </w:rPr>
      </w:r>
      <w:r/>
    </w:p>
    <w:p w14:paraId="052FD097">
      <w:pPr>
        <w:pStyle w:val="1056"/>
        <w:suppressLineNumbers w:val="false"/>
        <w:pBdr/>
        <w:spacing w:line="300" w:lineRule="auto"/>
        <w:ind w:firstLine="0"/>
        <w:rPr/>
      </w:pPr>
      <w:r>
        <w:rPr>
          <w:highlight w:val="none"/>
        </w:rPr>
      </w:r>
      <w:r>
        <w:rPr>
          <w:highlight w:val="none"/>
        </w:rPr>
      </w:r>
      <w:r>
        <w:rPr>
          <w:highlight w:val="none"/>
        </w:rPr>
      </w:r>
    </w:p>
    <w:p w14:paraId="535590E6">
      <w:pPr>
        <w:pStyle w:val="1056"/>
        <w:suppressLineNumbers w:val="false"/>
        <w:pBdr/>
        <w:spacing w:line="300" w:lineRule="auto"/>
        <w:ind w:firstLine="0"/>
        <w:rPr>
          <w:b/>
          <w:bCs/>
          <w:sz w:val="28"/>
          <w:szCs w:val="28"/>
        </w:rPr>
      </w:pPr>
      <w:r>
        <w:rPr>
          <w:b/>
          <w:bCs/>
          <w:sz w:val="28"/>
          <w:szCs w:val="28"/>
        </w:rPr>
        <w:t xml:space="preserve">5.7 Error Analysis and Observed Failure Modes</w:t>
      </w:r>
      <w:r>
        <w:rPr>
          <w:b/>
          <w:bCs/>
          <w:sz w:val="28"/>
          <w:szCs w:val="28"/>
        </w:rPr>
      </w:r>
    </w:p>
    <w:p w14:paraId="3A7BE0D8">
      <w:pPr>
        <w:pStyle w:val="1056"/>
        <w:suppressLineNumbers w:val="false"/>
        <w:pBdr/>
        <w:spacing w:line="300" w:lineRule="auto"/>
        <w:ind w:firstLine="0"/>
        <w:rPr/>
      </w:pPr>
      <w:r>
        <w:t xml:space="preserve">The pass4 evidence indicates several recurring failure modes:</w:t>
      </w:r>
      <w:r/>
      <w:r/>
      <w:r/>
      <w:r/>
    </w:p>
    <w:p w14:paraId="3D0AD2A3">
      <w:pPr>
        <w:pStyle w:val="1056"/>
        <w:numPr>
          <w:ilvl w:val="0"/>
          <w:numId w:val="88"/>
        </w:numPr>
        <w:suppressLineNumbers w:val="false"/>
        <w:pBdr/>
        <w:spacing w:line="300" w:lineRule="auto"/>
        <w:ind/>
        <w:rPr/>
      </w:pPr>
      <w:r>
        <w:rPr>
          <w:b/>
          <w:bCs/>
        </w:rPr>
        <w:t xml:space="preserve">Outcome extraction over-triggering: </w:t>
      </w:r>
      <w:r>
        <w:t xml:space="preserve">outcomes precision (0.4000) is substantially lower than recall (0.5000), suggesting lexical over-coverage.</w:t>
      </w:r>
      <w:r/>
    </w:p>
    <w:p w14:paraId="7F56D829">
      <w:pPr>
        <w:pStyle w:val="1056"/>
        <w:numPr>
          <w:ilvl w:val="0"/>
          <w:numId w:val="88"/>
        </w:numPr>
        <w:suppressLineNumbers w:val="false"/>
        <w:pBdr/>
        <w:spacing w:line="300" w:lineRule="auto"/>
        <w:ind/>
        <w:rPr/>
      </w:pPr>
      <w:r>
        <w:rPr>
          <w:b/>
          <w:bCs/>
        </w:rPr>
        <w:t xml:space="preserve">Severity-anchor over-triggering:</w:t>
      </w:r>
      <w:r>
        <w:t xml:space="preserve"> severity_anchors recall is high (1.0000) but precision is low (0.4667), reflecting broad term matching.</w:t>
      </w:r>
      <w:r/>
    </w:p>
    <w:p w14:paraId="478A650B">
      <w:pPr>
        <w:pStyle w:val="1056"/>
        <w:numPr>
          <w:ilvl w:val="0"/>
          <w:numId w:val="88"/>
        </w:numPr>
        <w:suppressLineNumbers w:val="false"/>
        <w:pBdr/>
        <w:spacing w:line="300" w:lineRule="auto"/>
        <w:ind/>
        <w:rPr/>
      </w:pPr>
      <w:r>
        <w:rPr>
          <w:b/>
          <w:bCs/>
        </w:rPr>
        <w:t xml:space="preserve">Top-rank retrieval fragility:</w:t>
      </w:r>
      <w:r>
        <w:t xml:space="preserve"> recall improves with larger k, but top-1 behavior remains brittle (Recall@1=0.1000).</w:t>
      </w:r>
      <w:r/>
    </w:p>
    <w:p w14:paraId="21FD6732">
      <w:pPr>
        <w:pStyle w:val="1056"/>
        <w:numPr>
          <w:ilvl w:val="0"/>
          <w:numId w:val="88"/>
        </w:numPr>
        <w:suppressLineNumbers w:val="false"/>
        <w:pBdr/>
        <w:spacing w:line="300" w:lineRule="auto"/>
        <w:ind/>
        <w:rPr/>
      </w:pPr>
      <w:r>
        <w:rPr>
          <w:b/>
          <w:bCs/>
        </w:rPr>
        <w:t xml:space="preserve">Evidence-threshold sensitivity: </w:t>
      </w:r>
      <w:r>
        <w:t xml:space="preserve">strict claim-support scoring (0.8696) is lower than heuristic support (1.0000), showing dependence on overlap thresholds.</w:t>
      </w:r>
      <w:r/>
    </w:p>
    <w:p w14:paraId="2A949799">
      <w:pPr>
        <w:pStyle w:val="1056"/>
        <w:numPr>
          <w:ilvl w:val="0"/>
          <w:numId w:val="88"/>
        </w:numPr>
        <w:suppressLineNumbers w:val="false"/>
        <w:pBdr/>
        <w:spacing w:line="300" w:lineRule="auto"/>
        <w:ind/>
        <w:rPr/>
      </w:pPr>
      <w:r>
        <w:rPr>
          <w:b/>
          <w:bCs/>
        </w:rPr>
        <w:t xml:space="preserve">Policy handling effects:</w:t>
      </w:r>
      <w:r>
        <w:t xml:space="preserve"> refusals are necessary for safety but reduce answer issuance rate (92% non-refusal issuance).</w:t>
      </w:r>
      <w:r/>
    </w:p>
    <w:p w14:paraId="2D43024C">
      <w:pPr>
        <w:pStyle w:val="1056"/>
        <w:suppressLineNumbers w:val="false"/>
        <w:pBdr/>
        <w:spacing w:line="300" w:lineRule="auto"/>
        <w:ind w:firstLine="0"/>
        <w:rPr/>
      </w:pPr>
      <w:r>
        <w:t xml:space="preserve">These effects are expected for a baseline that prioritizes traceability and deterministic behavior over free-form fluency.</w:t>
      </w:r>
      <w:r/>
    </w:p>
    <w:p w14:paraId="7D99AAF4">
      <w:pPr>
        <w:pStyle w:val="1056"/>
        <w:suppressLineNumbers w:val="false"/>
        <w:pBdr/>
        <w:spacing w:line="300" w:lineRule="auto"/>
        <w:ind w:firstLine="0"/>
        <w:rPr/>
      </w:pPr>
      <w:r/>
      <w:r/>
    </w:p>
    <w:p w14:paraId="0B1A0CB7">
      <w:pPr>
        <w:pStyle w:val="1056"/>
        <w:suppressLineNumbers w:val="false"/>
        <w:pBdr/>
        <w:spacing w:line="300" w:lineRule="auto"/>
        <w:ind w:firstLine="0"/>
        <w:rPr>
          <w:b/>
          <w:bCs/>
          <w:sz w:val="28"/>
          <w:szCs w:val="28"/>
        </w:rPr>
      </w:pPr>
      <w:r>
        <w:rPr>
          <w:b/>
          <w:bCs/>
          <w:sz w:val="28"/>
          <w:szCs w:val="28"/>
        </w:rPr>
        <w:t xml:space="preserve">5.8 Threats to Validity and Limitations</w:t>
      </w:r>
      <w:r>
        <w:rPr>
          <w:b/>
          <w:bCs/>
          <w:sz w:val="28"/>
          <w:szCs w:val="28"/>
        </w:rPr>
      </w:r>
    </w:p>
    <w:p w14:paraId="6120EC2F">
      <w:pPr>
        <w:pStyle w:val="1056"/>
        <w:numPr>
          <w:ilvl w:val="0"/>
          <w:numId w:val="89"/>
        </w:numPr>
        <w:suppressLineNumbers w:val="false"/>
        <w:pBdr/>
        <w:spacing w:line="300" w:lineRule="auto"/>
        <w:ind/>
        <w:rPr/>
      </w:pPr>
      <w:r>
        <w:t xml:space="preserve">Small KB footprint: only 3 source documents and 12 chunks limit retrieval diversity.</w:t>
      </w:r>
      <w:r/>
    </w:p>
    <w:p w14:paraId="73835233">
      <w:pPr>
        <w:pStyle w:val="1056"/>
        <w:numPr>
          <w:ilvl w:val="0"/>
          <w:numId w:val="89"/>
        </w:numPr>
        <w:suppressLineNumbers w:val="false"/>
        <w:pBdr/>
        <w:spacing w:line="300" w:lineRule="auto"/>
        <w:ind/>
        <w:rPr/>
      </w:pPr>
      <w:r>
        <w:t xml:space="preserve">Synthetic/small evaluation subsets: retrieval gold (n=10) and PICO gold (n=20) are useful for method checks, not broad clinical generalization.</w:t>
      </w:r>
      <w:r/>
    </w:p>
    <w:p w14:paraId="78233FD5">
      <w:pPr>
        <w:pStyle w:val="1056"/>
        <w:numPr>
          <w:ilvl w:val="0"/>
          <w:numId w:val="89"/>
        </w:numPr>
        <w:suppressLineNumbers w:val="false"/>
        <w:pBdr/>
        <w:spacing w:line="300" w:lineRule="auto"/>
        <w:ind/>
        <w:rPr/>
      </w:pPr>
      <w:r>
        <w:t xml:space="preserve">Heuristic grounding metrics: citation correctness and hallucination proxies are lexical and must be complemented by clinician semantic review.</w:t>
      </w:r>
      <w:r/>
    </w:p>
    <w:p w14:paraId="6A5102C3">
      <w:pPr>
        <w:pStyle w:val="1056"/>
        <w:numPr>
          <w:ilvl w:val="0"/>
          <w:numId w:val="89"/>
        </w:numPr>
        <w:suppressLineNumbers w:val="false"/>
        <w:pBdr/>
        <w:spacing w:line="300" w:lineRule="auto"/>
        <w:ind/>
        <w:rPr/>
      </w:pPr>
      <w:r>
        <w:t xml:space="preserve">No external API LLM dependency in baseline: improves reproducibility but does not yet benchmark richer model-assisted synthesis.</w:t>
      </w:r>
      <w:r/>
    </w:p>
    <w:p w14:paraId="3E9AF359">
      <w:pPr>
        <w:pStyle w:val="1056"/>
        <w:numPr>
          <w:ilvl w:val="0"/>
          <w:numId w:val="89"/>
        </w:numPr>
        <w:suppressLineNumbers w:val="false"/>
        <w:pBdr/>
        <w:spacing w:line="300" w:lineRule="auto"/>
        <w:ind/>
        <w:rPr/>
      </w:pPr>
      <w:r>
        <w:t xml:space="preserve">No deployment claim: this chapter demonstrates engineering feasibility and reproducibility, not bedside readiness.</w:t>
      </w:r>
      <w:r/>
    </w:p>
    <w:p w14:paraId="45E35C22">
      <w:pPr>
        <w:pStyle w:val="1056"/>
        <w:suppressLineNumbers w:val="false"/>
        <w:pBdr/>
        <w:spacing w:line="300" w:lineRule="auto"/>
        <w:ind w:firstLine="0"/>
        <w:rPr>
          <w:b/>
          <w:bCs/>
          <w:sz w:val="28"/>
          <w:szCs w:val="28"/>
        </w:rPr>
      </w:pPr>
      <w:r>
        <w:rPr>
          <w:b/>
          <w:bCs/>
          <w:sz w:val="28"/>
          <w:szCs w:val="28"/>
        </w:rPr>
        <w:t xml:space="preserve">5.9 Reproducibility and Completion Audit Status</w:t>
      </w:r>
      <w:r>
        <w:rPr>
          <w:b/>
          <w:bCs/>
          <w:sz w:val="28"/>
          <w:szCs w:val="28"/>
        </w:rPr>
      </w:r>
    </w:p>
    <w:p w14:paraId="4F394C68">
      <w:pPr>
        <w:pStyle w:val="1056"/>
        <w:suppressLineNumbers w:val="false"/>
        <w:pBdr/>
        <w:spacing w:line="300" w:lineRule="auto"/>
        <w:ind w:firstLine="0"/>
        <w:rPr/>
      </w:pPr>
      <w:r>
        <w:t xml:space="preserve">Completion audit source:</w:t>
      </w:r>
      <w:r/>
      <w:r/>
      <w:r/>
      <w:r/>
    </w:p>
    <w:p w14:paraId="0AD5B346">
      <w:pPr>
        <w:pStyle w:val="1056"/>
        <w:numPr>
          <w:ilvl w:val="0"/>
          <w:numId w:val="90"/>
        </w:numPr>
        <w:suppressLineNumbers w:val="false"/>
        <w:pBdr/>
        <w:spacing w:line="300" w:lineRule="auto"/>
        <w:ind/>
        <w:rPr/>
      </w:pPr>
      <w:r>
        <w:t xml:space="preserve">Prototyping_reformat/chapter5_pico_wrapper/results/chapter5_completion_audit_ch5_freeze_20260306/chapter5_completion_report.json</w:t>
      </w:r>
      <w:r/>
    </w:p>
    <w:p w14:paraId="25DE4993">
      <w:pPr>
        <w:pStyle w:val="1056"/>
        <w:numPr>
          <w:ilvl w:val="0"/>
          <w:numId w:val="90"/>
        </w:numPr>
        <w:suppressLineNumbers w:val="false"/>
        <w:pBdr/>
        <w:spacing w:line="300" w:lineRule="auto"/>
        <w:ind/>
        <w:rPr/>
      </w:pPr>
      <w:r>
        <w:t xml:space="preserve">Prototyping_reformat/chapter5_pico_wrapper/results/chapter5_completion_audit_ch5_freeze_20260306/chapter5_completion_report.md</w:t>
      </w:r>
      <w:r/>
    </w:p>
    <w:p w14:paraId="280E1D0E">
      <w:pPr>
        <w:pStyle w:val="1056"/>
        <w:suppressLineNumbers w:val="false"/>
        <w:pBdr/>
        <w:spacing w:line="300" w:lineRule="auto"/>
        <w:ind w:firstLine="0"/>
        <w:rPr/>
      </w:pPr>
      <w:r>
        <w:t xml:space="preserve">Audit status: PASS (6/6 checklist items passed), including artifact existence, minimum query coverage, and chapter-text synchronization checks.</w:t>
      </w:r>
      <w:r/>
      <w:r/>
      <w:r/>
      <w:r/>
    </w:p>
    <w:p w14:paraId="5BDF6CBD">
      <w:pPr>
        <w:pStyle w:val="1056"/>
        <w:suppressLineNumbers w:val="false"/>
        <w:pBdr/>
        <w:spacing w:line="300" w:lineRule="auto"/>
        <w:ind w:firstLine="0"/>
        <w:rPr/>
      </w:pPr>
      <w:r>
        <w:t xml:space="preserve">Core scripts:</w:t>
      </w:r>
      <w:r/>
      <w:r/>
      <w:r/>
      <w:r/>
    </w:p>
    <w:p w14:paraId="59723A4E">
      <w:pPr>
        <w:pStyle w:val="1056"/>
        <w:numPr>
          <w:ilvl w:val="0"/>
          <w:numId w:val="91"/>
        </w:numPr>
        <w:suppressLineNumbers w:val="false"/>
        <w:pBdr/>
        <w:spacing w:line="300" w:lineRule="auto"/>
        <w:ind/>
        <w:rPr/>
      </w:pPr>
      <w:r>
        <w:t xml:space="preserve">scripts/build_kb.py</w:t>
      </w:r>
      <w:r/>
    </w:p>
    <w:p w14:paraId="469AA274">
      <w:pPr>
        <w:pStyle w:val="1056"/>
        <w:numPr>
          <w:ilvl w:val="0"/>
          <w:numId w:val="91"/>
        </w:numPr>
        <w:suppressLineNumbers w:val="false"/>
        <w:pBdr/>
        <w:spacing w:line="300" w:lineRule="auto"/>
        <w:ind/>
        <w:rPr/>
      </w:pPr>
      <w:r>
        <w:t xml:space="preserve">scripts/make_queryset.py</w:t>
      </w:r>
      <w:r/>
    </w:p>
    <w:p w14:paraId="7FC8B3C0">
      <w:pPr>
        <w:pStyle w:val="1056"/>
        <w:numPr>
          <w:ilvl w:val="0"/>
          <w:numId w:val="91"/>
        </w:numPr>
        <w:suppressLineNumbers w:val="false"/>
        <w:pBdr/>
        <w:spacing w:line="300" w:lineRule="auto"/>
        <w:ind/>
        <w:rPr/>
      </w:pPr>
      <w:r>
        <w:t xml:space="preserve">scripts/run_wrapper.py</w:t>
      </w:r>
      <w:r/>
    </w:p>
    <w:p w14:paraId="2AB27B27">
      <w:pPr>
        <w:pStyle w:val="1056"/>
        <w:numPr>
          <w:ilvl w:val="0"/>
          <w:numId w:val="91"/>
        </w:numPr>
        <w:suppressLineNumbers w:val="false"/>
        <w:pBdr/>
        <w:spacing w:line="300" w:lineRule="auto"/>
        <w:ind/>
        <w:rPr/>
      </w:pPr>
      <w:r>
        <w:t xml:space="preserve">scripts/run_ui.py</w:t>
      </w:r>
      <w:r/>
    </w:p>
    <w:p w14:paraId="49FBEB39">
      <w:pPr>
        <w:pStyle w:val="1056"/>
        <w:numPr>
          <w:ilvl w:val="0"/>
          <w:numId w:val="91"/>
        </w:numPr>
        <w:suppressLineNumbers w:val="false"/>
        <w:pBdr/>
        <w:spacing w:line="300" w:lineRule="auto"/>
        <w:ind/>
        <w:rPr/>
      </w:pPr>
      <w:r>
        <w:t xml:space="preserve">scripts/eval_pico.py</w:t>
      </w:r>
      <w:r/>
    </w:p>
    <w:p w14:paraId="3B2AC1B0">
      <w:pPr>
        <w:pStyle w:val="1056"/>
        <w:numPr>
          <w:ilvl w:val="0"/>
          <w:numId w:val="91"/>
        </w:numPr>
        <w:suppressLineNumbers w:val="false"/>
        <w:pBdr/>
        <w:spacing w:line="300" w:lineRule="auto"/>
        <w:ind/>
        <w:rPr/>
      </w:pPr>
      <w:r>
        <w:t xml:space="preserve">scripts/eval_retrieval.py</w:t>
      </w:r>
      <w:r/>
    </w:p>
    <w:p w14:paraId="42069961">
      <w:pPr>
        <w:pStyle w:val="1056"/>
        <w:numPr>
          <w:ilvl w:val="0"/>
          <w:numId w:val="91"/>
        </w:numPr>
        <w:suppressLineNumbers w:val="false"/>
        <w:pBdr/>
        <w:spacing w:line="300" w:lineRule="auto"/>
        <w:ind/>
        <w:rPr/>
      </w:pPr>
      <w:r>
        <w:t xml:space="preserve">scripts/eval_answers.py</w:t>
      </w:r>
      <w:r/>
    </w:p>
    <w:p w14:paraId="64D1C83B">
      <w:pPr>
        <w:pStyle w:val="1056"/>
        <w:numPr>
          <w:ilvl w:val="0"/>
          <w:numId w:val="91"/>
        </w:numPr>
        <w:suppressLineNumbers w:val="false"/>
        <w:pBdr/>
        <w:spacing w:line="300" w:lineRule="auto"/>
        <w:ind/>
        <w:rPr/>
      </w:pPr>
      <w:r>
        <w:t xml:space="preserve">scripts/chapter5_completion_audit.py</w:t>
      </w:r>
      <w:r/>
    </w:p>
    <w:p w14:paraId="582997FD">
      <w:pPr>
        <w:pStyle w:val="1056"/>
        <w:numPr>
          <w:ilvl w:val="0"/>
          <w:numId w:val="91"/>
        </w:numPr>
        <w:suppressLineNumbers w:val="false"/>
        <w:pBdr/>
        <w:spacing w:line="300" w:lineRule="auto"/>
        <w:ind/>
        <w:rPr/>
      </w:pPr>
      <w:r>
        <w:t xml:space="preserve">scripts/run_full_pipeline.py</w:t>
      </w:r>
      <w:r/>
    </w:p>
    <w:p w14:paraId="2D79273B">
      <w:pPr>
        <w:pStyle w:val="1056"/>
        <w:suppressLineNumbers w:val="false"/>
        <w:pBdr/>
        <w:spacing w:line="300" w:lineRule="auto"/>
        <w:ind w:firstLine="0" w:left="720"/>
        <w:rPr/>
      </w:pPr>
      <w:r>
        <w:rPr>
          <w:highlight w:val="none"/>
        </w:rPr>
      </w:r>
      <w:r>
        <w:rPr>
          <w:highlight w:val="none"/>
        </w:rPr>
      </w:r>
      <w:r>
        <w:rPr>
          <w:highlight w:val="none"/>
        </w:rPr>
      </w:r>
    </w:p>
    <w:p w14:paraId="582569C9">
      <w:pPr>
        <w:pStyle w:val="1056"/>
        <w:suppressLineNumbers w:val="false"/>
        <w:pBdr/>
        <w:spacing w:line="300" w:lineRule="auto"/>
        <w:ind w:firstLine="0"/>
        <w:rPr>
          <w:b/>
          <w:bCs/>
          <w:sz w:val="28"/>
          <w:szCs w:val="28"/>
        </w:rPr>
      </w:pPr>
      <w:r>
        <w:rPr>
          <w:b/>
          <w:bCs/>
          <w:sz w:val="28"/>
          <w:szCs w:val="28"/>
        </w:rPr>
        <w:t xml:space="preserve">5.10 Chapter 5 Claim Guardrail</w:t>
      </w:r>
      <w:r>
        <w:rPr>
          <w:b/>
          <w:bCs/>
          <w:sz w:val="28"/>
          <w:szCs w:val="28"/>
        </w:rPr>
      </w:r>
    </w:p>
    <w:p w14:paraId="44FCA789">
      <w:pPr>
        <w:pStyle w:val="1056"/>
        <w:suppressLineNumbers w:val="false"/>
        <w:pBdr/>
        <w:spacing w:line="300" w:lineRule="auto"/>
        <w:ind w:firstLine="0"/>
        <w:rPr/>
      </w:pPr>
      <w:r>
        <w:t xml:space="preserve">Allowed headline claims:</w:t>
      </w:r>
      <w:r/>
      <w:r/>
      <w:r/>
      <w:r/>
    </w:p>
    <w:p w14:paraId="1F0922CB">
      <w:pPr>
        <w:pStyle w:val="1056"/>
        <w:numPr>
          <w:ilvl w:val="0"/>
          <w:numId w:val="92"/>
        </w:numPr>
        <w:suppressLineNumbers w:val="false"/>
        <w:pBdr/>
        <w:spacing w:line="300" w:lineRule="auto"/>
        <w:ind/>
        <w:rPr/>
      </w:pPr>
      <w:r>
        <w:t xml:space="preserve">Chapter 5 provides a reproducible, citation-aware wrapper around frozen upstream Chapter 4 severity capability.</w:t>
      </w:r>
      <w:r/>
    </w:p>
    <w:p w14:paraId="6AC08497">
      <w:pPr>
        <w:pStyle w:val="1056"/>
        <w:numPr>
          <w:ilvl w:val="0"/>
          <w:numId w:val="92"/>
        </w:numPr>
        <w:suppressLineNumbers w:val="false"/>
        <w:pBdr/>
        <w:spacing w:line="300" w:lineRule="auto"/>
        <w:ind/>
        <w:rPr/>
      </w:pPr>
      <w:r>
        <w:t xml:space="preserve">Required-field PICO extraction and top-5 retrieval show workable baseline behavior on internal benchmark artifacts.</w:t>
      </w:r>
      <w:r/>
    </w:p>
    <w:p w14:paraId="5B10EA5D">
      <w:pPr>
        <w:pStyle w:val="1056"/>
        <w:numPr>
          <w:ilvl w:val="0"/>
          <w:numId w:val="92"/>
        </w:numPr>
        <w:suppressLineNumbers w:val="false"/>
        <w:pBdr/>
        <w:spacing w:line="300" w:lineRule="auto"/>
        <w:ind/>
        <w:rPr/>
      </w:pPr>
      <w:r>
        <w:t xml:space="preserve">Citation-linked synthesis and refusal handling are operational in pass4 and auditable from persisted outputs.</w:t>
      </w:r>
      <w:r/>
    </w:p>
    <w:p w14:paraId="27220C2D">
      <w:pPr>
        <w:pStyle w:val="1056"/>
        <w:suppressLineNumbers w:val="false"/>
        <w:pBdr/>
        <w:spacing w:line="300" w:lineRule="auto"/>
        <w:ind w:firstLine="0"/>
        <w:rPr/>
      </w:pPr>
      <w:r>
        <w:t xml:space="preserve">Disallowed headline claims:</w:t>
      </w:r>
      <w:r/>
      <w:r/>
      <w:r/>
      <w:r/>
    </w:p>
    <w:p w14:paraId="5B6DE03F">
      <w:pPr>
        <w:pStyle w:val="1056"/>
        <w:numPr>
          <w:ilvl w:val="0"/>
          <w:numId w:val="94"/>
        </w:numPr>
        <w:suppressLineNumbers w:val="false"/>
        <w:pBdr/>
        <w:spacing w:line="300" w:lineRule="auto"/>
        <w:ind/>
        <w:rPr/>
      </w:pPr>
      <w:r>
        <w:t xml:space="preserve">Do not claim external clinical deployment readiness from the current internal KB and synthetic/small gold subsets.</w:t>
      </w:r>
      <w:r/>
    </w:p>
    <w:p w14:paraId="35FA881A">
      <w:pPr>
        <w:pStyle w:val="1056"/>
        <w:numPr>
          <w:ilvl w:val="0"/>
          <w:numId w:val="94"/>
        </w:numPr>
        <w:suppressLineNumbers w:val="false"/>
        <w:pBdr/>
        <w:spacing w:line="300" w:lineRule="auto"/>
        <w:ind/>
        <w:rPr/>
      </w:pPr>
      <w:r>
        <w:t xml:space="preserve">Do not present retrieval or grounding heuristics as a substitute for clinician semantic adjudication.</w:t>
      </w:r>
      <w:r/>
    </w:p>
    <w:p w14:paraId="398EECAE">
      <w:pPr>
        <w:pStyle w:val="1056"/>
        <w:numPr>
          <w:ilvl w:val="0"/>
          <w:numId w:val="94"/>
        </w:numPr>
        <w:suppressLineNumbers w:val="false"/>
        <w:pBdr/>
        <w:spacing w:line="300" w:lineRule="auto"/>
        <w:ind/>
        <w:rPr/>
      </w:pPr>
      <w:r>
        <w:t xml:space="preserve">Do not interpret this chapter as replacing Chapter 4 severity model validation.</w:t>
      </w:r>
      <w:r/>
    </w:p>
    <w:p w14:paraId="6CEE4DD0">
      <w:pPr>
        <w:pStyle w:val="1056"/>
        <w:suppressLineNumbers w:val="false"/>
        <w:pBdr/>
        <w:spacing w:line="300" w:lineRule="auto"/>
        <w:ind w:firstLine="0"/>
        <w:rPr/>
      </w:pPr>
      <w:r>
        <w:rPr>
          <w:highlight w:val="none"/>
        </w:rPr>
      </w:r>
      <w:r>
        <w:rPr>
          <w:highlight w:val="none"/>
        </w:rPr>
      </w:r>
      <w:r>
        <w:rPr>
          <w:highlight w:val="none"/>
        </w:rPr>
      </w:r>
    </w:p>
    <w:p w14:paraId="509D5DB9">
      <w:pPr>
        <w:pStyle w:val="1056"/>
        <w:suppressLineNumbers w:val="false"/>
        <w:pBdr/>
        <w:spacing w:line="300" w:lineRule="auto"/>
        <w:ind w:firstLine="0"/>
        <w:rPr>
          <w:b/>
          <w:bCs/>
          <w:sz w:val="28"/>
          <w:szCs w:val="28"/>
          <w:highlight w:val="none"/>
        </w:rPr>
      </w:pPr>
      <w:r>
        <w:rPr>
          <w:b/>
          <w:bCs/>
          <w:sz w:val="28"/>
          <w:szCs w:val="28"/>
        </w:rPr>
        <w:t xml:space="preserve">5.11 Summary</w:t>
      </w:r>
      <w:r>
        <w:rPr>
          <w:b/>
          <w:bCs/>
          <w:sz w:val="28"/>
          <w:szCs w:val="28"/>
        </w:rPr>
      </w:r>
    </w:p>
    <w:p w14:paraId="59714060">
      <w:pPr>
        <w:pStyle w:val="1056"/>
        <w:suppressLineNumbers w:val="false"/>
        <w:pBdr/>
        <w:spacing w:line="300" w:lineRule="auto"/>
        <w:ind w:firstLine="0"/>
        <w:rPr/>
      </w:pPr>
      <w:r>
        <w:t xml:space="preserve">Chapter 5 delivers a complete PICO-grounded wrapper layer that is structured, safety-constrained, and reproducibility-first. The wrapper does not attempt to hide uncertainty; it surfaces citations, supports refusal behavior, and exposes clear artifact trail</w:t>
      </w:r>
      <w:r>
        <w:t xml:space="preserve">s for audit.</w:t>
      </w:r>
      <w:r/>
    </w:p>
    <w:p w14:paraId="56034DBF">
      <w:pPr>
        <w:pStyle w:val="1056"/>
        <w:suppressLineNumbers w:val="false"/>
        <w:pBdr/>
        <w:spacing w:line="300" w:lineRule="auto"/>
        <w:ind w:firstLine="0"/>
        <w:rPr/>
      </w:pPr>
      <w:r/>
      <w:r/>
    </w:p>
    <w:p w14:paraId="3CA5AE67">
      <w:pPr>
        <w:pStyle w:val="1056"/>
        <w:suppressLineNumbers w:val="false"/>
        <w:pBdr/>
        <w:spacing w:line="300" w:lineRule="auto"/>
        <w:ind w:firstLine="0"/>
        <w:rPr/>
      </w:pPr>
      <w:r>
        <w:t xml:space="preserve">Relative to a monolithic end-to-end generator, the chapter demonstrates a modular path: frozen visual severity evidence (Chapter 4) plus explicit retrieval-grounded synthesis control. The </w:t>
      </w:r>
      <w:r>
        <w:rPr>
          <w:lang w:val="en-US"/>
        </w:rPr>
        <w:t xml:space="preserve">further research will be </w:t>
      </w:r>
      <w:r>
        <w:t xml:space="preserve">to extend this baseline with larger curated</w:t>
      </w:r>
      <w:r>
        <w:t xml:space="preserve"> evidence stores, stronger retrieval supervision, and clinician-scored semantic grounding studies.</w:t>
      </w:r>
      <w:r/>
    </w:p>
    <w:p w14:paraId="4E9C7024">
      <w:pPr>
        <w:pStyle w:val="1056"/>
        <w:suppressLineNumbers w:val="false"/>
        <w:pBdr/>
        <w:spacing w:line="300" w:lineRule="auto"/>
        <w:ind w:firstLine="0"/>
        <w:rPr/>
      </w:pPr>
      <w:r/>
      <w:r/>
      <w:r/>
      <w:r/>
      <w:r/>
    </w:p>
    <w:p w14:paraId="0B93E0F1">
      <w:pPr>
        <w:pStyle w:val="1056"/>
        <w:suppressLineNumbers w:val="false"/>
        <w:pBdr/>
        <w:spacing w:line="300" w:lineRule="auto"/>
        <w:ind w:firstLine="0"/>
        <w:rPr/>
      </w:pPr>
      <w:r/>
      <w:r/>
      <w:r/>
    </w:p>
    <w:p w14:paraId="75EC4361">
      <w:pPr>
        <w:pStyle w:val="1056"/>
        <w:suppressLineNumbers w:val="false"/>
        <w:pBdr/>
        <w:spacing w:line="300" w:lineRule="auto"/>
        <w:ind w:firstLine="0"/>
        <w:rPr/>
      </w:pPr>
      <w:r/>
      <w:r/>
      <w:r/>
    </w:p>
    <w:p w14:paraId="055B2B24">
      <w:pPr>
        <w:pStyle w:val="1056"/>
        <w:suppressLineNumbers w:val="false"/>
        <w:pBdr/>
        <w:spacing w:line="300" w:lineRule="auto"/>
        <w:ind w:firstLine="0"/>
        <w:rPr/>
      </w:pPr>
      <w:r>
        <w:rPr>
          <w:highlight w:val="none"/>
        </w:rPr>
      </w:r>
      <w:r>
        <w:rPr>
          <w:highlight w:val="none"/>
        </w:rPr>
      </w:r>
      <w:r>
        <w:rPr>
          <w:highlight w:val="none"/>
        </w:rPr>
      </w:r>
    </w:p>
    <w:p w14:paraId="75275F06" w14:textId="4DA30691">
      <w:pPr>
        <w:pStyle w:val="1064"/>
        <w:suppressLineNumbers w:val="false"/>
        <w:pBdr/>
        <w:spacing w:line="300" w:lineRule="auto"/>
        <w:ind/>
        <w:rPr/>
      </w:pPr>
      <w:r>
        <w:t xml:space="preserve">Bibliography</w:t>
      </w:r>
      <w:r/>
    </w:p>
    <w:p w14:paraId="4B5E8052">
      <w:pPr>
        <w:pStyle w:val="1056"/>
        <w:pBdr/>
        <w:spacing/>
        <w:ind/>
        <w:rPr/>
      </w:pPr>
      <w:r/>
      <w:r/>
    </w:p>
    <w:p w14:paraId="4500694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 Ben Abacha A, Hasan SA, Datla V, et al. 2019. "VQA-Med: Overview of the Medical Visual Question Answering Task at ImageCLEF 2019." CEUR Workshop Proceedings Vol-2380. https://ceur-ws.org/Vol-2380/paper_78.pdf.</w:t>
      </w:r>
      <w:r/>
    </w:p>
    <w:p w14:paraId="111EA5D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 Borgli H, Thambawita V, Smedsrud PH, et al. 2020. "HyperKvasir, a comprehensive multi-class image and video dataset for gastrointestinal endoscopy." Scientific Data. https://doi.org/10.1038/s41597-020-00622-y.</w:t>
      </w:r>
      <w:r/>
    </w:p>
    <w:p w14:paraId="48B6063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 Borgli H, Thambawita V, Smedsrud PH, et al. 2020. "HyperKvasir, a comprehensive multi-class image and video dataset for gastrointestinal endoscopy." Scientific Data. https://www.nature.com/articles/s41597-020-00622-y.</w:t>
      </w:r>
      <w:r/>
    </w:p>
    <w:p w14:paraId="38EA3BEA">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t xml:space="preserve">4. Dong W, Shen S, Han Y, et al. 2025. "Generative Models in Medical Visual Question Answering: A Survey." Applied Sciences. </w:t>
      </w:r>
      <w:hyperlink r:id="rId32" w:tooltip="https://doi.org/10.3390/app15062983." w:history="1">
        <w:r>
          <w:rPr>
            <w:rStyle w:val="1071"/>
            <w:rFonts w:ascii="Arial" w:hAnsi="Arial" w:cs="Arial"/>
            <w:sz w:val="22"/>
            <w:szCs w:val="22"/>
            <w:highlight w:val="none"/>
          </w:rPr>
          <w:t xml:space="preserve">https://doi.org/10.3390/app15062983.</w:t>
        </w:r>
        <w:r>
          <w:rPr>
            <w:rStyle w:val="1071"/>
          </w:rPr>
        </w:r>
        <w:r>
          <w:rPr>
            <w:rStyle w:val="1071"/>
            <w:rFonts w:ascii="Arial" w:hAnsi="Arial" w:cs="Arial"/>
            <w:sz w:val="22"/>
            <w:szCs w:val="22"/>
            <w:highlight w:val="none"/>
          </w:rPr>
        </w:r>
        <w:r>
          <w:rPr>
            <w:rStyle w:val="1071"/>
            <w:rFonts w:ascii="Arial" w:hAnsi="Arial" w:cs="Arial"/>
            <w:sz w:val="22"/>
            <w:szCs w:val="22"/>
            <w:highlight w:val="none"/>
          </w:rPr>
        </w:r>
        <w:r>
          <w:rPr>
            <w:rStyle w:val="1071"/>
            <w:rFonts w:ascii="Arial" w:hAnsi="Arial" w:cs="Arial"/>
            <w:sz w:val="22"/>
            <w:szCs w:val="22"/>
            <w:highlight w:val="none"/>
          </w:rPr>
        </w:r>
      </w:hyperlink>
      <w:r>
        <w:rPr>
          <w:rFonts w:ascii="Arial" w:hAnsi="Arial" w:cs="Arial"/>
          <w:sz w:val="22"/>
          <w:szCs w:val="22"/>
          <w:highlight w:val="none"/>
        </w:rPr>
      </w:r>
      <w:r>
        <w:rPr>
          <w:rFonts w:ascii="Arial" w:hAnsi="Arial" w:cs="Arial"/>
          <w:sz w:val="22"/>
          <w:szCs w:val="22"/>
          <w:highlight w:val="none"/>
        </w:rPr>
      </w:r>
    </w:p>
    <w:p w14:paraId="35841A2A">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r>
      <w:r>
        <w:rPr>
          <w:rFonts w:ascii="Arial" w:hAnsi="Arial" w:cs="Arial"/>
          <w:sz w:val="22"/>
          <w:szCs w:val="22"/>
          <w:highlight w:val="none"/>
        </w:rPr>
        <w:t xml:space="preserve">5. Gautam S, Riegler MA, Halvorsen P. 2025. "Kvasir-VQA-x1: A Multimodal Dataset for Medical Reasoning and Robust MedVQA in Gastrointestinal Endoscopy." arXiv:2506.09958. https://arxiv.org/abs/2506.09958.</w:t>
      </w:r>
      <w:r>
        <w:rPr>
          <w:rFonts w:ascii="Arial" w:hAnsi="Arial" w:cs="Arial"/>
          <w:sz w:val="22"/>
          <w:szCs w:val="22"/>
          <w:highlight w:val="none"/>
        </w:rPr>
      </w:r>
      <w:r>
        <w:rPr>
          <w:rFonts w:ascii="Arial" w:hAnsi="Arial" w:cs="Arial"/>
          <w:sz w:val="22"/>
          <w:szCs w:val="22"/>
          <w:highlight w:val="none"/>
        </w:rPr>
      </w:r>
    </w:p>
    <w:p w14:paraId="36433FE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 Gautam S, Riegler MOD, Sivertsen KD, Halvorsen P. 2025. "CLoE: Improving Endoscopic Severity Rating Through Curriculum Learning in Vision Language Models." arXiv:2508.13280. https://arxiv.org/abs/2508.13280.</w:t>
      </w:r>
      <w:r/>
    </w:p>
    <w:p w14:paraId="1C92336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 Gautam S, Storas A, Midoglu C, et al. 2024. "Kvasir-VQA: A Text-Image Pair GI Tract Dataset." arXiv:2409.01437. https://arxiv.org/abs/2409.01437.</w:t>
      </w:r>
      <w:r/>
    </w:p>
    <w:p w14:paraId="7FA7CAA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 Gautam S, Thambawita V, Riegler M, Halvorsen P, Hicks S. 2025. "Medico 2025: Visual Question Answering for Gastrointestinal Imaging." arXiv:2508.10869. https://arxiv.org/abs/2508.10869.</w:t>
      </w:r>
      <w:r/>
    </w:p>
    <w:p w14:paraId="67C9C60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w:t>
      </w:r>
      <w:r>
        <w:rPr>
          <w:rFonts w:ascii="Arial" w:hAnsi="Arial" w:cs="Arial"/>
          <w:sz w:val="22"/>
          <w:szCs w:val="22"/>
          <w:highlight w:val="none"/>
        </w:rPr>
        <w:t xml:space="preserve">. Hashash JG, Farraye FA, Wang Y, et al. 2024. "Inter- and Intraobserver Variability on Endoscopic Scoring Systems in Crohn's Disease and Ulcerative Colitis: A Systematic Review and Meta-Analysis." Inflammatory Bowel Diseases. https://pubmed.ncbi.nlm.nih.g</w:t>
      </w:r>
      <w:r>
        <w:rPr>
          <w:rFonts w:ascii="Arial" w:hAnsi="Arial" w:cs="Arial"/>
          <w:sz w:val="22"/>
          <w:szCs w:val="22"/>
          <w:highlight w:val="none"/>
        </w:rPr>
        <w:t xml:space="preserve">ov/38547325/.</w:t>
      </w:r>
      <w:r/>
    </w:p>
    <w:p w14:paraId="04058E3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 He X, Zhang Y, Mou L, et al. 2020. "PathVQA: 30000+ Questions for Medical Visual Question Answering." arXiv:2003.10286. https://arxiv.org/abs/2003.10286.</w:t>
      </w:r>
      <w:r/>
    </w:p>
    <w:p w14:paraId="56BFFD6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11. Hicks SA, Strumke I, Thambawita V, et al. 2022. "On evaluation metrics for medical applications of artificial intelligence." Scientific Reports. https://www.nature.com/articles/s41598-022-09954-8.</w:t>
      </w:r>
      <w:r/>
    </w:p>
    <w:p w14:paraId="4BF3693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12. Hu Y, Li T, Lu Q, et al. 2024. "OmniMedVQA: A New Large-Scale Comprehensive Evaluation Benchmark for Medical LVLM." arXiv:2402.09181. https://arxiv.org/abs/2402.09181.</w:t>
      </w:r>
      <w:r/>
    </w:p>
    <w:p w14:paraId="3EE7734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13. Huang X, Wang N, Liu H, Tang X, Zhou Y. 2025. "MedVLSynther: Synthesizing High-Quality Visual Question Answering from Medical Documents with Generator-Verifier LMMs." arXiv:2510.25867. https://arxiv.org/abs/2510.25867.</w:t>
      </w:r>
      <w:r/>
    </w:p>
    <w:p w14:paraId="611CE82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14. ImageCLEF. 2023. "ImageCLEFmed MEDVQA-GI 2023 task page." https://www.imageclef.org/2023/medical/vqa.</w:t>
      </w:r>
      <w:r/>
    </w:p>
    <w:p w14:paraId="7E95A24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15. ImageCLEF. 2024. "ImageCLEFmed VQA 2024 Task Page." https://www.imageclef.org/2024/medical/vqa.</w:t>
      </w:r>
      <w:r/>
    </w:p>
    <w:p w14:paraId="523F0B9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16. ImageCLEF. 2025. "ImageCLEFmed MEDVQA 2025 task page." https://www.imageclef.org/2025/medical/vqa.</w:t>
      </w:r>
      <w:r/>
    </w:p>
    <w:p w14:paraId="3469283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17. Jiang S, Wang Y, Song S, et al. 2025. "OmniV-Med: Scaling Medical Vision-Language Model for Universal Visual Understanding." arXiv:2504.14692. https://arxiv.org/abs/2504.14692.</w:t>
      </w:r>
      <w:r/>
    </w:p>
    <w:p w14:paraId="79B5CF3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18. Karim AHMR, Uzuner O. 2025. "MasonNLP at MEDIQA-WV 2025: Multimodal Retrieval-Augmented Generation with Large Language Models for Medical VQA." ClinicalNLP. https://aclanthology.org/2025.clinicalnlp-1.10/.</w:t>
      </w:r>
      <w:r/>
    </w:p>
    <w:p w14:paraId="15C90FB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19. Lau JYC, Gayen S, Ben Abacha A, et al. 2018. "A dataset of clinically generated visual questions and answers about radiology images." Scientific Data. https://www.nature.com/articles/sdata2018251.</w:t>
      </w:r>
      <w:r/>
    </w:p>
    <w:p w14:paraId="3B15E3A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20. Lee J, Yoon W, Kim S, et al. 2019. "BioBERT: a pre-trained biomedical language representation model for biomedical text mining." arXiv:1901.08746. https://arxiv.org/abs/1901.08746.</w:t>
      </w:r>
      <w:r/>
    </w:p>
    <w:p w14:paraId="79B2E09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21. Li C, Wong C, Zhang S, et al. 2023. "LLaVA-Med: Training a Large Language-and-Vision Assistant for Biomedicine in One Day." arXiv:2306.00890. https://arxiv.org/abs/2306.00890.</w:t>
      </w:r>
      <w:r/>
    </w:p>
    <w:p w14:paraId="4399493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22. Li J, Li D, Savarese S, Hoi SCH. 2023. "BLIP-2: Bootstrapping Language-Image Pre-training with Frozen Image Encoders and Large Language Models." arXiv:2301.12597. https://arxiv.org/abs/2301.12597.</w:t>
      </w:r>
      <w:r/>
    </w:p>
    <w:p w14:paraId="084ED06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23. Li R, Liu L, Xie Q, et al. 2025. "Towards Medical Visual Question Answering with Large Multimodal Models." arXiv:2501.07109. https://arxiv.org/abs/2501.07109.</w:t>
      </w:r>
      <w:r/>
    </w:p>
    <w:p w14:paraId="74BB4C7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w:t>
      </w:r>
      <w:r>
        <w:rPr>
          <w:rFonts w:ascii="Arial" w:hAnsi="Arial" w:cs="Arial"/>
          <w:sz w:val="22"/>
          <w:szCs w:val="22"/>
          <w:highlight w:val="none"/>
        </w:rPr>
        <w:t xml:space="preserve">4. Lim DYZ, Basha A, Ku A, et al. 2025. "Vision-language large learning model, GPT4V, outperforms machine learning and deep learning methods in grading bowel preparation quality in outpatient colonoscopies." BMJ Open Gastroenterology 12:e001496. https://pm</w:t>
      </w:r>
      <w:r>
        <w:rPr>
          <w:rFonts w:ascii="Arial" w:hAnsi="Arial" w:cs="Arial"/>
          <w:sz w:val="22"/>
          <w:szCs w:val="22"/>
          <w:highlight w:val="none"/>
        </w:rPr>
        <w:t xml:space="preserve">c.ncbi.nlm.nih.gov/articles/PMC11911458/.</w:t>
      </w:r>
      <w:r/>
    </w:p>
    <w:p w14:paraId="3F67888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25. Lin S, Kryściński W, Wu D, et al. 2021. "Medical Visual Question Answering: A Survey." arXiv:2111.10056. https://arxiv.org/abs/2111.10056.</w:t>
      </w:r>
      <w:r/>
    </w:p>
    <w:p w14:paraId="5F754C2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26. Lin Z, Zhang D, Tao Q, et al. 2023. "Medical visual question answering: A survey." Artificial Intelligence in Medicine. https://doi.org/10.1016/j.artmed.2023.102611.</w:t>
      </w:r>
      <w:r/>
    </w:p>
    <w:p w14:paraId="011AFEC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27. Liu B, Zhan L, Xu L, et al. 2021. "SLAKE: A semantically-labeled knowledge-enhanced dataset for medical visual question answering." arXiv:2102.09542. https://arxiv.org/abs/2102.09542.</w:t>
      </w:r>
      <w:r/>
    </w:p>
    <w:p w14:paraId="64A91A7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28. Liu H, Li C, Wu Q, Lee YJ. 2023. "Visual Instruction Tuning (LLaVA)." arXiv:2304.08485. https://arxiv.org/abs/2304.08485.</w:t>
      </w:r>
      <w:r/>
    </w:p>
    <w:p w14:paraId="7B1AE53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29. Lu J, Batra D, Parikh D, Lee S. 2019. "ViLBERT: Pretraining Task-Agnostic Visiolinguistic Representations for Vision-and-Language Tasks." arXiv:1908.02265. https://arxiv.org/abs/1908.02265.</w:t>
      </w:r>
      <w:r/>
    </w:p>
    <w:p w14:paraId="1600BB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30. Luo R, Sun L, Xia Y, et al. 2022. "BioGPT: Generative Pre-trained Transformer for Biomedical Text Generation and Mining." arXiv:2210.10341. https://arxiv.org/abs/2210.10341.</w:t>
      </w:r>
      <w:r/>
    </w:p>
    <w:p w14:paraId="202B269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31. MediaEval. 2025. "Medico 2025 task page: VQA with multimodal explanations for GI imaging." https://multimediaeval.github.io/editions/2025/tasks/medico/.</w:t>
      </w:r>
      <w:r/>
    </w:p>
    <w:p w14:paraId="5C6ACAD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32. Moor M, Huang Q, Wu S, et al. 2023. "Med-Flamingo: a Multimodal Medical Few-shot Learner." arXiv:2307.15189. https://arxiv.org/abs/2307.15189.</w:t>
      </w:r>
      <w:r/>
    </w:p>
    <w:p w14:paraId="75B797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33. Murino A, Rimondi A. 2023. "Automated Artificial Intelligence Scoring Systems for the Endoscopic Assessment of Ulcerative Colitis: How Far Are We from Clinical Application?" Gastrointestinal Endoscopy. https://doi.org/10.1016/j.gie.2022.10.010.</w:t>
      </w:r>
      <w:r/>
    </w:p>
    <w:p w14:paraId="5305BFF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34. Murino A, Rimondi A. 2023. "Automated artificial intelligence scoring systems for the endoscopic assessment of ulcerative colitis: How far are we from clinical application?" Gastrointestinal Endoscopy. https://pubmed.ncbi.nlm.nih.gov/36509572/.</w:t>
      </w:r>
      <w:r/>
    </w:p>
    <w:p w14:paraId="3DF4DD3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35. Murtaza N, Munsif S, Cuadros M, et al. 2023. "Overview of ImageCLEFmedical 2023 - Medical Visual Question Answering for Gastrointestinal Tract." CEUR-WS Vol-3497. https://ceur-ws.org/Vol-3497/paper-107.pdf.</w:t>
      </w:r>
      <w:r/>
    </w:p>
    <w:p w14:paraId="4088F35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36. Nguyen H-D, Dang M-A, Le M-T, Le M-T. 2025. "MedXplain-VQA: Multi-Component Explainable Medical Visual Question Answering." arXiv:2510.22803. https://arxiv.org/abs/2510.22803.</w:t>
      </w:r>
      <w:r/>
    </w:p>
    <w:p w14:paraId="0A88FF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w:t>
      </w:r>
      <w:r>
        <w:rPr>
          <w:rFonts w:ascii="Arial" w:hAnsi="Arial" w:cs="Arial"/>
          <w:sz w:val="22"/>
          <w:szCs w:val="22"/>
          <w:highlight w:val="none"/>
        </w:rPr>
        <w:t xml:space="preserve">7. Ozawa T, Ishihara S, Fujishiro M, et al. 2020. "Novel Computer-Aided Diagnosis System for Endoscopic Disease Activity in Patients with Ulcerative Colitis." Gastroenterology 158(8):2150-2157.e3. https://www.gastrojournal.org/article/S0016-5085%2820%29302</w:t>
      </w:r>
      <w:r>
        <w:rPr>
          <w:rFonts w:ascii="Arial" w:hAnsi="Arial" w:cs="Arial"/>
          <w:sz w:val="22"/>
          <w:szCs w:val="22"/>
          <w:highlight w:val="none"/>
        </w:rPr>
        <w:t xml:space="preserve">12-2/fulltext.</w:t>
      </w:r>
      <w:r/>
    </w:p>
    <w:p w14:paraId="2C66DBC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38. Polat G, Kani HT, Ergenc I, et al. 2022. "Labeled Images for Ulcerative Colitis (LIMUC) Dataset." Zenodo. https://zenodo.org/records/5827695. Secondary resource: https://github.com/wanghaining/ulcerative_colitis.</w:t>
      </w:r>
      <w:r/>
    </w:p>
    <w:p w14:paraId="6E0BE69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39. Radford A, Kim JW, Hallacy C, et al. 2021. "Learning Transferable Visual Models From Natural Language Supervision (CLIP)." arXiv:2103.00020. https://arxiv.org/abs/2103.00020.</w:t>
      </w:r>
      <w:r/>
    </w:p>
    <w:p w14:paraId="4FF0571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40. RAG-VQA-Medical Repository. n.d. "Prototyping_reformat/DatasetAnalysis/HyperKvasir/HyperKvasir.md." Internal repository artifact.</w:t>
      </w:r>
      <w:r/>
    </w:p>
    <w:p w14:paraId="3F6A683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41. RAG-VQA-Medical Repository. n.d. "Prototyping_reformat/DatasetAnalysis/ImageCLEF_MEDVQA_GI_2023/ImageCLEF_MEDVQA_GI_2023.md." Internal repository artifact.</w:t>
      </w:r>
      <w:r/>
    </w:p>
    <w:p w14:paraId="4458D96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42. RAG-VQA-Medical Repository. n.d. "Prototyping_reformat/DatasetAnalysis/Kvasir_SEG/Kvasir_SEG.md." Internal repository artifact.</w:t>
      </w:r>
      <w:r/>
    </w:p>
    <w:p w14:paraId="2352B7B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43. RAG-VQA-Medical Repository. n.d. "Prototyping_reformat/DatasetAnalysis/Kvasir_VQA/0_dataset_prep/out/visualizations/answer_type_counts.csv." Internal repository artifact.</w:t>
      </w:r>
      <w:r/>
    </w:p>
    <w:p w14:paraId="0119FBC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44. RAG-VQA-Medical Repository. n.d. "Prototyping_reformat/DatasetAnalysis/Kvasir_VQA/0_dataset_prep/out/visualizations/qa_by_source.csv." Internal repository artifact.</w:t>
      </w:r>
      <w:r/>
    </w:p>
    <w:p w14:paraId="7DB6E1B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45. RAG-VQA-Medical Repository. n.d. "Prototyping_reformat/DatasetAnalysis/Kvasir_VQA/0_dataset_prep/out/visualizations/question_type_counts.csv." Internal repository artifact.</w:t>
      </w:r>
      <w:r/>
    </w:p>
    <w:p w14:paraId="35956C9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46. RAG-VQA-Medical Repository. n.d. "Prototyping_reformat/DatasetAnalysis/Kvasir_VQA/evaluation_comparison/phase3_results/summary_uc_phase3.csv." Internal repository artifact.</w:t>
      </w:r>
      <w:r/>
    </w:p>
    <w:p w14:paraId="1D9D34A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47. RAG-VQA-Medical Repository. n.d. "Prototyping_reformat/DatasetAnalysis/Kvasir_VQA/evaluation_comparison/scenarios/scenarios.yaml." Internal repository artifact.</w:t>
      </w:r>
      <w:r/>
    </w:p>
    <w:p w14:paraId="2F0CF90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48. RAG-VQA-Medical Repository. n.d. "Prototyping_reformat/DatasetAnalysis/Kvasir_VQA/Kvasir_VQA.md." Internal repository artifact.</w:t>
      </w:r>
      <w:r/>
    </w:p>
    <w:p w14:paraId="5DFF12D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49. RAG-VQA-Medical Repository. n.d. "Prototyping_reformat/DatasetAnalysis/Kvasir_VQA_x1/Kvasir_VQA_x1.md." Internal repository artifact.</w:t>
      </w:r>
      <w:r/>
    </w:p>
    <w:p w14:paraId="4A002C7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50. RAG-VQA-Medical Repository. n.d. "Prototyping_reformat/DatasetAnalysis/LIMUC/LIMUC.md." Internal repository artifact.</w:t>
      </w:r>
      <w:r/>
    </w:p>
    <w:p w14:paraId="4A6AD0B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51. Rieff M, Varma M, Rabow O, et al. 2025. "SMMILE: An Expert-Driven Benchmark for Multimodal Medical In-Context Learning." arXiv:2506.21355. https://arxiv.org/abs/2506.21355.</w:t>
      </w:r>
      <w:r/>
    </w:p>
    <w:p w14:paraId="43078E8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52. Safwan I, Shaikh MA, Haaris M, Khan R, Tahir MA. 2025. "Multi-Task Learning for Visually Grounded Reasoning in Gastrointestinal VQA." arXiv:2511.04384. https://arxiv.org/abs/2511.04384.</w:t>
      </w:r>
      <w:r/>
    </w:p>
    <w:p w14:paraId="12129A3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53. Sial M, Fatima M, Nawaz K, et al. 2025. "Path-RAG: Knowledge-Based Explainable Medical VQA with Large Language Models." Proceedings of Machine Learning Research 259. https://proceedings.mlr.press/v259/sial25a.html.</w:t>
      </w:r>
      <w:r/>
    </w:p>
    <w:p w14:paraId="4DC49A3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54. Simula Datasets. n.d. "Kvasir-VQA dataset page." https://datasets.simula.no/kvasir-vqa/.</w:t>
      </w:r>
      <w:r/>
    </w:p>
    <w:p w14:paraId="35EE6FD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55. Simula. 2024. "ImageCLEFmed-MEDVQA-GI-2024 repository." https://github.com/simula/ImageCLEFmed-MEDVQA-GI-2024.</w:t>
      </w:r>
      <w:r/>
    </w:p>
    <w:p w14:paraId="4477577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56. Simula. n.d. "Kvasir-VQA-x1 GitHub repository." https://github.com/simula/Kvasir-VQA-x1.</w:t>
      </w:r>
      <w:r/>
    </w:p>
    <w:p w14:paraId="536F604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57. Smedsrud PH, Thambawita V, Hicks SA, et al. 2021. "Kvasir-Capsule, a video capsule endoscopy dataset." Scientific Data. https://www.nature.com/articles/s41597-021-00920-z.</w:t>
      </w:r>
      <w:r/>
    </w:p>
    <w:p w14:paraId="2B37877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w:t>
      </w:r>
      <w:r>
        <w:rPr>
          <w:rFonts w:ascii="Arial" w:hAnsi="Arial" w:cs="Arial"/>
          <w:sz w:val="22"/>
          <w:szCs w:val="22"/>
          <w:highlight w:val="none"/>
        </w:rPr>
        <w:t xml:space="preserve">8. Stidham RW, Liu W, Bishu S, et al. 2019. "Performance of a Deep Learning Model vs Human Reviewers in Grading Endoscopic Disease Severity of Patients With Ulcerative Colitis." JAMA Network Open 2(5):e193963. https://jamanetwork.com/journals/jamanetworkop</w:t>
      </w:r>
      <w:r>
        <w:rPr>
          <w:rFonts w:ascii="Arial" w:hAnsi="Arial" w:cs="Arial"/>
          <w:sz w:val="22"/>
          <w:szCs w:val="22"/>
          <w:highlight w:val="none"/>
        </w:rPr>
        <w:t xml:space="preserve">en/fullarticle/2733432.</w:t>
      </w:r>
      <w:r/>
    </w:p>
    <w:p w14:paraId="049476F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w:t>
      </w:r>
      <w:r>
        <w:rPr>
          <w:rFonts w:ascii="Arial" w:hAnsi="Arial" w:cs="Arial"/>
          <w:sz w:val="22"/>
          <w:szCs w:val="22"/>
          <w:highlight w:val="none"/>
        </w:rPr>
        <w:t xml:space="preserve">9. Takenaka K, Ohtsuka K, Fujii T, et al. 2023. "Development and Validation of a Deep Neural Network for Accurate Evaluation of Endoscopic Images From Patients With Ulcerative Colitis." Journal of Crohn's and Colitis 17(4):463-472. https://academic.oup.com</w:t>
      </w:r>
      <w:r>
        <w:rPr>
          <w:rFonts w:ascii="Arial" w:hAnsi="Arial" w:cs="Arial"/>
          <w:sz w:val="22"/>
          <w:szCs w:val="22"/>
          <w:highlight w:val="none"/>
        </w:rPr>
        <w:t xml:space="preserve">/ecco-jcc/article/17/4/463/6762568.</w:t>
      </w:r>
      <w:r/>
    </w:p>
    <w:p w14:paraId="5512EAF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60. Tan H, Bansal M. 2019. "LXMERT: Learning Cross-Modality Encoder Representations from Transformers." arXiv:1908.07490. https://arxiv.org/abs/1908.07490.</w:t>
      </w:r>
      <w:r/>
    </w:p>
    <w:p w14:paraId="6C6CBE7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61. Yan Q, He X, Yue X, Wang XE. 2024. "Worse than Random? An Embarrassingly Simple Probing Evaluation of Large Multimodal Models in Medical VQA." arXiv:2405.20421. https://arxiv.org/abs/2405.20421.</w:t>
      </w:r>
      <w:r/>
    </w:p>
    <w:p w14:paraId="1800D34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w:t>
      </w:r>
      <w:r>
        <w:rPr>
          <w:rFonts w:ascii="Arial" w:hAnsi="Arial" w:cs="Arial"/>
          <w:sz w:val="22"/>
          <w:szCs w:val="22"/>
          <w:highlight w:val="none"/>
        </w:rPr>
        <w:t xml:space="preserve">2. Yao H, Tewari AK, Morais M, et al. 2023. "Novel deep learning-based computer-aided diagnosis system for predicting inflammatory activity in ulcerative colitis: a prospective multicentre study." Gastrointestinal Endoscopy 97(2):330-339.e1. https://pubmed</w:t>
      </w:r>
      <w:r>
        <w:rPr>
          <w:rFonts w:ascii="Arial" w:hAnsi="Arial" w:cs="Arial"/>
          <w:sz w:val="22"/>
          <w:szCs w:val="22"/>
          <w:highlight w:val="none"/>
        </w:rPr>
        <w:t xml:space="preserve">.ncbi.nlm.nih.gov/35985375/.</w:t>
      </w:r>
      <w:r/>
    </w:p>
    <w:p w14:paraId="142016C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63. Yim W-w, Ben Abacha A, Yetisgen M, Xia F. 2025. "Overview of the MEDIQA-WV 2025 Shared Task on Woundcare Visual Question Answering." ClinicalNLP. https://aclanthology.org/2025.clinicalnlp-1.3/.</w:t>
      </w:r>
      <w:r/>
    </w:p>
    <w:p w14:paraId="1AD5362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64. Yip SL, He S, Nie Y, et al. 2025. "MedBookVQA: A Systematic and Comprehensive Medical Benchmark Derived from Open-Access Book." arXiv:2506.00855. https://arxiv.org/abs/2506.00855.</w:t>
      </w:r>
      <w:r/>
    </w:p>
    <w:p w14:paraId="3392117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65. Yu S, Wang H, Wu J, et al. 2025. "MedFrameQA: A Multi-Image Medical VQA Benchmark for Clinical Reasoning." arXiv:2505.16964 (revised 2026). https://arxiv.org/abs/2505.16964.</w:t>
      </w:r>
      <w:r/>
    </w:p>
    <w:p w14:paraId="7BC2B639">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t xml:space="preserve">66. Zhang X, Wu C, Zhao Z, et al. 2023. "PMC-VQA: Visual Instruction Tuning for Medical Visual Question Answering." arXiv:2305.10415. </w:t>
      </w:r>
      <w:hyperlink r:id="rId33" w:tooltip="https://arxiv.org/abs/2305.10415." w:history="1">
        <w:r>
          <w:rPr>
            <w:rStyle w:val="1071"/>
            <w:rFonts w:ascii="Arial" w:hAnsi="Arial" w:cs="Arial"/>
            <w:sz w:val="22"/>
            <w:szCs w:val="22"/>
            <w:highlight w:val="none"/>
          </w:rPr>
          <w:t xml:space="preserve">https://arxiv.org/abs/2305.10415.</w:t>
        </w:r>
        <w:r>
          <w:rPr>
            <w:rStyle w:val="1071"/>
          </w:rPr>
        </w:r>
        <w:r>
          <w:rPr>
            <w:rStyle w:val="1071"/>
            <w:rFonts w:ascii="Arial" w:hAnsi="Arial" w:cs="Arial"/>
            <w:sz w:val="22"/>
            <w:szCs w:val="22"/>
            <w:highlight w:val="none"/>
          </w:rPr>
        </w:r>
        <w:r>
          <w:rPr>
            <w:rStyle w:val="1071"/>
            <w:rFonts w:ascii="Arial" w:hAnsi="Arial" w:cs="Arial"/>
            <w:sz w:val="22"/>
            <w:szCs w:val="22"/>
            <w:highlight w:val="none"/>
          </w:rPr>
        </w:r>
        <w:r>
          <w:rPr>
            <w:rStyle w:val="1071"/>
            <w:rFonts w:ascii="Arial" w:hAnsi="Arial" w:cs="Arial"/>
            <w:sz w:val="22"/>
            <w:szCs w:val="22"/>
          </w:rPr>
        </w:r>
      </w:hyperlink>
      <w:r>
        <w:rPr>
          <w:rFonts w:ascii="Arial" w:hAnsi="Arial" w:cs="Arial"/>
          <w:sz w:val="22"/>
          <w:szCs w:val="22"/>
          <w:highlight w:val="none"/>
        </w:rPr>
      </w:r>
      <w:r>
        <w:rPr>
          <w:rFonts w:ascii="Arial" w:hAnsi="Arial" w:cs="Arial"/>
          <w:sz w:val="22"/>
          <w:szCs w:val="22"/>
          <w:highlight w:val="none"/>
        </w:rPr>
      </w:r>
    </w:p>
    <w:p w14:paraId="5D40CE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67. Hu EJ, Shen Y, Wallis P, et al. 2021. "LoRA: Low-Rank Adaptation of Large Language Models." arXiv:2106.09685. https://arxiv.org/abs/2106.09685.</w:t>
      </w:r>
      <w:r/>
    </w:p>
    <w:p w14:paraId="6C8BA30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68. Li J, Li D, Savarese S, Hoi SCH. 2023. "BLIP-2: Bootstrapping Language-Image Pre-training with Frozen Image Encoders and Large Language Models." arXiv:2301.12597. https://arxiv.org/abs/2301.12597.</w:t>
      </w:r>
      <w:r/>
    </w:p>
    <w:p w14:paraId="70753B8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69. RAG-VQA-Medical Repository. n.d. "Prototyping_reformat/DatasetAnalysis/LIMUC/0_dataset_prep/01_build_metadata_images_and_manifests.ipynb." Internal repository artifact.</w:t>
      </w:r>
      <w:r/>
    </w:p>
    <w:p w14:paraId="42F8F7B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70. RAG-VQA-Medical Repository. n.d. "Prototyping_reformat/DatasetAnalysis/LIMUC/1_frozen_encoders/resnet50_frozen_logreg.ipynb." Internal repository artifact.</w:t>
      </w:r>
      <w:r/>
    </w:p>
    <w:p w14:paraId="2A423E3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71. RAG-VQA-Medical Repository. n.d. "Prototyping_reformat/DatasetAnalysis/LIMUC/1_frozen_encoders/vit_frozen_logreg.ipynb." Internal repository artifact.</w:t>
      </w:r>
      <w:r/>
    </w:p>
    <w:p w14:paraId="2D788E8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72. RAG-VQA-Medical Repository. n.d. "Prototyping_reformat/DatasetAnalysis/LIMUC/1_frozen_encoders/clip_linear_baseline.ipynb." Internal repository artifact.</w:t>
      </w:r>
      <w:r/>
    </w:p>
    <w:p w14:paraId="7EBF39F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73. RAG-VQA-Medical Repository. n.d. "Prototyping_reformat/DatasetAnalysis/LIMUC/2_supervised_finetuning/finetune_resnet50.ipynb." Internal repository artifact.</w:t>
      </w:r>
      <w:r/>
    </w:p>
    <w:p w14:paraId="441A692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74. RAG-VQA-Medical Repository. n.d. "Prototyping_reformat/DatasetAnalysis/LIMUC/2_supervised_finetuning/finetune_vit_or_swin.ipynb." Internal repository artifact.</w:t>
      </w:r>
      <w:r/>
    </w:p>
    <w:p w14:paraId="2FE0922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75. RAG-VQA-Medical Repository. n.d. "Prototyping_reformat/DatasetAnalysis/LIMUC/3_vlm_severity/vlm_zero_shot_mayo.ipynb." Internal repository artifact.</w:t>
      </w:r>
      <w:r/>
    </w:p>
    <w:p w14:paraId="4E13884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76. RAG-VQA-Medical Repository. n.d. "Prototyping_reformat/DatasetAnalysis/LIMUC/3_vlm_severity/vlm_lora_finetune_mayo.ipynb." Internal repository artifact.</w:t>
      </w:r>
      <w:r/>
    </w:p>
    <w:p w14:paraId="4B19E85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77. RAG-VQA-Medical Repository. n.d. "Prototyping_reformat/DatasetAnalysis/Kvasir_VQA_x1/2_modeling/09_rag_blip2_eval/01_rag_blip2_eval.ipynb." Internal repository artifact.</w:t>
      </w:r>
      <w:r/>
    </w:p>
    <w:p w14:paraId="49DBF19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78. RAG-VQA-Medical Repository. n.d. "Prototyping_reformat/DatasetAnalysis/LIMUC/4_reporting/out/." Internal repository artifact.</w:t>
      </w:r>
      <w:r/>
    </w:p>
    <w:p w14:paraId="523B50A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79. RAG-VQA-Medical Repository. n.d. "Thesis/markdown/figures/ch4_representations/CH4_PART3_ASSET_MANIFEST_20260306.csv." Internal repository artifact.</w:t>
      </w:r>
      <w:r/>
    </w:p>
    <w:p w14:paraId="6DDC6AE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80. RAG-VQA-Medical Repository. n.d. "Thesis/markdown/figures/ch4_representations/F02_ch4_core_metric_comparison.png." Internal repository artifact.</w:t>
      </w:r>
      <w:r/>
    </w:p>
    <w:p w14:paraId="7D58478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81. RAG-VQA-Medical Repository. n.d. "Thesis/markdown/figures/ch4_representations/F03_ch4_radar_profile.png." Internal repository artifact.</w:t>
      </w:r>
      <w:r/>
    </w:p>
    <w:p w14:paraId="66EA04E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82. RAG-VQA-Medical Repository. n.d. "Thesis/markdown/figures/ch4_representations/F04_ch4_remission_slice_comparison.png." Internal repository artifact.</w:t>
      </w:r>
      <w:r/>
    </w:p>
    <w:p w14:paraId="5E5FAF8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83. RAG-VQA-Medical Repository. n.d. "Thesis/markdown/figures/ch4_representations/F05_ch4_mcnemar_significance_heatmap.png." Internal repository artifact.</w:t>
      </w:r>
      <w:r/>
    </w:p>
    <w:p w14:paraId="757FC89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84. RAG-VQA-Medical Repository. n.d. "Thesis/markdown/figures/ch4_representations/F06_ch4_confusion_panel.png." Internal repository artifact.</w:t>
      </w:r>
      <w:r/>
    </w:p>
    <w:p w14:paraId="04B27A5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85. RAG-VQA-Medical Repository. n.d. "CH4_PART1_SCOPE_FREEZE_20260306.md." Internal repository artifact.</w:t>
      </w:r>
      <w:r/>
    </w:p>
    <w:p w14:paraId="175432C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86. RAG-VQA-Medical Repository. n.d. "CH4_PART2_REPRO_FREEZE_20260306.md." Internal repository artifact.</w:t>
      </w:r>
      <w:r/>
    </w:p>
    <w:p w14:paraId="033C6E2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87. RAG-VQA-Medical Repository. n.d. "CH4_PART7_DISSERTATION_READINESS_GATE_20260306.md." Internal repository artifact.</w:t>
      </w:r>
      <w:r/>
    </w:p>
    <w:p w14:paraId="47A5F2A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88. RAG-VQA-Medical Repository. n.d. "Prototyping_reformat/DatasetAnalysis/LIMUC/4_reporting/out/pass6_generative_metric_summary.csv." Internal repository artifact.</w:t>
      </w:r>
      <w:r/>
    </w:p>
    <w:p w14:paraId="7D19357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89. RAG-VQA-Medical Repository. n.d. "Prototyping_reformat/chapter5_pico_wrapper/pico_wrapper/schemas.py." Internal repository artifact.</w:t>
      </w:r>
      <w:r/>
    </w:p>
    <w:p w14:paraId="6A8D3EA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90. RAG-VQA-Medical Repository. n.d. "Prototyping_reformat/chapter5_pico_wrapper/pico_wrapper/retriever.py." Internal repository artifact.</w:t>
      </w:r>
      <w:r/>
    </w:p>
    <w:p w14:paraId="4EB588B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91. RAG-VQA-Medical Repository. n.d. "Prototyping_reformat/chapter5_pico_wrapper/pico_wrapper/wrapper.py." Internal repository artifact.</w:t>
      </w:r>
      <w:r/>
    </w:p>
    <w:p w14:paraId="5C3FF6F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92. RAG-VQA-Medical Repository. n.d. "Prototyping_reformat/chapter5_pico_wrapper/pico_wrapper/safety.py." Internal repository artifact.</w:t>
      </w:r>
      <w:r/>
    </w:p>
    <w:p w14:paraId="54A5DF8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93. RAG-VQA-Medical Repository. n.d. "Prototyping_reformat/chapter5_pico_wrapper/scripts/run_full_pipeline.py." Internal repository artifact.</w:t>
      </w:r>
      <w:r/>
    </w:p>
    <w:p w14:paraId="47536D9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94. RAG-VQA-Medical Repository. n.d. "Prototyping_reformat/chapter5_pico_wrapper/results/kb_build_pass4_latest/kb_manifest.json." Internal repository artifact.</w:t>
      </w:r>
      <w:r/>
    </w:p>
    <w:p w14:paraId="1DDC481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95. RAG-VQA-Medical Repository. n.d. "Prototyping_reformat/chapter5_pico_wrapper/results/wrapper_eval_pass4_latest/run_config.json." Internal repository artifact.</w:t>
      </w:r>
      <w:r/>
    </w:p>
    <w:p w14:paraId="7734025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96. RAG-VQA-Medical Repository. n.d. "Prototyping_reformat/chapter5_pico_wrapper/results/eval_pass4_latest/pico_eval.json." Internal repository artifact.</w:t>
      </w:r>
      <w:r/>
    </w:p>
    <w:p w14:paraId="38A0C5A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97. RAG-VQA-Medical Repository. n.d. "Prototyping_reformat/chapter5_pico_wrapper/results/eval_pass4_latest/retrieval_eval.json." Internal repository artifact.</w:t>
      </w:r>
      <w:r/>
    </w:p>
    <w:p w14:paraId="62FAC65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98. RAG-VQA-Medical Repository. n.d. "Prototyping_reformat/chapter5_pico_wrapper/results/eval_pass4_latest/answer_eval.json." Internal repository artifact.</w:t>
      </w:r>
      <w:r/>
    </w:p>
    <w:p w14:paraId="571B901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99. RAG-VQA-Medical Repository. n.d. "Prototyping_reformat/chapter5_pico_wrapper/results/eval_pass3_ablation/retrieval_ablation_summary.tsv." Internal repository artifact.</w:t>
      </w:r>
      <w:r/>
    </w:p>
    <w:p w14:paraId="1926075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100. RAG-VQA-Medical Repository. n.d. "Prototyping_reformat/chapter5_pico_wrapper/results/chapter5_completion_audit_ch5_freeze_20260306/chapter5_completion_report.json." Internal repository artifact.</w:t>
      </w:r>
      <w:r/>
    </w:p>
    <w:p w14:paraId="630ADB5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101. RAG-VQA-Medical Repository. n.d. "Prototyping_reformat/chapter5_pico_wrapper/tests/test_retriever.py." Internal repository artifact.</w:t>
      </w:r>
      <w:r/>
    </w:p>
    <w:p w14:paraId="0DCE91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102. RAG-VQA-Medical Repository. n.d. "Prototyping_reformat/chapter5_pico_wrapper/tests/test_wrapper_pipeline.py." Internal repository artifact.</w:t>
      </w:r>
      <w:r/>
    </w:p>
    <w:p w14:paraId="6714C9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103. RAG-VQA-Medical Repository. n.d. "Prototyping_reformat/chapter5_pico_wrapper/tests/test_safety.py." Internal repository artifact.</w:t>
      </w:r>
      <w:r/>
    </w:p>
    <w:p w14:paraId="2F8EDA8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104. RAG-VQA-Medical Repository. n.d. "Prototyping_reformat/chapter5_pico_wrapper/tests/test_ui_support.py." Internal repository artifact.</w:t>
      </w:r>
      <w:r/>
    </w:p>
    <w:p w14:paraId="176F98B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105. IEEE Xplore. 2023. "Document 10153022." https://ieeexplore.ieee.org/abstract/document/10153022.</w:t>
      </w:r>
      <w:r/>
    </w:p>
    <w:p w14:paraId="20DA2D3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w:t>
      </w:r>
      <w:r>
        <w:rPr>
          <w:rFonts w:ascii="Arial" w:hAnsi="Arial" w:cs="Arial"/>
          <w:sz w:val="22"/>
          <w:szCs w:val="22"/>
          <w:highlight w:val="none"/>
        </w:rPr>
        <w:t xml:space="preserve">06. Talha M, Gasparovic M, Cupec R, et al. 2022. "Integrating Vision and Language Foundation Models for Advancing Medical Image Classification and Segmentation." In Machine Learning in Medical Imaging (MLMI 2022). https://link.springer.com/chapter/10.1007/</w:t>
      </w:r>
      <w:r>
        <w:rPr>
          <w:rFonts w:ascii="Arial" w:hAnsi="Arial" w:cs="Arial"/>
          <w:sz w:val="22"/>
          <w:szCs w:val="22"/>
          <w:highlight w:val="none"/>
        </w:rPr>
        <w:t xml:space="preserve">978-3-031-16072-1_9.</w:t>
      </w:r>
      <w:r/>
    </w:p>
    <w:p w14:paraId="0C13F725">
      <w:pPr>
        <w:suppressLineNumbers w:val="false"/>
        <w:pBdr/>
        <w:spacing w:after="240" w:afterAutospacing="0" w:before="240" w:beforeAutospacing="0" w:line="300" w:lineRule="auto"/>
        <w:ind w:firstLine="0" w:left="720"/>
        <w:rPr>
          <w:rFonts w:ascii="Arial" w:hAnsi="Arial" w:cs="Arial"/>
          <w:sz w:val="22"/>
          <w:szCs w:val="22"/>
        </w:rPr>
      </w:pPr>
      <w:r>
        <w:rPr>
          <w:rFonts w:ascii="Arial" w:hAnsi="Arial" w:cs="Arial"/>
          <w:sz w:val="22"/>
          <w:szCs w:val="22"/>
          <w:highlight w:val="none"/>
        </w:rPr>
        <w:t xml:space="preserve">107. Mohammed S, Fiaidhi J. 2024. "Generative AI for Evidence-Based Medicine: A PICO GenAI for Synthesizing Clinical Case Reports." ICC 2024. https://ieeexplore.ieee.org/abstract/document/10622271.</w:t>
      </w:r>
      <w:r>
        <w:rPr>
          <w:rFonts w:ascii="Arial" w:hAnsi="Arial" w:cs="Arial"/>
          <w:sz w:val="22"/>
          <w:szCs w:val="22"/>
        </w:rPr>
      </w:r>
      <w:r>
        <w:rPr>
          <w:rFonts w:ascii="Arial" w:hAnsi="Arial" w:cs="Arial"/>
          <w:sz w:val="22"/>
          <w:szCs w:val="22"/>
        </w:rPr>
      </w:r>
    </w:p>
    <w:p w14:paraId="134B5380" w14:textId="7698033F">
      <w:pPr>
        <w:pStyle w:val="1102"/>
        <w:suppressLineNumbers w:val="false"/>
        <w:pBdr/>
        <w:spacing w:line="300" w:lineRule="auto"/>
        <w:ind w:firstLine="0" w:left="0"/>
        <w:rPr>
          <w:sz w:val="22"/>
          <w:szCs w:val="22"/>
        </w:rPr>
      </w:pPr>
      <w:r>
        <w:rPr>
          <w:sz w:val="22"/>
          <w:szCs w:val="22"/>
          <w:lang w:val="en-CA"/>
        </w:rPr>
      </w:r>
      <w:r>
        <w:rPr>
          <w:sz w:val="22"/>
          <w:szCs w:val="22"/>
        </w:rPr>
      </w:r>
      <w:r>
        <w:rPr>
          <w:sz w:val="22"/>
          <w:szCs w:val="22"/>
        </w:rPr>
      </w:r>
    </w:p>
    <w:p w14:paraId="15B775E3" w14:textId="22668D7E">
      <w:pPr>
        <w:pStyle w:val="1102"/>
        <w:suppressLineNumbers w:val="false"/>
        <w:pBdr/>
        <w:spacing w:line="300" w:lineRule="auto"/>
        <w:ind/>
        <w:rPr/>
      </w:pPr>
      <w:r>
        <w:rPr>
          <w:lang w:val="en-US"/>
        </w:rPr>
      </w:r>
      <w:r>
        <w:rPr>
          <w:lang w:val="en-US"/>
        </w:rPr>
      </w:r>
      <w:r/>
    </w:p>
    <w:p w14:paraId="21B43741" w14:textId="6F08840B">
      <w:pPr>
        <w:pStyle w:val="1102"/>
        <w:suppressLineNumbers w:val="false"/>
        <w:pBdr/>
        <w:spacing w:line="300" w:lineRule="auto"/>
        <w:ind w:firstLine="0" w:left="0"/>
        <w:rPr/>
      </w:pPr>
      <w:r/>
      <w:r/>
    </w:p>
    <w:p w14:paraId="308E43FE" w14:textId="1686E186">
      <w:pPr>
        <w:pStyle w:val="1102"/>
        <w:suppressLineNumbers w:val="false"/>
        <w:pBdr/>
        <w:spacing w:line="300" w:lineRule="auto"/>
        <w:ind/>
        <w:rPr/>
      </w:pPr>
      <w:r/>
      <w:r/>
    </w:p>
    <w:p w14:paraId="776B7A88" w14:textId="36D30811">
      <w:pPr>
        <w:pStyle w:val="1102"/>
        <w:suppressLineNumbers w:val="false"/>
        <w:pBdr/>
        <w:spacing w:line="300" w:lineRule="auto"/>
        <w:ind/>
        <w:rPr/>
      </w:pPr>
      <w:r/>
      <w:r/>
    </w:p>
    <w:p w14:paraId="5532DE15" w14:textId="33829C7E">
      <w:pPr>
        <w:pStyle w:val="1102"/>
        <w:suppressLineNumbers w:val="false"/>
        <w:pBdr/>
        <w:spacing w:line="300" w:lineRule="auto"/>
        <w:ind/>
        <w:rPr/>
      </w:pPr>
      <w:r/>
      <w:r/>
    </w:p>
    <w:p w14:paraId="5D9E5F47" w14:textId="0842DE19">
      <w:pPr>
        <w:pStyle w:val="1102"/>
        <w:suppressLineNumbers w:val="false"/>
        <w:pBdr/>
        <w:spacing w:line="300" w:lineRule="auto"/>
        <w:ind/>
        <w:rPr/>
      </w:pPr>
      <w:r/>
      <w:r/>
    </w:p>
    <w:p w14:paraId="47235FB2" w14:textId="3FB9E21A">
      <w:pPr>
        <w:pStyle w:val="1102"/>
        <w:suppressLineNumbers w:val="false"/>
        <w:pBdr/>
        <w:spacing w:line="300" w:lineRule="auto"/>
        <w:ind/>
        <w:rPr/>
      </w:pPr>
      <w:r/>
      <w:r/>
    </w:p>
    <w:p w14:paraId="7AA27626" w14:textId="06AAD62B">
      <w:pPr>
        <w:pStyle w:val="1102"/>
        <w:suppressLineNumbers w:val="false"/>
        <w:pBdr/>
        <w:spacing w:line="300" w:lineRule="auto"/>
        <w:ind/>
        <w:rPr/>
      </w:pPr>
      <w:r/>
      <w:r/>
    </w:p>
    <w:p w14:paraId="4F492B30" w14:textId="7B03236C">
      <w:pPr>
        <w:pStyle w:val="1102"/>
        <w:suppressLineNumbers w:val="false"/>
        <w:pBdr/>
        <w:spacing w:line="300" w:lineRule="auto"/>
        <w:ind/>
        <w:rPr/>
      </w:pPr>
      <w:r/>
      <w:r/>
    </w:p>
    <w:p w14:paraId="0452A563" w14:textId="18D5A2A5">
      <w:pPr>
        <w:pStyle w:val="1102"/>
        <w:suppressLineNumbers w:val="false"/>
        <w:pBdr/>
        <w:spacing w:line="300" w:lineRule="auto"/>
        <w:ind/>
        <w:rPr/>
      </w:pPr>
      <w:r/>
      <w:r/>
    </w:p>
    <w:p w14:paraId="04D4A707" w14:textId="78C11C60">
      <w:pPr>
        <w:pStyle w:val="1102"/>
        <w:suppressLineNumbers w:val="false"/>
        <w:pBdr/>
        <w:spacing w:line="300" w:lineRule="auto"/>
        <w:ind/>
        <w:rPr/>
      </w:pPr>
      <w:r/>
      <w:r/>
    </w:p>
    <w:p w14:paraId="7C7937AE" w14:textId="7F3325A0">
      <w:pPr>
        <w:pStyle w:val="1102"/>
        <w:suppressLineNumbers w:val="false"/>
        <w:pBdr/>
        <w:spacing w:line="300" w:lineRule="auto"/>
        <w:ind/>
        <w:rPr/>
      </w:pPr>
      <w:r/>
      <w:r/>
    </w:p>
    <w:p w14:paraId="136C0608" w14:textId="2098A294">
      <w:pPr>
        <w:pStyle w:val="1102"/>
        <w:suppressLineNumbers w:val="false"/>
        <w:pBdr/>
        <w:spacing w:line="300" w:lineRule="auto"/>
        <w:ind/>
        <w:rPr/>
      </w:pPr>
      <w:r/>
      <w:r/>
    </w:p>
    <w:p w14:paraId="5373C01E" w14:textId="03A62521">
      <w:pPr>
        <w:pStyle w:val="1102"/>
        <w:suppressLineNumbers w:val="false"/>
        <w:pBdr/>
        <w:spacing w:line="300" w:lineRule="auto"/>
        <w:ind/>
        <w:rPr/>
      </w:pPr>
      <w:r/>
      <w:r/>
    </w:p>
    <w:p w14:paraId="2ABB7DEC" w14:textId="09A70241">
      <w:pPr>
        <w:pStyle w:val="1064"/>
        <w:suppressLineNumbers w:val="false"/>
        <w:pBdr/>
        <w:spacing w:line="300" w:lineRule="auto"/>
        <w:ind/>
        <w:rPr/>
      </w:pPr>
      <w:r/>
      <w:bookmarkStart w:id="13" w:name="_Toc66285142"/>
      <w:r>
        <w:t xml:space="preserve">Appendix A.</w:t>
      </w:r>
      <w:bookmarkEnd w:id="13"/>
      <w:r/>
      <w:r/>
    </w:p>
    <w:p w14:paraId="0E5E3A03" w14:textId="11231CB1">
      <w:pPr>
        <w:pStyle w:val="1056"/>
        <w:suppressLineNumbers w:val="false"/>
        <w:pBdr/>
        <w:spacing w:line="300" w:lineRule="auto"/>
        <w:ind/>
        <w:rPr/>
      </w:pPr>
      <w:r/>
      <w:r/>
    </w:p>
    <w:p w14:paraId="291F56D2" w14:textId="4A4253ED">
      <w:pPr>
        <w:suppressLineNumbers w:val="false"/>
        <w:pBdr/>
        <w:spacing w:line="300" w:lineRule="auto"/>
        <w:ind/>
        <w:jc w:val="center"/>
        <w:rPr/>
      </w:pPr>
      <w:r>
        <w:t xml:space="preserve">Bibliography</w:t>
      </w:r>
      <w:r/>
    </w:p>
    <w:p w14:paraId="532D13AD" w14:textId="77E7EA28">
      <w:pPr>
        <w:suppressLineNumbers w:val="false"/>
        <w:pBdr/>
        <w:spacing w:after="0" w:line="300" w:lineRule="auto"/>
        <w:ind w:hanging="720" w:left="720"/>
        <w:rPr/>
      </w:pPr>
      <w:r>
        <w:t xml:space="preserve">“Overview of </w:t>
      </w:r>
      <w:r>
        <w:t xml:space="preserve">ImageCLEFmedical</w:t>
      </w:r>
      <w:r>
        <w:t xml:space="preserve"> 2023 – Medical Visual Question Answering for Gastrointestinal Tract,” n.d. Accessed July 16, 2025.</w:t>
      </w:r>
      <w:r/>
    </w:p>
    <w:p w14:paraId="0B0EC2D6" w14:textId="4BD6AD0E">
      <w:pPr>
        <w:suppressLineNumbers w:val="false"/>
        <w:pBdr/>
        <w:spacing w:after="0" w:line="300" w:lineRule="auto"/>
        <w:ind w:hanging="720" w:left="720"/>
        <w:rPr/>
      </w:pPr>
      <w:r/>
      <w:r/>
    </w:p>
    <w:p w14:paraId="47100149" w14:textId="46032A44">
      <w:pPr>
        <w:suppressLineNumbers w:val="false"/>
        <w:pBdr/>
        <w:spacing w:line="300" w:lineRule="auto"/>
        <w:ind/>
        <w:jc w:val="center"/>
        <w:rPr/>
      </w:pPr>
      <w:r>
        <w:t xml:space="preserve">Bibliography</w:t>
      </w:r>
      <w:r/>
    </w:p>
    <w:p w14:paraId="0080B1A7" w14:textId="2FF5E79D">
      <w:pPr>
        <w:suppressLineNumbers w:val="false"/>
        <w:pBdr/>
        <w:spacing w:after="0" w:line="300" w:lineRule="auto"/>
        <w:ind w:hanging="720" w:left="720"/>
        <w:rPr/>
      </w:pPr>
      <w:r>
        <w:t xml:space="preserve">ar5iv. “Kvasir-VQA-X1: A Multimodal Dataset for Medical Reasoning and Robust </w:t>
      </w:r>
      <w:r>
        <w:t xml:space="preserve">MedVQA</w:t>
      </w:r>
      <w:r>
        <w:t xml:space="preserve"> in Gastrointestinal Endoscopy,” n.d. https://ar5iv.labs.arxiv.org/html/2506.09958v1.</w:t>
      </w:r>
      <w:r/>
    </w:p>
    <w:sectPr>
      <w:footerReference w:type="default" r:id="rId11"/>
      <w:footnotePr/>
      <w:endnotePr/>
      <w:type w:val="nextPage"/>
      <w:pgSz w:h="15840" w:orient="portrait" w:w="12240"/>
      <w:pgMar w:top="1260" w:right="1800" w:bottom="1440" w:left="180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11404E" w14:textId="77777777">
      <w:pPr>
        <w:pBdr/>
        <w:spacing w:after="0" w:line="240" w:lineRule="auto"/>
        <w:ind/>
        <w:rPr/>
      </w:pPr>
      <w:r>
        <w:separator/>
      </w:r>
      <w:r/>
    </w:p>
  </w:endnote>
  <w:endnote w:type="continuationSeparator" w:id="0">
    <w:p w14:paraId="1A64651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Lucida Grande">
    <w:panose1 w:val="05040102010807070707"/>
  </w:font>
  <w:font w:name="Cambria">
    <w:panose1 w:val="02040503050406030204"/>
  </w:font>
  <w:font w:name="Droid Sans Mono">
    <w:panose1 w:val="020B0609030804020204"/>
  </w:font>
  <w:font w:name="Segoe UI">
    <w:panose1 w:val="020B0502040504020204"/>
  </w:font>
  <w:font w:name="Verdana">
    <w:panose1 w:val="020B0502040504020204"/>
  </w:font>
  <w:font w:name="Calibri">
    <w:panose1 w:val="020F0502020204030204"/>
  </w:font>
  <w:font w:name="Times New Roman">
    <w:panose1 w:val="02020603050405020304"/>
  </w:font>
  <w:font w:name="Arial Narrow">
    <w:panose1 w:val="020B0606020202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62319671"/>
      <w:docPartObj>
        <w:docPartGallery w:val="Page Numbers (Bottom of Page)"/>
        <w:docPartUnique w:val="true"/>
      </w:docPartObj>
      <w:rPr/>
    </w:sdtPr>
    <w:sdtContent>
      <w:p w14:paraId="16187776" w14:textId="3644CB62">
        <w:pPr>
          <w:pStyle w:val="1074"/>
          <w:pBdr/>
          <w:spacing/>
          <w:ind/>
          <w:jc w:val="center"/>
          <w:rPr/>
        </w:pPr>
        <w:r>
          <w:fldChar w:fldCharType="begin"/>
        </w:r>
        <w:r>
          <w:instrText xml:space="preserve"> PAGE   \* MERGEFORMAT </w:instrText>
        </w:r>
        <w:r>
          <w:fldChar w:fldCharType="separate"/>
        </w:r>
        <w:r>
          <w:t xml:space="preserve">xii</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60471171"/>
      <w:docPartObj>
        <w:docPartGallery w:val="Page Numbers (Bottom of Page)"/>
        <w:docPartUnique w:val="true"/>
      </w:docPartObj>
      <w:rPr/>
    </w:sdtPr>
    <w:sdtContent>
      <w:p w14:paraId="18300694" w14:textId="4A11C4A4">
        <w:pPr>
          <w:pStyle w:val="1074"/>
          <w:pBdr/>
          <w:spacing/>
          <w:ind/>
          <w:jc w:val="center"/>
          <w:rPr/>
        </w:pPr>
        <w:r>
          <w:fldChar w:fldCharType="begin"/>
        </w:r>
        <w:r>
          <w:instrText xml:space="preserve"> PAGE   \* MERGEFORMAT </w:instrText>
        </w:r>
        <w:r>
          <w:fldChar w:fldCharType="separate"/>
        </w:r>
        <w:r>
          <w:t xml:space="preserve">3</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E7DA25D" w14:textId="77777777">
      <w:pPr>
        <w:pBdr/>
        <w:spacing w:after="0" w:line="240" w:lineRule="auto"/>
        <w:ind/>
        <w:rPr/>
      </w:pPr>
      <w:r>
        <w:separator/>
      </w:r>
      <w:r/>
    </w:p>
  </w:footnote>
  <w:footnote w:type="continuationSeparator" w:id="0">
    <w:p w14:paraId="6A701FC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0497A5">
    <w:pPr>
      <w:pStyle w:val="107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B4891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E62403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2F56B28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5F765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B9295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60B781A"/>
    <w:lvl w:ilvl="0">
      <w:isLgl w:val="false"/>
      <w:lvlJc w:val="left"/>
      <w:lvlText w:val="Chapter %1."/>
      <w:numFmt w:val="decimal"/>
      <w:pPr>
        <w:pBdr/>
        <w:spacing/>
        <w:ind w:firstLine="0" w:left="0"/>
      </w:pPr>
      <w:pStyle w:val="1043"/>
      <w:rPr>
        <w:rFonts w:hint="default"/>
      </w:rPr>
      <w:start w:val="1"/>
      <w:suff w:val="tab"/>
    </w:lvl>
    <w:lvl w:ilvl="1">
      <w:isLgl w:val="false"/>
      <w:lvlJc w:val="left"/>
      <w:lvlText w:val="%1.%2."/>
      <w:numFmt w:val="decimal"/>
      <w:pPr>
        <w:pBdr/>
        <w:spacing/>
        <w:ind w:firstLine="0" w:left="0"/>
      </w:pPr>
      <w:pStyle w:val="1044"/>
      <w:rPr>
        <w:rFonts w:hint="default"/>
      </w:rPr>
      <w:start w:val="1"/>
      <w:suff w:val="tab"/>
    </w:lvl>
    <w:lvl w:ilvl="2">
      <w:isLgl w:val="false"/>
      <w:lvlJc w:val="left"/>
      <w:lvlText w:val="%1.%2.%3."/>
      <w:numFmt w:val="decimal"/>
      <w:pPr>
        <w:pBdr/>
        <w:spacing/>
        <w:ind w:firstLine="0" w:left="0"/>
      </w:pPr>
      <w:pStyle w:val="1045"/>
      <w:rPr>
        <w:rFonts w:hint="default"/>
      </w:rPr>
      <w:start w:val="1"/>
      <w:suff w:val="tab"/>
    </w:lvl>
    <w:lvl w:ilvl="3">
      <w:isLgl w:val="false"/>
      <w:lvlJc w:val="left"/>
      <w:lvlText w:val=""/>
      <w:numFmt w:val="none"/>
      <w:pPr>
        <w:pBdr/>
        <w:spacing/>
        <w:ind w:firstLine="0" w:left="0"/>
      </w:pPr>
      <w:pStyle w:val="1046"/>
      <w:rPr>
        <w:rFonts w:hint="default"/>
      </w:rPr>
      <w:start w:val="1"/>
      <w:suff w:val="nothing"/>
    </w:lvl>
    <w:lvl w:ilvl="4">
      <w:isLgl w:val="false"/>
      <w:lvlJc w:val="left"/>
      <w:lvlText w:val=""/>
      <w:numFmt w:val="none"/>
      <w:pPr>
        <w:pBdr/>
        <w:spacing/>
        <w:ind w:firstLine="0" w:left="0"/>
      </w:pPr>
      <w:pStyle w:val="1047"/>
      <w:rPr>
        <w:rFonts w:hint="default"/>
      </w:rPr>
      <w:start w:val="1"/>
      <w:suff w:val="nothing"/>
    </w:lvl>
    <w:lvl w:ilvl="5">
      <w:isLgl w:val="false"/>
      <w:lvlJc w:val="left"/>
      <w:lvlText w:val=""/>
      <w:numFmt w:val="none"/>
      <w:pPr>
        <w:pBdr/>
        <w:spacing/>
        <w:ind w:firstLine="0" w:left="0"/>
      </w:pPr>
      <w:pStyle w:val="1048"/>
      <w:rPr>
        <w:rFonts w:hint="default"/>
      </w:rPr>
      <w:start w:val="1"/>
      <w:suff w:val="nothing"/>
    </w:lvl>
    <w:lvl w:ilvl="6">
      <w:isLgl w:val="false"/>
      <w:lvlJc w:val="left"/>
      <w:lvlText w:val=""/>
      <w:numFmt w:val="none"/>
      <w:pPr>
        <w:pBdr/>
        <w:spacing/>
        <w:ind w:firstLine="0" w:left="0"/>
      </w:pPr>
      <w:pStyle w:val="1049"/>
      <w:rPr>
        <w:rFonts w:hint="default"/>
      </w:rPr>
      <w:start w:val="1"/>
      <w:suff w:val="nothing"/>
    </w:lvl>
    <w:lvl w:ilvl="7">
      <w:isLgl w:val="false"/>
      <w:lvlJc w:val="left"/>
      <w:lvlText w:val=""/>
      <w:numFmt w:val="none"/>
      <w:pPr>
        <w:pBdr/>
        <w:spacing/>
        <w:ind w:firstLine="0" w:left="0"/>
      </w:pPr>
      <w:pStyle w:val="1050"/>
      <w:rPr>
        <w:rFonts w:hint="default"/>
      </w:rPr>
      <w:start w:val="1"/>
      <w:suff w:val="nothing"/>
    </w:lvl>
    <w:lvl w:ilvl="8">
      <w:isLgl w:val="false"/>
      <w:lvlJc w:val="left"/>
      <w:lvlText w:val=""/>
      <w:numFmt w:val="none"/>
      <w:pPr>
        <w:pBdr/>
        <w:spacing/>
        <w:ind w:firstLine="0" w:left="0"/>
      </w:pPr>
      <w:pStyle w:val="1051"/>
      <w:rPr>
        <w:rFonts w:hint="default"/>
      </w:rPr>
      <w:start w:val="1"/>
      <w:suff w:val="nothing"/>
    </w:lvl>
  </w:abstractNum>
  <w:abstractNum w:abstractNumId="6">
    <w:nsid w:val="39A3314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58B619B5"/>
    <w:lvl w:ilvl="0">
      <w:isLgl w:val="false"/>
      <w:lvlJc w:val="left"/>
      <w:lvlText w:val="•"/>
      <w:numFmt w:val="bullet"/>
      <w:pPr>
        <w:pBdr/>
        <w:spacing/>
        <w:ind w:hanging="360" w:left="1080"/>
      </w:pPr>
      <w:pStyle w:val="1096"/>
      <w:rPr>
        <w:rFonts w:hint="default" w:ascii="Arial" w:hAnsi="Arial" w:eastAsia="Times New Roman"/>
      </w:rPr>
      <w:start w:val="0"/>
      <w:suff w:val="tab"/>
    </w:lvl>
    <w:lvl w:ilvl="1">
      <w:isLgl w:val="false"/>
      <w:lvlJc w:val="left"/>
      <w:lvlText w:val="o"/>
      <w:numFmt w:val="bullet"/>
      <w:pPr>
        <w:pBdr/>
        <w:spacing/>
        <w:ind w:hanging="360" w:left="1800"/>
      </w:pPr>
      <w:rPr>
        <w:rFonts w:hint="default" w:ascii="Courier New" w:hAnsi="Courier New"/>
        <w:sz w:val="16"/>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64A6531D"/>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nsid w:val="6C0A4A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5BE7A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35C75E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21520B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8B5F69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C7AAA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AAD72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FE2A1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43B82C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1A549A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CD7AA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1B2777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405873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8245A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8345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2C5F9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A477A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4EC778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6B49E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6B684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6EDF94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0519F1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3A5207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C6784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85281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2F833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D532A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7244B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601838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C7E21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04A45C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67A47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05D7EE7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290824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36D0CB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40A9910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704122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56087AC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1899830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7CD9EC0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1A1F80E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319F42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2F315E7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1B8366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60C6BAA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05C06C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6DEA83C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17DB38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41781F9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333194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1DA019A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305E6BF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4669DEB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61962B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5C793B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28646EF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39A8418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4E93C9F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5BA33F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52EADC0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35D73D0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778F4A4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3">
    <w:nsid w:val="21E43B1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4">
    <w:nsid w:val="024257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0E8F3A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76BBF8F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66C1D92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8">
    <w:nsid w:val="360B781A"/>
    <w:lvl w:ilvl="0">
      <w:isLgl w:val="false"/>
      <w:lvlJc w:val="left"/>
      <w:lvlText w:val="Chapter %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
      <w:numFmt w:val="none"/>
      <w:pPr>
        <w:pBdr/>
        <w:spacing/>
        <w:ind w:firstLine="0" w:left="0"/>
      </w:pPr>
      <w:rPr>
        <w:rFonts w:hint="default"/>
      </w:rPr>
      <w:start w:val="1"/>
      <w:suff w:val="nothing"/>
    </w:lvl>
    <w:lvl w:ilvl="4">
      <w:isLgl w:val="false"/>
      <w:lvlJc w:val="left"/>
      <w:lvlText w:val=""/>
      <w:numFmt w:val="none"/>
      <w:pPr>
        <w:pBdr/>
        <w:spacing/>
        <w:ind w:firstLine="0" w:left="0"/>
      </w:pPr>
      <w:rPr>
        <w:rFonts w:hint="default"/>
      </w:rPr>
      <w:start w:val="1"/>
      <w:suff w:val="nothing"/>
    </w:lvl>
    <w:lvl w:ilvl="5">
      <w:isLgl w:val="false"/>
      <w:lvlJc w:val="left"/>
      <w:lvlText w:val=""/>
      <w:numFmt w:val="none"/>
      <w:pPr>
        <w:pBdr/>
        <w:spacing/>
        <w:ind w:firstLine="0" w:left="0"/>
      </w:pPr>
      <w:rPr>
        <w:rFonts w:hint="default"/>
      </w:rPr>
      <w:start w:val="1"/>
      <w:suff w:val="nothing"/>
    </w:lvl>
    <w:lvl w:ilvl="6">
      <w:isLgl w:val="false"/>
      <w:lvlJc w:val="left"/>
      <w:lvlText w:val=""/>
      <w:numFmt w:val="none"/>
      <w:pPr>
        <w:pBdr/>
        <w:spacing/>
        <w:ind w:firstLine="0" w:left="0"/>
      </w:pPr>
      <w:rPr>
        <w:rFonts w:hint="default"/>
      </w:rPr>
      <w:start w:val="1"/>
      <w:suff w:val="nothing"/>
    </w:lvl>
    <w:lvl w:ilvl="7">
      <w:isLgl w:val="false"/>
      <w:lvlJc w:val="left"/>
      <w:lvlText w:val=""/>
      <w:numFmt w:val="none"/>
      <w:pPr>
        <w:pBdr/>
        <w:spacing/>
        <w:ind w:firstLine="0" w:left="0"/>
      </w:pPr>
      <w:rPr>
        <w:rFonts w:hint="default"/>
      </w:rPr>
      <w:start w:val="1"/>
      <w:suff w:val="nothing"/>
    </w:lvl>
    <w:lvl w:ilvl="8">
      <w:isLgl w:val="false"/>
      <w:lvlJc w:val="left"/>
      <w:lvlText w:val=""/>
      <w:numFmt w:val="none"/>
      <w:pPr>
        <w:pBdr/>
        <w:spacing/>
        <w:ind w:firstLine="0" w:left="0"/>
      </w:pPr>
      <w:rPr>
        <w:rFonts w:hint="default"/>
      </w:rPr>
      <w:start w:val="1"/>
      <w:suff w:val="nothing"/>
    </w:lvl>
  </w:abstractNum>
  <w:abstractNum w:abstractNumId="79">
    <w:nsid w:val="7582E2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0">
    <w:nsid w:val="0036DC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1">
    <w:nsid w:val="196796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2">
    <w:nsid w:val="72EFC0A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3FD5ED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4">
    <w:nsid w:val="6C7349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1B49B6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6EF26E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608A77B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8">
    <w:nsid w:val="0B6BC47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9">
    <w:nsid w:val="73CF20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436D477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27862F9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2">
    <w:nsid w:val="288D761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2C4F6E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6"/>
  </w:num>
  <w:num w:numId="8">
    <w:abstractNumId w:val="8"/>
  </w:num>
  <w:num w:numId="9">
    <w:abstractNumId w:val="5"/>
  </w:num>
  <w:num w:numId="10">
    <w:abstractNumId w:val="7"/>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05">
    <w:name w:val="Table Grid Light"/>
    <w:basedOn w:val="10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Plain Table 1"/>
    <w:basedOn w:val="10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Plain Table 4"/>
    <w:basedOn w:val="10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Plain Table 5"/>
    <w:basedOn w:val="10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1 Light"/>
    <w:basedOn w:val="10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1 Light - Accent 1"/>
    <w:basedOn w:val="10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1 Light - Accent 2"/>
    <w:basedOn w:val="10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1 Light - Accent 3"/>
    <w:basedOn w:val="10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1 Light - Accent 4"/>
    <w:basedOn w:val="10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1 Light - Accent 5"/>
    <w:basedOn w:val="10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1 Light - Accent 6"/>
    <w:basedOn w:val="10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2"/>
    <w:basedOn w:val="10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2 - Accent 1"/>
    <w:basedOn w:val="10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2 - Accent 2"/>
    <w:basedOn w:val="10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2 - Accent 3"/>
    <w:basedOn w:val="10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2 - Accent 4"/>
    <w:basedOn w:val="10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2 - Accent 5"/>
    <w:basedOn w:val="10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2 - Accent 6"/>
    <w:basedOn w:val="10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3"/>
    <w:basedOn w:val="10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3 - Accent 1"/>
    <w:basedOn w:val="10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3 - Accent 2"/>
    <w:basedOn w:val="10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3 - Accent 3"/>
    <w:basedOn w:val="10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3 - Accent 4"/>
    <w:basedOn w:val="10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3 - Accent 5"/>
    <w:basedOn w:val="10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3 - Accent 6"/>
    <w:basedOn w:val="10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4"/>
    <w:basedOn w:val="10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4 - Accent 1"/>
    <w:basedOn w:val="10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4 - Accent 2"/>
    <w:basedOn w:val="10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4 - Accent 3"/>
    <w:basedOn w:val="10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4 - Accent 4"/>
    <w:basedOn w:val="10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4 - Accent 5"/>
    <w:basedOn w:val="10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4 - Accent 6"/>
    <w:basedOn w:val="10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5 Dark"/>
    <w:basedOn w:val="10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5 Dark- Accent 1"/>
    <w:basedOn w:val="10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5 Dark - Accent 2"/>
    <w:basedOn w:val="10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5 Dark - Accent 3"/>
    <w:basedOn w:val="10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5 Dark- Accent 4"/>
    <w:basedOn w:val="10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5 Dark - Accent 5"/>
    <w:basedOn w:val="10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5 Dark - Accent 6"/>
    <w:basedOn w:val="10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6 Colorful"/>
    <w:basedOn w:val="10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45">
    <w:name w:val="Grid Table 6 Colorful - Accent 1"/>
    <w:basedOn w:val="10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46">
    <w:name w:val="Grid Table 6 Colorful - Accent 2"/>
    <w:basedOn w:val="10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47">
    <w:name w:val="Grid Table 6 Colorful - Accent 3"/>
    <w:basedOn w:val="10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8">
    <w:name w:val="Grid Table 6 Colorful - Accent 4"/>
    <w:basedOn w:val="10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49">
    <w:name w:val="Grid Table 6 Colorful - Accent 5"/>
    <w:basedOn w:val="10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0">
    <w:name w:val="Grid Table 6 Colorful - Accent 6"/>
    <w:basedOn w:val="10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1">
    <w:name w:val="Grid Table 7 Colorful"/>
    <w:basedOn w:val="10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7 Colorful - Accent 1"/>
    <w:basedOn w:val="10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7 Colorful - Accent 2"/>
    <w:basedOn w:val="10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7 Colorful - Accent 3"/>
    <w:basedOn w:val="10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7 Colorful - Accent 4"/>
    <w:basedOn w:val="10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7 Colorful - Accent 5"/>
    <w:basedOn w:val="10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7 Colorful - Accent 6"/>
    <w:basedOn w:val="10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1 Light"/>
    <w:basedOn w:val="10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1 Light - Accent 1"/>
    <w:basedOn w:val="10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1 Light - Accent 2"/>
    <w:basedOn w:val="10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1 Light - Accent 3"/>
    <w:basedOn w:val="10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1 Light - Accent 4"/>
    <w:basedOn w:val="10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1 Light - Accent 5"/>
    <w:basedOn w:val="10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1 Light - Accent 6"/>
    <w:basedOn w:val="10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2"/>
    <w:basedOn w:val="10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2 - Accent 1"/>
    <w:basedOn w:val="10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2 - Accent 2"/>
    <w:basedOn w:val="10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2 - Accent 3"/>
    <w:basedOn w:val="10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2 - Accent 4"/>
    <w:basedOn w:val="10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2 - Accent 5"/>
    <w:basedOn w:val="10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2 - Accent 6"/>
    <w:basedOn w:val="10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3"/>
    <w:basedOn w:val="10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3 - Accent 1"/>
    <w:basedOn w:val="10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3 - Accent 2"/>
    <w:basedOn w:val="10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3 - Accent 3"/>
    <w:basedOn w:val="10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3 - Accent 4"/>
    <w:basedOn w:val="10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3 - Accent 5"/>
    <w:basedOn w:val="10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3 - Accent 6"/>
    <w:basedOn w:val="10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4"/>
    <w:basedOn w:val="10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4 - Accent 1"/>
    <w:basedOn w:val="10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4 - Accent 2"/>
    <w:basedOn w:val="10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4 - Accent 3"/>
    <w:basedOn w:val="10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4 - Accent 4"/>
    <w:basedOn w:val="10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4 - Accent 5"/>
    <w:basedOn w:val="10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4 - Accent 6"/>
    <w:basedOn w:val="10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5 Dark"/>
    <w:basedOn w:val="10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7">
    <w:name w:val="List Table 5 Dark - Accent 1"/>
    <w:basedOn w:val="10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8">
    <w:name w:val="List Table 5 Dark - Accent 2"/>
    <w:basedOn w:val="10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9">
    <w:name w:val="List Table 5 Dark - Accent 3"/>
    <w:basedOn w:val="10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0">
    <w:name w:val="List Table 5 Dark - Accent 4"/>
    <w:basedOn w:val="10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1">
    <w:name w:val="List Table 5 Dark - Accent 5"/>
    <w:basedOn w:val="10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2">
    <w:name w:val="List Table 5 Dark - Accent 6"/>
    <w:basedOn w:val="10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3">
    <w:name w:val="List Table 6 Colorful"/>
    <w:basedOn w:val="10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6 Colorful - Accent 1"/>
    <w:basedOn w:val="10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6 Colorful - Accent 2"/>
    <w:basedOn w:val="10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6 Colorful - Accent 3"/>
    <w:basedOn w:val="10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6 Colorful - Accent 4"/>
    <w:basedOn w:val="10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6 Colorful - Accent 5"/>
    <w:basedOn w:val="10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6 Colorful - Accent 6"/>
    <w:basedOn w:val="10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7 Colorful"/>
    <w:basedOn w:val="10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01">
    <w:name w:val="List Table 7 Colorful - Accent 1"/>
    <w:basedOn w:val="10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02">
    <w:name w:val="List Table 7 Colorful - Accent 2"/>
    <w:basedOn w:val="10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03">
    <w:name w:val="List Table 7 Colorful - Accent 3"/>
    <w:basedOn w:val="10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04">
    <w:name w:val="List Table 7 Colorful - Accent 4"/>
    <w:basedOn w:val="10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05">
    <w:name w:val="List Table 7 Colorful - Accent 5"/>
    <w:basedOn w:val="10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06">
    <w:name w:val="List Table 7 Colorful - Accent 6"/>
    <w:basedOn w:val="10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07">
    <w:name w:val="Lined - Accent"/>
    <w:basedOn w:val="10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ned - Accent 1"/>
    <w:basedOn w:val="10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ned - Accent 2"/>
    <w:basedOn w:val="10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ned - Accent 3"/>
    <w:basedOn w:val="10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ned - Accent 4"/>
    <w:basedOn w:val="10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ned - Accent 5"/>
    <w:basedOn w:val="10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ned - Accent 6"/>
    <w:basedOn w:val="10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Bordered &amp; Lined - Accent"/>
    <w:basedOn w:val="10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Bordered &amp; Lined - Accent 1"/>
    <w:basedOn w:val="10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Bordered &amp; Lined - Accent 2"/>
    <w:basedOn w:val="10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Bordered &amp; Lined - Accent 3"/>
    <w:basedOn w:val="10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Bordered &amp; Lined - Accent 4"/>
    <w:basedOn w:val="10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Bordered &amp; Lined - Accent 5"/>
    <w:basedOn w:val="10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Bordered &amp; Lined - Accent 6"/>
    <w:basedOn w:val="10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Bordered"/>
    <w:basedOn w:val="10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Bordered - Accent 1"/>
    <w:basedOn w:val="10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Bordered - Accent 2"/>
    <w:basedOn w:val="10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Bordered - Accent 3"/>
    <w:basedOn w:val="10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Bordered - Accent 4"/>
    <w:basedOn w:val="10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Bordered - Accent 5"/>
    <w:basedOn w:val="10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Bordered - Accent 6"/>
    <w:basedOn w:val="10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8">
    <w:name w:val="Title"/>
    <w:basedOn w:val="1042"/>
    <w:next w:val="1042"/>
    <w:link w:val="1029"/>
    <w:uiPriority w:val="10"/>
    <w:qFormat/>
    <w:pPr>
      <w:pBdr/>
      <w:spacing w:after="80" w:line="240" w:lineRule="auto"/>
      <w:ind/>
      <w:contextualSpacing w:val="true"/>
    </w:pPr>
    <w:rPr>
      <w:rFonts w:ascii="Arial" w:hAnsi="Arial" w:eastAsia="Arial" w:cs="Arial"/>
      <w:spacing w:val="-10"/>
      <w:sz w:val="56"/>
      <w:szCs w:val="56"/>
    </w:rPr>
  </w:style>
  <w:style w:type="character" w:styleId="1029">
    <w:name w:val="Title Char"/>
    <w:basedOn w:val="1052"/>
    <w:link w:val="1028"/>
    <w:uiPriority w:val="10"/>
    <w:pPr>
      <w:pBdr/>
      <w:spacing/>
      <w:ind/>
    </w:pPr>
    <w:rPr>
      <w:rFonts w:ascii="Arial" w:hAnsi="Arial" w:eastAsia="Arial" w:cs="Arial"/>
      <w:spacing w:val="-10"/>
      <w:sz w:val="56"/>
      <w:szCs w:val="56"/>
    </w:rPr>
  </w:style>
  <w:style w:type="paragraph" w:styleId="1030">
    <w:name w:val="Subtitle"/>
    <w:basedOn w:val="1042"/>
    <w:next w:val="1042"/>
    <w:link w:val="1031"/>
    <w:uiPriority w:val="11"/>
    <w:qFormat/>
    <w:pPr>
      <w:numPr>
        <w:ilvl w:val="1"/>
      </w:numPr>
      <w:pBdr/>
      <w:spacing/>
      <w:ind/>
    </w:pPr>
    <w:rPr>
      <w:color w:val="595959" w:themeColor="text1" w:themeTint="A6"/>
      <w:spacing w:val="15"/>
      <w:sz w:val="28"/>
      <w:szCs w:val="28"/>
    </w:rPr>
  </w:style>
  <w:style w:type="character" w:styleId="1031">
    <w:name w:val="Subtitle Char"/>
    <w:basedOn w:val="1052"/>
    <w:link w:val="1030"/>
    <w:uiPriority w:val="11"/>
    <w:pPr>
      <w:pBdr/>
      <w:spacing/>
      <w:ind/>
    </w:pPr>
    <w:rPr>
      <w:color w:val="595959" w:themeColor="text1" w:themeTint="A6"/>
      <w:spacing w:val="15"/>
      <w:sz w:val="28"/>
      <w:szCs w:val="28"/>
    </w:rPr>
  </w:style>
  <w:style w:type="paragraph" w:styleId="1032">
    <w:name w:val="Quote"/>
    <w:basedOn w:val="1042"/>
    <w:next w:val="1042"/>
    <w:link w:val="1033"/>
    <w:uiPriority w:val="29"/>
    <w:qFormat/>
    <w:pPr>
      <w:pBdr/>
      <w:spacing w:before="160"/>
      <w:ind/>
      <w:jc w:val="center"/>
    </w:pPr>
    <w:rPr>
      <w:i/>
      <w:iCs/>
      <w:color w:val="404040" w:themeColor="text1" w:themeTint="BF"/>
    </w:rPr>
  </w:style>
  <w:style w:type="character" w:styleId="1033">
    <w:name w:val="Quote Char"/>
    <w:basedOn w:val="1052"/>
    <w:link w:val="1032"/>
    <w:uiPriority w:val="29"/>
    <w:pPr>
      <w:pBdr/>
      <w:spacing/>
      <w:ind/>
    </w:pPr>
    <w:rPr>
      <w:i/>
      <w:iCs/>
      <w:color w:val="404040" w:themeColor="text1" w:themeTint="BF"/>
    </w:rPr>
  </w:style>
  <w:style w:type="character" w:styleId="1034">
    <w:name w:val="Intense Emphasis"/>
    <w:basedOn w:val="1052"/>
    <w:uiPriority w:val="21"/>
    <w:qFormat/>
    <w:pPr>
      <w:pBdr/>
      <w:spacing/>
      <w:ind/>
    </w:pPr>
    <w:rPr>
      <w:i/>
      <w:iCs/>
      <w:color w:val="0f4761" w:themeColor="accent1" w:themeShade="BF"/>
    </w:rPr>
  </w:style>
  <w:style w:type="paragraph" w:styleId="1035">
    <w:name w:val="Intense Quote"/>
    <w:basedOn w:val="1042"/>
    <w:next w:val="1042"/>
    <w:link w:val="10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36">
    <w:name w:val="Intense Quote Char"/>
    <w:basedOn w:val="1052"/>
    <w:link w:val="1035"/>
    <w:uiPriority w:val="30"/>
    <w:pPr>
      <w:pBdr/>
      <w:spacing/>
      <w:ind/>
    </w:pPr>
    <w:rPr>
      <w:i/>
      <w:iCs/>
      <w:color w:val="0f4761" w:themeColor="accent1" w:themeShade="BF"/>
    </w:rPr>
  </w:style>
  <w:style w:type="character" w:styleId="1037">
    <w:name w:val="Intense Reference"/>
    <w:basedOn w:val="1052"/>
    <w:uiPriority w:val="32"/>
    <w:qFormat/>
    <w:pPr>
      <w:pBdr/>
      <w:spacing/>
      <w:ind/>
    </w:pPr>
    <w:rPr>
      <w:b/>
      <w:bCs/>
      <w:smallCaps/>
      <w:color w:val="0f4761" w:themeColor="accent1" w:themeShade="BF"/>
      <w:spacing w:val="5"/>
    </w:rPr>
  </w:style>
  <w:style w:type="paragraph" w:styleId="1038">
    <w:name w:val="No Spacing"/>
    <w:basedOn w:val="1042"/>
    <w:uiPriority w:val="1"/>
    <w:qFormat/>
    <w:pPr>
      <w:pBdr/>
      <w:spacing w:after="0" w:line="240" w:lineRule="auto"/>
      <w:ind/>
    </w:pPr>
  </w:style>
  <w:style w:type="character" w:styleId="1039">
    <w:name w:val="Subtle Emphasis"/>
    <w:basedOn w:val="1052"/>
    <w:uiPriority w:val="19"/>
    <w:qFormat/>
    <w:pPr>
      <w:pBdr/>
      <w:spacing/>
      <w:ind/>
    </w:pPr>
    <w:rPr>
      <w:i/>
      <w:iCs/>
      <w:color w:val="404040" w:themeColor="text1" w:themeTint="BF"/>
    </w:rPr>
  </w:style>
  <w:style w:type="character" w:styleId="1040">
    <w:name w:val="Subtle Reference"/>
    <w:basedOn w:val="1052"/>
    <w:uiPriority w:val="31"/>
    <w:qFormat/>
    <w:pPr>
      <w:pBdr/>
      <w:spacing/>
      <w:ind/>
    </w:pPr>
    <w:rPr>
      <w:smallCaps/>
      <w:color w:val="5a5a5a" w:themeColor="text1" w:themeTint="A5"/>
    </w:rPr>
  </w:style>
  <w:style w:type="character" w:styleId="1041">
    <w:name w:val="Book Title"/>
    <w:basedOn w:val="1052"/>
    <w:uiPriority w:val="33"/>
    <w:qFormat/>
    <w:pPr>
      <w:pBdr/>
      <w:spacing/>
      <w:ind/>
    </w:pPr>
    <w:rPr>
      <w:b/>
      <w:bCs/>
      <w:i/>
      <w:iCs/>
      <w:spacing w:val="5"/>
    </w:rPr>
  </w:style>
  <w:style w:type="paragraph" w:styleId="1042" w:default="1">
    <w:name w:val="Normal"/>
    <w:qFormat/>
    <w:pPr>
      <w:pBdr/>
      <w:spacing w:after="240" w:line="360" w:lineRule="auto"/>
      <w:ind/>
    </w:pPr>
    <w:rPr>
      <w:rFonts w:ascii="Arial" w:hAnsi="Arial"/>
    </w:rPr>
  </w:style>
  <w:style w:type="paragraph" w:styleId="1043">
    <w:name w:val="Heading 1"/>
    <w:basedOn w:val="1057"/>
    <w:next w:val="1056"/>
    <w:link w:val="1061"/>
    <w:uiPriority w:val="9"/>
    <w:qFormat/>
    <w:pPr>
      <w:keepNext w:val="true"/>
      <w:keepLines w:val="true"/>
      <w:pageBreakBefore w:val="true"/>
      <w:numPr>
        <w:numId w:val="9"/>
      </w:numPr>
      <w:pBdr/>
      <w:spacing w:after="480" w:line="240" w:lineRule="auto"/>
      <w:ind/>
      <w:outlineLvl w:val="0"/>
    </w:pPr>
    <w:rPr>
      <w:rFonts w:eastAsiaTheme="majorEastAsia" w:cstheme="majorBidi"/>
      <w:b/>
      <w:color w:val="000000" w:themeColor="text1"/>
      <w:sz w:val="34"/>
      <w:szCs w:val="32"/>
    </w:rPr>
  </w:style>
  <w:style w:type="paragraph" w:styleId="1044">
    <w:name w:val="Heading 2"/>
    <w:basedOn w:val="1055"/>
    <w:next w:val="1056"/>
    <w:link w:val="1062"/>
    <w:uiPriority w:val="9"/>
    <w:unhideWhenUsed/>
    <w:qFormat/>
    <w:pPr>
      <w:keepNext w:val="true"/>
      <w:keepLines w:val="true"/>
      <w:numPr>
        <w:ilvl w:val="1"/>
        <w:numId w:val="9"/>
      </w:numPr>
      <w:pBdr/>
      <w:spacing w:after="360" w:before="360" w:line="240" w:lineRule="auto"/>
      <w:ind w:hanging="720" w:left="720"/>
      <w:outlineLvl w:val="1"/>
    </w:pPr>
    <w:rPr>
      <w:rFonts w:eastAsiaTheme="majorEastAsia" w:cstheme="majorBidi"/>
      <w:b/>
      <w:color w:val="000000" w:themeColor="text1"/>
      <w:sz w:val="30"/>
      <w:szCs w:val="26"/>
    </w:rPr>
  </w:style>
  <w:style w:type="paragraph" w:styleId="1045">
    <w:name w:val="Heading 3"/>
    <w:basedOn w:val="1042"/>
    <w:next w:val="1056"/>
    <w:link w:val="1066"/>
    <w:uiPriority w:val="9"/>
    <w:unhideWhenUsed/>
    <w:qFormat/>
    <w:pPr>
      <w:keepNext w:val="true"/>
      <w:keepLines w:val="true"/>
      <w:numPr>
        <w:ilvl w:val="2"/>
        <w:numId w:val="9"/>
      </w:numPr>
      <w:pBdr/>
      <w:spacing w:after="360" w:before="360" w:line="240" w:lineRule="auto"/>
      <w:ind w:hanging="720" w:left="720"/>
      <w:outlineLvl w:val="2"/>
    </w:pPr>
    <w:rPr>
      <w:rFonts w:eastAsiaTheme="majorEastAsia" w:cstheme="majorBidi"/>
      <w:b/>
      <w:color w:val="000000" w:themeColor="text1"/>
      <w:sz w:val="26"/>
      <w:szCs w:val="24"/>
      <w:lang w:val="en-CA"/>
    </w:rPr>
  </w:style>
  <w:style w:type="paragraph" w:styleId="1046">
    <w:name w:val="Heading 4"/>
    <w:basedOn w:val="1042"/>
    <w:next w:val="1056"/>
    <w:link w:val="1076"/>
    <w:uiPriority w:val="9"/>
    <w:unhideWhenUsed/>
    <w:qFormat/>
    <w:pPr>
      <w:keepNext w:val="true"/>
      <w:keepLines w:val="true"/>
      <w:numPr>
        <w:ilvl w:val="3"/>
        <w:numId w:val="9"/>
      </w:numPr>
      <w:pBdr/>
      <w:spacing w:line="240" w:lineRule="auto"/>
      <w:ind/>
      <w:outlineLvl w:val="3"/>
    </w:pPr>
    <w:rPr>
      <w:rFonts w:eastAsiaTheme="majorEastAsia" w:cstheme="majorBidi"/>
      <w:b/>
      <w:i/>
      <w:iCs/>
      <w:color w:val="000000" w:themeColor="text1"/>
      <w:sz w:val="24"/>
    </w:rPr>
  </w:style>
  <w:style w:type="paragraph" w:styleId="1047">
    <w:name w:val="Heading 5"/>
    <w:basedOn w:val="1042"/>
    <w:next w:val="1056"/>
    <w:link w:val="1077"/>
    <w:uiPriority w:val="9"/>
    <w:unhideWhenUsed/>
    <w:qFormat/>
    <w:pPr>
      <w:keepNext w:val="true"/>
      <w:keepLines w:val="true"/>
      <w:numPr>
        <w:ilvl w:val="4"/>
        <w:numId w:val="9"/>
      </w:numPr>
      <w:pBdr/>
      <w:spacing w:line="240" w:lineRule="auto"/>
      <w:ind/>
      <w:outlineLvl w:val="4"/>
    </w:pPr>
    <w:rPr>
      <w:rFonts w:eastAsiaTheme="majorEastAsia" w:cstheme="majorBidi"/>
      <w:b/>
      <w:color w:val="000000" w:themeColor="text1"/>
    </w:rPr>
  </w:style>
  <w:style w:type="paragraph" w:styleId="1048">
    <w:name w:val="Heading 6"/>
    <w:basedOn w:val="1042"/>
    <w:next w:val="1042"/>
    <w:link w:val="1082"/>
    <w:uiPriority w:val="9"/>
    <w:semiHidden/>
    <w:unhideWhenUsed/>
    <w:qFormat/>
    <w:pPr>
      <w:keepNext w:val="true"/>
      <w:keepLines w:val="true"/>
      <w:numPr>
        <w:ilvl w:val="5"/>
        <w:numId w:val="9"/>
      </w:numPr>
      <w:pBdr/>
      <w:spacing w:after="0" w:before="40"/>
      <w:ind/>
      <w:outlineLvl w:val="5"/>
    </w:pPr>
    <w:rPr>
      <w:rFonts w:asciiTheme="majorHAnsi" w:hAnsiTheme="majorHAnsi" w:eastAsiaTheme="majorEastAsia" w:cstheme="majorBidi"/>
      <w:color w:val="1f4d78" w:themeColor="accent1" w:themeShade="7F"/>
    </w:rPr>
  </w:style>
  <w:style w:type="paragraph" w:styleId="1049">
    <w:name w:val="Heading 7"/>
    <w:basedOn w:val="1042"/>
    <w:next w:val="1042"/>
    <w:link w:val="1083"/>
    <w:uiPriority w:val="9"/>
    <w:semiHidden/>
    <w:unhideWhenUsed/>
    <w:qFormat/>
    <w:pPr>
      <w:keepNext w:val="true"/>
      <w:keepLines w:val="true"/>
      <w:numPr>
        <w:ilvl w:val="6"/>
        <w:numId w:val="9"/>
      </w:numPr>
      <w:pBdr/>
      <w:spacing w:after="0" w:before="40"/>
      <w:ind/>
      <w:outlineLvl w:val="6"/>
    </w:pPr>
    <w:rPr>
      <w:rFonts w:asciiTheme="majorHAnsi" w:hAnsiTheme="majorHAnsi" w:eastAsiaTheme="majorEastAsia" w:cstheme="majorBidi"/>
      <w:i/>
      <w:iCs/>
      <w:color w:val="1f4d78" w:themeColor="accent1" w:themeShade="7F"/>
    </w:rPr>
  </w:style>
  <w:style w:type="paragraph" w:styleId="1050">
    <w:name w:val="Heading 8"/>
    <w:basedOn w:val="1042"/>
    <w:next w:val="1042"/>
    <w:link w:val="1084"/>
    <w:uiPriority w:val="9"/>
    <w:semiHidden/>
    <w:unhideWhenUsed/>
    <w:qFormat/>
    <w:pPr>
      <w:keepNext w:val="true"/>
      <w:keepLines w:val="true"/>
      <w:numPr>
        <w:ilvl w:val="7"/>
        <w:numId w:val="9"/>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1051">
    <w:name w:val="Heading 9"/>
    <w:basedOn w:val="1042"/>
    <w:next w:val="1042"/>
    <w:link w:val="1085"/>
    <w:uiPriority w:val="9"/>
    <w:semiHidden/>
    <w:unhideWhenUsed/>
    <w:qFormat/>
    <w:pPr>
      <w:keepNext w:val="true"/>
      <w:keepLines w:val="true"/>
      <w:numPr>
        <w:ilvl w:val="8"/>
        <w:numId w:val="9"/>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1052" w:default="1">
    <w:name w:val="Default Paragraph Font"/>
    <w:uiPriority w:val="1"/>
    <w:semiHidden/>
    <w:unhideWhenUsed/>
    <w:pPr>
      <w:pBdr/>
      <w:spacing/>
      <w:ind/>
    </w:pPr>
  </w:style>
  <w:style w:type="table" w:styleId="105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54" w:default="1">
    <w:name w:val="No List"/>
    <w:uiPriority w:val="99"/>
    <w:semiHidden/>
    <w:unhideWhenUsed/>
    <w:pPr>
      <w:pBdr/>
      <w:spacing/>
      <w:ind/>
    </w:pPr>
  </w:style>
  <w:style w:type="paragraph" w:styleId="1055" w:customStyle="1">
    <w:name w:val="1_Para_FlushLeft"/>
    <w:basedOn w:val="1042"/>
    <w:next w:val="1056"/>
    <w:qFormat/>
    <w:pPr>
      <w:pBdr/>
      <w:spacing w:before="120"/>
      <w:ind/>
    </w:pPr>
    <w:rPr>
      <w:lang w:val="en-CA"/>
    </w:rPr>
  </w:style>
  <w:style w:type="paragraph" w:styleId="1056" w:customStyle="1">
    <w:name w:val="1_Para"/>
    <w:basedOn w:val="1055"/>
    <w:qFormat/>
    <w:pPr>
      <w:pBdr/>
      <w:spacing/>
      <w:ind w:firstLine="720"/>
    </w:pPr>
  </w:style>
  <w:style w:type="paragraph" w:styleId="1057" w:customStyle="1">
    <w:name w:val="1_Para_HangingIndent"/>
    <w:basedOn w:val="1055"/>
    <w:next w:val="1056"/>
    <w:qFormat/>
    <w:pPr>
      <w:pBdr/>
      <w:spacing/>
      <w:ind w:hanging="720" w:left="720"/>
    </w:pPr>
  </w:style>
  <w:style w:type="paragraph" w:styleId="1058" w:customStyle="1">
    <w:name w:val="9_TitlePage_Title"/>
    <w:basedOn w:val="1042"/>
    <w:qFormat/>
    <w:pPr>
      <w:pBdr/>
      <w:spacing w:after="0" w:before="840"/>
      <w:ind/>
      <w:jc w:val="center"/>
    </w:pPr>
    <w:rPr>
      <w:b/>
      <w:sz w:val="34"/>
      <w:szCs w:val="34"/>
    </w:rPr>
  </w:style>
  <w:style w:type="character" w:styleId="1059">
    <w:name w:val="Emphasis"/>
    <w:basedOn w:val="1052"/>
    <w:uiPriority w:val="20"/>
    <w:qFormat/>
    <w:pPr>
      <w:pBdr/>
      <w:spacing/>
      <w:ind/>
    </w:pPr>
    <w:rPr>
      <w:i/>
      <w:iCs/>
    </w:rPr>
  </w:style>
  <w:style w:type="paragraph" w:styleId="1060" w:customStyle="1">
    <w:name w:val="9_TitlePage_Text"/>
    <w:basedOn w:val="1042"/>
    <w:next w:val="1056"/>
    <w:qFormat/>
    <w:pPr>
      <w:pBdr/>
      <w:spacing w:after="360" w:before="360"/>
      <w:ind/>
      <w:jc w:val="center"/>
    </w:pPr>
    <w:rPr>
      <w:sz w:val="24"/>
    </w:rPr>
  </w:style>
  <w:style w:type="character" w:styleId="1061" w:customStyle="1">
    <w:name w:val="Heading 1 Char"/>
    <w:basedOn w:val="1052"/>
    <w:link w:val="1043"/>
    <w:uiPriority w:val="9"/>
    <w:pPr>
      <w:pBdr/>
      <w:spacing/>
      <w:ind/>
    </w:pPr>
    <w:rPr>
      <w:rFonts w:ascii="Arial" w:hAnsi="Arial" w:eastAsiaTheme="majorEastAsia" w:cstheme="majorBidi"/>
      <w:b/>
      <w:color w:val="000000" w:themeColor="text1"/>
      <w:sz w:val="34"/>
      <w:szCs w:val="32"/>
      <w:lang w:val="en-CA"/>
    </w:rPr>
  </w:style>
  <w:style w:type="character" w:styleId="1062" w:customStyle="1">
    <w:name w:val="Heading 2 Char"/>
    <w:basedOn w:val="1052"/>
    <w:link w:val="1044"/>
    <w:uiPriority w:val="9"/>
    <w:pPr>
      <w:pBdr/>
      <w:spacing/>
      <w:ind/>
    </w:pPr>
    <w:rPr>
      <w:rFonts w:ascii="Arial" w:hAnsi="Arial" w:eastAsiaTheme="majorEastAsia" w:cstheme="majorBidi"/>
      <w:b/>
      <w:color w:val="000000" w:themeColor="text1"/>
      <w:sz w:val="30"/>
      <w:szCs w:val="26"/>
      <w:lang w:val="en-CA"/>
    </w:rPr>
  </w:style>
  <w:style w:type="paragraph" w:styleId="1063" w:customStyle="1">
    <w:name w:val="Heading 1_Preliminary"/>
    <w:basedOn w:val="1044"/>
    <w:next w:val="1056"/>
    <w:qFormat/>
    <w:pPr>
      <w:pageBreakBefore w:val="true"/>
      <w:numPr>
        <w:ilvl w:val="0"/>
        <w:numId w:val="0"/>
      </w:numPr>
      <w:pBdr/>
      <w:spacing w:before="120"/>
      <w:ind/>
    </w:pPr>
  </w:style>
  <w:style w:type="paragraph" w:styleId="1064" w:customStyle="1">
    <w:name w:val="Heading 1_NoNumber"/>
    <w:basedOn w:val="1055"/>
    <w:next w:val="1056"/>
    <w:qFormat/>
    <w:pPr>
      <w:pageBreakBefore w:val="true"/>
      <w:pBdr/>
      <w:spacing w:after="480" w:line="240" w:lineRule="auto"/>
      <w:ind/>
      <w:outlineLvl w:val="0"/>
    </w:pPr>
    <w:rPr>
      <w:b/>
      <w:sz w:val="34"/>
    </w:rPr>
  </w:style>
  <w:style w:type="paragraph" w:styleId="1065" w:customStyle="1">
    <w:name w:val="Heading 2_NoNumber"/>
    <w:basedOn w:val="1044"/>
    <w:next w:val="1056"/>
    <w:qFormat/>
    <w:pPr>
      <w:numPr>
        <w:ilvl w:val="0"/>
        <w:numId w:val="0"/>
      </w:numPr>
      <w:pBdr/>
      <w:spacing/>
      <w:ind/>
    </w:pPr>
  </w:style>
  <w:style w:type="character" w:styleId="1066" w:customStyle="1">
    <w:name w:val="Heading 3 Char"/>
    <w:basedOn w:val="1052"/>
    <w:link w:val="1045"/>
    <w:uiPriority w:val="9"/>
    <w:pPr>
      <w:pBdr/>
      <w:spacing/>
      <w:ind/>
    </w:pPr>
    <w:rPr>
      <w:rFonts w:ascii="Arial" w:hAnsi="Arial" w:eastAsiaTheme="majorEastAsia" w:cstheme="majorBidi"/>
      <w:b/>
      <w:color w:val="000000" w:themeColor="text1"/>
      <w:sz w:val="26"/>
      <w:szCs w:val="24"/>
      <w:lang w:val="en-CA"/>
    </w:rPr>
  </w:style>
  <w:style w:type="paragraph" w:styleId="1067" w:customStyle="1">
    <w:name w:val="Heading 3_NoNumber"/>
    <w:basedOn w:val="1045"/>
    <w:next w:val="1056"/>
    <w:qFormat/>
    <w:pPr>
      <w:numPr>
        <w:ilvl w:val="0"/>
        <w:numId w:val="0"/>
      </w:numPr>
      <w:pBdr/>
      <w:spacing/>
      <w:ind/>
    </w:pPr>
  </w:style>
  <w:style w:type="paragraph" w:styleId="1068">
    <w:name w:val="toc 2"/>
    <w:basedOn w:val="1042"/>
    <w:next w:val="1042"/>
    <w:uiPriority w:val="39"/>
    <w:unhideWhenUsed/>
    <w:qFormat/>
    <w:pPr>
      <w:pBdr/>
      <w:tabs>
        <w:tab w:val="left" w:leader="none" w:pos="605"/>
        <w:tab w:val="right" w:leader="dot" w:pos="8630"/>
      </w:tabs>
      <w:spacing w:after="0" w:before="40" w:line="240" w:lineRule="auto"/>
      <w:ind w:hanging="605" w:left="605"/>
    </w:pPr>
    <w:rPr>
      <w:bCs/>
      <w:szCs w:val="20"/>
    </w:rPr>
  </w:style>
  <w:style w:type="paragraph" w:styleId="1069">
    <w:name w:val="toc 1"/>
    <w:basedOn w:val="1042"/>
    <w:next w:val="1042"/>
    <w:uiPriority w:val="39"/>
    <w:unhideWhenUsed/>
    <w:qFormat/>
    <w:pPr>
      <w:pBdr/>
      <w:tabs>
        <w:tab w:val="right" w:leader="dot" w:pos="8630"/>
      </w:tabs>
      <w:spacing w:after="0" w:before="240" w:line="240" w:lineRule="auto"/>
      <w:ind w:hanging="605" w:left="605"/>
    </w:pPr>
    <w:rPr>
      <w:b/>
      <w:bCs/>
      <w:szCs w:val="24"/>
    </w:rPr>
  </w:style>
  <w:style w:type="paragraph" w:styleId="1070">
    <w:name w:val="toc 3"/>
    <w:basedOn w:val="1042"/>
    <w:next w:val="1042"/>
    <w:uiPriority w:val="39"/>
    <w:unhideWhenUsed/>
    <w:qFormat/>
    <w:pPr>
      <w:pBdr/>
      <w:spacing w:after="0" w:before="40" w:line="240" w:lineRule="auto"/>
      <w:ind w:hanging="835" w:left="1440"/>
    </w:pPr>
    <w:rPr>
      <w:szCs w:val="20"/>
    </w:rPr>
  </w:style>
  <w:style w:type="character" w:styleId="1071">
    <w:name w:val="Hyperlink"/>
    <w:basedOn w:val="1052"/>
    <w:uiPriority w:val="99"/>
    <w:unhideWhenUsed/>
    <w:pPr>
      <w:pBdr/>
      <w:spacing/>
      <w:ind/>
    </w:pPr>
    <w:rPr>
      <w:color w:val="0563c1" w:themeColor="hyperlink"/>
      <w:u w:val="single"/>
    </w:rPr>
  </w:style>
  <w:style w:type="paragraph" w:styleId="1072">
    <w:name w:val="Header"/>
    <w:basedOn w:val="1042"/>
    <w:link w:val="1073"/>
    <w:uiPriority w:val="99"/>
    <w:unhideWhenUsed/>
    <w:pPr>
      <w:pBdr/>
      <w:tabs>
        <w:tab w:val="center" w:leader="none" w:pos="4680"/>
        <w:tab w:val="right" w:leader="none" w:pos="9360"/>
      </w:tabs>
      <w:spacing w:after="0" w:line="240" w:lineRule="auto"/>
      <w:ind/>
    </w:pPr>
  </w:style>
  <w:style w:type="character" w:styleId="1073" w:customStyle="1">
    <w:name w:val="Header Char"/>
    <w:basedOn w:val="1052"/>
    <w:link w:val="1072"/>
    <w:uiPriority w:val="99"/>
    <w:pPr>
      <w:pBdr/>
      <w:spacing/>
      <w:ind/>
    </w:pPr>
    <w:rPr>
      <w:rFonts w:ascii="Arial" w:hAnsi="Arial"/>
    </w:rPr>
  </w:style>
  <w:style w:type="paragraph" w:styleId="1074">
    <w:name w:val="Footer"/>
    <w:basedOn w:val="1042"/>
    <w:link w:val="1075"/>
    <w:uiPriority w:val="99"/>
    <w:unhideWhenUsed/>
    <w:pPr>
      <w:pBdr/>
      <w:tabs>
        <w:tab w:val="center" w:leader="none" w:pos="4680"/>
        <w:tab w:val="right" w:leader="none" w:pos="9360"/>
      </w:tabs>
      <w:spacing w:after="0" w:line="240" w:lineRule="auto"/>
      <w:ind/>
    </w:pPr>
  </w:style>
  <w:style w:type="character" w:styleId="1075" w:customStyle="1">
    <w:name w:val="Footer Char"/>
    <w:basedOn w:val="1052"/>
    <w:link w:val="1074"/>
    <w:uiPriority w:val="99"/>
    <w:pPr>
      <w:pBdr/>
      <w:spacing/>
      <w:ind/>
    </w:pPr>
    <w:rPr>
      <w:rFonts w:ascii="Arial" w:hAnsi="Arial"/>
    </w:rPr>
  </w:style>
  <w:style w:type="character" w:styleId="1076" w:customStyle="1">
    <w:name w:val="Heading 4 Char"/>
    <w:basedOn w:val="1052"/>
    <w:link w:val="1046"/>
    <w:uiPriority w:val="9"/>
    <w:pPr>
      <w:pBdr/>
      <w:spacing/>
      <w:ind/>
    </w:pPr>
    <w:rPr>
      <w:rFonts w:ascii="Arial" w:hAnsi="Arial" w:eastAsiaTheme="majorEastAsia" w:cstheme="majorBidi"/>
      <w:b/>
      <w:i/>
      <w:iCs/>
      <w:color w:val="000000" w:themeColor="text1"/>
      <w:sz w:val="24"/>
    </w:rPr>
  </w:style>
  <w:style w:type="character" w:styleId="1077" w:customStyle="1">
    <w:name w:val="Heading 5 Char"/>
    <w:basedOn w:val="1052"/>
    <w:link w:val="1047"/>
    <w:uiPriority w:val="9"/>
    <w:pPr>
      <w:pBdr/>
      <w:spacing/>
      <w:ind/>
    </w:pPr>
    <w:rPr>
      <w:rFonts w:ascii="Arial" w:hAnsi="Arial" w:eastAsiaTheme="majorEastAsia" w:cstheme="majorBidi"/>
      <w:b/>
      <w:color w:val="000000" w:themeColor="text1"/>
    </w:rPr>
  </w:style>
  <w:style w:type="paragraph" w:styleId="1078">
    <w:name w:val="toc 4"/>
    <w:basedOn w:val="1042"/>
    <w:next w:val="1042"/>
    <w:uiPriority w:val="39"/>
    <w:unhideWhenUsed/>
    <w:pPr>
      <w:pBdr/>
      <w:tabs>
        <w:tab w:val="right" w:leader="dot" w:pos="8630"/>
      </w:tabs>
      <w:spacing w:after="0" w:before="40" w:line="240" w:lineRule="auto"/>
      <w:ind w:hanging="288" w:left="1728"/>
    </w:pPr>
    <w:rPr>
      <w:sz w:val="20"/>
      <w:szCs w:val="20"/>
    </w:rPr>
  </w:style>
  <w:style w:type="paragraph" w:styleId="1079" w:customStyle="1">
    <w:name w:val="3_Figure_NoCaptionOrNote"/>
    <w:basedOn w:val="1042"/>
    <w:next w:val="1056"/>
    <w:qFormat/>
    <w:pPr>
      <w:pBdr/>
      <w:spacing w:after="480" w:before="120" w:line="240" w:lineRule="auto"/>
      <w:ind/>
      <w:jc w:val="center"/>
    </w:pPr>
  </w:style>
  <w:style w:type="paragraph" w:styleId="1080" w:customStyle="1">
    <w:name w:val="3_CaptionAbove"/>
    <w:basedOn w:val="1042"/>
    <w:qFormat/>
    <w:pPr>
      <w:keepNext w:val="true"/>
      <w:keepLines w:val="true"/>
      <w:pBdr/>
      <w:spacing w:after="120" w:before="240" w:line="240" w:lineRule="auto"/>
      <w:ind w:hanging="1440" w:left="1440"/>
    </w:pPr>
    <w:rPr>
      <w:b/>
    </w:rPr>
  </w:style>
  <w:style w:type="paragraph" w:styleId="1081">
    <w:name w:val="table of figures"/>
    <w:basedOn w:val="1042"/>
    <w:next w:val="1042"/>
    <w:uiPriority w:val="99"/>
    <w:unhideWhenUsed/>
    <w:pPr>
      <w:pBdr/>
      <w:spacing w:after="0" w:before="80" w:line="240" w:lineRule="auto"/>
      <w:ind w:hanging="1440" w:left="1440"/>
    </w:pPr>
  </w:style>
  <w:style w:type="character" w:styleId="1082" w:customStyle="1">
    <w:name w:val="Heading 6 Char"/>
    <w:basedOn w:val="1052"/>
    <w:link w:val="1048"/>
    <w:uiPriority w:val="9"/>
    <w:semiHidden/>
    <w:pPr>
      <w:pBdr/>
      <w:spacing/>
      <w:ind/>
    </w:pPr>
    <w:rPr>
      <w:rFonts w:asciiTheme="majorHAnsi" w:hAnsiTheme="majorHAnsi" w:eastAsiaTheme="majorEastAsia" w:cstheme="majorBidi"/>
      <w:color w:val="1f4d78" w:themeColor="accent1" w:themeShade="7F"/>
    </w:rPr>
  </w:style>
  <w:style w:type="character" w:styleId="1083" w:customStyle="1">
    <w:name w:val="Heading 7 Char"/>
    <w:basedOn w:val="1052"/>
    <w:link w:val="1049"/>
    <w:uiPriority w:val="9"/>
    <w:semiHidden/>
    <w:pPr>
      <w:pBdr/>
      <w:spacing/>
      <w:ind/>
    </w:pPr>
    <w:rPr>
      <w:rFonts w:asciiTheme="majorHAnsi" w:hAnsiTheme="majorHAnsi" w:eastAsiaTheme="majorEastAsia" w:cstheme="majorBidi"/>
      <w:i/>
      <w:iCs/>
      <w:color w:val="1f4d78" w:themeColor="accent1" w:themeShade="7F"/>
    </w:rPr>
  </w:style>
  <w:style w:type="character" w:styleId="1084" w:customStyle="1">
    <w:name w:val="Heading 8 Char"/>
    <w:basedOn w:val="1052"/>
    <w:link w:val="1050"/>
    <w:uiPriority w:val="9"/>
    <w:semiHidden/>
    <w:pPr>
      <w:pBdr/>
      <w:spacing/>
      <w:ind/>
    </w:pPr>
    <w:rPr>
      <w:rFonts w:asciiTheme="majorHAnsi" w:hAnsiTheme="majorHAnsi" w:eastAsiaTheme="majorEastAsia" w:cstheme="majorBidi"/>
      <w:color w:val="272727" w:themeColor="text1" w:themeTint="D8"/>
      <w:sz w:val="21"/>
      <w:szCs w:val="21"/>
    </w:rPr>
  </w:style>
  <w:style w:type="character" w:styleId="1085" w:customStyle="1">
    <w:name w:val="Heading 9 Char"/>
    <w:basedOn w:val="1052"/>
    <w:link w:val="1051"/>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086" w:customStyle="1">
    <w:name w:val="2_BlockQuote"/>
    <w:basedOn w:val="1042"/>
    <w:next w:val="1056"/>
    <w:qFormat/>
    <w:pPr>
      <w:pBdr/>
      <w:spacing w:before="40" w:line="240" w:lineRule="auto"/>
      <w:ind w:right="720" w:left="720"/>
      <w:jc w:val="both"/>
    </w:pPr>
  </w:style>
  <w:style w:type="paragraph" w:styleId="1087" w:customStyle="1">
    <w:name w:val="3_CaptionBelow"/>
    <w:basedOn w:val="1080"/>
    <w:next w:val="1056"/>
    <w:qFormat/>
    <w:pPr>
      <w:keepNext w:val="false"/>
      <w:pBdr/>
      <w:spacing w:after="360" w:before="120"/>
      <w:ind/>
    </w:pPr>
  </w:style>
  <w:style w:type="paragraph" w:styleId="1088" w:customStyle="1">
    <w:name w:val="3_TableData"/>
    <w:basedOn w:val="1042"/>
    <w:qFormat/>
    <w:pPr>
      <w:keepLines w:val="true"/>
      <w:pBdr/>
      <w:spacing w:after="20" w:before="20" w:line="240" w:lineRule="auto"/>
      <w:ind/>
    </w:pPr>
    <w:rPr>
      <w:rFonts w:ascii="Arial Narrow" w:hAnsi="Arial Narrow"/>
    </w:rPr>
  </w:style>
  <w:style w:type="paragraph" w:styleId="1089" w:customStyle="1">
    <w:name w:val="1_Para_NoSpace"/>
    <w:basedOn w:val="1055"/>
    <w:next w:val="1056"/>
    <w:qFormat/>
    <w:pPr>
      <w:pBdr/>
      <w:spacing w:after="40" w:line="240" w:lineRule="auto"/>
      <w:ind/>
    </w:pPr>
    <w:rPr>
      <w:rFonts w:eastAsia="Calibri" w:cs="Arial"/>
    </w:rPr>
  </w:style>
  <w:style w:type="paragraph" w:styleId="1090" w:customStyle="1">
    <w:name w:val="3_TableHeading_Column"/>
    <w:basedOn w:val="1088"/>
    <w:qFormat/>
    <w:pPr>
      <w:pBdr/>
      <w:spacing w:after="80" w:before="80"/>
      <w:ind/>
    </w:pPr>
    <w:rPr>
      <w:b/>
    </w:rPr>
  </w:style>
  <w:style w:type="paragraph" w:styleId="1091" w:customStyle="1">
    <w:name w:val="2_ParticipantQuote"/>
    <w:basedOn w:val="1086"/>
    <w:qFormat/>
    <w:pPr>
      <w:pBdr/>
      <w:spacing/>
      <w:ind/>
    </w:pPr>
    <w:rPr>
      <w:rFonts w:ascii="Verdana" w:hAnsi="Verdana"/>
      <w:iCs/>
      <w:color w:val="000000" w:themeColor="text1"/>
      <w:sz w:val="20"/>
    </w:rPr>
  </w:style>
  <w:style w:type="paragraph" w:styleId="1092" w:customStyle="1">
    <w:name w:val="2_QuestionAnswer"/>
    <w:basedOn w:val="1086"/>
    <w:next w:val="1056"/>
    <w:qFormat/>
    <w:pPr>
      <w:pBdr/>
      <w:spacing/>
      <w:ind w:hanging="864" w:left="1584"/>
    </w:pPr>
    <w:rPr>
      <w:rFonts w:ascii="Verdana" w:hAnsi="Verdana"/>
      <w:sz w:val="20"/>
    </w:rPr>
  </w:style>
  <w:style w:type="paragraph" w:styleId="1093" w:customStyle="1">
    <w:name w:val="3_Figure"/>
    <w:basedOn w:val="1079"/>
    <w:next w:val="1087"/>
    <w:qFormat/>
    <w:pPr>
      <w:keepNext w:val="true"/>
      <w:keepLines w:val="true"/>
      <w:pBdr/>
      <w:spacing w:after="0"/>
      <w:ind/>
    </w:pPr>
  </w:style>
  <w:style w:type="paragraph" w:styleId="1094" w:customStyle="1">
    <w:name w:val="2_Epigraph"/>
    <w:basedOn w:val="1086"/>
    <w:qFormat/>
    <w:pPr>
      <w:pBdr/>
      <w:spacing/>
      <w:ind/>
      <w:jc w:val="left"/>
    </w:pPr>
    <w:rPr>
      <w:i/>
    </w:rPr>
  </w:style>
  <w:style w:type="paragraph" w:styleId="1095" w:customStyle="1">
    <w:name w:val="2_List_ManualNumbering"/>
    <w:basedOn w:val="1042"/>
    <w:uiPriority w:val="99"/>
    <w:pPr>
      <w:pBdr/>
      <w:tabs>
        <w:tab w:val="left" w:leader="none" w:pos="1080"/>
        <w:tab w:val="right" w:leader="none" w:pos="7920"/>
      </w:tabs>
      <w:spacing w:before="120" w:line="240" w:lineRule="auto"/>
      <w:ind w:right="720" w:hanging="360" w:left="1080"/>
    </w:pPr>
    <w:rPr>
      <w:rFonts w:eastAsia="Calibri" w:cs="Arial"/>
      <w:lang w:val="en-CA"/>
    </w:rPr>
  </w:style>
  <w:style w:type="paragraph" w:styleId="1096" w:customStyle="1">
    <w:name w:val="2_Bullet"/>
    <w:basedOn w:val="1042"/>
    <w:uiPriority w:val="99"/>
    <w:pPr>
      <w:numPr>
        <w:numId w:val="10"/>
      </w:numPr>
      <w:pBdr/>
      <w:tabs>
        <w:tab w:val="left" w:leader="none" w:pos="990"/>
        <w:tab w:val="right" w:leader="none" w:pos="8640"/>
      </w:tabs>
      <w:spacing w:before="120" w:line="240" w:lineRule="auto"/>
      <w:ind w:hanging="274" w:left="994"/>
    </w:pPr>
    <w:rPr>
      <w:rFonts w:eastAsia="Calibri" w:cs="Arial"/>
      <w:lang w:val="en-CA"/>
    </w:rPr>
  </w:style>
  <w:style w:type="paragraph" w:styleId="1097" w:customStyle="1">
    <w:name w:val="2_Poem"/>
    <w:basedOn w:val="1042"/>
    <w:qFormat/>
    <w:pPr>
      <w:pBdr/>
      <w:tabs>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right" w:leader="none" w:pos="7920"/>
      </w:tabs>
      <w:spacing w:line="240" w:lineRule="auto"/>
      <w:ind w:left="720"/>
    </w:pPr>
    <w:rPr>
      <w:rFonts w:eastAsia="Calibri" w:cs="Arial"/>
    </w:rPr>
  </w:style>
  <w:style w:type="paragraph" w:styleId="1098" w:customStyle="1">
    <w:name w:val="3_CaptionBelow_withNote"/>
    <w:basedOn w:val="1087"/>
    <w:next w:val="1101"/>
    <w:qFormat/>
    <w:pPr>
      <w:keepNext w:val="true"/>
      <w:pBdr/>
      <w:spacing w:after="0"/>
      <w:ind/>
    </w:pPr>
  </w:style>
  <w:style w:type="paragraph" w:styleId="1099" w:customStyle="1">
    <w:name w:val="3_TableData_Centre"/>
    <w:basedOn w:val="1088"/>
    <w:qFormat/>
    <w:pPr>
      <w:pBdr/>
      <w:spacing/>
      <w:ind/>
      <w:jc w:val="center"/>
    </w:pPr>
  </w:style>
  <w:style w:type="paragraph" w:styleId="1100" w:customStyle="1">
    <w:name w:val="3_TableData_Right"/>
    <w:basedOn w:val="1088"/>
    <w:qFormat/>
    <w:pPr>
      <w:pBdr/>
      <w:spacing/>
      <w:ind/>
      <w:jc w:val="right"/>
    </w:pPr>
  </w:style>
  <w:style w:type="paragraph" w:styleId="1101" w:customStyle="1">
    <w:name w:val="3_FigureNote"/>
    <w:basedOn w:val="1042"/>
    <w:next w:val="1056"/>
    <w:qFormat/>
    <w:pPr>
      <w:pBdr/>
      <w:spacing w:after="360" w:line="240" w:lineRule="auto"/>
      <w:ind/>
    </w:pPr>
    <w:rPr>
      <w:sz w:val="20"/>
    </w:rPr>
  </w:style>
  <w:style w:type="paragraph" w:styleId="1102" w:customStyle="1">
    <w:name w:val="5_Ref"/>
    <w:basedOn w:val="1042"/>
    <w:uiPriority w:val="99"/>
    <w:pPr>
      <w:keepLines w:val="true"/>
      <w:pBdr/>
      <w:spacing w:after="120" w:before="300" w:line="240" w:lineRule="auto"/>
      <w:ind w:hanging="720" w:left="720"/>
    </w:pPr>
    <w:rPr>
      <w:rFonts w:eastAsia="Calibri" w:cs="Arial"/>
      <w:lang w:val="en-CA"/>
    </w:rPr>
  </w:style>
  <w:style w:type="paragraph" w:styleId="1103" w:customStyle="1">
    <w:name w:val="3_TableNote"/>
    <w:basedOn w:val="1042"/>
    <w:qFormat/>
    <w:pPr>
      <w:pBdr/>
      <w:spacing w:after="360" w:before="40" w:line="240" w:lineRule="auto"/>
      <w:ind/>
    </w:pPr>
    <w:rPr>
      <w:rFonts w:ascii="Arial Narrow" w:hAnsi="Arial Narrow"/>
      <w:sz w:val="20"/>
    </w:rPr>
  </w:style>
  <w:style w:type="paragraph" w:styleId="1104" w:customStyle="1">
    <w:name w:val="5_Ref_AmerAntiq_Author"/>
    <w:basedOn w:val="1042"/>
    <w:next w:val="1105"/>
    <w:qFormat/>
    <w:pPr>
      <w:keepNext w:val="true"/>
      <w:keepLines w:val="true"/>
      <w:pBdr/>
      <w:spacing w:after="0" w:before="300" w:line="240" w:lineRule="auto"/>
      <w:ind/>
    </w:pPr>
    <w:rPr>
      <w:rFonts w:eastAsia="Calibri" w:cs="Arial"/>
      <w:lang w:val="en-CA"/>
    </w:rPr>
  </w:style>
  <w:style w:type="paragraph" w:styleId="1105" w:customStyle="1">
    <w:name w:val="5_Ref_AmerAntiq_Work"/>
    <w:basedOn w:val="1104"/>
    <w:qFormat/>
    <w:pPr>
      <w:keepNext w:val="false"/>
      <w:pBdr/>
      <w:tabs>
        <w:tab w:val="left" w:leader="none" w:pos="1080"/>
      </w:tabs>
      <w:spacing w:before="0"/>
      <w:ind w:hanging="360" w:left="720"/>
    </w:pPr>
  </w:style>
  <w:style w:type="character" w:styleId="1106">
    <w:name w:val="annotation reference"/>
    <w:basedOn w:val="1052"/>
    <w:uiPriority w:val="99"/>
    <w:semiHidden/>
    <w:unhideWhenUsed/>
    <w:pPr>
      <w:pBdr/>
      <w:spacing/>
      <w:ind/>
    </w:pPr>
    <w:rPr>
      <w:sz w:val="16"/>
      <w:szCs w:val="16"/>
    </w:rPr>
  </w:style>
  <w:style w:type="paragraph" w:styleId="1107">
    <w:name w:val="annotation text"/>
    <w:basedOn w:val="1042"/>
    <w:link w:val="1108"/>
    <w:uiPriority w:val="99"/>
    <w:semiHidden/>
    <w:unhideWhenUsed/>
    <w:pPr>
      <w:pBdr/>
      <w:spacing w:line="240" w:lineRule="auto"/>
      <w:ind/>
    </w:pPr>
    <w:rPr>
      <w:sz w:val="20"/>
      <w:szCs w:val="20"/>
    </w:rPr>
  </w:style>
  <w:style w:type="character" w:styleId="1108" w:customStyle="1">
    <w:name w:val="Comment Text Char"/>
    <w:basedOn w:val="1052"/>
    <w:link w:val="1107"/>
    <w:uiPriority w:val="99"/>
    <w:semiHidden/>
    <w:pPr>
      <w:pBdr/>
      <w:spacing/>
      <w:ind/>
    </w:pPr>
    <w:rPr>
      <w:rFonts w:ascii="Arial" w:hAnsi="Arial"/>
      <w:sz w:val="20"/>
      <w:szCs w:val="20"/>
    </w:rPr>
  </w:style>
  <w:style w:type="paragraph" w:styleId="1109">
    <w:name w:val="annotation subject"/>
    <w:basedOn w:val="1107"/>
    <w:next w:val="1107"/>
    <w:link w:val="1110"/>
    <w:uiPriority w:val="99"/>
    <w:semiHidden/>
    <w:unhideWhenUsed/>
    <w:pPr>
      <w:pBdr/>
      <w:spacing/>
      <w:ind/>
    </w:pPr>
    <w:rPr>
      <w:b/>
      <w:bCs/>
    </w:rPr>
  </w:style>
  <w:style w:type="character" w:styleId="1110" w:customStyle="1">
    <w:name w:val="Comment Subject Char"/>
    <w:basedOn w:val="1108"/>
    <w:link w:val="1109"/>
    <w:uiPriority w:val="99"/>
    <w:semiHidden/>
    <w:pPr>
      <w:pBdr/>
      <w:spacing/>
      <w:ind/>
    </w:pPr>
    <w:rPr>
      <w:rFonts w:ascii="Arial" w:hAnsi="Arial"/>
      <w:b/>
      <w:bCs/>
      <w:sz w:val="20"/>
      <w:szCs w:val="20"/>
    </w:rPr>
  </w:style>
  <w:style w:type="paragraph" w:styleId="1111">
    <w:name w:val="Balloon Text"/>
    <w:basedOn w:val="1042"/>
    <w:link w:val="1112"/>
    <w:uiPriority w:val="99"/>
    <w:semiHidden/>
    <w:unhideWhenUsed/>
    <w:pPr>
      <w:pBdr/>
      <w:spacing w:after="0" w:line="240" w:lineRule="auto"/>
      <w:ind/>
    </w:pPr>
    <w:rPr>
      <w:rFonts w:ascii="Segoe UI" w:hAnsi="Segoe UI" w:cs="Segoe UI"/>
      <w:sz w:val="18"/>
      <w:szCs w:val="18"/>
    </w:rPr>
  </w:style>
  <w:style w:type="character" w:styleId="1112" w:customStyle="1">
    <w:name w:val="Balloon Text Char"/>
    <w:basedOn w:val="1052"/>
    <w:link w:val="1111"/>
    <w:uiPriority w:val="99"/>
    <w:semiHidden/>
    <w:pPr>
      <w:pBdr/>
      <w:spacing/>
      <w:ind/>
    </w:pPr>
    <w:rPr>
      <w:rFonts w:ascii="Segoe UI" w:hAnsi="Segoe UI" w:cs="Segoe UI"/>
      <w:sz w:val="18"/>
      <w:szCs w:val="18"/>
    </w:rPr>
  </w:style>
  <w:style w:type="table" w:styleId="1113">
    <w:name w:val="Table Grid"/>
    <w:basedOn w:val="105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4">
    <w:name w:val="Caption"/>
    <w:basedOn w:val="1042"/>
    <w:next w:val="1042"/>
    <w:uiPriority w:val="35"/>
    <w:unhideWhenUsed/>
    <w:qFormat/>
    <w:pPr>
      <w:pBdr/>
      <w:spacing w:after="200" w:line="240" w:lineRule="auto"/>
      <w:ind/>
    </w:pPr>
    <w:rPr>
      <w:i/>
      <w:iCs/>
      <w:color w:val="44546a" w:themeColor="text2"/>
      <w:sz w:val="18"/>
      <w:szCs w:val="18"/>
    </w:rPr>
  </w:style>
  <w:style w:type="numbering" w:styleId="1115" w:customStyle="1">
    <w:name w:val="No List1"/>
    <w:next w:val="1054"/>
    <w:uiPriority w:val="99"/>
    <w:semiHidden/>
    <w:unhideWhenUsed/>
    <w:pPr>
      <w:pBdr/>
      <w:spacing/>
      <w:ind/>
    </w:pPr>
  </w:style>
  <w:style w:type="paragraph" w:styleId="1116">
    <w:name w:val="List Paragraph"/>
    <w:basedOn w:val="1042"/>
    <w:uiPriority w:val="34"/>
    <w:qFormat/>
    <w:pPr>
      <w:pBdr/>
      <w:spacing w:after="100" w:before="100" w:line="240" w:lineRule="auto"/>
      <w:ind w:left="720"/>
      <w:contextualSpacing w:val="true"/>
      <w:jc w:val="both"/>
    </w:pPr>
    <w:rPr>
      <w:rFonts w:ascii="Calibri" w:hAnsi="Calibri"/>
    </w:rPr>
  </w:style>
  <w:style w:type="paragraph" w:styleId="1117" w:customStyle="1">
    <w:name w:val="Default"/>
    <w:pPr>
      <w:pBdr/>
      <w:spacing w:after="0" w:before="100" w:line="240" w:lineRule="auto"/>
      <w:ind/>
      <w:jc w:val="both"/>
    </w:pPr>
    <w:rPr>
      <w:rFonts w:ascii="Arial" w:hAnsi="Arial" w:cs="Arial"/>
      <w:color w:val="000000"/>
      <w:sz w:val="24"/>
      <w:szCs w:val="24"/>
    </w:rPr>
  </w:style>
  <w:style w:type="paragraph" w:styleId="1118">
    <w:name w:val="Normal (Web)"/>
    <w:basedOn w:val="1042"/>
    <w:uiPriority w:val="99"/>
    <w:unhideWhenUsed/>
    <w:pPr>
      <w:pBdr/>
      <w:spacing w:after="100" w:afterAutospacing="1" w:before="100" w:beforeAutospacing="1" w:line="240" w:lineRule="auto"/>
      <w:ind/>
      <w:jc w:val="both"/>
    </w:pPr>
    <w:rPr>
      <w:rFonts w:ascii="Times New Roman" w:hAnsi="Times New Roman" w:eastAsia="Times New Roman" w:cs="Times New Roman"/>
      <w:sz w:val="24"/>
      <w:szCs w:val="24"/>
    </w:rPr>
  </w:style>
  <w:style w:type="character" w:styleId="1119">
    <w:name w:val="Placeholder Text"/>
    <w:basedOn w:val="1052"/>
    <w:uiPriority w:val="99"/>
    <w:semiHidden/>
    <w:pPr>
      <w:pBdr/>
      <w:spacing/>
      <w:ind/>
    </w:pPr>
    <w:rPr>
      <w:color w:val="808080"/>
    </w:rPr>
  </w:style>
  <w:style w:type="paragraph" w:styleId="1120">
    <w:name w:val="TOC Heading"/>
    <w:basedOn w:val="1043"/>
    <w:next w:val="1042"/>
    <w:uiPriority w:val="39"/>
    <w:unhideWhenUsed/>
    <w:qFormat/>
    <w:pPr>
      <w:pageBreakBefore w:val="false"/>
      <w:numPr>
        <w:numId w:val="0"/>
      </w:numPr>
      <w:pBdr/>
      <w:spacing w:after="0" w:line="276" w:lineRule="auto"/>
      <w:ind/>
      <w:outlineLvl w:val="9"/>
    </w:pPr>
    <w:rPr>
      <w:rFonts w:ascii="Cambria" w:hAnsi="Cambria"/>
      <w:bCs/>
      <w:color w:val="365f91"/>
      <w:sz w:val="28"/>
      <w:szCs w:val="28"/>
      <w:lang w:val="en-US" w:eastAsia="ja-JP"/>
    </w:rPr>
  </w:style>
  <w:style w:type="character" w:styleId="1121" w:customStyle="1">
    <w:name w:val="FollowedHyperlink1"/>
    <w:basedOn w:val="1052"/>
    <w:uiPriority w:val="99"/>
    <w:semiHidden/>
    <w:unhideWhenUsed/>
    <w:pPr>
      <w:pBdr/>
      <w:spacing/>
      <w:ind/>
    </w:pPr>
    <w:rPr>
      <w:color w:val="800080"/>
      <w:u w:val="single"/>
    </w:rPr>
  </w:style>
  <w:style w:type="paragraph" w:styleId="1122">
    <w:name w:val="endnote text"/>
    <w:basedOn w:val="1042"/>
    <w:link w:val="1123"/>
    <w:uiPriority w:val="99"/>
    <w:unhideWhenUsed/>
    <w:pPr>
      <w:pBdr/>
      <w:spacing w:after="0" w:before="100" w:line="240" w:lineRule="auto"/>
      <w:ind/>
      <w:jc w:val="both"/>
    </w:pPr>
    <w:rPr>
      <w:rFonts w:ascii="Calibri" w:hAnsi="Calibri"/>
      <w:sz w:val="20"/>
      <w:szCs w:val="20"/>
    </w:rPr>
  </w:style>
  <w:style w:type="character" w:styleId="1123" w:customStyle="1">
    <w:name w:val="Endnote Text Char"/>
    <w:basedOn w:val="1052"/>
    <w:link w:val="1122"/>
    <w:uiPriority w:val="99"/>
    <w:pPr>
      <w:pBdr/>
      <w:spacing/>
      <w:ind/>
    </w:pPr>
    <w:rPr>
      <w:rFonts w:ascii="Calibri" w:hAnsi="Calibri"/>
      <w:sz w:val="20"/>
      <w:szCs w:val="20"/>
    </w:rPr>
  </w:style>
  <w:style w:type="character" w:styleId="1124">
    <w:name w:val="endnote reference"/>
    <w:basedOn w:val="1052"/>
    <w:uiPriority w:val="99"/>
    <w:semiHidden/>
    <w:unhideWhenUsed/>
    <w:pPr>
      <w:pBdr/>
      <w:spacing/>
      <w:ind/>
    </w:pPr>
    <w:rPr>
      <w:vertAlign w:val="superscript"/>
    </w:rPr>
  </w:style>
  <w:style w:type="paragraph" w:styleId="1125">
    <w:name w:val="footnote text"/>
    <w:basedOn w:val="1042"/>
    <w:link w:val="1126"/>
    <w:uiPriority w:val="99"/>
    <w:unhideWhenUsed/>
    <w:pPr>
      <w:pBdr/>
      <w:spacing w:after="0" w:before="100" w:line="240" w:lineRule="auto"/>
      <w:ind/>
    </w:pPr>
    <w:rPr>
      <w:sz w:val="20"/>
      <w:szCs w:val="20"/>
    </w:rPr>
  </w:style>
  <w:style w:type="character" w:styleId="1126" w:customStyle="1">
    <w:name w:val="Footnote Text Char"/>
    <w:basedOn w:val="1052"/>
    <w:link w:val="1125"/>
    <w:uiPriority w:val="99"/>
    <w:pPr>
      <w:pBdr/>
      <w:spacing/>
      <w:ind/>
    </w:pPr>
    <w:rPr>
      <w:rFonts w:ascii="Arial" w:hAnsi="Arial"/>
      <w:sz w:val="20"/>
      <w:szCs w:val="20"/>
    </w:rPr>
  </w:style>
  <w:style w:type="character" w:styleId="1127">
    <w:name w:val="footnote reference"/>
    <w:basedOn w:val="1052"/>
    <w:uiPriority w:val="99"/>
    <w:semiHidden/>
    <w:unhideWhenUsed/>
    <w:pPr>
      <w:pBdr/>
      <w:spacing/>
      <w:ind/>
    </w:pPr>
    <w:rPr>
      <w:vertAlign w:val="superscript"/>
    </w:rPr>
  </w:style>
  <w:style w:type="character" w:styleId="1128">
    <w:name w:val="Strong"/>
    <w:basedOn w:val="1052"/>
    <w:uiPriority w:val="22"/>
    <w:qFormat/>
    <w:pPr>
      <w:pBdr/>
      <w:spacing/>
      <w:ind/>
    </w:pPr>
    <w:rPr>
      <w:b/>
      <w:bCs/>
      <w:sz w:val="24"/>
      <w:szCs w:val="24"/>
      <w:vertAlign w:val="baseline"/>
    </w:rPr>
  </w:style>
  <w:style w:type="character" w:styleId="1129">
    <w:name w:val="FollowedHyperlink"/>
    <w:basedOn w:val="1052"/>
    <w:uiPriority w:val="99"/>
    <w:semiHidden/>
    <w:unhideWhenUsed/>
    <w:pPr>
      <w:pBdr/>
      <w:spacing/>
      <w:ind/>
    </w:pPr>
    <w:rPr>
      <w:color w:val="954f72" w:themeColor="followedHyperlink"/>
      <w:u w:val="single"/>
    </w:rPr>
  </w:style>
  <w:style w:type="paragraph" w:styleId="1130">
    <w:name w:val="Body Text 2"/>
    <w:basedOn w:val="1042"/>
    <w:link w:val="1131"/>
    <w:uiPriority w:val="99"/>
    <w:unhideWhenUsed/>
    <w:pPr>
      <w:pBdr/>
      <w:spacing w:after="120" w:line="480" w:lineRule="auto"/>
      <w:ind/>
    </w:pPr>
  </w:style>
  <w:style w:type="character" w:styleId="1131" w:customStyle="1">
    <w:name w:val="Body Text 2 Char"/>
    <w:basedOn w:val="1052"/>
    <w:link w:val="1130"/>
    <w:uiPriority w:val="99"/>
    <w:pPr>
      <w:pBdr/>
      <w:spacing/>
      <w:ind/>
    </w:pPr>
    <w:rPr>
      <w:rFonts w:ascii="Arial" w:hAnsi="Arial"/>
    </w:rPr>
  </w:style>
  <w:style w:type="paragraph" w:styleId="1132">
    <w:name w:val="toc 5"/>
    <w:basedOn w:val="1042"/>
    <w:next w:val="1042"/>
    <w:uiPriority w:val="39"/>
    <w:unhideWhenUsed/>
    <w:pPr>
      <w:pBdr/>
      <w:spacing w:after="0" w:before="40" w:line="240" w:lineRule="auto"/>
      <w:ind w:left="662"/>
    </w:pPr>
    <w:rPr>
      <w:szCs w:val="20"/>
    </w:rPr>
  </w:style>
  <w:style w:type="paragraph" w:styleId="1133">
    <w:name w:val="toc 6"/>
    <w:basedOn w:val="1042"/>
    <w:next w:val="1042"/>
    <w:uiPriority w:val="39"/>
    <w:unhideWhenUsed/>
    <w:pPr>
      <w:pBdr/>
      <w:spacing w:after="0"/>
      <w:ind w:left="880"/>
    </w:pPr>
    <w:rPr>
      <w:rFonts w:asciiTheme="minorHAnsi" w:hAnsiTheme="minorHAnsi"/>
      <w:sz w:val="20"/>
      <w:szCs w:val="20"/>
    </w:rPr>
  </w:style>
  <w:style w:type="paragraph" w:styleId="1134">
    <w:name w:val="toc 7"/>
    <w:basedOn w:val="1042"/>
    <w:next w:val="1042"/>
    <w:uiPriority w:val="39"/>
    <w:unhideWhenUsed/>
    <w:pPr>
      <w:pBdr/>
      <w:spacing w:after="0"/>
      <w:ind w:left="1100"/>
    </w:pPr>
    <w:rPr>
      <w:rFonts w:asciiTheme="minorHAnsi" w:hAnsiTheme="minorHAnsi"/>
      <w:sz w:val="20"/>
      <w:szCs w:val="20"/>
    </w:rPr>
  </w:style>
  <w:style w:type="paragraph" w:styleId="1135">
    <w:name w:val="toc 8"/>
    <w:basedOn w:val="1042"/>
    <w:next w:val="1042"/>
    <w:uiPriority w:val="39"/>
    <w:unhideWhenUsed/>
    <w:pPr>
      <w:pBdr/>
      <w:spacing w:after="0"/>
      <w:ind w:left="1320"/>
    </w:pPr>
    <w:rPr>
      <w:rFonts w:asciiTheme="minorHAnsi" w:hAnsiTheme="minorHAnsi"/>
      <w:sz w:val="20"/>
      <w:szCs w:val="20"/>
    </w:rPr>
  </w:style>
  <w:style w:type="paragraph" w:styleId="1136">
    <w:name w:val="toc 9"/>
    <w:basedOn w:val="1042"/>
    <w:next w:val="1042"/>
    <w:uiPriority w:val="39"/>
    <w:unhideWhenUsed/>
    <w:pPr>
      <w:pBdr/>
      <w:spacing w:after="0"/>
      <w:ind w:left="1540"/>
    </w:pPr>
    <w:rPr>
      <w:rFonts w:asciiTheme="minorHAnsi" w:hAnsiTheme="minorHAnsi"/>
      <w:sz w:val="20"/>
      <w:szCs w:val="20"/>
    </w:rPr>
  </w:style>
  <w:style w:type="paragraph" w:styleId="1137" w:customStyle="1">
    <w:name w:val="Reference"/>
    <w:basedOn w:val="1138"/>
    <w:pPr>
      <w:keepNext w:val="true"/>
      <w:pBdr/>
      <w:tabs>
        <w:tab w:val="right" w:leader="none" w:pos="8640"/>
      </w:tabs>
      <w:spacing w:after="0" w:line="480" w:lineRule="auto"/>
      <w:ind w:hanging="720" w:left="720"/>
    </w:pPr>
    <w:rPr>
      <w:rFonts w:ascii="Times New Roman" w:hAnsi="Times New Roman" w:eastAsia="Times New Roman" w:cs="Times New Roman"/>
      <w:sz w:val="24"/>
      <w:szCs w:val="24"/>
    </w:rPr>
  </w:style>
  <w:style w:type="paragraph" w:styleId="1138">
    <w:name w:val="Body Text"/>
    <w:basedOn w:val="1042"/>
    <w:link w:val="1139"/>
    <w:uiPriority w:val="99"/>
    <w:semiHidden/>
    <w:unhideWhenUsed/>
    <w:pPr>
      <w:pBdr/>
      <w:spacing w:after="120"/>
      <w:ind/>
    </w:pPr>
  </w:style>
  <w:style w:type="character" w:styleId="1139" w:customStyle="1">
    <w:name w:val="Body Text Char"/>
    <w:basedOn w:val="1052"/>
    <w:link w:val="1138"/>
    <w:uiPriority w:val="99"/>
    <w:semiHidden/>
    <w:pPr>
      <w:pBdr/>
      <w:spacing/>
      <w:ind/>
    </w:pPr>
    <w:rPr>
      <w:rFonts w:ascii="Arial" w:hAnsi="Arial"/>
    </w:rPr>
  </w:style>
  <w:style w:type="paragraph" w:styleId="1140">
    <w:name w:val="Document Map"/>
    <w:basedOn w:val="1042"/>
    <w:link w:val="1141"/>
    <w:uiPriority w:val="99"/>
    <w:semiHidden/>
    <w:unhideWhenUsed/>
    <w:pPr>
      <w:pBdr/>
      <w:spacing w:after="0" w:line="240" w:lineRule="auto"/>
      <w:ind/>
    </w:pPr>
    <w:rPr>
      <w:rFonts w:ascii="Lucida Grande" w:hAnsi="Lucida Grande" w:cs="Lucida Grande"/>
      <w:sz w:val="24"/>
      <w:szCs w:val="24"/>
    </w:rPr>
  </w:style>
  <w:style w:type="character" w:styleId="1141" w:customStyle="1">
    <w:name w:val="Document Map Char"/>
    <w:basedOn w:val="1052"/>
    <w:link w:val="1140"/>
    <w:uiPriority w:val="99"/>
    <w:semiHidden/>
    <w:pPr>
      <w:pBdr/>
      <w:spacing/>
      <w:ind/>
    </w:pPr>
    <w:rPr>
      <w:rFonts w:ascii="Lucida Grande" w:hAnsi="Lucida Grande" w:cs="Lucida Grande"/>
      <w:sz w:val="24"/>
      <w:szCs w:val="24"/>
    </w:rPr>
  </w:style>
  <w:style w:type="table" w:styleId="1142">
    <w:name w:val="Grid Table 4 Accent 1"/>
    <w:basedOn w:val="1053"/>
    <w:uiPriority w:val="49"/>
    <w:pPr>
      <w:pBdr/>
      <w:spacing w:after="0" w:line="240" w:lineRule="auto"/>
      <w:ind/>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cPr>
      <w:tcBorders/>
    </w:tcPr>
    <w:tblStylePr w:type="band1Horz">
      <w:pPr>
        <w:pBdr/>
        <w:spacing/>
        <w:ind/>
      </w:pPr>
      <w:tblPr>
        <w:tblBorders/>
      </w:tblPr>
      <w:tcPr>
        <w:shd w:val="clear" w:color="auto" w:fill="deeaf6" w:themeFill="accent1" w:themeFillTint="33"/>
        <w:tcBorders/>
      </w:tcPr>
    </w:tblStylePr>
    <w:tblStylePr w:type="band1Vert">
      <w:pPr>
        <w:pBdr/>
        <w:spacing/>
        <w:ind/>
      </w:pPr>
      <w:tblPr>
        <w:tblBorders/>
      </w:tblPr>
      <w:tcPr>
        <w:shd w:val="clear" w:color="auto" w:fill="deeaf6"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1"/>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Plain Table 3"/>
    <w:basedOn w:val="1053"/>
    <w:uiPriority w:val="43"/>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Plain Table 2"/>
    <w:basedOn w:val="1053"/>
    <w:uiPriority w:val="4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yperlink" Target="https://doi.org/10.3390/app15062983." TargetMode="External"/><Relationship Id="rId33" Type="http://schemas.openxmlformats.org/officeDocument/2006/relationships/hyperlink" Target="https://arxiv.org/abs/2305.10415."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10</cp:revision>
  <dcterms:modified xsi:type="dcterms:W3CDTF">2026-03-06T22:42:43Z</dcterms:modified>
</cp:coreProperties>
</file>