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FCA5883" w14:textId="412F20B9">
      <w:pPr>
        <w:pStyle w:val="776"/>
        <w:suppressLineNumbers w:val="false"/>
        <w:pBdr/>
        <w:spacing w:line="300" w:lineRule="auto"/>
        <w:ind/>
        <w:rPr/>
      </w:pPr>
      <w:r>
        <w:t xml:space="preserve">                                                                                                                                                                        </w:t>
      </w:r>
      <w:r>
        <w:t xml:space="preserve">Generative AI Based on Medical Visual Question Answering (VQA) Techniques</w:t>
      </w:r>
      <w:r/>
    </w:p>
    <w:p w14:paraId="13CB27D0" w14:textId="50B9AC34">
      <w:pPr>
        <w:pStyle w:val="778"/>
        <w:suppressLineNumbers w:val="false"/>
        <w:pBdr/>
        <w:spacing w:line="300" w:lineRule="auto"/>
        <w:ind/>
        <w:rPr>
          <w:b/>
        </w:rPr>
      </w:pPr>
      <w:r>
        <w:rPr>
          <w:b/>
          <w:bCs/>
        </w:rPr>
        <w:t xml:space="preserve">by</w:t>
      </w:r>
      <w:r>
        <w:br/>
      </w:r>
      <w:r>
        <w:rPr>
          <w:b/>
          <w:bCs/>
        </w:rPr>
        <w:t xml:space="preserve">[</w:t>
      </w:r>
      <w:r>
        <w:rPr>
          <w:b/>
          <w:bCs/>
        </w:rPr>
        <w:t xml:space="preserve">Sarthak Kaushik</w:t>
      </w:r>
      <w:r>
        <w:rPr>
          <w:b/>
          <w:bCs/>
        </w:rPr>
        <w:t xml:space="preserve">]</w:t>
      </w:r>
      <w:r>
        <w:rPr>
          <w:b/>
        </w:rPr>
      </w:r>
    </w:p>
    <w:p w14:paraId="333A2FAA" w14:textId="50D887F3">
      <w:pPr>
        <w:pStyle w:val="778"/>
        <w:suppressLineNumbers w:val="false"/>
        <w:pBdr/>
        <w:spacing w:line="300" w:lineRule="auto"/>
        <w:ind/>
        <w:rPr/>
      </w:pPr>
      <w:r>
        <w:t xml:space="preserve">Thesis</w:t>
      </w:r>
      <w:r>
        <w:t xml:space="preserve"> </w:t>
      </w:r>
      <w:r>
        <w:t xml:space="preserve">Submitted in Partial Fulfillment of the</w:t>
      </w:r>
      <w:r>
        <w:br/>
      </w:r>
      <w:r>
        <w:t xml:space="preserve">Requirements for the Degree of</w:t>
      </w:r>
      <w:r>
        <w:br/>
      </w:r>
      <w:r>
        <w:t xml:space="preserve">Master of</w:t>
      </w:r>
      <w:r>
        <w:t xml:space="preserve"> Computer Science</w:t>
      </w:r>
      <w:r/>
    </w:p>
    <w:p w14:paraId="5A436014" w14:textId="2AE8244C">
      <w:pPr>
        <w:pStyle w:val="778"/>
        <w:suppressLineNumbers w:val="false"/>
        <w:pBdr/>
        <w:spacing w:line="300" w:lineRule="auto"/>
        <w:ind/>
        <w:rPr/>
      </w:pPr>
      <w:r>
        <w:t xml:space="preserve">i</w:t>
      </w:r>
      <w:r>
        <w:t xml:space="preserve">n the</w:t>
      </w:r>
      <w:r>
        <w:br/>
      </w:r>
      <w:r>
        <w:t xml:space="preserve">[</w:t>
      </w:r>
      <w:r>
        <w:t xml:space="preserve">Department of</w:t>
      </w:r>
      <w:r>
        <w:t xml:space="preserve"> Computer Science</w:t>
      </w:r>
      <w:r>
        <w:t xml:space="preserve">]</w:t>
      </w:r>
      <w:r>
        <w:br/>
      </w:r>
      <w:r>
        <w:t xml:space="preserve">[</w:t>
      </w:r>
      <w:r>
        <w:t xml:space="preserve">Faculty o</w:t>
      </w:r>
      <w:r>
        <w:t xml:space="preserve">f Computer Science</w:t>
      </w:r>
      <w:r>
        <w:t xml:space="preserve">]</w:t>
      </w:r>
      <w:r/>
    </w:p>
    <w:p w14:paraId="65C9B881" w14:textId="77777777">
      <w:pPr>
        <w:pStyle w:val="778"/>
        <w:suppressLineNumbers w:val="false"/>
        <w:pBdr/>
        <w:spacing w:line="300" w:lineRule="auto"/>
        <w:ind/>
        <w:rPr/>
      </w:pPr>
      <w:r/>
      <w:r/>
    </w:p>
    <w:p w14:paraId="06B81385" w14:textId="16F92474">
      <w:pPr>
        <w:pStyle w:val="778"/>
        <w:suppressLineNumbers w:val="false"/>
        <w:pBdr/>
        <w:spacing w:line="300" w:lineRule="auto"/>
        <w:ind/>
        <w:rPr/>
      </w:pPr>
      <w:r>
        <w:rPr>
          <w:rFonts w:cs="Arial"/>
        </w:rPr>
        <w:t xml:space="preserve">©</w:t>
      </w:r>
      <w:r>
        <w:t xml:space="preserve"> </w:t>
      </w:r>
      <w:r>
        <w:t xml:space="preserve">[</w:t>
      </w:r>
      <w:r>
        <w:t xml:space="preserve">Sarthak Kaushik</w:t>
      </w:r>
      <w:r>
        <w:t xml:space="preserve">]</w:t>
      </w:r>
      <w:r>
        <w:t xml:space="preserve"> </w:t>
      </w:r>
      <w:r>
        <w:t xml:space="preserve">2025</w:t>
      </w:r>
      <w:r>
        <w:br/>
      </w:r>
      <w:r>
        <w:t xml:space="preserve">LAKEHEAD</w:t>
      </w:r>
      <w:r>
        <w:t xml:space="preserve"> </w:t>
      </w:r>
      <w:r>
        <w:t xml:space="preserve">UNIVERSITY</w:t>
      </w:r>
      <w:r>
        <w:br/>
      </w:r>
      <w:r>
        <w:t xml:space="preserve">[</w:t>
      </w:r>
      <w:r>
        <w:t xml:space="preserve">April 2026</w:t>
      </w:r>
      <w:r>
        <w:t xml:space="preserve">]</w:t>
      </w:r>
      <w:r/>
    </w:p>
    <w:p w14:paraId="2DBEFD46" w14:textId="77777777">
      <w:pPr>
        <w:pStyle w:val="778"/>
        <w:suppressLineNumbers w:val="false"/>
        <w:pBdr/>
        <w:spacing w:line="300" w:lineRule="auto"/>
        <w:ind/>
        <w:rPr/>
      </w:pPr>
      <w:r/>
      <w:r/>
    </w:p>
    <w:p w14:paraId="38105075" w14:textId="77777777">
      <w:pPr>
        <w:pStyle w:val="773"/>
        <w:suppressLineNumbers w:val="false"/>
        <w:pBdr/>
        <w:spacing w:line="300" w:lineRule="auto"/>
        <w:ind/>
        <w:jc w:val="center"/>
        <w:rPr/>
      </w:pPr>
      <w:r/>
      <w:r/>
    </w:p>
    <w:p w14:paraId="1307437E" w14:textId="36D59F4F">
      <w:pPr>
        <w:pStyle w:val="778"/>
        <w:suppressLineNumbers w:val="false"/>
        <w:pBdr/>
        <w:spacing w:line="300" w:lineRule="auto"/>
        <w:ind/>
        <w:rPr>
          <w:sz w:val="20"/>
          <w:szCs w:val="20"/>
        </w:rPr>
      </w:pPr>
      <w:r>
        <w:rPr>
          <w:sz w:val="20"/>
          <w:szCs w:val="20"/>
        </w:rPr>
        <w:t xml:space="preserve">Copyright in this work is held by the author. Please ensure that any reproduction </w:t>
      </w:r>
      <w:r>
        <w:br/>
      </w:r>
      <w:r>
        <w:rPr>
          <w:sz w:val="20"/>
          <w:szCs w:val="20"/>
        </w:rPr>
        <w:t xml:space="preserve">or re-use is done in accordance with the relevant national copyright legislation.</w:t>
      </w:r>
      <w:r>
        <w:rPr>
          <w:sz w:val="20"/>
          <w:szCs w:val="20"/>
        </w:rPr>
      </w:r>
    </w:p>
    <w:p w14:paraId="4BD48C77" w14:textId="34A41D00">
      <w:pPr>
        <w:pStyle w:val="781"/>
        <w:suppressLineNumbers w:val="false"/>
        <w:pBdr/>
        <w:spacing w:line="300" w:lineRule="auto"/>
        <w:ind/>
        <w:rPr/>
      </w:pPr>
      <w:r/>
      <w:r/>
    </w:p>
    <w:p w14:paraId="228480A5" w14:textId="77777777">
      <w:pPr>
        <w:pStyle w:val="781"/>
        <w:suppressLineNumbers w:val="false"/>
        <w:pBdr/>
        <w:spacing w:line="300" w:lineRule="auto"/>
        <w:ind/>
        <w:rPr/>
      </w:pPr>
      <w:r/>
      <w:bookmarkStart w:id="0" w:name="_Toc66285129"/>
      <w:r>
        <w:t xml:space="preserve">Declaration of Committee</w:t>
      </w:r>
      <w:bookmarkEnd w:id="0"/>
      <w:r/>
      <w:r/>
    </w:p>
    <w:tbl>
      <w:tblPr>
        <w:tblStyle w:val="831"/>
        <w:tblW w:w="0" w:type="auto"/>
        <w:tblCellMar>
          <w:left w:w="115" w:type="dxa"/>
          <w:top w:w="29" w:type="dxa"/>
          <w:right w:w="115" w:type="dxa"/>
          <w:bottom w:w="29"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96"/>
        <w:gridCol w:w="866"/>
        <w:gridCol w:w="4578"/>
      </w:tblGrid>
      <w:tr>
        <w:trPr/>
        <w:tc>
          <w:tcPr>
            <w:tcBorders/>
            <w:tcW w:w="3196" w:type="dxa"/>
            <w:textDirection w:val="lrTb"/>
            <w:noWrap w:val="false"/>
          </w:tcPr>
          <w:p w14:paraId="5048088A" w14:textId="77777777">
            <w:pPr>
              <w:pStyle w:val="807"/>
              <w:suppressLineNumbers w:val="false"/>
              <w:pBdr/>
              <w:spacing w:line="300" w:lineRule="auto"/>
              <w:ind/>
              <w:rPr>
                <w:b/>
              </w:rPr>
            </w:pPr>
            <w:r>
              <w:rPr>
                <w:b/>
              </w:rPr>
              <w:t xml:space="preserve">Name:</w:t>
            </w:r>
            <w:r>
              <w:rPr>
                <w:b/>
              </w:rPr>
            </w:r>
          </w:p>
        </w:tc>
        <w:tc>
          <w:tcPr>
            <w:gridSpan w:val="2"/>
            <w:tcBorders/>
            <w:tcW w:w="5444" w:type="dxa"/>
            <w:textDirection w:val="lrTb"/>
            <w:noWrap w:val="false"/>
          </w:tcPr>
          <w:p w14:paraId="767C84B9" w14:textId="511737C0">
            <w:pPr>
              <w:pStyle w:val="807"/>
              <w:suppressLineNumbers w:val="false"/>
              <w:pBdr/>
              <w:spacing w:line="300" w:lineRule="auto"/>
              <w:ind/>
              <w:rPr>
                <w:b/>
                <w:bCs/>
              </w:rPr>
            </w:pPr>
            <w:r>
              <w:rPr>
                <w:b/>
                <w:bCs/>
              </w:rPr>
              <w:t xml:space="preserve">Sarthak Kaushi</w:t>
            </w:r>
            <w:r>
              <w:rPr>
                <w:b/>
                <w:bCs/>
              </w:rPr>
              <w:t xml:space="preserve">k</w:t>
            </w:r>
            <w:r>
              <w:rPr>
                <w:b/>
                <w:bCs/>
              </w:rPr>
            </w:r>
          </w:p>
        </w:tc>
      </w:tr>
      <w:tr>
        <w:trPr/>
        <w:tc>
          <w:tcPr>
            <w:tcBorders/>
            <w:tcW w:w="3196" w:type="dxa"/>
            <w:textDirection w:val="lrTb"/>
            <w:noWrap w:val="false"/>
          </w:tcPr>
          <w:p w14:paraId="762AE02A" w14:textId="77777777">
            <w:pPr>
              <w:pStyle w:val="807"/>
              <w:suppressLineNumbers w:val="false"/>
              <w:pBdr/>
              <w:spacing w:line="300" w:lineRule="auto"/>
              <w:ind/>
              <w:rPr>
                <w:b/>
              </w:rPr>
            </w:pPr>
            <w:r>
              <w:rPr>
                <w:b/>
              </w:rPr>
              <w:t xml:space="preserve">Degree:</w:t>
            </w:r>
            <w:r>
              <w:rPr>
                <w:b/>
              </w:rPr>
            </w:r>
          </w:p>
        </w:tc>
        <w:tc>
          <w:tcPr>
            <w:gridSpan w:val="2"/>
            <w:tcBorders/>
            <w:tcW w:w="5444" w:type="dxa"/>
            <w:textDirection w:val="lrTb"/>
            <w:noWrap w:val="false"/>
          </w:tcPr>
          <w:p w14:paraId="65E69B80" w14:textId="7A01887E">
            <w:pPr>
              <w:pStyle w:val="807"/>
              <w:suppressLineNumbers w:val="false"/>
              <w:pBdr/>
              <w:spacing w:line="300" w:lineRule="auto"/>
              <w:ind/>
              <w:rPr>
                <w:b/>
              </w:rPr>
            </w:pPr>
            <w:r>
              <w:rPr>
                <w:b/>
              </w:rPr>
              <w:t xml:space="preserve">Master of </w:t>
            </w:r>
            <w:r>
              <w:rPr>
                <w:b/>
              </w:rPr>
              <w:t xml:space="preserve">Computer Science</w:t>
            </w:r>
            <w:r>
              <w:rPr>
                <w:b/>
              </w:rPr>
            </w:r>
          </w:p>
        </w:tc>
      </w:tr>
      <w:tr>
        <w:trPr/>
        <w:tc>
          <w:tcPr>
            <w:tcBorders/>
            <w:tcW w:w="3196" w:type="dxa"/>
            <w:textDirection w:val="lrTb"/>
            <w:noWrap w:val="false"/>
          </w:tcPr>
          <w:p w14:paraId="1F00EF8E" w14:textId="5A1F1E5D">
            <w:pPr>
              <w:pStyle w:val="807"/>
              <w:suppressLineNumbers w:val="false"/>
              <w:pBdr/>
              <w:spacing w:line="300" w:lineRule="auto"/>
              <w:ind/>
              <w:rPr>
                <w:b/>
              </w:rPr>
            </w:pPr>
            <w:r>
              <w:rPr>
                <w:b/>
              </w:rPr>
              <w:t xml:space="preserve">Title:</w:t>
            </w:r>
            <w:r>
              <w:rPr>
                <w:b/>
              </w:rPr>
            </w:r>
          </w:p>
        </w:tc>
        <w:tc>
          <w:tcPr>
            <w:gridSpan w:val="2"/>
            <w:tcBorders/>
            <w:tcW w:w="5444" w:type="dxa"/>
            <w:textDirection w:val="lrTb"/>
            <w:noWrap w:val="false"/>
          </w:tcPr>
          <w:p w14:paraId="01F2DD80" w14:textId="5F9C1390">
            <w:pPr>
              <w:pStyle w:val="807"/>
              <w:suppressLineNumbers w:val="false"/>
              <w:pBdr/>
              <w:spacing w:line="300" w:lineRule="auto"/>
              <w:ind/>
              <w:rPr>
                <w:b/>
                <w:bCs/>
              </w:rPr>
            </w:pPr>
            <w:r>
              <w:rPr>
                <w:b/>
                <w:bCs/>
              </w:rPr>
              <w:t xml:space="preserve">Generative AI Based on Medical Visual Question Answering (VQA) Techniques</w:t>
            </w:r>
            <w:r>
              <w:rPr>
                <w:b/>
                <w:bCs/>
              </w:rPr>
            </w:r>
          </w:p>
        </w:tc>
      </w:tr>
      <w:tr>
        <w:trPr/>
        <w:tc>
          <w:tcPr>
            <w:tcBorders/>
            <w:tcW w:w="3196" w:type="dxa"/>
            <w:textDirection w:val="lrTb"/>
            <w:noWrap w:val="false"/>
          </w:tcPr>
          <w:p w14:paraId="6A335CEA" w14:textId="77777777">
            <w:pPr>
              <w:pStyle w:val="807"/>
              <w:suppressLineNumbers w:val="false"/>
              <w:pBdr/>
              <w:spacing w:line="300" w:lineRule="auto"/>
              <w:ind/>
              <w:rPr>
                <w:b/>
              </w:rPr>
            </w:pPr>
            <w:r>
              <w:rPr>
                <w:b/>
              </w:rPr>
              <w:t xml:space="preserve">Committee:</w:t>
            </w:r>
            <w:r>
              <w:rPr>
                <w:b/>
              </w:rPr>
            </w:r>
          </w:p>
        </w:tc>
        <w:tc>
          <w:tcPr>
            <w:tcBorders/>
            <w:tcW w:w="866" w:type="dxa"/>
            <w:textDirection w:val="lrTb"/>
            <w:noWrap w:val="false"/>
          </w:tcPr>
          <w:p w14:paraId="4F8062AF" w14:textId="77777777">
            <w:pPr>
              <w:pStyle w:val="807"/>
              <w:suppressLineNumbers w:val="false"/>
              <w:pBdr/>
              <w:spacing w:line="300" w:lineRule="auto"/>
              <w:ind/>
              <w:rPr>
                <w:b/>
              </w:rPr>
            </w:pPr>
            <w:r>
              <w:rPr>
                <w:b/>
              </w:rPr>
              <w:t xml:space="preserve">Chair:</w:t>
            </w:r>
            <w:r>
              <w:rPr>
                <w:b/>
              </w:rPr>
            </w:r>
          </w:p>
        </w:tc>
        <w:tc>
          <w:tcPr>
            <w:tcBorders/>
            <w:tcW w:w="4578" w:type="dxa"/>
            <w:textDirection w:val="lrTb"/>
            <w:noWrap w:val="false"/>
          </w:tcPr>
          <w:p w14:paraId="67A7F9A6" w14:textId="7F5B3135">
            <w:pPr>
              <w:pStyle w:val="807"/>
              <w:suppressLineNumbers w:val="false"/>
              <w:pBdr/>
              <w:spacing w:line="300" w:lineRule="auto"/>
              <w:ind/>
              <w:rPr/>
            </w:pPr>
            <w:r>
              <w:rPr>
                <w:b/>
                <w:bCs/>
              </w:rPr>
              <w:t xml:space="preserve">[</w:t>
            </w:r>
            <w:r>
              <w:rPr>
                <w:b/>
                <w:bCs/>
              </w:rPr>
              <w:t xml:space="preserve">Dr. Sabah </w:t>
            </w:r>
            <w:r>
              <w:rPr>
                <w:b/>
                <w:bCs/>
              </w:rPr>
              <w:t xml:space="preserve">Mohammed]</w:t>
            </w:r>
            <w:r/>
          </w:p>
          <w:p w14:paraId="0B56C013" w14:textId="7CD78399">
            <w:pPr>
              <w:pStyle w:val="807"/>
              <w:suppressLineNumbers w:val="false"/>
              <w:pBdr/>
              <w:spacing w:line="300" w:lineRule="auto"/>
              <w:ind/>
              <w:rPr/>
            </w:pPr>
            <w:r>
              <w:t xml:space="preserve">Supervisor</w:t>
            </w:r>
            <w:r>
              <w:br/>
            </w:r>
            <w:r>
              <w:t xml:space="preserve">[</w:t>
            </w:r>
            <w:r>
              <w:t xml:space="preserve">Chair, Department of Computer Science</w:t>
            </w:r>
            <w:r>
              <w:t xml:space="preserve">]</w:t>
            </w:r>
            <w:r/>
          </w:p>
        </w:tc>
      </w:tr>
      <w:tr>
        <w:trPr/>
        <w:tc>
          <w:tcPr>
            <w:tcBorders/>
            <w:tcW w:w="3196" w:type="dxa"/>
            <w:textDirection w:val="lrTb"/>
            <w:noWrap w:val="false"/>
          </w:tcPr>
          <w:p w14:paraId="717CF5DF" w14:textId="77777777">
            <w:pPr>
              <w:pStyle w:val="807"/>
              <w:suppressLineNumbers w:val="false"/>
              <w:pBdr/>
              <w:spacing w:line="300" w:lineRule="auto"/>
              <w:ind/>
              <w:rPr>
                <w:b/>
              </w:rPr>
            </w:pPr>
            <w:r>
              <w:rPr>
                <w:b/>
              </w:rPr>
            </w:r>
            <w:r>
              <w:rPr>
                <w:b/>
              </w:rPr>
            </w:r>
          </w:p>
        </w:tc>
        <w:tc>
          <w:tcPr>
            <w:gridSpan w:val="2"/>
            <w:tcBorders/>
            <w:tcW w:w="5444" w:type="dxa"/>
            <w:textDirection w:val="lrTb"/>
            <w:noWrap w:val="false"/>
          </w:tcPr>
          <w:p w14:paraId="61F17128" w14:textId="43A49BD2">
            <w:pPr>
              <w:pStyle w:val="807"/>
              <w:suppressLineNumbers w:val="false"/>
              <w:pBdr/>
              <w:spacing w:line="300" w:lineRule="auto"/>
              <w:ind/>
              <w:rPr/>
            </w:pPr>
            <w:r>
              <w:rPr>
                <w:b/>
                <w:bCs/>
              </w:rPr>
              <w:t xml:space="preserve">[</w:t>
            </w:r>
            <w:r>
              <w:rPr>
                <w:b/>
                <w:bCs/>
              </w:rPr>
              <w:t xml:space="preserve">Dr. Jinan </w:t>
            </w:r>
            <w:r>
              <w:rPr>
                <w:b/>
                <w:bCs/>
              </w:rPr>
              <w:t xml:space="preserve">Fiaidhi</w:t>
            </w:r>
            <w:r>
              <w:rPr>
                <w:b/>
                <w:bCs/>
              </w:rPr>
              <w:t xml:space="preserve">]</w:t>
            </w:r>
            <w:r>
              <w:br/>
            </w:r>
            <w:r>
              <w:t xml:space="preserve">Supervisor</w:t>
            </w:r>
            <w:r>
              <w:br/>
            </w:r>
            <w:r>
              <w:t xml:space="preserve">[</w:t>
            </w:r>
            <w:r>
              <w:t xml:space="preserve">Full Professor</w:t>
            </w:r>
            <w:r>
              <w:t xml:space="preserve">, </w:t>
            </w:r>
            <w:r>
              <w:t xml:space="preserve">Department of Computer Science</w:t>
            </w:r>
            <w:r>
              <w:t xml:space="preserve">]</w:t>
            </w:r>
            <w:r/>
          </w:p>
        </w:tc>
      </w:tr>
      <w:tr>
        <w:trPr/>
        <w:tc>
          <w:tcPr>
            <w:tcBorders/>
            <w:tcW w:w="3196" w:type="dxa"/>
            <w:textDirection w:val="lrTb"/>
            <w:noWrap w:val="false"/>
          </w:tcPr>
          <w:p w14:paraId="295F3AC7" w14:textId="77777777">
            <w:pPr>
              <w:pStyle w:val="807"/>
              <w:suppressLineNumbers w:val="false"/>
              <w:pBdr/>
              <w:spacing w:line="300" w:lineRule="auto"/>
              <w:ind/>
              <w:rPr>
                <w:b/>
              </w:rPr>
            </w:pPr>
            <w:r>
              <w:rPr>
                <w:b/>
              </w:rPr>
            </w:r>
            <w:r>
              <w:rPr>
                <w:b/>
              </w:rPr>
            </w:r>
          </w:p>
        </w:tc>
        <w:tc>
          <w:tcPr>
            <w:gridSpan w:val="2"/>
            <w:tcBorders/>
            <w:tcW w:w="5444" w:type="dxa"/>
            <w:textDirection w:val="lrTb"/>
            <w:noWrap w:val="false"/>
          </w:tcPr>
          <w:p w14:paraId="455EB2AB" w14:textId="2DE30CCD">
            <w:pPr>
              <w:pStyle w:val="807"/>
              <w:suppressLineNumbers w:val="false"/>
              <w:pBdr/>
              <w:spacing w:line="300" w:lineRule="auto"/>
              <w:ind/>
              <w:rPr>
                <w:b/>
                <w:bCs/>
              </w:rPr>
            </w:pPr>
            <w:r>
              <w:rPr>
                <w:b/>
                <w:bCs/>
              </w:rPr>
              <w:t xml:space="preserve">[</w:t>
            </w:r>
            <w:r>
              <w:rPr>
                <w:b/>
                <w:bCs/>
              </w:rPr>
              <w:t xml:space="preserve">Dr. Arnold Kim</w:t>
            </w:r>
            <w:r>
              <w:rPr>
                <w:b/>
                <w:bCs/>
              </w:rPr>
              <w:t xml:space="preserve">]</w:t>
            </w:r>
            <w:r>
              <w:br/>
            </w:r>
            <w:r>
              <w:t xml:space="preserve">External Examiner </w:t>
            </w:r>
            <w:r>
              <w:br/>
            </w:r>
            <w:r>
              <w:t xml:space="preserve">[Academic or Professional Role, Academic Unit]</w:t>
            </w:r>
            <w:r>
              <w:br/>
            </w:r>
            <w:r>
              <w:t xml:space="preserve">[Institution]</w:t>
            </w:r>
            <w:r>
              <w:rPr>
                <w:b/>
                <w:bCs/>
              </w:rPr>
            </w:r>
          </w:p>
        </w:tc>
      </w:tr>
    </w:tbl>
    <w:p w14:paraId="5CDFA64C" w14:textId="77777777">
      <w:pPr>
        <w:pStyle w:val="773"/>
        <w:suppressLineNumbers w:val="false"/>
        <w:pBdr/>
        <w:spacing w:line="300" w:lineRule="auto"/>
        <w:ind/>
        <w:rPr/>
      </w:pPr>
      <w:r/>
      <w:r/>
    </w:p>
    <w:p w14:paraId="737AF15A" w14:textId="4E89F67E">
      <w:pPr>
        <w:pStyle w:val="781"/>
        <w:suppressLineNumbers w:val="false"/>
        <w:pBdr/>
        <w:spacing w:line="300" w:lineRule="auto"/>
        <w:ind/>
        <w:rPr/>
      </w:pPr>
      <w:r/>
      <w:bookmarkStart w:id="1" w:name="_Toc66285130"/>
      <w:r>
        <w:t xml:space="preserve">Ethics Statement</w:t>
      </w:r>
      <w:bookmarkEnd w:id="1"/>
      <w:r/>
      <w:r/>
    </w:p>
    <w:p w14:paraId="1DC20FB9" w14:textId="5A59ED0F">
      <w:pPr>
        <w:pStyle w:val="797"/>
        <w:suppressLineNumbers w:val="false"/>
        <w:pBdr/>
        <w:spacing w:line="300" w:lineRule="auto"/>
        <w:ind/>
        <w:jc w:val="left"/>
        <w:rPr/>
      </w:pPr>
      <w:r/>
      <w:r/>
    </w:p>
    <w:p w14:paraId="27BA7813" w14:textId="77777777">
      <w:pPr>
        <w:pStyle w:val="781"/>
        <w:suppressLineNumbers w:val="false"/>
        <w:pBdr/>
        <w:spacing w:line="300" w:lineRule="auto"/>
        <w:ind/>
        <w:rPr/>
      </w:pPr>
      <w:r/>
      <w:bookmarkStart w:id="2" w:name="_Toc66285131"/>
      <w:r>
        <w:t xml:space="preserve">Abstract</w:t>
      </w:r>
      <w:bookmarkEnd w:id="2"/>
      <w:r/>
      <w:r/>
    </w:p>
    <w:p w14:paraId="1A7AE1EC">
      <w:pPr>
        <w:suppressLineNumbers w:val="false"/>
        <w:pBdr/>
        <w:spacing w:after="100" w:afterAutospacing="1" w:before="100" w:beforeAutospacing="1" w:line="300" w:lineRule="auto"/>
        <w:ind/>
        <w:rPr/>
      </w:pPr>
      <w:r>
        <w:rPr>
          <w:rFonts w:eastAsia="Times New Roman" w:cs="Arial"/>
          <w:lang w:val="en-IN" w:eastAsia="en-IN"/>
        </w:rPr>
        <w:t xml:space="preserve">Medical Visual Question Answering (MedVQA) promises a more useful interface for clinical AI than standalone classifiers because it allows clinicians to query images directly in natural language. In gastrointestinal (GI) endoscopy, this capability is especia</w:t>
      </w:r>
      <w:r>
        <w:rPr>
          <w:rFonts w:eastAsia="Times New Roman" w:cs="Arial"/>
          <w:lang w:val="en-IN" w:eastAsia="en-IN"/>
        </w:rPr>
        <w:t xml:space="preserve">lly relevant for high-volume, high-variability workflows such as ulcerative colitis severity grading, polyp assessment, and procedure documentation. However, practical MedVQA remains limited by dataset bias, long-tail label imbalance, weak lexical grounding</w:t>
      </w:r>
      <w:r>
        <w:rPr>
          <w:rFonts w:eastAsia="Times New Roman" w:cs="Arial"/>
          <w:lang w:val="en-IN" w:eastAsia="en-IN"/>
        </w:rPr>
        <w:t xml:space="preserve"> in free-text generation, and inconsistent clinical faithfulness across question types.</w:t>
      </w:r>
      <w:r/>
      <w:r>
        <w:rPr>
          <w:rFonts w:eastAsia="Times New Roman" w:cs="Arial"/>
          <w:lang w:val="en-IN" w:eastAsia="en-IN"/>
        </w:rPr>
      </w:r>
      <w:r/>
      <w:r>
        <w:rPr>
          <w:rFonts w:eastAsia="Times New Roman" w:cs="Arial"/>
          <w:lang w:val="en-IN" w:eastAsia="en-IN"/>
        </w:rPr>
      </w:r>
    </w:p>
    <w:p w14:paraId="4CA5C5B0">
      <w:pPr>
        <w:suppressLineNumbers w:val="false"/>
        <w:pBdr/>
        <w:spacing w:after="100" w:afterAutospacing="1" w:before="100" w:beforeAutospacing="1" w:line="300" w:lineRule="auto"/>
        <w:ind/>
        <w:rPr/>
      </w:pPr>
      <w:r>
        <w:rPr>
          <w:rFonts w:eastAsia="Times New Roman" w:cs="Arial"/>
          <w:lang w:val="en-IN" w:eastAsia="en-IN"/>
        </w:rPr>
        <w:t xml:space="preserve">This dissertation investigates these limitations and develops a clinically oriented VQA framework for colonoscopy. The work is grounded in multi-dataset experimentation across HyperKvasir, Kvasir-VQA, Kvasir-VQA-x1, ImageCLEF MEDVQA-GI 2023, and LIMUC, cove</w:t>
      </w:r>
      <w:r>
        <w:rPr>
          <w:rFonts w:eastAsia="Times New Roman" w:cs="Arial"/>
          <w:lang w:val="en-IN" w:eastAsia="en-IN"/>
        </w:rPr>
        <w:t xml:space="preserve">ring both closed-set and generative settings. Repository benchmarks show a clear pattern: supervised or constrained models remain substantially stronger than raw zero-shot VLMs on current GI tasks. In our saved runs, ViLT reaches 0.9089 accuracy on ImageCLE</w:t>
      </w:r>
      <w:r>
        <w:rPr>
          <w:rFonts w:eastAsia="Times New Roman" w:cs="Arial"/>
          <w:lang w:val="en-IN" w:eastAsia="en-IN"/>
        </w:rPr>
        <w:t xml:space="preserve">F MEDVQA-GI validation, while Qwen2.5-VL zero-shot raw outputs collapse to 0.0007 accuracy before lexical projection. On HyperKvasir, fine-tuned ResNet50 reaches 0.8789 test accuracy, while BLIP2 zero-shot projected labels remain low (0.0638). On LIMUC seve</w:t>
      </w:r>
      <w:r>
        <w:rPr>
          <w:rFonts w:eastAsia="Times New Roman" w:cs="Arial"/>
          <w:lang w:val="en-IN" w:eastAsia="en-IN"/>
        </w:rPr>
        <w:t xml:space="preserve">rity grading, fine-tuned ResNet50 attains 0.7539 accuracy, macro-F1 0.6829, and QWK 0.8351, with persistent minority-class difficulty.</w:t>
      </w:r>
      <w:r/>
      <w:r>
        <w:rPr>
          <w:rFonts w:eastAsia="Times New Roman" w:cs="Arial"/>
          <w:lang w:val="en-IN" w:eastAsia="en-IN"/>
        </w:rPr>
      </w:r>
      <w:r/>
      <w:r>
        <w:rPr>
          <w:rFonts w:eastAsia="Times New Roman" w:cs="Arial"/>
          <w:lang w:val="en-IN" w:eastAsia="en-IN"/>
        </w:rPr>
      </w:r>
    </w:p>
    <w:p w14:paraId="78E5AD53">
      <w:pPr>
        <w:suppressLineNumbers w:val="false"/>
        <w:pBdr/>
        <w:spacing w:after="100" w:afterAutospacing="1" w:before="100" w:beforeAutospacing="1" w:line="300" w:lineRule="auto"/>
        <w:ind/>
        <w:rPr/>
      </w:pPr>
      <w:r>
        <w:rPr>
          <w:rFonts w:eastAsia="Times New Roman" w:cs="Arial"/>
          <w:lang w:val="en-IN" w:eastAsia="en-IN"/>
        </w:rPr>
        <w:t xml:space="preserve">These findings motivate the thesis direction: move from score-only pipelines toward clinically grounded, evidence-aware multimodal reasoning that combines (1) robust visual recognition, (2) question-aware answer generation, and (3) retrieval-supported justi</w:t>
      </w:r>
      <w:r>
        <w:rPr>
          <w:rFonts w:eastAsia="Times New Roman" w:cs="Arial"/>
          <w:lang w:val="en-IN" w:eastAsia="en-IN"/>
        </w:rPr>
        <w:t xml:space="preserve">fication for higher-risk decisions. The dissertation contributes a structured research agenda, scenario-driven evaluation design, and an implementation pathway for integrating VQA with retrieval-augmented generation (RAG) in GI decision support. The long-te</w:t>
      </w:r>
      <w:r>
        <w:rPr>
          <w:rFonts w:eastAsia="Times New Roman" w:cs="Arial"/>
          <w:lang w:val="en-IN" w:eastAsia="en-IN"/>
        </w:rPr>
        <w:t xml:space="preserve">rm objective is an assistant that does not only classify findings, but can explain, qualify uncertainty, and align outputs with clinician workflow and evidence-based care.</w:t>
      </w:r>
      <w:r/>
      <w:r>
        <w:rPr>
          <w:rFonts w:eastAsia="Times New Roman" w:cs="Arial"/>
          <w:lang w:val="en-IN" w:eastAsia="en-IN"/>
        </w:rPr>
      </w:r>
      <w:r/>
      <w:r>
        <w:rPr>
          <w:rFonts w:eastAsia="Times New Roman" w:cs="Arial"/>
          <w:lang w:val="en-IN" w:eastAsia="en-IN"/>
        </w:rPr>
      </w:r>
    </w:p>
    <w:p w14:paraId="60A59B6A" w14:textId="77777777">
      <w:pPr>
        <w:suppressLineNumbers w:val="false"/>
        <w:pBdr/>
        <w:spacing w:after="100" w:afterAutospacing="1" w:before="100" w:beforeAutospacing="1" w:line="300" w:lineRule="auto"/>
        <w:ind/>
        <w:rPr>
          <w:rFonts w:eastAsia="Times New Roman" w:cs="Arial"/>
        </w:rPr>
      </w:pPr>
      <w:r>
        <w:rPr>
          <w:rFonts w:eastAsia="Times New Roman" w:cs="Arial"/>
          <w:lang w:val="en-IN" w:eastAsia="en-IN"/>
        </w:rPr>
        <w:t xml:space="preserve">Keywords: medical visual question answering, gastrointestinal endoscopy, colonoscopy, ulcerative colitis, vision-language models, retrieval-augmented generation, clinical decision support</w:t>
      </w:r>
      <w:r/>
      <w:r>
        <w:rPr>
          <w:rFonts w:eastAsia="Times New Roman" w:cs="Arial"/>
          <w:lang w:val="en-IN" w:eastAsia="en-IN"/>
        </w:rPr>
      </w:r>
      <w:r>
        <w:rPr>
          <w:rFonts w:eastAsia="Times New Roman" w:cs="Arial"/>
          <w:lang w:val="en-IN" w:eastAsia="en-IN"/>
        </w:rPr>
      </w:r>
    </w:p>
    <w:p w14:paraId="279134F9" w14:textId="77777777">
      <w:pPr>
        <w:pStyle w:val="781"/>
        <w:suppressLineNumbers w:val="false"/>
        <w:pBdr/>
        <w:spacing w:line="300" w:lineRule="auto"/>
        <w:ind/>
        <w:rPr>
          <w:color w:val="auto"/>
        </w:rPr>
      </w:pPr>
      <w:r>
        <w:rPr>
          <w:color w:val="auto"/>
        </w:rPr>
        <w:t xml:space="preserve">Dedication</w:t>
      </w:r>
      <w:bookmarkEnd w:id="3"/>
      <w:r/>
      <w:r>
        <w:rPr>
          <w:color w:val="auto"/>
        </w:rPr>
      </w:r>
    </w:p>
    <w:p w14:paraId="7E2A1455" w14:textId="00CCCBC9">
      <w:pPr>
        <w:pStyle w:val="773"/>
        <w:suppressLineNumbers w:val="false"/>
        <w:pBdr/>
        <w:spacing w:line="300" w:lineRule="auto"/>
        <w:ind/>
        <w:rPr/>
      </w:pPr>
      <w:r>
        <w:t xml:space="preserve">This i</w:t>
      </w:r>
      <w:r>
        <w:t xml:space="preserve">s an optional page. Use your choice of paragraph</w:t>
      </w:r>
      <w:r>
        <w:t xml:space="preserve"> style </w:t>
      </w:r>
      <w:r>
        <w:t xml:space="preserve">for text on this page (</w:t>
      </w:r>
      <w:r>
        <w:rPr>
          <w:b/>
        </w:rPr>
        <w:t xml:space="preserve">1_Para_FlushLeft</w:t>
      </w:r>
      <w:r>
        <w:t xml:space="preserve"> shown here).</w:t>
      </w:r>
      <w:r/>
    </w:p>
    <w:p w14:paraId="4BB298C3" w14:textId="1092A99F">
      <w:pPr>
        <w:pStyle w:val="773"/>
        <w:suppressLineNumbers w:val="false"/>
        <w:pBdr/>
        <w:spacing w:line="300" w:lineRule="auto"/>
        <w:ind/>
        <w:rPr/>
      </w:pPr>
      <w:r>
        <w:t xml:space="preserve">To hide the heading at the top of this page, select the text and change the text colour to white.</w:t>
      </w:r>
      <w:r/>
    </w:p>
    <w:p w14:paraId="2F5AEE33" w14:textId="77777777">
      <w:pPr>
        <w:pStyle w:val="781"/>
        <w:suppressLineNumbers w:val="false"/>
        <w:pBdr/>
        <w:spacing w:line="300" w:lineRule="auto"/>
        <w:ind/>
        <w:rPr/>
      </w:pPr>
      <w:r/>
      <w:bookmarkStart w:id="4" w:name="_Toc66285133"/>
      <w:r>
        <w:t xml:space="preserve">Acknowledgements</w:t>
      </w:r>
      <w:bookmarkEnd w:id="4"/>
      <w:r/>
      <w:r/>
    </w:p>
    <w:p w14:paraId="5E728AC9" w14:textId="65820004">
      <w:pPr>
        <w:pStyle w:val="774"/>
        <w:suppressLineNumbers w:val="false"/>
        <w:pBdr/>
        <w:spacing w:line="300" w:lineRule="auto"/>
        <w:ind/>
        <w:rPr/>
      </w:pPr>
      <w:r>
        <w:t xml:space="preserve">This is an optional page. </w:t>
      </w:r>
      <w:r>
        <w:t xml:space="preserve">Use</w:t>
      </w:r>
      <w:r>
        <w:t xml:space="preserve"> your choice of paragraph style</w:t>
      </w:r>
      <w:r>
        <w:t xml:space="preserve"> for text on this page (</w:t>
      </w:r>
      <w:r>
        <w:rPr>
          <w:b/>
        </w:rPr>
        <w:t xml:space="preserve">1_Para</w:t>
      </w:r>
      <w:r>
        <w:t xml:space="preserve"> shown here).</w:t>
      </w:r>
      <w:r/>
    </w:p>
    <w:p w14:paraId="6B431FCD" w14:textId="77777777">
      <w:pPr>
        <w:pStyle w:val="781"/>
        <w:suppressLineNumbers w:val="false"/>
        <w:pBdr/>
        <w:tabs>
          <w:tab w:val="left" w:leader="none" w:pos="1170"/>
        </w:tabs>
        <w:spacing w:line="300" w:lineRule="auto"/>
        <w:ind/>
        <w:rPr/>
      </w:pPr>
      <w:r/>
      <w:bookmarkStart w:id="5" w:name="_Toc66285134"/>
      <w:r>
        <w:t xml:space="preserve">Table of Contents</w:t>
      </w:r>
      <w:bookmarkEnd w:id="5"/>
      <w:r/>
      <w:r/>
    </w:p>
    <w:p w14:paraId="64E71403" w14:textId="46E65B1C">
      <w:pPr>
        <w:pStyle w:val="786"/>
        <w:suppressLineNumbers w:val="false"/>
        <w:pBdr/>
        <w:spacing w:line="300" w:lineRule="auto"/>
        <w:ind/>
        <w:rPr>
          <w:rFonts w:asciiTheme="minorHAnsi" w:hAnsiTheme="minorHAnsi" w:eastAsiaTheme="minorEastAsia"/>
          <w:bCs w:val="0"/>
          <w:szCs w:val="22"/>
        </w:rPr>
      </w:pPr>
      <w:r>
        <w:rPr>
          <w:rFonts w:asciiTheme="minorHAnsi" w:hAnsiTheme="minorHAnsi"/>
          <w:sz w:val="20"/>
        </w:rPr>
        <w:fldChar w:fldCharType="begin"/>
      </w:r>
      <w:r>
        <w:rPr>
          <w:rFonts w:asciiTheme="minorHAnsi" w:hAnsiTheme="minorHAnsi"/>
          <w:sz w:val="20"/>
        </w:rPr>
        <w:instrText xml:space="preserve"> TOC \o "1-4" \h \z \u </w:instrText>
      </w:r>
      <w:r>
        <w:rPr>
          <w:rFonts w:asciiTheme="minorHAnsi" w:hAnsiTheme="minorHAnsi"/>
          <w:sz w:val="20"/>
        </w:rPr>
        <w:fldChar w:fldCharType="separate"/>
      </w:r>
      <w:hyperlink w:tooltip="#_Toc66285129" w:anchor="_Toc66285129" w:history="1">
        <w:r>
          <w:rPr>
            <w:rStyle w:val="789"/>
          </w:rPr>
          <w:t xml:space="preserve">Declaration of Committee</w:t>
        </w:r>
        <w:r>
          <w:tab/>
        </w:r>
        <w:r>
          <w:fldChar w:fldCharType="begin"/>
        </w:r>
        <w:r>
          <w:instrText xml:space="preserve"> PAGEREF _Toc66285129 \h </w:instrText>
        </w:r>
        <w:r/>
        <w:r>
          <w:fldChar w:fldCharType="separate"/>
        </w:r>
        <w:r>
          <w:t xml:space="preserve">ii</w:t>
        </w:r>
        <w:r>
          <w:fldChar w:fldCharType="end"/>
        </w:r>
      </w:hyperlink>
      <w:r/>
      <w:r>
        <w:rPr>
          <w:rFonts w:asciiTheme="minorHAnsi" w:hAnsiTheme="minorHAnsi" w:eastAsiaTheme="minorEastAsia"/>
          <w:bCs w:val="0"/>
          <w:szCs w:val="22"/>
        </w:rPr>
      </w:r>
    </w:p>
    <w:p w14:paraId="0FF7919A" w14:textId="5F458515">
      <w:pPr>
        <w:pStyle w:val="786"/>
        <w:suppressLineNumbers w:val="false"/>
        <w:pBdr/>
        <w:spacing w:line="300" w:lineRule="auto"/>
        <w:ind/>
        <w:rPr>
          <w:rFonts w:asciiTheme="minorHAnsi" w:hAnsiTheme="minorHAnsi" w:eastAsiaTheme="minorEastAsia"/>
          <w:bCs w:val="0"/>
          <w:szCs w:val="22"/>
        </w:rPr>
      </w:pPr>
      <w:r/>
      <w:hyperlink w:tooltip="#_Toc66285130" w:anchor="_Toc66285130" w:history="1">
        <w:r>
          <w:rPr>
            <w:rStyle w:val="789"/>
          </w:rPr>
          <w:t xml:space="preserve">Ethics Statement</w:t>
        </w:r>
        <w:r>
          <w:tab/>
        </w:r>
        <w:r>
          <w:fldChar w:fldCharType="begin"/>
        </w:r>
        <w:r>
          <w:instrText xml:space="preserve"> PAGEREF _Toc66285130 \h </w:instrText>
        </w:r>
        <w:r/>
        <w:r>
          <w:fldChar w:fldCharType="separate"/>
        </w:r>
        <w:r>
          <w:t xml:space="preserve">iii</w:t>
        </w:r>
        <w:r>
          <w:fldChar w:fldCharType="end"/>
        </w:r>
      </w:hyperlink>
      <w:r/>
      <w:r>
        <w:rPr>
          <w:rFonts w:asciiTheme="minorHAnsi" w:hAnsiTheme="minorHAnsi" w:eastAsiaTheme="minorEastAsia"/>
          <w:bCs w:val="0"/>
          <w:szCs w:val="22"/>
        </w:rPr>
      </w:r>
    </w:p>
    <w:p w14:paraId="27997180" w14:textId="3476081A">
      <w:pPr>
        <w:pStyle w:val="786"/>
        <w:suppressLineNumbers w:val="false"/>
        <w:pBdr/>
        <w:spacing w:line="300" w:lineRule="auto"/>
        <w:ind/>
        <w:rPr>
          <w:rFonts w:asciiTheme="minorHAnsi" w:hAnsiTheme="minorHAnsi" w:eastAsiaTheme="minorEastAsia"/>
          <w:bCs w:val="0"/>
          <w:szCs w:val="22"/>
        </w:rPr>
      </w:pPr>
      <w:r/>
      <w:hyperlink w:tooltip="#_Toc66285131" w:anchor="_Toc66285131" w:history="1">
        <w:r>
          <w:rPr>
            <w:rStyle w:val="789"/>
          </w:rPr>
          <w:t xml:space="preserve">Abstract</w:t>
        </w:r>
        <w:r>
          <w:tab/>
        </w:r>
        <w:r>
          <w:fldChar w:fldCharType="begin"/>
        </w:r>
        <w:r>
          <w:instrText xml:space="preserve"> PAGEREF _Toc66285131 \h </w:instrText>
        </w:r>
        <w:r/>
        <w:r>
          <w:fldChar w:fldCharType="separate"/>
        </w:r>
        <w:r>
          <w:t xml:space="preserve">iv</w:t>
        </w:r>
        <w:r>
          <w:fldChar w:fldCharType="end"/>
        </w:r>
      </w:hyperlink>
      <w:r/>
      <w:r>
        <w:rPr>
          <w:rFonts w:asciiTheme="minorHAnsi" w:hAnsiTheme="minorHAnsi" w:eastAsiaTheme="minorEastAsia"/>
          <w:bCs w:val="0"/>
          <w:szCs w:val="22"/>
        </w:rPr>
      </w:r>
    </w:p>
    <w:p w14:paraId="44A409F3" w14:textId="5544BA17">
      <w:pPr>
        <w:pStyle w:val="786"/>
        <w:suppressLineNumbers w:val="false"/>
        <w:pBdr/>
        <w:spacing w:line="300" w:lineRule="auto"/>
        <w:ind/>
        <w:rPr>
          <w:rFonts w:asciiTheme="minorHAnsi" w:hAnsiTheme="minorHAnsi" w:eastAsiaTheme="minorEastAsia"/>
          <w:bCs w:val="0"/>
          <w:szCs w:val="22"/>
        </w:rPr>
      </w:pPr>
      <w:r/>
      <w:hyperlink w:tooltip="#_Toc66285132" w:anchor="_Toc66285132" w:history="1">
        <w:r>
          <w:rPr>
            <w:rStyle w:val="789"/>
          </w:rPr>
          <w:t xml:space="preserve">Dedication</w:t>
        </w:r>
        <w:r>
          <w:tab/>
        </w:r>
        <w:r>
          <w:fldChar w:fldCharType="begin"/>
        </w:r>
        <w:r>
          <w:instrText xml:space="preserve"> PAGEREF _Toc66285132 \h </w:instrText>
        </w:r>
        <w:r/>
        <w:r>
          <w:fldChar w:fldCharType="separate"/>
        </w:r>
        <w:r>
          <w:t xml:space="preserve">v</w:t>
        </w:r>
        <w:r>
          <w:fldChar w:fldCharType="end"/>
        </w:r>
      </w:hyperlink>
      <w:r/>
      <w:r>
        <w:rPr>
          <w:rFonts w:asciiTheme="minorHAnsi" w:hAnsiTheme="minorHAnsi" w:eastAsiaTheme="minorEastAsia"/>
          <w:bCs w:val="0"/>
          <w:szCs w:val="22"/>
        </w:rPr>
      </w:r>
    </w:p>
    <w:p w14:paraId="641E8FEF" w14:textId="490B1F45">
      <w:pPr>
        <w:pStyle w:val="786"/>
        <w:suppressLineNumbers w:val="false"/>
        <w:pBdr/>
        <w:spacing w:line="300" w:lineRule="auto"/>
        <w:ind/>
        <w:rPr>
          <w:rFonts w:asciiTheme="minorHAnsi" w:hAnsiTheme="minorHAnsi" w:eastAsiaTheme="minorEastAsia"/>
          <w:bCs w:val="0"/>
          <w:szCs w:val="22"/>
        </w:rPr>
      </w:pPr>
      <w:r/>
      <w:hyperlink w:tooltip="#_Toc66285133" w:anchor="_Toc66285133" w:history="1">
        <w:r>
          <w:rPr>
            <w:rStyle w:val="789"/>
          </w:rPr>
          <w:t xml:space="preserve">Acknowledgements</w:t>
        </w:r>
        <w:r>
          <w:tab/>
        </w:r>
        <w:r>
          <w:fldChar w:fldCharType="begin"/>
        </w:r>
        <w:r>
          <w:instrText xml:space="preserve"> PAGEREF _Toc66285133 \h </w:instrText>
        </w:r>
        <w:r/>
        <w:r>
          <w:fldChar w:fldCharType="separate"/>
        </w:r>
        <w:r>
          <w:t xml:space="preserve">vi</w:t>
        </w:r>
        <w:r>
          <w:fldChar w:fldCharType="end"/>
        </w:r>
      </w:hyperlink>
      <w:r/>
      <w:r>
        <w:rPr>
          <w:rFonts w:asciiTheme="minorHAnsi" w:hAnsiTheme="minorHAnsi" w:eastAsiaTheme="minorEastAsia"/>
          <w:bCs w:val="0"/>
          <w:szCs w:val="22"/>
        </w:rPr>
      </w:r>
    </w:p>
    <w:p w14:paraId="0384A9CE" w14:textId="42CDECE1">
      <w:pPr>
        <w:pStyle w:val="786"/>
        <w:suppressLineNumbers w:val="false"/>
        <w:pBdr/>
        <w:spacing w:line="300" w:lineRule="auto"/>
        <w:ind/>
        <w:rPr>
          <w:rFonts w:asciiTheme="minorHAnsi" w:hAnsiTheme="minorHAnsi" w:eastAsiaTheme="minorEastAsia"/>
          <w:bCs w:val="0"/>
          <w:szCs w:val="22"/>
        </w:rPr>
      </w:pPr>
      <w:r/>
      <w:hyperlink w:tooltip="#_Toc66285134" w:anchor="_Toc66285134" w:history="1">
        <w:r>
          <w:rPr>
            <w:rStyle w:val="789"/>
          </w:rPr>
          <w:t xml:space="preserve">Table of Contents</w:t>
        </w:r>
        <w:r>
          <w:tab/>
        </w:r>
        <w:r>
          <w:fldChar w:fldCharType="begin"/>
        </w:r>
        <w:r>
          <w:instrText xml:space="preserve"> PAGEREF _Toc66285134 \h </w:instrText>
        </w:r>
        <w:r/>
        <w:r>
          <w:fldChar w:fldCharType="separate"/>
        </w:r>
        <w:r>
          <w:t xml:space="preserve">vii</w:t>
        </w:r>
        <w:r>
          <w:fldChar w:fldCharType="end"/>
        </w:r>
      </w:hyperlink>
      <w:r/>
      <w:r>
        <w:rPr>
          <w:rFonts w:asciiTheme="minorHAnsi" w:hAnsiTheme="minorHAnsi" w:eastAsiaTheme="minorEastAsia"/>
          <w:bCs w:val="0"/>
          <w:szCs w:val="22"/>
        </w:rPr>
      </w:r>
    </w:p>
    <w:p w14:paraId="1372FF7B" w14:textId="3A9AE331">
      <w:pPr>
        <w:pStyle w:val="786"/>
        <w:suppressLineNumbers w:val="false"/>
        <w:pBdr/>
        <w:spacing w:line="300" w:lineRule="auto"/>
        <w:ind/>
        <w:rPr>
          <w:rFonts w:asciiTheme="minorHAnsi" w:hAnsiTheme="minorHAnsi" w:eastAsiaTheme="minorEastAsia"/>
          <w:bCs w:val="0"/>
          <w:szCs w:val="22"/>
        </w:rPr>
      </w:pPr>
      <w:r/>
      <w:hyperlink w:tooltip="#_Toc66285135" w:anchor="_Toc66285135" w:history="1">
        <w:r>
          <w:rPr>
            <w:rStyle w:val="789"/>
          </w:rPr>
          <w:t xml:space="preserve">List of Tables</w:t>
        </w:r>
        <w:r>
          <w:tab/>
        </w:r>
        <w:r>
          <w:fldChar w:fldCharType="begin"/>
        </w:r>
        <w:r>
          <w:instrText xml:space="preserve"> PAGEREF _Toc66285135 \h </w:instrText>
        </w:r>
        <w:r/>
        <w:r>
          <w:fldChar w:fldCharType="separate"/>
        </w:r>
        <w:r>
          <w:t xml:space="preserve">viii</w:t>
        </w:r>
        <w:r>
          <w:fldChar w:fldCharType="end"/>
        </w:r>
      </w:hyperlink>
      <w:r/>
      <w:r>
        <w:rPr>
          <w:rFonts w:asciiTheme="minorHAnsi" w:hAnsiTheme="minorHAnsi" w:eastAsiaTheme="minorEastAsia"/>
          <w:bCs w:val="0"/>
          <w:szCs w:val="22"/>
        </w:rPr>
      </w:r>
    </w:p>
    <w:p w14:paraId="3DBFDBA3" w14:textId="40F7E84A">
      <w:pPr>
        <w:pStyle w:val="786"/>
        <w:suppressLineNumbers w:val="false"/>
        <w:pBdr/>
        <w:spacing w:line="300" w:lineRule="auto"/>
        <w:ind/>
        <w:rPr>
          <w:rFonts w:asciiTheme="minorHAnsi" w:hAnsiTheme="minorHAnsi" w:eastAsiaTheme="minorEastAsia"/>
          <w:bCs w:val="0"/>
          <w:szCs w:val="22"/>
        </w:rPr>
      </w:pPr>
      <w:r/>
      <w:hyperlink w:tooltip="#_Toc66285136" w:anchor="_Toc66285136" w:history="1">
        <w:r>
          <w:rPr>
            <w:rStyle w:val="789"/>
          </w:rPr>
          <w:t xml:space="preserve">List of Figures</w:t>
        </w:r>
        <w:r>
          <w:tab/>
        </w:r>
        <w:r>
          <w:fldChar w:fldCharType="begin"/>
        </w:r>
        <w:r>
          <w:instrText xml:space="preserve"> PAGEREF _Toc66285136 \h </w:instrText>
        </w:r>
        <w:r/>
        <w:r>
          <w:fldChar w:fldCharType="separate"/>
        </w:r>
        <w:r>
          <w:t xml:space="preserve">ix</w:t>
        </w:r>
        <w:r>
          <w:fldChar w:fldCharType="end"/>
        </w:r>
      </w:hyperlink>
      <w:r/>
      <w:r>
        <w:rPr>
          <w:rFonts w:asciiTheme="minorHAnsi" w:hAnsiTheme="minorHAnsi" w:eastAsiaTheme="minorEastAsia"/>
          <w:bCs w:val="0"/>
          <w:szCs w:val="22"/>
        </w:rPr>
      </w:r>
    </w:p>
    <w:p w14:paraId="0459E0C6" w14:textId="2E17DEFC">
      <w:pPr>
        <w:pStyle w:val="786"/>
        <w:suppressLineNumbers w:val="false"/>
        <w:pBdr/>
        <w:spacing w:line="300" w:lineRule="auto"/>
        <w:ind/>
        <w:rPr>
          <w:rFonts w:asciiTheme="minorHAnsi" w:hAnsiTheme="minorHAnsi" w:eastAsiaTheme="minorEastAsia"/>
          <w:bCs w:val="0"/>
          <w:szCs w:val="22"/>
        </w:rPr>
      </w:pPr>
      <w:r/>
      <w:hyperlink w:tooltip="#_Toc66285137" w:anchor="_Toc66285137" w:history="1">
        <w:r>
          <w:rPr>
            <w:rStyle w:val="789"/>
          </w:rPr>
          <w:t xml:space="preserve">List of Acronyms</w:t>
        </w:r>
        <w:r>
          <w:tab/>
        </w:r>
        <w:r>
          <w:fldChar w:fldCharType="begin"/>
        </w:r>
        <w:r>
          <w:instrText xml:space="preserve"> PAGEREF _Toc66285137 \h </w:instrText>
        </w:r>
        <w:r/>
        <w:r>
          <w:fldChar w:fldCharType="separate"/>
        </w:r>
        <w:r>
          <w:t xml:space="preserve">x</w:t>
        </w:r>
        <w:r>
          <w:fldChar w:fldCharType="end"/>
        </w:r>
      </w:hyperlink>
      <w:r/>
      <w:r>
        <w:rPr>
          <w:rFonts w:asciiTheme="minorHAnsi" w:hAnsiTheme="minorHAnsi" w:eastAsiaTheme="minorEastAsia"/>
          <w:bCs w:val="0"/>
          <w:szCs w:val="22"/>
        </w:rPr>
      </w:r>
    </w:p>
    <w:p w14:paraId="0710B645" w14:textId="2F117813">
      <w:pPr>
        <w:pStyle w:val="786"/>
        <w:suppressLineNumbers w:val="false"/>
        <w:pBdr/>
        <w:spacing w:line="300" w:lineRule="auto"/>
        <w:ind/>
        <w:rPr>
          <w:rFonts w:asciiTheme="minorHAnsi" w:hAnsiTheme="minorHAnsi" w:eastAsiaTheme="minorEastAsia"/>
          <w:bCs w:val="0"/>
          <w:szCs w:val="22"/>
        </w:rPr>
      </w:pPr>
      <w:r/>
      <w:hyperlink w:tooltip="#_Toc66285138" w:anchor="_Toc66285138" w:history="1">
        <w:r>
          <w:rPr>
            <w:rStyle w:val="789"/>
          </w:rPr>
          <w:t xml:space="preserve">Glossary</w:t>
        </w:r>
        <w:r>
          <w:tab/>
        </w:r>
        <w:r>
          <w:fldChar w:fldCharType="begin"/>
        </w:r>
        <w:r>
          <w:instrText xml:space="preserve"> PAGEREF _Toc66285138 \h </w:instrText>
        </w:r>
        <w:r/>
        <w:r>
          <w:fldChar w:fldCharType="separate"/>
        </w:r>
        <w:r>
          <w:t xml:space="preserve">xi</w:t>
        </w:r>
        <w:r>
          <w:fldChar w:fldCharType="end"/>
        </w:r>
      </w:hyperlink>
      <w:r/>
      <w:r>
        <w:rPr>
          <w:rFonts w:asciiTheme="minorHAnsi" w:hAnsiTheme="minorHAnsi" w:eastAsiaTheme="minorEastAsia"/>
          <w:bCs w:val="0"/>
          <w:szCs w:val="22"/>
        </w:rPr>
      </w:r>
    </w:p>
    <w:p w14:paraId="272D1A3C" w14:textId="7DFA1F0D">
      <w:pPr>
        <w:pStyle w:val="786"/>
        <w:suppressLineNumbers w:val="false"/>
        <w:pBdr/>
        <w:spacing w:line="300" w:lineRule="auto"/>
        <w:ind/>
        <w:rPr>
          <w:rFonts w:asciiTheme="minorHAnsi" w:hAnsiTheme="minorHAnsi" w:eastAsiaTheme="minorEastAsia"/>
          <w:bCs w:val="0"/>
          <w:szCs w:val="22"/>
        </w:rPr>
      </w:pPr>
      <w:r/>
      <w:hyperlink w:tooltip="#_Toc66285139" w:anchor="_Toc66285139" w:history="1">
        <w:r>
          <w:rPr>
            <w:rStyle w:val="789"/>
          </w:rPr>
          <w:t xml:space="preserve">Preface/Executive Summary/Image</w:t>
        </w:r>
        <w:r>
          <w:tab/>
        </w:r>
        <w:r>
          <w:fldChar w:fldCharType="begin"/>
        </w:r>
        <w:r>
          <w:instrText xml:space="preserve"> PAGEREF _Toc66285139 \h </w:instrText>
        </w:r>
        <w:r/>
        <w:r>
          <w:fldChar w:fldCharType="separate"/>
        </w:r>
        <w:r>
          <w:t xml:space="preserve">xii</w:t>
        </w:r>
        <w:r>
          <w:fldChar w:fldCharType="end"/>
        </w:r>
      </w:hyperlink>
      <w:r/>
      <w:r>
        <w:rPr>
          <w:rFonts w:asciiTheme="minorHAnsi" w:hAnsiTheme="minorHAnsi" w:eastAsiaTheme="minorEastAsia"/>
          <w:bCs w:val="0"/>
          <w:szCs w:val="22"/>
        </w:rPr>
      </w:r>
    </w:p>
    <w:p w14:paraId="085426DF" w14:textId="47478FB1">
      <w:pPr>
        <w:pStyle w:val="787"/>
        <w:suppressLineNumbers w:val="false"/>
        <w:pBdr/>
        <w:tabs>
          <w:tab w:val="left" w:leader="none" w:pos="1440"/>
        </w:tabs>
        <w:spacing w:line="300" w:lineRule="auto"/>
        <w:ind/>
        <w:rPr/>
      </w:pPr>
      <w:r/>
      <w:hyperlink w:tooltip="#_Toc66285140" w:anchor="_Toc66285140" w:history="1">
        <w:r>
          <w:rPr>
            <w:rStyle w:val="789"/>
          </w:rPr>
          <w:t xml:space="preserve">Chapter 1.</w:t>
        </w:r>
        <w:r>
          <w:rPr>
            <w:rFonts w:asciiTheme="minorHAnsi" w:hAnsiTheme="minorHAnsi" w:eastAsiaTheme="minorEastAsia"/>
            <w:b w:val="0"/>
            <w:bCs w:val="0"/>
            <w:szCs w:val="22"/>
          </w:rPr>
          <w:tab/>
        </w:r>
        <w:r>
          <w:rPr>
            <w:rStyle w:val="789"/>
          </w:rPr>
          <w:t xml:space="preserve">Introduction</w:t>
        </w:r>
        <w:r>
          <w:tab/>
        </w:r>
        <w:r>
          <w:fldChar w:fldCharType="begin"/>
        </w:r>
        <w:r>
          <w:instrText xml:space="preserve"> PAGEREF _Toc66285140 \h </w:instrText>
        </w:r>
        <w:r/>
        <w:r>
          <w:fldChar w:fldCharType="separate"/>
        </w:r>
        <w:r>
          <w:t xml:space="preserve">1</w:t>
        </w:r>
        <w:r>
          <w:fldChar w:fldCharType="end"/>
        </w:r>
      </w:hyperlink>
      <w:r/>
      <w:r/>
    </w:p>
    <w:p w14:paraId="7970D0E9" w14:textId="778004DE">
      <w:pPr>
        <w:suppressLineNumbers w:val="false"/>
        <w:pBdr/>
        <w:spacing w:line="300" w:lineRule="auto"/>
        <w:ind/>
        <w:rPr>
          <w:b/>
        </w:rPr>
      </w:pPr>
      <w:r>
        <w:rPr>
          <w:b/>
        </w:rPr>
        <w:t xml:space="preserve">Chapter 2.      </w:t>
      </w:r>
      <w:r>
        <w:rPr>
          <w:b/>
        </w:rPr>
        <w:t xml:space="preserve">Survey of VQA in Medicine with Application to Colonoscopy</w:t>
      </w:r>
      <w:r>
        <w:rPr>
          <w:b/>
        </w:rPr>
        <w:t xml:space="preserve">………13</w:t>
      </w:r>
      <w:r>
        <w:rPr>
          <w:b/>
        </w:rPr>
      </w:r>
    </w:p>
    <w:p w14:paraId="1F63FFE5" w14:textId="0547B303">
      <w:pPr>
        <w:pStyle w:val="787"/>
        <w:suppressLineNumbers w:val="false"/>
        <w:pBdr/>
        <w:spacing w:line="300" w:lineRule="auto"/>
        <w:ind/>
        <w:rPr>
          <w:rFonts w:asciiTheme="minorHAnsi" w:hAnsiTheme="minorHAnsi" w:eastAsiaTheme="minorEastAsia"/>
          <w:b w:val="0"/>
          <w:bCs w:val="0"/>
          <w:szCs w:val="22"/>
        </w:rPr>
      </w:pPr>
      <w:r/>
      <w:hyperlink w:tooltip="#_Toc66285141" w:anchor="_Toc66285141" w:history="1">
        <w:r>
          <w:rPr>
            <w:rStyle w:val="789"/>
          </w:rPr>
          <w:t xml:space="preserve">References</w:t>
        </w:r>
        <w:r>
          <w:tab/>
        </w:r>
        <w:r>
          <w:fldChar w:fldCharType="begin"/>
        </w:r>
        <w:r>
          <w:instrText xml:space="preserve"> PAGEREF _Toc66285141 \h </w:instrText>
        </w:r>
        <w:r/>
        <w:r>
          <w:fldChar w:fldCharType="separate"/>
        </w:r>
        <w:r>
          <w:t xml:space="preserve">2</w:t>
        </w:r>
        <w:r>
          <w:fldChar w:fldCharType="end"/>
        </w:r>
      </w:hyperlink>
      <w:r>
        <w:t xml:space="preserve">3</w:t>
      </w:r>
      <w:r>
        <w:rPr>
          <w:rFonts w:asciiTheme="minorHAnsi" w:hAnsiTheme="minorHAnsi" w:eastAsiaTheme="minorEastAsia"/>
          <w:b w:val="0"/>
          <w:bCs w:val="0"/>
          <w:szCs w:val="22"/>
        </w:rPr>
      </w:r>
    </w:p>
    <w:p w14:paraId="5A5CC796" w14:textId="455910E8">
      <w:pPr>
        <w:pStyle w:val="787"/>
        <w:suppressLineNumbers w:val="false"/>
        <w:pBdr/>
        <w:spacing w:line="300" w:lineRule="auto"/>
        <w:ind/>
        <w:rPr>
          <w:rFonts w:asciiTheme="minorHAnsi" w:hAnsiTheme="minorHAnsi" w:eastAsiaTheme="minorEastAsia"/>
          <w:b w:val="0"/>
          <w:bCs w:val="0"/>
          <w:szCs w:val="22"/>
        </w:rPr>
      </w:pPr>
      <w:r/>
      <w:hyperlink w:tooltip="#_Toc66285142" w:anchor="_Toc66285142" w:history="1">
        <w:r>
          <w:rPr>
            <w:rStyle w:val="789"/>
          </w:rPr>
          <w:t xml:space="preserve">Appendix A.  An Example of an Appendix</w:t>
        </w:r>
        <w:r>
          <w:tab/>
        </w:r>
        <w:r>
          <w:t xml:space="preserve">25</w:t>
        </w:r>
        <w:r>
          <w:fldChar w:fldCharType="begin"/>
        </w:r>
        <w:r>
          <w:instrText xml:space="preserve"> PAGEREF _Toc66285142 \h </w:instrText>
        </w:r>
        <w:r/>
        <w:r>
          <w:fldChar w:fldCharType="separate"/>
        </w:r>
        <w:r>
          <w:t xml:space="preserve">3</w:t>
        </w:r>
        <w:r>
          <w:fldChar w:fldCharType="end"/>
        </w:r>
      </w:hyperlink>
      <w:r/>
      <w:r>
        <w:rPr>
          <w:rFonts w:asciiTheme="minorHAnsi" w:hAnsiTheme="minorHAnsi" w:eastAsiaTheme="minorEastAsia"/>
          <w:b w:val="0"/>
          <w:bCs w:val="0"/>
          <w:szCs w:val="22"/>
        </w:rPr>
      </w:r>
    </w:p>
    <w:p w14:paraId="0E429537" w14:textId="00C6C7AE">
      <w:pPr>
        <w:suppressLineNumbers w:val="false"/>
        <w:pBdr/>
        <w:spacing w:line="300" w:lineRule="auto"/>
        <w:ind/>
        <w:rPr/>
      </w:pPr>
      <w:r>
        <w:fldChar w:fldCharType="end"/>
      </w:r>
      <w:r/>
    </w:p>
    <w:p w14:paraId="20F8E0D7" w14:textId="77777777">
      <w:pPr>
        <w:pStyle w:val="781"/>
        <w:suppressLineNumbers w:val="false"/>
        <w:pBdr/>
        <w:spacing w:line="300" w:lineRule="auto"/>
        <w:ind/>
        <w:rPr/>
      </w:pPr>
      <w:r/>
      <w:bookmarkStart w:id="6" w:name="_Toc66285135"/>
      <w:r>
        <w:t xml:space="preserve">List of Tables</w:t>
      </w:r>
      <w:bookmarkEnd w:id="6"/>
      <w:r/>
      <w:r/>
    </w:p>
    <w:p w14:paraId="67B0D2B1" w14:textId="18DB8D31">
      <w:pPr>
        <w:pStyle w:val="774"/>
        <w:suppressLineNumbers w:val="false"/>
        <w:pBdr/>
        <w:spacing w:line="300" w:lineRule="auto"/>
        <w:ind/>
        <w:rPr/>
      </w:pPr>
      <w:r>
        <w:rPr>
          <w:lang w:val="en-US"/>
        </w:rPr>
        <w:fldChar w:fldCharType="begin"/>
      </w:r>
      <w:r>
        <w:instrText xml:space="preserve"> TOC \c "Table" </w:instrText>
      </w:r>
      <w:r>
        <w:rPr>
          <w:lang w:val="en-US"/>
        </w:rPr>
        <w:fldChar w:fldCharType="separate"/>
      </w:r>
      <w:r>
        <w:rPr>
          <w:b/>
          <w:bCs/>
          <w:lang w:val="en-US"/>
        </w:rPr>
        <w:t xml:space="preserve">No table of figures entries found.</w:t>
      </w:r>
      <w:r>
        <w:fldChar w:fldCharType="end"/>
      </w:r>
      <w:r/>
    </w:p>
    <w:p w14:paraId="200A737F" w14:textId="601E7AB1">
      <w:pPr>
        <w:pStyle w:val="773"/>
        <w:suppressLineNumbers w:val="false"/>
        <w:pBdr/>
        <w:spacing w:line="300" w:lineRule="auto"/>
        <w:ind/>
        <w:rPr>
          <w:highlight w:val="yellow"/>
        </w:rPr>
      </w:pPr>
      <w:r>
        <w:rPr>
          <w:highlight w:val="yellow"/>
        </w:rPr>
        <w:t xml:space="preserve">Use References&gt;Insert Caption to create caption labels and numbers. Right-click on the text above and select Update Field to update this list. See the Thesis Template Instructions for information on creating tables, figures, and captions.</w:t>
      </w:r>
      <w:r>
        <w:rPr>
          <w:highlight w:val="yellow"/>
        </w:rPr>
      </w:r>
    </w:p>
    <w:p w14:paraId="15B5B926" w14:textId="77777777">
      <w:pPr>
        <w:pStyle w:val="773"/>
        <w:suppressLineNumbers w:val="false"/>
        <w:pBdr/>
        <w:spacing w:line="300" w:lineRule="auto"/>
        <w:ind/>
        <w:rPr>
          <w:highlight w:val="yellow"/>
        </w:rPr>
      </w:pPr>
      <w:r>
        <w:rPr>
          <w:highlight w:val="yellow"/>
        </w:rPr>
        <w:t xml:space="preserve">Remember to delete this note before submission. </w:t>
      </w:r>
      <w:r>
        <w:rPr>
          <w:highlight w:val="yellow"/>
        </w:rPr>
      </w:r>
    </w:p>
    <w:p w14:paraId="5B6E05D4" w14:textId="778C94E2">
      <w:pPr>
        <w:pStyle w:val="773"/>
        <w:suppressLineNumbers w:val="false"/>
        <w:pBdr/>
        <w:spacing w:line="300" w:lineRule="auto"/>
        <w:ind/>
        <w:rPr/>
      </w:pPr>
      <w:r>
        <w:rPr>
          <w:highlight w:val="yellow"/>
        </w:rPr>
        <w:t xml:space="preserve">If there are no tables in the document, remove this page.</w:t>
      </w:r>
      <w:r/>
    </w:p>
    <w:p w14:paraId="058FCE8F" w14:textId="77777777">
      <w:pPr>
        <w:pStyle w:val="781"/>
        <w:suppressLineNumbers w:val="false"/>
        <w:pBdr/>
        <w:spacing w:line="300" w:lineRule="auto"/>
        <w:ind/>
        <w:rPr/>
      </w:pPr>
      <w:r/>
      <w:bookmarkStart w:id="7" w:name="_Toc66285136"/>
      <w:r>
        <w:t xml:space="preserve">List of Figures</w:t>
      </w:r>
      <w:bookmarkEnd w:id="7"/>
      <w:r/>
      <w:r/>
    </w:p>
    <w:p w14:paraId="449CDAE5" w14:textId="77777777">
      <w:pPr>
        <w:pStyle w:val="774"/>
        <w:suppressLineNumbers w:val="false"/>
        <w:pBdr/>
        <w:spacing w:line="300" w:lineRule="auto"/>
        <w:ind/>
        <w:rPr/>
      </w:pPr>
      <w:r/>
      <w:r/>
    </w:p>
    <w:p w14:paraId="43EE6F4B" w14:textId="77777777">
      <w:pPr>
        <w:pStyle w:val="781"/>
        <w:suppressLineNumbers w:val="false"/>
        <w:pBdr/>
        <w:spacing w:line="300" w:lineRule="auto"/>
        <w:ind/>
        <w:rPr/>
      </w:pPr>
      <w:r/>
      <w:bookmarkStart w:id="8" w:name="_Toc66285137"/>
      <w:r>
        <w:t xml:space="preserve">List of Acronyms</w:t>
      </w:r>
      <w:bookmarkEnd w:id="8"/>
      <w:r/>
      <w:r/>
    </w:p>
    <w:tbl>
      <w:tblPr>
        <w:tblStyle w:val="83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0"/>
        <w:gridCol w:w="6830"/>
      </w:tblGrid>
      <w:tr>
        <w:trPr/>
        <w:tc>
          <w:tcPr>
            <w:tcBorders/>
            <w:tcW w:w="1800" w:type="dxa"/>
            <w:textDirection w:val="lrTb"/>
            <w:noWrap w:val="false"/>
          </w:tcPr>
          <w:p w14:paraId="17DF34DE" w14:textId="77777777">
            <w:pPr>
              <w:pStyle w:val="807"/>
              <w:suppressLineNumbers w:val="false"/>
              <w:pBdr/>
              <w:spacing w:line="300" w:lineRule="auto"/>
              <w:ind/>
              <w:rPr/>
            </w:pPr>
            <w:r/>
            <w:r/>
          </w:p>
        </w:tc>
        <w:tc>
          <w:tcPr>
            <w:tcBorders/>
            <w:tcW w:w="6830" w:type="dxa"/>
            <w:textDirection w:val="lrTb"/>
            <w:noWrap w:val="false"/>
          </w:tcPr>
          <w:p w14:paraId="68FBECE8" w14:textId="77777777">
            <w:pPr>
              <w:pStyle w:val="807"/>
              <w:suppressLineNumbers w:val="false"/>
              <w:pBdr/>
              <w:spacing w:line="300" w:lineRule="auto"/>
              <w:ind/>
              <w:rPr/>
            </w:pPr>
            <w:r/>
            <w:r/>
          </w:p>
        </w:tc>
      </w:tr>
      <w:tr>
        <w:trPr/>
        <w:tc>
          <w:tcPr>
            <w:tcBorders/>
            <w:tcW w:w="1800" w:type="dxa"/>
            <w:textDirection w:val="lrTb"/>
            <w:noWrap w:val="false"/>
          </w:tcPr>
          <w:p w14:paraId="0E94A983" w14:textId="77777777">
            <w:pPr>
              <w:pStyle w:val="807"/>
              <w:suppressLineNumbers w:val="false"/>
              <w:pBdr/>
              <w:spacing w:line="300" w:lineRule="auto"/>
              <w:ind/>
              <w:rPr/>
            </w:pPr>
            <w:r/>
            <w:r/>
          </w:p>
        </w:tc>
        <w:tc>
          <w:tcPr>
            <w:tcBorders/>
            <w:tcW w:w="6830" w:type="dxa"/>
            <w:textDirection w:val="lrTb"/>
            <w:noWrap w:val="false"/>
          </w:tcPr>
          <w:p w14:paraId="7837B5A4" w14:textId="77777777">
            <w:pPr>
              <w:pStyle w:val="807"/>
              <w:suppressLineNumbers w:val="false"/>
              <w:pBdr/>
              <w:spacing w:line="300" w:lineRule="auto"/>
              <w:ind/>
              <w:rPr/>
            </w:pPr>
            <w:r/>
            <w:r/>
          </w:p>
        </w:tc>
      </w:tr>
    </w:tbl>
    <w:p w14:paraId="1B68C9C0" w14:textId="77777777">
      <w:pPr>
        <w:pStyle w:val="774"/>
        <w:suppressLineNumbers w:val="false"/>
        <w:pBdr/>
        <w:spacing w:line="300" w:lineRule="auto"/>
        <w:ind/>
        <w:rPr/>
      </w:pPr>
      <w:r/>
      <w:r/>
    </w:p>
    <w:p w14:paraId="1E1089D8" w14:textId="77777777">
      <w:pPr>
        <w:pStyle w:val="781"/>
        <w:suppressLineNumbers w:val="false"/>
        <w:pBdr/>
        <w:spacing w:line="300" w:lineRule="auto"/>
        <w:ind/>
        <w:rPr/>
      </w:pPr>
      <w:r/>
      <w:bookmarkStart w:id="9" w:name="_Toc66285138"/>
      <w:r>
        <w:t xml:space="preserve">Glossary</w:t>
      </w:r>
      <w:bookmarkEnd w:id="9"/>
      <w:r/>
      <w:r/>
    </w:p>
    <w:tbl>
      <w:tblPr>
        <w:tblStyle w:val="83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85"/>
        <w:gridCol w:w="5845"/>
      </w:tblGrid>
      <w:tr>
        <w:trPr/>
        <w:tc>
          <w:tcPr>
            <w:tcBorders/>
            <w:tcW w:w="2785" w:type="dxa"/>
            <w:textDirection w:val="lrTb"/>
            <w:noWrap w:val="false"/>
          </w:tcPr>
          <w:p w14:paraId="7B84D4B1" w14:textId="0FF2DCF6">
            <w:pPr>
              <w:pStyle w:val="807"/>
              <w:suppressLineNumbers w:val="false"/>
              <w:pBdr/>
              <w:spacing w:line="300" w:lineRule="auto"/>
              <w:ind/>
              <w:rPr/>
            </w:pPr>
            <w:r>
              <w:t xml:space="preserve">Thesis</w:t>
            </w:r>
            <w:r/>
          </w:p>
        </w:tc>
        <w:tc>
          <w:tcPr>
            <w:tcBorders/>
            <w:tcW w:w="5845" w:type="dxa"/>
            <w:textDirection w:val="lrTb"/>
            <w:noWrap w:val="false"/>
          </w:tcPr>
          <w:p w14:paraId="31E09778" w14:textId="5949C699">
            <w:pPr>
              <w:pStyle w:val="807"/>
              <w:suppressLineNumbers w:val="false"/>
              <w:pBdr/>
              <w:spacing w:line="300" w:lineRule="auto"/>
              <w:ind/>
              <w:rPr/>
            </w:pPr>
            <w:r>
              <w:t xml:space="preserve">An ext</w:t>
            </w:r>
            <w:r>
              <w:t xml:space="preserve">ended research paper that is </w:t>
            </w:r>
            <w:r>
              <w:t xml:space="preserve">part of the final exam process for a graduate degree</w:t>
            </w:r>
            <w:r>
              <w:t xml:space="preserve">. The document may also be classified as a project or collection of extended essays.</w:t>
            </w:r>
            <w:r/>
          </w:p>
        </w:tc>
      </w:tr>
      <w:tr>
        <w:trPr/>
        <w:tc>
          <w:tcPr>
            <w:tcBorders/>
            <w:tcW w:w="2785" w:type="dxa"/>
            <w:textDirection w:val="lrTb"/>
            <w:noWrap w:val="false"/>
          </w:tcPr>
          <w:p w14:paraId="2637183F" w14:textId="30F5D137">
            <w:pPr>
              <w:pStyle w:val="807"/>
              <w:suppressLineNumbers w:val="false"/>
              <w:pBdr/>
              <w:spacing w:line="300" w:lineRule="auto"/>
              <w:ind/>
              <w:rPr/>
            </w:pPr>
            <w:r>
              <w:t xml:space="preserve">Glossary </w:t>
            </w:r>
            <w:r/>
          </w:p>
        </w:tc>
        <w:tc>
          <w:tcPr>
            <w:tcBorders/>
            <w:tcW w:w="5845" w:type="dxa"/>
            <w:textDirection w:val="lrTb"/>
            <w:noWrap w:val="false"/>
          </w:tcPr>
          <w:p w14:paraId="2AA9EB33" w14:textId="07F6246E">
            <w:pPr>
              <w:pStyle w:val="807"/>
              <w:suppressLineNumbers w:val="false"/>
              <w:pBdr/>
              <w:spacing w:line="300" w:lineRule="auto"/>
              <w:ind/>
              <w:rPr/>
            </w:pPr>
            <w:r>
              <w:t xml:space="preserve">An alphabetical list of key terms</w:t>
            </w:r>
            <w:r/>
          </w:p>
        </w:tc>
      </w:tr>
      <w:tr>
        <w:trPr/>
        <w:tc>
          <w:tcPr>
            <w:tcBorders/>
            <w:tcW w:w="2785" w:type="dxa"/>
            <w:textDirection w:val="lrTb"/>
            <w:noWrap w:val="false"/>
          </w:tcPr>
          <w:p w14:paraId="41BC213F" w14:textId="272B530A">
            <w:pPr>
              <w:pStyle w:val="807"/>
              <w:suppressLineNumbers w:val="false"/>
              <w:pBdr/>
              <w:spacing w:line="300" w:lineRule="auto"/>
              <w:ind/>
              <w:rPr/>
            </w:pPr>
            <w:r/>
            <w:r/>
          </w:p>
        </w:tc>
        <w:tc>
          <w:tcPr>
            <w:tcBorders/>
            <w:tcW w:w="5845" w:type="dxa"/>
            <w:textDirection w:val="lrTb"/>
            <w:noWrap w:val="false"/>
          </w:tcPr>
          <w:p w14:paraId="69543990" w14:textId="767E8DEF">
            <w:pPr>
              <w:pStyle w:val="807"/>
              <w:suppressLineNumbers w:val="false"/>
              <w:pBdr/>
              <w:spacing w:line="300" w:lineRule="auto"/>
              <w:ind/>
              <w:rPr/>
            </w:pPr>
            <w:r>
              <w:t xml:space="preserve">This is an optional page and can be removed if not used.</w:t>
            </w:r>
            <w:r/>
          </w:p>
        </w:tc>
      </w:tr>
      <w:tr>
        <w:trPr/>
        <w:tc>
          <w:tcPr>
            <w:tcBorders/>
            <w:tcW w:w="2785" w:type="dxa"/>
            <w:textDirection w:val="lrTb"/>
            <w:noWrap w:val="false"/>
          </w:tcPr>
          <w:p w14:paraId="4845FFFB" w14:textId="77777777">
            <w:pPr>
              <w:pStyle w:val="807"/>
              <w:suppressLineNumbers w:val="false"/>
              <w:pBdr/>
              <w:spacing w:line="300" w:lineRule="auto"/>
              <w:ind/>
              <w:rPr/>
            </w:pPr>
            <w:r/>
            <w:r/>
          </w:p>
        </w:tc>
        <w:tc>
          <w:tcPr>
            <w:tcBorders/>
            <w:tcW w:w="5845" w:type="dxa"/>
            <w:textDirection w:val="lrTb"/>
            <w:noWrap w:val="false"/>
          </w:tcPr>
          <w:p w14:paraId="407A178D" w14:textId="701805AE">
            <w:pPr>
              <w:pStyle w:val="807"/>
              <w:suppressLineNumbers w:val="false"/>
              <w:pBdr/>
              <w:spacing w:line="300" w:lineRule="auto"/>
              <w:ind/>
              <w:rPr/>
            </w:pPr>
            <w:r>
              <w:t xml:space="preserve">Use one table row for each item to allow sorting using Word’s table tools.</w:t>
            </w:r>
            <w:r/>
          </w:p>
        </w:tc>
      </w:tr>
      <w:tr>
        <w:trPr/>
        <w:tc>
          <w:tcPr>
            <w:tcBorders/>
            <w:tcW w:w="2785" w:type="dxa"/>
            <w:textDirection w:val="lrTb"/>
            <w:noWrap w:val="false"/>
          </w:tcPr>
          <w:p w14:paraId="6C4FC331" w14:textId="77777777">
            <w:pPr>
              <w:pStyle w:val="807"/>
              <w:suppressLineNumbers w:val="false"/>
              <w:pBdr/>
              <w:spacing w:line="300" w:lineRule="auto"/>
              <w:ind/>
              <w:rPr/>
            </w:pPr>
            <w:r/>
            <w:r/>
          </w:p>
        </w:tc>
        <w:tc>
          <w:tcPr>
            <w:tcBorders/>
            <w:tcW w:w="5845" w:type="dxa"/>
            <w:textDirection w:val="lrTb"/>
            <w:noWrap w:val="false"/>
          </w:tcPr>
          <w:p w14:paraId="4B001707" w14:textId="54A0309B">
            <w:pPr>
              <w:pStyle w:val="807"/>
              <w:suppressLineNumbers w:val="false"/>
              <w:pBdr/>
              <w:spacing w:line="300" w:lineRule="auto"/>
              <w:ind/>
              <w:rPr/>
            </w:pPr>
            <w:r>
              <w:t xml:space="preserve">Apply the style </w:t>
            </w:r>
            <w:r>
              <w:rPr>
                <w:b/>
              </w:rPr>
              <w:t xml:space="preserve">1_Para_NoSpace</w:t>
            </w:r>
            <w:r>
              <w:t xml:space="preserve"> </w:t>
            </w:r>
            <w:r>
              <w:t xml:space="preserve">to table rows as shown here.</w:t>
            </w:r>
            <w:r/>
          </w:p>
        </w:tc>
      </w:tr>
      <w:tr>
        <w:trPr/>
        <w:tc>
          <w:tcPr>
            <w:tcBorders/>
            <w:tcW w:w="2785" w:type="dxa"/>
            <w:textDirection w:val="lrTb"/>
            <w:noWrap w:val="false"/>
          </w:tcPr>
          <w:p w14:paraId="1A6AB485" w14:textId="77777777">
            <w:pPr>
              <w:pStyle w:val="807"/>
              <w:suppressLineNumbers w:val="false"/>
              <w:pBdr/>
              <w:spacing w:line="300" w:lineRule="auto"/>
              <w:ind/>
              <w:rPr/>
            </w:pPr>
            <w:r/>
            <w:r/>
          </w:p>
        </w:tc>
        <w:tc>
          <w:tcPr>
            <w:tcBorders/>
            <w:tcW w:w="5845" w:type="dxa"/>
            <w:textDirection w:val="lrTb"/>
            <w:noWrap w:val="false"/>
          </w:tcPr>
          <w:p w14:paraId="0A9C17A1" w14:textId="77777777">
            <w:pPr>
              <w:pStyle w:val="807"/>
              <w:suppressLineNumbers w:val="false"/>
              <w:pBdr/>
              <w:spacing w:line="300" w:lineRule="auto"/>
              <w:ind/>
              <w:rPr/>
            </w:pPr>
            <w:r/>
            <w:r/>
          </w:p>
        </w:tc>
      </w:tr>
    </w:tbl>
    <w:p w14:paraId="2D862DD5" w14:textId="43C6734B">
      <w:pPr>
        <w:pStyle w:val="781"/>
        <w:suppressLineNumbers w:val="false"/>
        <w:pBdr/>
        <w:spacing w:line="300" w:lineRule="auto"/>
        <w:ind/>
        <w:rPr/>
      </w:pPr>
      <w:r/>
      <w:bookmarkStart w:id="10" w:name="_Toc66285139"/>
      <w:r>
        <w:t xml:space="preserve">Preface/Executive Summary/Image</w:t>
      </w:r>
      <w:bookmarkEnd w:id="10"/>
      <w:r/>
      <w:r/>
    </w:p>
    <w:p w14:paraId="1333C2D7" w14:textId="080E1499">
      <w:pPr>
        <w:pStyle w:val="774"/>
        <w:suppressLineNumbers w:val="false"/>
        <w:pBdr/>
        <w:spacing w:line="300" w:lineRule="auto"/>
        <w:ind/>
        <w:rPr/>
      </w:pPr>
      <w:r>
        <w:t xml:space="preserve">This page can be used for a Preface, Executive Summary, or introductory image. This is an optional page and can be deleted if not used.</w:t>
      </w:r>
      <w:r>
        <w:t xml:space="preserve"> </w:t>
      </w:r>
      <w:r/>
    </w:p>
    <w:p w14:paraId="73A47AF6" w14:textId="41F305FC">
      <w:pPr>
        <w:pStyle w:val="774"/>
        <w:suppressLineNumbers w:val="false"/>
        <w:pBdr/>
        <w:spacing w:line="300" w:lineRule="auto"/>
        <w:ind/>
        <w:rPr/>
      </w:pPr>
      <w:r>
        <w:t xml:space="preserve">To hide the heading at the top of this page – e.g., if using an introductory image – select the text and change the text colour to white.</w:t>
      </w:r>
      <w:r/>
    </w:p>
    <w:p w14:paraId="754C8CCF" w14:textId="055E589D">
      <w:pPr>
        <w:pStyle w:val="774"/>
        <w:suppressLineNumbers w:val="false"/>
        <w:pBdr/>
        <w:spacing w:line="300" w:lineRule="auto"/>
        <w:ind/>
        <w:rPr/>
      </w:pPr>
      <w:r>
        <w:rPr>
          <w:highlight w:val="yellow"/>
        </w:rPr>
        <w:t xml:space="preserve">D</w:t>
      </w:r>
      <w:r>
        <w:rPr>
          <w:highlight w:val="yellow"/>
        </w:rPr>
        <w:t xml:space="preserve">o not</w:t>
      </w:r>
      <w:r>
        <w:rPr>
          <w:highlight w:val="yellow"/>
        </w:rPr>
        <w:t xml:space="preserve"> delete the </w:t>
      </w:r>
      <w:r>
        <w:rPr>
          <w:highlight w:val="yellow"/>
        </w:rPr>
        <w:t xml:space="preserve">section break</w:t>
      </w:r>
      <w:r>
        <w:rPr>
          <w:highlight w:val="yellow"/>
        </w:rPr>
        <w:t xml:space="preserve"> that follows this paragraph.</w:t>
      </w:r>
      <w:r>
        <w:rPr>
          <w:highlight w:val="yellow"/>
        </w:rPr>
        <w:t xml:space="preserve"> If the section break is not visible, turn on non-printing characters using the </w:t>
      </w:r>
      <w:r>
        <w:rPr>
          <w:highlight w:val="yellow"/>
        </w:rPr>
        <w:t xml:space="preserve">Show/Hide icon (</w:t>
      </w:r>
      <w:r>
        <w:rPr>
          <w:rFonts w:cs="Arial"/>
          <w:highlight w:val="yellow"/>
        </w:rPr>
        <w:t xml:space="preserve">¶</w:t>
      </w:r>
      <w:r>
        <w:rPr>
          <w:highlight w:val="yellow"/>
        </w:rPr>
        <w:t xml:space="preserve">) on the Home ribbon.</w:t>
      </w:r>
      <w:bookmarkStart w:id="11" w:name="_GoBack"/>
      <w:r/>
      <w:bookmarkEnd w:id="11"/>
      <w:r/>
      <w:r/>
    </w:p>
    <w:p w14:paraId="0F990FC3" w14:textId="77777777">
      <w:pPr>
        <w:pStyle w:val="774"/>
        <w:suppressLineNumbers w:val="false"/>
        <w:pBdr/>
        <w:spacing w:line="300" w:lineRule="auto"/>
        <w:ind/>
        <w:rPr/>
      </w:pPr>
      <w:r/>
      <w:r/>
    </w:p>
    <w:p w14:paraId="7DFE54F9" w14:textId="77777777">
      <w:pPr>
        <w:pStyle w:val="774"/>
        <w:suppressLineNumbers w:val="false"/>
        <w:pBdr/>
        <w:spacing w:line="300" w:lineRule="auto"/>
        <w:ind/>
        <w:rPr/>
        <w:sectPr>
          <w:footerReference w:type="default" r:id="rId9"/>
          <w:footnotePr/>
          <w:endnotePr/>
          <w:type w:val="nextPage"/>
          <w:pgSz w:h="15840" w:orient="portrait" w:w="12240"/>
          <w:pgMar w:top="1440" w:right="1800" w:bottom="1440" w:left="1800" w:header="720" w:footer="720" w:gutter="0"/>
          <w:pgNumType w:fmt="lowerRoman"/>
          <w:cols w:num="1" w:sep="0" w:space="720" w:equalWidth="1"/>
          <w:titlePg/>
        </w:sectPr>
      </w:pPr>
      <w:r/>
      <w:r/>
    </w:p>
    <w:p w14:paraId="480507BE" w14:textId="462E815D">
      <w:pPr>
        <w:pStyle w:val="761"/>
        <w:suppressLineNumbers w:val="false"/>
        <w:pBdr/>
        <w:spacing w:line="300" w:lineRule="auto"/>
        <w:ind/>
        <w:rPr/>
      </w:pPr>
      <w:r>
        <w:br/>
      </w:r>
      <w:r>
        <w:br/>
      </w:r>
      <w:bookmarkStart w:id="12" w:name="_Toc66285140"/>
      <w:r>
        <w:t xml:space="preserve">Introduction</w:t>
      </w:r>
      <w:bookmarkEnd w:id="12"/>
      <w:r/>
      <w:r/>
    </w:p>
    <w:p w14:paraId="1960384C" w14:textId="1BF67330">
      <w:pPr>
        <w:pStyle w:val="774"/>
        <w:suppressLineNumbers w:val="false"/>
        <w:pBdr/>
        <w:spacing w:line="300" w:lineRule="auto"/>
        <w:ind w:firstLine="0"/>
        <w:rPr>
          <w:b/>
          <w:bCs/>
          <w:sz w:val="28"/>
          <w:szCs w:val="28"/>
        </w:rPr>
      </w:pPr>
      <w:r>
        <w:rPr>
          <w:b/>
          <w:bCs/>
          <w:sz w:val="28"/>
          <w:szCs w:val="28"/>
        </w:rPr>
        <w:t xml:space="preserve">Background</w:t>
      </w:r>
      <w:r>
        <w:rPr>
          <w:b/>
          <w:bCs/>
          <w:sz w:val="28"/>
          <w:szCs w:val="28"/>
          <w:lang w:val="en-US"/>
        </w:rPr>
        <w:t xml:space="preserve"> &amp; Motivation</w:t>
      </w:r>
      <w:r>
        <w:rPr>
          <w:b/>
          <w:bCs/>
          <w:sz w:val="28"/>
          <w:szCs w:val="28"/>
        </w:rPr>
      </w:r>
    </w:p>
    <w:p w14:paraId="22F4C05B">
      <w:pPr>
        <w:pStyle w:val="774"/>
        <w:suppressLineNumbers w:val="false"/>
        <w:pBdr/>
        <w:spacing w:line="300" w:lineRule="auto"/>
        <w:ind/>
        <w:rPr>
          <w:highlight w:val="none"/>
        </w:rPr>
      </w:pPr>
      <w:r>
        <w:t xml:space="preserve">Medical Visual Question Answering (MedVQA) is an interdisciplinary field that integrates computer vision (CV), natural language processing (NLP), and clinical medicine. It aims to build artificial intelligence systems that can interpret medical images and a</w:t>
      </w:r>
      <w:r>
        <w:t xml:space="preserve">nswer clinically relevant questions expressed in natural language. In contrast to conventional image classification systems that return only categorical predictions, MedVQA is designed to support question-driven interaction. This interaction model is closel</w:t>
      </w:r>
      <w:r>
        <w:t xml:space="preserve">y aligned with how clinicians reason in practice, where interpretation is typically guided by targeted questions rather than isolated labels.</w:t>
      </w:r>
      <w:r/>
    </w:p>
    <w:p w14:paraId="46A201E7">
      <w:pPr>
        <w:pStyle w:val="774"/>
        <w:suppressLineNumbers w:val="false"/>
        <w:pBdr/>
        <w:spacing w:line="300" w:lineRule="auto"/>
        <w:ind/>
        <w:rPr/>
      </w:pPr>
      <w:r>
        <w:t xml:space="preserve">MedVQA offers substantial potential for clinical decision support. Its expected benefits include improved diagnostic consistency, reduced physician workload, and wider access to specialist-level interpretation in telemedicine and resource-constrained settin</w:t>
      </w:r>
      <w:r>
        <w:t xml:space="preserve">gs. The long-term objective is not to replace clinical judgment, but to provide an intelligent and transparent assistant that can complement clinical reasoning within existing workflows.</w:t>
      </w:r>
      <w:r/>
      <w:r/>
    </w:p>
    <w:p w14:paraId="2B68F821">
      <w:pPr>
        <w:pStyle w:val="774"/>
        <w:suppressLineNumbers w:val="false"/>
        <w:pBdr/>
        <w:spacing w:line="300" w:lineRule="auto"/>
        <w:ind/>
        <w:rPr/>
      </w:pPr>
      <w:r>
        <w:t xml:space="preserve">Unlike general-domain VQA, MedVQA faces domain-specific constraints. Medical images often include subtle, overlapping, or low-contrast findings that require specialized interpretation. Clinical questions frequently require multi-step reasoning, in which vis</w:t>
      </w:r>
      <w:r>
        <w:t xml:space="preserve">ual evidence must be combined with biomedical context and task intent. These characteristics make MedVQA both a technically demanding multimodal task and a clinically sensitive reliability challenge.</w:t>
      </w:r>
      <w:r/>
      <w:r/>
    </w:p>
    <w:p w14:paraId="3F05320D">
      <w:pPr>
        <w:pStyle w:val="774"/>
        <w:suppressLineNumbers w:val="false"/>
        <w:pBdr/>
        <w:spacing w:line="300" w:lineRule="auto"/>
        <w:ind/>
        <w:rPr/>
      </w:pPr>
      <w:r>
        <w:t xml:space="preserve">The technical foundation of MedVQA combines CV-based image representation with NLP-based question understanding and answer synthesis. Early systems were predominantly discriminative, using an image encoder, a question encoder, a fusion module, and a fixed a</w:t>
      </w:r>
      <w:r>
        <w:t xml:space="preserve">nswer set. These systems performed adequately on constrained tasks but showed limited flexibility for nuanced and open-ended clinical questions [1], [2], [3]. Recent work has shifted toward transformer-based multimodal architectures and generative response </w:t>
      </w:r>
      <w:r>
        <w:t xml:space="preserve">models, supported by large-scale vision-language pretraining [4], [5] and contemporary MedVQA surveys of large multimodal model behavior [8], [9]. In parallel, biomedical language models such as BioBERT and BioGPT have improved domain-specific language unde</w:t>
      </w:r>
      <w:r>
        <w:t xml:space="preserve">rstanding and generation [6], [7].</w:t>
      </w:r>
      <w:r/>
      <w:r/>
    </w:p>
    <w:p w14:paraId="6B8C6098">
      <w:pPr>
        <w:pStyle w:val="774"/>
        <w:suppressLineNumbers w:val="false"/>
        <w:pBdr/>
        <w:spacing w:line="300" w:lineRule="auto"/>
        <w:ind w:firstLine="0"/>
        <w:rPr/>
      </w:pPr>
      <w:r>
        <w:t xml:space="preserve">Despite this progress, the gap between benchmark performance and reliable clinical utility remains significant. Three persistent tensions define the present landscape:</w:t>
      </w:r>
      <w:r/>
    </w:p>
    <w:p w14:paraId="7461EE90">
      <w:pPr>
        <w:pStyle w:val="774"/>
        <w:suppressLineNumbers w:val="false"/>
        <w:pBdr/>
        <w:spacing w:line="300" w:lineRule="auto"/>
        <w:ind w:firstLine="0"/>
        <w:rPr/>
      </w:pPr>
      <w:r>
        <w:rPr>
          <w:b/>
          <w:bCs/>
        </w:rPr>
        <w:t xml:space="preserve">Expressiveness versus reliability</w:t>
      </w:r>
      <w:r>
        <w:t xml:space="preserve">: Generative models can produce richer answers, but may exhibit lexical drift, weak grounding, or hallucinated content.</w:t>
      </w:r>
      <w:r/>
    </w:p>
    <w:p w14:paraId="70982DA6">
      <w:pPr>
        <w:pStyle w:val="774"/>
        <w:suppressLineNumbers w:val="false"/>
        <w:pBdr/>
        <w:spacing w:line="300" w:lineRule="auto"/>
        <w:ind w:firstLine="0"/>
        <w:rPr/>
      </w:pPr>
      <w:r>
        <w:rPr>
          <w:b/>
          <w:bCs/>
        </w:rPr>
        <w:t xml:space="preserve">Aggregate performance versus clinical robustness</w:t>
      </w:r>
      <w:r>
        <w:t xml:space="preserve">: High overall accuracy can conceal clinically critical failures in minority classes.</w:t>
      </w:r>
      <w:r/>
    </w:p>
    <w:p w14:paraId="583EDBB9">
      <w:pPr>
        <w:pStyle w:val="774"/>
        <w:suppressLineNumbers w:val="false"/>
        <w:pBdr/>
        <w:spacing w:line="300" w:lineRule="auto"/>
        <w:ind w:firstLine="0"/>
        <w:rPr/>
      </w:pPr>
      <w:r>
        <w:rPr>
          <w:b/>
          <w:bCs/>
        </w:rPr>
        <w:t xml:space="preserve">General multimodal capability versus medical domain specificity</w:t>
      </w:r>
      <w:r>
        <w:t xml:space="preserve">: Zero-shot transfer from general VLMs often underperforms in specialized clinical settings.</w:t>
      </w:r>
      <w:r/>
    </w:p>
    <w:p w14:paraId="5093C8F0">
      <w:pPr>
        <w:pStyle w:val="774"/>
        <w:suppressLineNumbers w:val="false"/>
        <w:pBdr/>
        <w:spacing w:line="300" w:lineRule="auto"/>
        <w:ind w:firstLine="0"/>
        <w:rPr>
          <w:highlight w:val="none"/>
        </w:rPr>
      </w:pPr>
      <w:r>
        <w:t xml:space="preserve">This dissertation is motivated by these tensions and investigates them in the context of gastrointestinal endoscopy, with a specific focus on colonoscopy-oriented MedVQA.</w:t>
      </w:r>
      <w:r>
        <w:rPr>
          <w:highlight w:val="none"/>
        </w:rPr>
      </w:r>
    </w:p>
    <w:p w14:paraId="1070A95A">
      <w:pPr>
        <w:pStyle w:val="774"/>
        <w:suppressLineNumbers w:val="false"/>
        <w:pBdr/>
        <w:spacing w:line="300" w:lineRule="auto"/>
        <w:ind w:firstLine="0"/>
        <w:rPr>
          <w:highlight w:val="none"/>
        </w:rPr>
      </w:pPr>
      <w:r>
        <w:rPr>
          <w:highlight w:val="none"/>
        </w:rPr>
      </w:r>
      <w:r>
        <w:rPr>
          <w:highlight w:val="none"/>
        </w:rPr>
      </w:r>
      <w:r>
        <w:rPr>
          <w:highlight w:val="none"/>
        </w:rPr>
      </w:r>
    </w:p>
    <w:p w14:paraId="0351C390">
      <w:pPr>
        <w:pStyle w:val="774"/>
        <w:suppressLineNumbers w:val="false"/>
        <w:pBdr/>
        <w:spacing w:line="300" w:lineRule="auto"/>
        <w:ind w:firstLine="0"/>
        <w:rPr/>
      </w:pPr>
      <w:r>
        <w:t xml:space="preserve">1.1.1 From Fixed-Answer Systems to Generative Multimodal Models</w:t>
      </w:r>
      <w:r/>
    </w:p>
    <w:p w14:paraId="0CBD08B1">
      <w:pPr>
        <w:pStyle w:val="774"/>
        <w:suppressLineNumbers w:val="false"/>
        <w:pBdr/>
        <w:spacing w:line="300" w:lineRule="auto"/>
        <w:ind w:firstLine="720"/>
        <w:rPr/>
      </w:pPr>
      <w:r>
        <w:t xml:space="preserve">The historical evolution of MedVQA provides an important context for this thesis. In early systems, answer generation was operationally equivalent to label selection. This formulation enabled straightforward optimization and evaluation, but it constrained c</w:t>
      </w:r>
      <w:r>
        <w:t xml:space="preserve">linically meaningful expression. Complex questions were often reduced to coarse categorical outputs, limiting interpretability and reducing practical value for clinicians.</w:t>
      </w:r>
      <w:r/>
      <w:r/>
    </w:p>
    <w:p w14:paraId="36C7FAFB">
      <w:pPr>
        <w:pStyle w:val="774"/>
        <w:suppressLineNumbers w:val="false"/>
        <w:pBdr/>
        <w:spacing w:line="300" w:lineRule="auto"/>
        <w:ind w:firstLine="720"/>
        <w:rPr/>
      </w:pPr>
      <w:r>
        <w:t xml:space="preserve">Transformer-era multimodal models improved cross-modal alignment and enabled free-text response generation. This transition addressed important limitations of earlier systems, particularly weak question-image interaction and restricted output vocabulary. Ho</w:t>
      </w:r>
      <w:r>
        <w:t xml:space="preserve">wever, it also introduced new risks. In clinical settings, a fluent answer that is weakly grounded in image evidence may be more problematic than a constrained but verifiable answer. Consequently, model expressiveness must be balanced with grounding, calibr</w:t>
      </w:r>
      <w:r>
        <w:t xml:space="preserve">ation, and error control.</w:t>
      </w:r>
      <w:r/>
      <w:r/>
    </w:p>
    <w:p w14:paraId="5AE4DE3D">
      <w:pPr>
        <w:pStyle w:val="774"/>
        <w:suppressLineNumbers w:val="false"/>
        <w:pBdr/>
        <w:spacing w:line="300" w:lineRule="auto"/>
        <w:ind w:firstLine="720"/>
        <w:rPr/>
      </w:pPr>
      <w:r>
        <w:t xml:space="preserve">Another major shift has occurred at the evaluation level. Instead of reporting performance within a single benchmark only, recent studies increasingly examine cross-dataset behavior and robustness to distributional changes. This is particularly relevant in </w:t>
      </w:r>
      <w:r>
        <w:t xml:space="preserve">GI endoscopy, where data heterogeneity in question templates, answer conventions, and visual characteristics can be substantial.</w:t>
      </w:r>
      <w:r/>
      <w:r/>
    </w:p>
    <w:p w14:paraId="4A828679">
      <w:pPr>
        <w:pStyle w:val="774"/>
        <w:suppressLineNumbers w:val="false"/>
        <w:pBdr/>
        <w:spacing w:line="300" w:lineRule="auto"/>
        <w:ind w:firstLine="0"/>
        <w:rPr/>
      </w:pPr>
      <w:r>
        <w:t xml:space="preserve">1.1.2 Limitations of Aggregate Benchmark Scores in Clinical AI</w:t>
      </w:r>
      <w:r/>
    </w:p>
    <w:p w14:paraId="0A88D7D9">
      <w:pPr>
        <w:pStyle w:val="774"/>
        <w:suppressLineNumbers w:val="false"/>
        <w:pBdr/>
        <w:spacing w:line="300" w:lineRule="auto"/>
        <w:ind w:firstLine="720"/>
        <w:rPr/>
      </w:pPr>
      <w:r>
        <w:t xml:space="preserve">Benchmark metrics remain necessary, but they are not sufficient for clinical validation. A model can achieve high overall accuracy while failing on rare yet clinically consequential categories. Weighted scores may obscure failures in underrepresented classe</w:t>
      </w:r>
      <w:r>
        <w:t xml:space="preserve">s, and single-point metrics may not capture the clinical implications of specific error types.</w:t>
      </w:r>
      <w:r/>
      <w:r/>
    </w:p>
    <w:p w14:paraId="4A441F6B">
      <w:pPr>
        <w:pStyle w:val="774"/>
        <w:suppressLineNumbers w:val="false"/>
        <w:pBdr/>
        <w:spacing w:line="300" w:lineRule="auto"/>
        <w:ind w:firstLine="720"/>
        <w:rPr/>
      </w:pPr>
      <w:r>
        <w:t xml:space="preserve">For severity-oriented tasks, ordinal relationships are also important. Confusing adjacent grades is not equivalent to missing severe disease altogether. Therefore, evaluation design in clinical MedVQA should include classwise metrics, imbalance-aware metric</w:t>
      </w:r>
      <w:r>
        <w:t xml:space="preserve">s, ordinally sensitive metrics, and scenario-level acceptance logic.</w:t>
      </w:r>
      <w:r/>
      <w:r/>
    </w:p>
    <w:p w14:paraId="422F1720">
      <w:pPr>
        <w:pStyle w:val="774"/>
        <w:suppressLineNumbers w:val="false"/>
        <w:pBdr/>
        <w:spacing w:line="300" w:lineRule="auto"/>
        <w:ind w:firstLine="720"/>
        <w:rPr/>
      </w:pPr>
      <w:r>
        <w:t xml:space="preserve">This dissertation adopts that broader evaluation view from Chapter 1 onward. In addition, answer format itself is treated as an evaluable design choice. For certain use cases, label-only output may be sufficient; for others, clinicians may require rationale</w:t>
      </w:r>
      <w:r>
        <w:t xml:space="preserve">, confidence estimates, or evidence pointers. A reliable clinical assistant must be assessed on both predictive accuracy and output usability.</w:t>
      </w:r>
      <w:r/>
    </w:p>
    <w:p w14:paraId="7DC3B329">
      <w:pPr>
        <w:pStyle w:val="774"/>
        <w:suppressLineNumbers w:val="false"/>
        <w:pBdr/>
        <w:spacing w:line="300" w:lineRule="auto"/>
        <w:ind w:firstLine="0"/>
        <w:rPr/>
      </w:pPr>
      <w:r>
        <w:t xml:space="preserve">1.2 Why GI Endoscopy and Colonoscopy</w:t>
      </w:r>
      <w:r/>
    </w:p>
    <w:p w14:paraId="2238219F">
      <w:pPr>
        <w:pStyle w:val="774"/>
        <w:suppressLineNumbers w:val="false"/>
        <w:pBdr/>
        <w:spacing w:line="300" w:lineRule="auto"/>
        <w:ind w:firstLine="0"/>
        <w:rPr/>
      </w:pPr>
      <w:r>
        <w:t xml:space="preserve">Gastrointestinal (GI) endoscopy is a strategically important target for MedVQA from both clinical and methodological perspectives.</w:t>
      </w:r>
      <w:r/>
      <w:r/>
    </w:p>
    <w:p w14:paraId="34E4FC19">
      <w:pPr>
        <w:pStyle w:val="774"/>
        <w:suppressLineNumbers w:val="false"/>
        <w:pBdr/>
        <w:spacing w:line="300" w:lineRule="auto"/>
        <w:ind w:firstLine="0"/>
        <w:rPr/>
      </w:pPr>
      <w:r>
        <w:t xml:space="preserve">Clinically, colonoscopy supports screening, diagnosis, and follow-up across multiple disease contexts, including colorectal neoplasia and inflammatory bowel disease. Endoscopic interpretation directly affects treatment escalation, surveillance decisions, an</w:t>
      </w:r>
      <w:r>
        <w:t xml:space="preserve">d procedural reporting. In routine practice, clinicians frequently pose focused questions such as:</w:t>
      </w:r>
      <w:r/>
      <w:r/>
    </w:p>
    <w:p w14:paraId="721F4E92">
      <w:pPr>
        <w:pStyle w:val="774"/>
        <w:numPr>
          <w:ilvl w:val="0"/>
          <w:numId w:val="11"/>
        </w:numPr>
        <w:suppressLineNumbers w:val="false"/>
        <w:pBdr/>
        <w:spacing w:line="300" w:lineRule="auto"/>
        <w:ind/>
        <w:rPr/>
      </w:pPr>
      <w:r>
        <w:t xml:space="preserve">Is an abnormality present?</w:t>
      </w:r>
      <w:r/>
    </w:p>
    <w:p w14:paraId="60356D3B">
      <w:pPr>
        <w:pStyle w:val="774"/>
        <w:numPr>
          <w:ilvl w:val="0"/>
          <w:numId w:val="11"/>
        </w:numPr>
        <w:suppressLineNumbers w:val="false"/>
        <w:pBdr/>
        <w:spacing w:line="300" w:lineRule="auto"/>
        <w:ind/>
        <w:rPr/>
      </w:pPr>
      <w:r>
        <w:t xml:space="preserve">How many findings are visible?</w:t>
      </w:r>
      <w:r/>
    </w:p>
    <w:p w14:paraId="34D6544D">
      <w:pPr>
        <w:pStyle w:val="774"/>
        <w:numPr>
          <w:ilvl w:val="0"/>
          <w:numId w:val="11"/>
        </w:numPr>
        <w:suppressLineNumbers w:val="false"/>
        <w:pBdr/>
        <w:spacing w:line="300" w:lineRule="auto"/>
        <w:ind/>
        <w:rPr/>
      </w:pPr>
      <w:r>
        <w:t xml:space="preserve">Where is the lesion located?</w:t>
      </w:r>
      <w:r/>
    </w:p>
    <w:p w14:paraId="3BB894DE">
      <w:pPr>
        <w:pStyle w:val="774"/>
        <w:numPr>
          <w:ilvl w:val="0"/>
          <w:numId w:val="11"/>
        </w:numPr>
        <w:suppressLineNumbers w:val="false"/>
        <w:pBdr/>
        <w:spacing w:line="300" w:lineRule="auto"/>
        <w:ind/>
        <w:rPr/>
      </w:pPr>
      <w:r>
        <w:t xml:space="preserve">What type or morphology is observed?</w:t>
      </w:r>
      <w:r/>
    </w:p>
    <w:p w14:paraId="151B2E34">
      <w:pPr>
        <w:pStyle w:val="774"/>
        <w:numPr>
          <w:ilvl w:val="0"/>
          <w:numId w:val="11"/>
        </w:numPr>
        <w:suppressLineNumbers w:val="false"/>
        <w:pBdr/>
        <w:spacing w:line="300" w:lineRule="auto"/>
        <w:ind/>
        <w:rPr/>
      </w:pPr>
      <w:r>
        <w:t xml:space="preserve">What is the likely severity of inflammation?</w:t>
      </w:r>
      <w:r/>
    </w:p>
    <w:p w14:paraId="2E00C101">
      <w:pPr>
        <w:pStyle w:val="774"/>
        <w:suppressLineNumbers w:val="false"/>
        <w:pBdr/>
        <w:spacing w:line="300" w:lineRule="auto"/>
        <w:ind w:firstLine="0"/>
        <w:rPr/>
      </w:pPr>
      <w:r>
        <w:t xml:space="preserve">These question types map naturally to MedVQA task families and are suitable for systematic evaluation.</w:t>
      </w:r>
      <w:r/>
      <w:r/>
    </w:p>
    <w:p w14:paraId="47040743">
      <w:pPr>
        <w:pStyle w:val="774"/>
        <w:suppressLineNumbers w:val="false"/>
        <w:pBdr/>
        <w:spacing w:line="300" w:lineRule="auto"/>
        <w:ind w:firstLine="720"/>
        <w:rPr/>
      </w:pPr>
      <w:r>
        <w:t xml:space="preserve">From a technical perspective, GI endoscopy is challenging. Image quality can vary due to motion blur, specular reflections, debris, variable bowel preparation, and viewpoint variation. Question-answer distributions can be highly imbalanced, with clinically </w:t>
      </w:r>
      <w:r>
        <w:t xml:space="preserve">important severe classes often underrepresented. Consequently, colonoscopy MedVQA provides a realistic and stringent setting for evaluating reliability under domain shift and class imbalance.</w:t>
      </w:r>
      <w:r/>
      <w:r/>
    </w:p>
    <w:p w14:paraId="3E7DDF47">
      <w:pPr>
        <w:pStyle w:val="774"/>
        <w:suppressLineNumbers w:val="false"/>
        <w:pBdr/>
        <w:spacing w:line="300" w:lineRule="auto"/>
        <w:ind w:firstLine="0"/>
        <w:rPr/>
      </w:pPr>
      <w:r>
        <w:t xml:space="preserve">Recent dataset development makes this thesis direction feasible:</w:t>
      </w:r>
      <w:r/>
      <w:r/>
    </w:p>
    <w:p w14:paraId="734AA1D9">
      <w:pPr>
        <w:pStyle w:val="774"/>
        <w:numPr>
          <w:ilvl w:val="0"/>
          <w:numId w:val="12"/>
        </w:numPr>
        <w:suppressLineNumbers w:val="false"/>
        <w:pBdr/>
        <w:spacing w:after="240" w:before="120" w:line="300" w:lineRule="auto"/>
        <w:ind/>
        <w:rPr/>
      </w:pPr>
      <w:r>
        <w:t xml:space="preserve">Kvasir-VQA introduced GI-focused visual question answering at scale (58,849 QA pairs over 6,500 images) [12], [19].</w:t>
      </w:r>
      <w:r/>
    </w:p>
    <w:p w14:paraId="49416A30">
      <w:pPr>
        <w:pStyle w:val="774"/>
        <w:numPr>
          <w:ilvl w:val="0"/>
          <w:numId w:val="12"/>
        </w:numPr>
        <w:suppressLineNumbers w:val="false"/>
        <w:pBdr/>
        <w:spacing w:after="240" w:before="120" w:line="300" w:lineRule="auto"/>
        <w:ind/>
        <w:rPr/>
      </w:pPr>
      <w:r>
        <w:t xml:space="preserve">Kvasir-VQA-x1 expanded complexity and scale (159,549 QA pairs) and introduced transformed/robustness-oriented settings [13].</w:t>
      </w:r>
      <w:r/>
    </w:p>
    <w:p w14:paraId="43E406F3">
      <w:pPr>
        <w:pStyle w:val="774"/>
        <w:numPr>
          <w:ilvl w:val="0"/>
          <w:numId w:val="12"/>
        </w:numPr>
        <w:suppressLineNumbers w:val="false"/>
        <w:pBdr/>
        <w:spacing w:after="240" w:before="120" w:line="300" w:lineRule="auto"/>
        <w:ind/>
        <w:rPr/>
      </w:pPr>
      <w:r>
        <w:t xml:space="preserve">ImageCLEF MEDVQA-GI provided shared benchmarking tracks for GI VQA [10], [11].</w:t>
      </w:r>
      <w:r/>
    </w:p>
    <w:p w14:paraId="5132C9B7">
      <w:pPr>
        <w:pStyle w:val="774"/>
        <w:numPr>
          <w:ilvl w:val="0"/>
          <w:numId w:val="12"/>
        </w:numPr>
        <w:suppressLineNumbers w:val="false"/>
        <w:pBdr/>
        <w:spacing w:after="240" w:before="120" w:line="300" w:lineRule="auto"/>
        <w:ind/>
        <w:rPr/>
      </w:pPr>
      <w:r>
        <w:t xml:space="preserve">HyperKvasir and LIMUC provide broader GI visual context and severity-oriented subsets [15], [18].</w:t>
      </w:r>
      <w:r/>
    </w:p>
    <w:p w14:paraId="2845BD5F">
      <w:pPr>
        <w:pStyle w:val="774"/>
        <w:suppressLineNumbers w:val="false"/>
        <w:pBdr/>
        <w:spacing w:after="240" w:before="120" w:line="300" w:lineRule="auto"/>
        <w:ind w:firstLine="0" w:left="720"/>
        <w:rPr/>
      </w:pPr>
      <w:r/>
      <w:r/>
      <w:r/>
    </w:p>
    <w:p w14:paraId="42DAA756">
      <w:pPr>
        <w:pStyle w:val="774"/>
        <w:suppressLineNumbers w:val="false"/>
        <w:pBdr/>
        <w:spacing w:after="240" w:before="120" w:line="300" w:lineRule="auto"/>
        <w:ind w:firstLine="0" w:left="720"/>
        <w:rPr/>
      </w:pPr>
      <w:r/>
      <w:r/>
      <w:r/>
    </w:p>
    <w:p w14:paraId="43B22AD6">
      <w:pPr>
        <w:pStyle w:val="774"/>
        <w:suppressLineNumbers w:val="false"/>
        <w:pBdr/>
        <w:spacing w:after="240" w:before="120" w:line="300" w:lineRule="auto"/>
        <w:ind w:firstLine="0" w:left="720"/>
        <w:rPr/>
      </w:pPr>
      <w:r>
        <w:rPr>
          <w:highlight w:val="none"/>
        </w:rPr>
      </w:r>
      <w:r>
        <w:rPr>
          <w:highlight w:val="none"/>
        </w:rPr>
      </w:r>
      <w:r>
        <w:rPr>
          <w:highlight w:val="none"/>
        </w:rPr>
      </w:r>
    </w:p>
    <w:p w14:paraId="1C29015A">
      <w:pPr>
        <w:pStyle w:val="774"/>
        <w:suppressLineNumbers w:val="false"/>
        <w:pBdr/>
        <w:spacing w:line="300" w:lineRule="auto"/>
        <w:ind w:firstLine="0"/>
        <w:rPr>
          <w:highlight w:val="none"/>
        </w:rPr>
      </w:pPr>
      <w:r>
        <w:t xml:space="preserve">These resources enable reproducible analysis, but they do not remove the central challenge: building systems that remain reliable not only on common benchmark patterns, but also on clinically high-risk cases.</w:t>
      </w:r>
      <w:r/>
      <w:r/>
    </w:p>
    <w:p w14:paraId="5ACADD6D">
      <w:pPr>
        <w:pStyle w:val="774"/>
        <w:suppressLineNumbers w:val="false"/>
        <w:pBdr/>
        <w:spacing w:line="300" w:lineRule="auto"/>
        <w:ind w:firstLine="0"/>
        <w:rPr>
          <w:highlight w:val="none"/>
        </w:rPr>
      </w:pPr>
      <w:r>
        <w:rPr>
          <w:highlight w:val="none"/>
          <w:lang w:val="en-US"/>
        </w:rPr>
        <w:t xml:space="preserve">1.2.1 </w:t>
      </w:r>
      <w:r>
        <w:rPr>
          <w:highlight w:val="none"/>
        </w:rPr>
        <w:t xml:space="preserve">Colonoscopy Question Families and Their Decision Roles</w:t>
      </w:r>
      <w:r>
        <w:rPr>
          <w:highlight w:val="none"/>
        </w:rPr>
      </w:r>
      <w:r/>
    </w:p>
    <w:p w14:paraId="2440C9D2">
      <w:pPr>
        <w:pStyle w:val="774"/>
        <w:suppressLineNumbers w:val="false"/>
        <w:pBdr/>
        <w:spacing w:line="300" w:lineRule="auto"/>
        <w:ind w:firstLine="0"/>
        <w:rPr>
          <w:highlight w:val="none"/>
        </w:rPr>
      </w:pPr>
      <w:r>
        <w:rPr>
          <w:highlight w:val="none"/>
        </w:rPr>
      </w:r>
      <w:r>
        <w:rPr>
          <w:highlight w:val="none"/>
        </w:rPr>
        <w:t xml:space="preserve">To ensure methodological clarity, this thesis maps question families to their clinical decision roles.</w:t>
      </w:r>
      <w:r>
        <w:rPr>
          <w:highlight w:val="none"/>
        </w:rPr>
      </w:r>
      <w:r/>
    </w:p>
    <w:tbl>
      <w:tblPr>
        <w:tblStyle w:val="831"/>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9006CFE">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Question family</w:t>
            </w:r>
            <w:r>
              <w:rPr>
                <w:color w:val="000000" w:themeColor="text1"/>
              </w:rPr>
            </w:r>
          </w:p>
        </w:tc>
        <w:tc>
          <w:tcPr>
            <w:tcBorders/>
            <w:tcW w:w="2160" w:type="dxa"/>
            <w:textDirection w:val="lrTb"/>
            <w:noWrap w:val="false"/>
          </w:tcPr>
          <w:p w14:paraId="73864AC6">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Example</w:t>
            </w:r>
            <w:r>
              <w:rPr>
                <w:color w:val="000000" w:themeColor="text1"/>
              </w:rPr>
            </w:r>
          </w:p>
        </w:tc>
        <w:tc>
          <w:tcPr>
            <w:tcBorders/>
            <w:tcW w:w="2160" w:type="dxa"/>
            <w:textDirection w:val="lrTb"/>
            <w:noWrap w:val="false"/>
          </w:tcPr>
          <w:p w14:paraId="7CBA5471">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Dominant challenge</w:t>
            </w:r>
            <w:r>
              <w:rPr>
                <w:color w:val="000000" w:themeColor="text1"/>
              </w:rPr>
            </w:r>
          </w:p>
        </w:tc>
        <w:tc>
          <w:tcPr>
            <w:tcBorders/>
            <w:tcW w:w="2160" w:type="dxa"/>
            <w:textDirection w:val="lrTb"/>
            <w:noWrap w:val="false"/>
          </w:tcPr>
          <w:p w14:paraId="259194BC">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Decision role</w:t>
            </w:r>
            <w:r>
              <w:rPr>
                <w:color w:val="000000" w:themeColor="text1"/>
              </w:rPr>
            </w:r>
          </w:p>
        </w:tc>
      </w:tr>
      <w:tr>
        <w:trPr/>
        <w:tc>
          <w:tcPr>
            <w:tcBorders/>
            <w:tcW w:w="2160" w:type="dxa"/>
            <w:textDirection w:val="lrTb"/>
            <w:noWrap w:val="false"/>
          </w:tcPr>
          <w:p w14:paraId="1509979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Presence</w:t>
            </w:r>
            <w:r>
              <w:rPr>
                <w:color w:val="000000" w:themeColor="text1"/>
              </w:rPr>
            </w:r>
          </w:p>
        </w:tc>
        <w:tc>
          <w:tcPr>
            <w:tcBorders/>
            <w:tcW w:w="2160" w:type="dxa"/>
            <w:textDirection w:val="lrTb"/>
            <w:noWrap w:val="false"/>
          </w:tcPr>
          <w:p w14:paraId="4DCA3DC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"Is there active bleeding?"</w:t>
            </w:r>
            <w:r>
              <w:rPr>
                <w:color w:val="000000" w:themeColor="text1"/>
              </w:rPr>
            </w:r>
          </w:p>
        </w:tc>
        <w:tc>
          <w:tcPr>
            <w:tcBorders/>
            <w:tcW w:w="2160" w:type="dxa"/>
            <w:textDirection w:val="lrTb"/>
            <w:noWrap w:val="false"/>
          </w:tcPr>
          <w:p w14:paraId="64628A5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False-negative control</w:t>
            </w:r>
            <w:r>
              <w:rPr>
                <w:color w:val="000000" w:themeColor="text1"/>
              </w:rPr>
            </w:r>
          </w:p>
        </w:tc>
        <w:tc>
          <w:tcPr>
            <w:tcBorders/>
            <w:tcW w:w="2160" w:type="dxa"/>
            <w:textDirection w:val="lrTb"/>
            <w:noWrap w:val="false"/>
          </w:tcPr>
          <w:p w14:paraId="71AFA43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Immediate risk awareness</w:t>
            </w:r>
            <w:r>
              <w:rPr>
                <w:color w:val="000000" w:themeColor="text1"/>
              </w:rPr>
            </w:r>
          </w:p>
        </w:tc>
      </w:tr>
      <w:tr>
        <w:trPr/>
        <w:tc>
          <w:tcPr>
            <w:tcBorders/>
            <w:tcW w:w="2160" w:type="dxa"/>
            <w:textDirection w:val="lrTb"/>
            <w:noWrap w:val="false"/>
          </w:tcPr>
          <w:p w14:paraId="227DB3D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w:t>
            </w:r>
            <w:r>
              <w:rPr>
                <w:color w:val="000000" w:themeColor="text1"/>
              </w:rPr>
            </w:r>
          </w:p>
        </w:tc>
        <w:tc>
          <w:tcPr>
            <w:tcBorders/>
            <w:tcW w:w="2160" w:type="dxa"/>
            <w:textDirection w:val="lrTb"/>
            <w:noWrap w:val="false"/>
          </w:tcPr>
          <w:p w14:paraId="3236273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"How many polyps are visible?"</w:t>
            </w:r>
            <w:r>
              <w:rPr>
                <w:color w:val="000000" w:themeColor="text1"/>
              </w:rPr>
            </w:r>
          </w:p>
        </w:tc>
        <w:tc>
          <w:tcPr>
            <w:tcBorders/>
            <w:tcW w:w="2160" w:type="dxa"/>
            <w:textDirection w:val="lrTb"/>
            <w:noWrap w:val="false"/>
          </w:tcPr>
          <w:p w14:paraId="4059F80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Counting under occlusion and partial views</w:t>
            </w:r>
            <w:r>
              <w:rPr>
                <w:color w:val="000000" w:themeColor="text1"/>
              </w:rPr>
            </w:r>
          </w:p>
        </w:tc>
        <w:tc>
          <w:tcPr>
            <w:tcBorders/>
            <w:tcW w:w="2160" w:type="dxa"/>
            <w:textDirection w:val="lrTb"/>
            <w:noWrap w:val="false"/>
          </w:tcPr>
          <w:p w14:paraId="745BEDE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Completeness and burden estimation</w:t>
            </w:r>
            <w:r>
              <w:rPr>
                <w:color w:val="000000" w:themeColor="text1"/>
              </w:rPr>
            </w:r>
          </w:p>
        </w:tc>
      </w:tr>
      <w:tr>
        <w:trPr/>
        <w:tc>
          <w:tcPr>
            <w:tcBorders/>
            <w:tcW w:w="2160" w:type="dxa"/>
            <w:textDirection w:val="lrTb"/>
            <w:noWrap w:val="false"/>
          </w:tcPr>
          <w:p w14:paraId="09869B8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Location</w:t>
            </w:r>
            <w:r>
              <w:rPr>
                <w:color w:val="000000" w:themeColor="text1"/>
              </w:rPr>
            </w:r>
          </w:p>
        </w:tc>
        <w:tc>
          <w:tcPr>
            <w:tcBorders/>
            <w:tcW w:w="2160" w:type="dxa"/>
            <w:textDirection w:val="lrTb"/>
            <w:noWrap w:val="false"/>
          </w:tcPr>
          <w:p w14:paraId="442DA1A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"Where is the lesion?"</w:t>
            </w:r>
            <w:r>
              <w:rPr>
                <w:color w:val="000000" w:themeColor="text1"/>
              </w:rPr>
            </w:r>
          </w:p>
        </w:tc>
        <w:tc>
          <w:tcPr>
            <w:tcBorders/>
            <w:tcW w:w="2160" w:type="dxa"/>
            <w:textDirection w:val="lrTb"/>
            <w:noWrap w:val="false"/>
          </w:tcPr>
          <w:p w14:paraId="26FFC47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Spatial grounding consistency</w:t>
            </w:r>
            <w:r>
              <w:rPr>
                <w:color w:val="000000" w:themeColor="text1"/>
              </w:rPr>
            </w:r>
          </w:p>
        </w:tc>
        <w:tc>
          <w:tcPr>
            <w:tcBorders/>
            <w:tcW w:w="2160" w:type="dxa"/>
            <w:textDirection w:val="lrTb"/>
            <w:noWrap w:val="false"/>
          </w:tcPr>
          <w:p w14:paraId="5AD6A5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Procedural precision and reporting</w:t>
            </w:r>
            <w:r>
              <w:rPr>
                <w:color w:val="000000" w:themeColor="text1"/>
              </w:rPr>
            </w:r>
          </w:p>
        </w:tc>
      </w:tr>
      <w:tr>
        <w:trPr/>
        <w:tc>
          <w:tcPr>
            <w:tcBorders/>
            <w:tcW w:w="2160" w:type="dxa"/>
            <w:textDirection w:val="lrTb"/>
            <w:noWrap w:val="false"/>
          </w:tcPr>
          <w:p w14:paraId="1382E74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Type/Attribute</w:t>
            </w:r>
            <w:r>
              <w:rPr>
                <w:color w:val="000000" w:themeColor="text1"/>
              </w:rPr>
            </w:r>
          </w:p>
        </w:tc>
        <w:tc>
          <w:tcPr>
            <w:tcBorders/>
            <w:tcW w:w="2160" w:type="dxa"/>
            <w:textDirection w:val="lrTb"/>
            <w:noWrap w:val="false"/>
          </w:tcPr>
          <w:p w14:paraId="242835B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polyp morphology is present?"</w:t>
            </w:r>
            <w:r>
              <w:rPr>
                <w:color w:val="000000" w:themeColor="text1"/>
              </w:rPr>
            </w:r>
          </w:p>
        </w:tc>
        <w:tc>
          <w:tcPr>
            <w:tcBorders/>
            <w:tcW w:w="2160" w:type="dxa"/>
            <w:textDirection w:val="lrTb"/>
            <w:noWrap w:val="false"/>
          </w:tcPr>
          <w:p w14:paraId="1D56669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Fine-grained differentiation</w:t>
            </w:r>
            <w:r>
              <w:rPr>
                <w:color w:val="000000" w:themeColor="text1"/>
              </w:rPr>
            </w:r>
          </w:p>
        </w:tc>
        <w:tc>
          <w:tcPr>
            <w:tcBorders/>
            <w:tcW w:w="2160" w:type="dxa"/>
            <w:textDirection w:val="lrTb"/>
            <w:noWrap w:val="false"/>
          </w:tcPr>
          <w:p w14:paraId="5ABB4EB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Risk stratification and follow-up planning</w:t>
            </w:r>
            <w:r>
              <w:rPr>
                <w:color w:val="000000" w:themeColor="text1"/>
              </w:rPr>
            </w:r>
          </w:p>
        </w:tc>
      </w:tr>
      <w:tr>
        <w:trPr/>
        <w:tc>
          <w:tcPr>
            <w:tcBorders/>
            <w:tcW w:w="2160" w:type="dxa"/>
            <w:textDirection w:val="lrTb"/>
            <w:noWrap w:val="false"/>
          </w:tcPr>
          <w:p w14:paraId="1587B7C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Severity</w:t>
            </w:r>
            <w:r>
              <w:rPr>
                <w:color w:val="000000" w:themeColor="text1"/>
              </w:rPr>
            </w:r>
          </w:p>
        </w:tc>
        <w:tc>
          <w:tcPr>
            <w:tcBorders/>
            <w:tcW w:w="2160" w:type="dxa"/>
            <w:textDirection w:val="lrTb"/>
            <w:noWrap w:val="false"/>
          </w:tcPr>
          <w:p w14:paraId="74C101D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is the likely Mayo score?"</w:t>
            </w:r>
            <w:r>
              <w:rPr>
                <w:color w:val="000000" w:themeColor="text1"/>
              </w:rPr>
            </w:r>
          </w:p>
        </w:tc>
        <w:tc>
          <w:tcPr>
            <w:tcBorders/>
            <w:tcW w:w="2160" w:type="dxa"/>
            <w:textDirection w:val="lrTb"/>
            <w:noWrap w:val="false"/>
          </w:tcPr>
          <w:p w14:paraId="3EED6DD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Ordinal robustness under imbalance</w:t>
            </w:r>
            <w:r>
              <w:rPr>
                <w:color w:val="000000" w:themeColor="text1"/>
              </w:rPr>
            </w:r>
          </w:p>
        </w:tc>
        <w:tc>
          <w:tcPr>
            <w:tcBorders/>
            <w:tcW w:w="2160" w:type="dxa"/>
            <w:textDirection w:val="lrTb"/>
            <w:noWrap w:val="false"/>
          </w:tcPr>
          <w:p w14:paraId="0B936F8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Treatment planning and monitoring</w:t>
            </w:r>
            <w:r>
              <w:rPr>
                <w:color w:val="000000" w:themeColor="text1"/>
              </w:rPr>
            </w:r>
          </w:p>
        </w:tc>
      </w:tr>
    </w:tbl>
    <w:p w14:paraId="5E097008">
      <w:pPr>
        <w:pStyle w:val="774"/>
        <w:suppressLineNumbers w:val="false"/>
        <w:pBdr/>
        <w:spacing w:line="300" w:lineRule="auto"/>
        <w:ind w:firstLine="0"/>
        <w:rPr>
          <w:highlight w:val="none"/>
        </w:rPr>
      </w:pPr>
      <w:r>
        <w:rPr>
          <w:highlight w:val="none"/>
        </w:rPr>
      </w:r>
      <w:r>
        <w:rPr>
          <w:highlight w:val="none"/>
        </w:rPr>
        <w:tab/>
        <w:tab/>
        <w:tab/>
        <w:tab/>
        <w:tab/>
      </w:r>
      <w:r>
        <w:rPr>
          <w:highlight w:val="none"/>
          <w:lang w:val="en-US"/>
        </w:rPr>
        <w:t xml:space="preserve">Table 1.1</w:t>
      </w:r>
      <w:r/>
    </w:p>
    <w:p w14:paraId="7A5A1A66">
      <w:pPr>
        <w:pStyle w:val="774"/>
        <w:suppressLineNumbers w:val="false"/>
        <w:pBdr/>
        <w:spacing w:line="300" w:lineRule="auto"/>
        <w:ind w:firstLine="0"/>
        <w:rPr/>
      </w:pPr>
      <w:r>
        <w:rPr>
          <w:highlight w:val="none"/>
          <w:lang w:val="en-US"/>
        </w:rPr>
        <w:t xml:space="preserve">1.2.2 Operational Constraints in Realistic Deployment</w:t>
      </w:r>
      <w:r/>
    </w:p>
    <w:p w14:paraId="65032ABB">
      <w:pPr>
        <w:pStyle w:val="774"/>
        <w:suppressLineNumbers w:val="false"/>
        <w:pBdr/>
        <w:spacing w:line="300" w:lineRule="auto"/>
        <w:ind w:firstLine="720"/>
        <w:rPr/>
      </w:pPr>
      <w:r>
        <w:rPr>
          <w:highlight w:val="none"/>
          <w:lang w:val="en-US"/>
        </w:rPr>
        <w:t xml:space="preserve">Even in pre-deployment research, model design should anticipate operational constraints. These include variable image quality, limited severe-class labels, institutional differences in reporting language, and the need for predictable failure behavior. A cli</w:t>
      </w:r>
      <w:r>
        <w:rPr>
          <w:highlight w:val="none"/>
          <w:lang w:val="en-US"/>
        </w:rPr>
        <w:t xml:space="preserve">nically acceptable system is not one that never fails; it is one that fails in ways that are detectable, bounded, and actionable.</w:t>
      </w:r>
      <w:r/>
      <w:r>
        <w:rPr>
          <w:highlight w:val="none"/>
          <w:lang w:val="en-US"/>
        </w:rPr>
      </w:r>
    </w:p>
    <w:p w14:paraId="42DDEE77">
      <w:pPr>
        <w:pStyle w:val="774"/>
        <w:suppressLineNumbers w:val="false"/>
        <w:pBdr/>
        <w:spacing w:line="300" w:lineRule="auto"/>
        <w:ind w:firstLine="720"/>
        <w:rPr/>
      </w:pPr>
      <w:r>
        <w:rPr>
          <w:highlight w:val="none"/>
          <w:lang w:val="en-US"/>
        </w:rPr>
        <w:t xml:space="preserve">These constraints motivate a conditional architecture. Closed-set pathways are often preferable where deterministic label control is required. Generative pathways can be used for explanation-oriented outputs under explicit safeguards. Retrieval-backed reaso</w:t>
      </w:r>
      <w:r>
        <w:rPr>
          <w:highlight w:val="none"/>
          <w:lang w:val="en-US"/>
        </w:rPr>
        <w:t xml:space="preserve">ning should be introduced selectively for questions that require evidence beyond direct visual interpretation.</w:t>
      </w:r>
      <w:r>
        <w:rPr>
          <w:highlight w:val="none"/>
          <w:lang w:val="en-US"/>
        </w:rPr>
      </w:r>
      <w:r>
        <w:rPr>
          <w:highlight w:val="none"/>
          <w:lang w:val="en-US"/>
        </w:rPr>
      </w:r>
    </w:p>
    <w:p w14:paraId="0EDF79E2">
      <w:pPr>
        <w:pStyle w:val="774"/>
        <w:suppressLineNumbers w:val="false"/>
        <w:pBdr/>
        <w:spacing w:line="300" w:lineRule="auto"/>
        <w:ind w:firstLine="0"/>
        <w:rPr/>
      </w:pPr>
      <w:r>
        <w:rPr>
          <w:highlight w:val="none"/>
        </w:rPr>
      </w:r>
      <w:r>
        <w:rPr>
          <w:highlight w:val="none"/>
        </w:rPr>
      </w:r>
      <w:r>
        <w:rPr>
          <w:highlight w:val="none"/>
        </w:rPr>
      </w:r>
    </w:p>
    <w:p w14:paraId="0411B33F">
      <w:pPr>
        <w:pStyle w:val="774"/>
        <w:suppressLineNumbers w:val="false"/>
        <w:pBdr/>
        <w:spacing w:line="300" w:lineRule="auto"/>
        <w:ind/>
        <w:rPr/>
      </w:pPr>
      <w:r/>
      <w:r/>
      <w:r/>
    </w:p>
    <w:p w14:paraId="0F1D191C">
      <w:pPr>
        <w:pStyle w:val="774"/>
        <w:suppressLineNumbers w:val="false"/>
        <w:pBdr/>
        <w:spacing w:line="300" w:lineRule="auto"/>
        <w:ind w:firstLine="0"/>
        <w:rPr/>
      </w:pPr>
      <w:r>
        <w:t xml:space="preserve">1.3 Clinical Motivation: Ulcerative Colitis Severity as a Flagship Use Case</w:t>
      </w:r>
      <w:r/>
    </w:p>
    <w:p w14:paraId="06169318">
      <w:pPr>
        <w:pStyle w:val="774"/>
        <w:suppressLineNumbers w:val="false"/>
        <w:pBdr/>
        <w:spacing w:line="300" w:lineRule="auto"/>
        <w:ind w:firstLine="720"/>
        <w:rPr/>
      </w:pPr>
      <w:r>
        <w:t xml:space="preserve">Ulcerative colitis (UC) severity assessment is a high-value use case for MedVQA in colonoscopy. Endoscopic severity strongly influences treatment decisions and disease monitoring strategies. In clinical practice, severity is commonly represented by standard</w:t>
      </w:r>
      <w:r>
        <w:t xml:space="preserve">ized scales such as the Mayo Endoscopic Subscore (0-3) and UCEIS (0-8, often mapped to ordinal severity categories). These scales are clinically meaningful, but grading can be difficult in borderline or low-quality frames.</w:t>
      </w:r>
      <w:r/>
      <w:r/>
    </w:p>
    <w:p w14:paraId="1DF99556">
      <w:pPr>
        <w:pStyle w:val="774"/>
        <w:suppressLineNumbers w:val="false"/>
        <w:pBdr/>
        <w:spacing w:line="300" w:lineRule="auto"/>
        <w:ind w:firstLine="720"/>
        <w:rPr/>
      </w:pPr>
      <w:r>
        <w:t xml:space="preserve">UC severity automation is not a new problem. Prior deep learning systems have already shown clinically meaningful performance for endoscopic severity scoring under specialist comparison settings [25], [26], [27], [28]. Related GI quality-grading work with v</w:t>
      </w:r>
      <w:r>
        <w:t xml:space="preserve">ision-language models further supports the feasibility of multimodal assistance in endoscopy workflows [17]. These studies establish strong prior art for AI-based severity grading in UC and clarify that the key challenge is no longer "can AI score disease a</w:t>
      </w:r>
      <w:r>
        <w:t xml:space="preserve">t all?" but "can an interactive system remain reliable, grounded, and clinically usable when moved beyond fixed-score outputs?" [14], [16].</w:t>
      </w:r>
      <w:r/>
      <w:r/>
    </w:p>
    <w:p w14:paraId="24D22E3B">
      <w:pPr>
        <w:pStyle w:val="774"/>
        <w:suppressLineNumbers w:val="false"/>
        <w:pBdr/>
        <w:spacing w:line="300" w:lineRule="auto"/>
        <w:ind w:firstLine="720"/>
        <w:rPr/>
      </w:pPr>
      <w:r>
        <w:t xml:space="preserve">This dissertation therefore does not claim to be the first AI system for UC severity scoring. Its novelty is the integration of (1) GI-oriented MedVQA interaction, (2) risk-aware reliability controls, and (3) evidence-aware extensions for management-style q</w:t>
      </w:r>
      <w:r>
        <w:t xml:space="preserve">uestions. From a MedVQA perspective, UC severity remains methodologically informative because it combines:</w:t>
      </w:r>
      <w:r/>
      <w:r/>
    </w:p>
    <w:p w14:paraId="68C45EFB">
      <w:pPr>
        <w:pStyle w:val="774"/>
        <w:numPr>
          <w:ilvl w:val="0"/>
          <w:numId w:val="13"/>
        </w:numPr>
        <w:suppressLineNumbers w:val="false"/>
        <w:pBdr/>
        <w:spacing w:after="240" w:before="120" w:line="300" w:lineRule="auto"/>
        <w:ind/>
        <w:rPr/>
      </w:pPr>
      <w:r>
        <w:t xml:space="preserve">Fine-grained visual discrimination.</w:t>
      </w:r>
      <w:r/>
    </w:p>
    <w:p w14:paraId="202FB3F2">
      <w:pPr>
        <w:pStyle w:val="774"/>
        <w:numPr>
          <w:ilvl w:val="0"/>
          <w:numId w:val="13"/>
        </w:numPr>
        <w:suppressLineNumbers w:val="false"/>
        <w:pBdr/>
        <w:spacing w:after="240" w:before="120" w:line="300" w:lineRule="auto"/>
        <w:ind/>
        <w:rPr/>
      </w:pPr>
      <w:r>
        <w:t xml:space="preserve">Ordinal class structure.</w:t>
      </w:r>
      <w:r/>
    </w:p>
    <w:p w14:paraId="3563D1FB">
      <w:pPr>
        <w:pStyle w:val="774"/>
        <w:numPr>
          <w:ilvl w:val="0"/>
          <w:numId w:val="13"/>
        </w:numPr>
        <w:suppressLineNumbers w:val="false"/>
        <w:pBdr/>
        <w:spacing w:after="240" w:before="120" w:line="300" w:lineRule="auto"/>
        <w:ind/>
        <w:rPr/>
      </w:pPr>
      <w:r>
        <w:t xml:space="preserve">Asymmetric clinical cost of errors.</w:t>
      </w:r>
      <w:r/>
    </w:p>
    <w:p w14:paraId="3017EE4A">
      <w:pPr>
        <w:pStyle w:val="774"/>
        <w:numPr>
          <w:ilvl w:val="0"/>
          <w:numId w:val="13"/>
        </w:numPr>
        <w:suppressLineNumbers w:val="false"/>
        <w:pBdr/>
        <w:spacing w:after="240" w:before="120" w:line="300" w:lineRule="auto"/>
        <w:ind/>
        <w:rPr/>
      </w:pPr>
      <w:r>
        <w:t xml:space="preserve">Potential demand for explanation and uncertainty communication.</w:t>
      </w:r>
      <w:r/>
    </w:p>
    <w:p w14:paraId="2237DF4E">
      <w:pPr>
        <w:pStyle w:val="774"/>
        <w:suppressLineNumbers w:val="false"/>
        <w:pBdr/>
        <w:spacing w:line="300" w:lineRule="auto"/>
        <w:ind w:firstLine="0"/>
        <w:rPr/>
      </w:pPr>
      <w:r>
        <w:t xml:space="preserve">A standard classifier can output a severity label, but a MedVQA interface can additionally provide rationale-oriented responses and controlled follow-up interaction. This thesis adopts that broader perspective while preserving strict emphasis on visual grou</w:t>
      </w:r>
      <w:r>
        <w:t xml:space="preserve">nding.</w:t>
      </w:r>
      <w:r/>
    </w:p>
    <w:p w14:paraId="3C0F205C">
      <w:pPr>
        <w:pStyle w:val="774"/>
        <w:suppressLineNumbers w:val="false"/>
        <w:pBdr/>
        <w:spacing w:line="300" w:lineRule="auto"/>
        <w:ind w:firstLine="0"/>
        <w:rPr/>
      </w:pPr>
      <w:r/>
      <w:r/>
    </w:p>
    <w:p w14:paraId="2B89AE6B">
      <w:pPr>
        <w:pStyle w:val="774"/>
        <w:suppressLineNumbers w:val="false"/>
        <w:pBdr/>
        <w:spacing w:line="300" w:lineRule="auto"/>
        <w:ind w:firstLine="0"/>
        <w:rPr/>
      </w:pPr>
      <w:r>
        <w:t xml:space="preserve">1.3.1 Workflow-Oriented Motivation</w:t>
      </w:r>
      <w:r/>
    </w:p>
    <w:p w14:paraId="48E249BE">
      <w:pPr>
        <w:pStyle w:val="774"/>
        <w:suppressLineNumbers w:val="false"/>
        <w:pBdr/>
        <w:spacing w:line="300" w:lineRule="auto"/>
        <w:ind w:firstLine="0"/>
        <w:rPr/>
      </w:pPr>
      <w:r>
        <w:t xml:space="preserve">In practical clinical terms, the decision path is closer to:</w:t>
      </w:r>
      <w:r/>
      <w:r/>
    </w:p>
    <w:p w14:paraId="4EEF4013">
      <w:pPr>
        <w:pStyle w:val="774"/>
        <w:suppressLineNumbers w:val="false"/>
        <w:pBdr/>
        <w:spacing w:line="300" w:lineRule="auto"/>
        <w:ind w:firstLine="0"/>
        <w:rPr/>
      </w:pPr>
      <w:r>
        <w:t xml:space="preserve">Endoscopy frame(s)</w:t>
      </w:r>
      <w:r/>
    </w:p>
    <w:p w14:paraId="38C0B0F3">
      <w:pPr>
        <w:pStyle w:val="774"/>
        <w:suppressLineNumbers w:val="false"/>
        <w:pBdr/>
        <w:spacing w:after="240" w:before="120" w:line="300" w:lineRule="auto"/>
        <w:ind w:firstLine="0"/>
        <w:rPr/>
      </w:pPr>
      <w:r>
        <w:t xml:space="preserve">-&gt; clinician question</w:t>
      </w:r>
      <w:r/>
    </w:p>
    <w:p w14:paraId="1A02D1D8">
      <w:pPr>
        <w:pStyle w:val="774"/>
        <w:suppressLineNumbers w:val="false"/>
        <w:pBdr/>
        <w:spacing w:after="240" w:before="120" w:line="300" w:lineRule="auto"/>
        <w:ind w:firstLine="0"/>
        <w:rPr/>
      </w:pPr>
      <w:r>
        <w:t xml:space="preserve">-&gt; visual-grounded answer</w:t>
      </w:r>
      <w:r/>
    </w:p>
    <w:p w14:paraId="409262C4">
      <w:pPr>
        <w:pStyle w:val="774"/>
        <w:suppressLineNumbers w:val="false"/>
        <w:pBdr/>
        <w:spacing w:after="240" w:before="120" w:line="300" w:lineRule="auto"/>
        <w:ind w:firstLine="0"/>
        <w:rPr/>
      </w:pPr>
      <w:r>
        <w:t xml:space="preserve">-&gt; confidence and uncertainty signal</w:t>
      </w:r>
      <w:r/>
    </w:p>
    <w:p w14:paraId="162ECB99">
      <w:pPr>
        <w:pStyle w:val="774"/>
        <w:suppressLineNumbers w:val="false"/>
        <w:pBdr/>
        <w:spacing w:after="240" w:before="120" w:line="300" w:lineRule="auto"/>
        <w:ind w:firstLine="0"/>
        <w:rPr/>
      </w:pPr>
      <w:r>
        <w:t xml:space="preserve">-&gt; optional evidence-linked follow-up</w:t>
      </w:r>
      <w:r/>
      <w:r/>
    </w:p>
    <w:p w14:paraId="043EADB2">
      <w:pPr>
        <w:pStyle w:val="774"/>
        <w:suppressLineNumbers w:val="false"/>
        <w:pBdr/>
        <w:spacing w:line="300" w:lineRule="auto"/>
        <w:ind w:firstLine="0"/>
        <w:rPr/>
      </w:pPr>
      <w:r>
        <w:t xml:space="preserve">This abstraction motivates the thesis design: MedVQA is treated simultaneously as a perception task, a language task, and a workflow integration task.</w:t>
      </w:r>
      <w:r/>
      <w:r/>
    </w:p>
    <w:p w14:paraId="152369DF">
      <w:pPr>
        <w:pStyle w:val="774"/>
        <w:suppressLineNumbers w:val="false"/>
        <w:pBdr/>
        <w:spacing w:line="300" w:lineRule="auto"/>
        <w:ind w:firstLine="0"/>
        <w:rPr/>
      </w:pPr>
      <w:r>
        <w:t xml:space="preserve">1.3.2 Why UC Severity Is a High-Value Testbed for Chapter 1</w:t>
      </w:r>
      <w:r/>
    </w:p>
    <w:p w14:paraId="3190C939">
      <w:pPr>
        <w:pStyle w:val="774"/>
        <w:suppressLineNumbers w:val="false"/>
        <w:pBdr/>
        <w:spacing w:line="300" w:lineRule="auto"/>
        <w:ind w:firstLine="0"/>
        <w:rPr/>
      </w:pPr>
      <w:r>
        <w:t xml:space="preserve">UC severity is used as a flagship testbed in Chapter 1 because it concentrates multiple difficult properties in one clinically relevant problem: subtle visual distinctions, class imbalance, ordinal grading, and high consequence of severe under-calling. If a</w:t>
      </w:r>
      <w:r>
        <w:t xml:space="preserve"> system is not reliable in this setting, its suitability for broader GI decision support is limited.</w:t>
      </w:r>
      <w:r/>
      <w:r/>
    </w:p>
    <w:p w14:paraId="5A3B7F78">
      <w:pPr>
        <w:pStyle w:val="774"/>
        <w:suppressLineNumbers w:val="false"/>
        <w:pBdr/>
        <w:spacing w:line="300" w:lineRule="auto"/>
        <w:ind w:firstLine="0"/>
        <w:rPr/>
      </w:pPr>
      <w:r>
        <w:t xml:space="preserve">At the same time, UC severity remains experimentally tractable using currently available datasets and persisted repository artifacts. This combination of clinical significance and methodological tractability makes it an appropriate anchor for the dissertati</w:t>
      </w:r>
      <w:r>
        <w:t xml:space="preserve">on.</w:t>
      </w:r>
      <w:r/>
      <w:r/>
    </w:p>
    <w:p w14:paraId="063C935E">
      <w:pPr>
        <w:pStyle w:val="774"/>
        <w:suppressLineNumbers w:val="false"/>
        <w:pBdr/>
        <w:spacing w:line="300" w:lineRule="auto"/>
        <w:ind w:firstLine="0"/>
        <w:rPr/>
      </w:pPr>
      <w:r>
        <w:t xml:space="preserve">1.4 Problem Statement</w:t>
      </w:r>
      <w:r/>
    </w:p>
    <w:p w14:paraId="004D4DEA">
      <w:pPr>
        <w:pStyle w:val="774"/>
        <w:suppressLineNumbers w:val="false"/>
        <w:pBdr/>
        <w:spacing w:line="300" w:lineRule="auto"/>
        <w:ind w:firstLine="0"/>
        <w:rPr/>
      </w:pPr>
      <w:r>
        <w:t xml:space="preserve">The central problem addressed in this dissertation is:</w:t>
      </w:r>
      <w:r/>
      <w:r/>
    </w:p>
    <w:p w14:paraId="7FCD196A">
      <w:pPr>
        <w:pStyle w:val="774"/>
        <w:suppressLineNumbers w:val="false"/>
        <w:pBdr/>
        <w:spacing w:line="300" w:lineRule="auto"/>
        <w:ind w:firstLine="0"/>
        <w:rPr/>
      </w:pPr>
      <w:r>
        <w:t xml:space="preserve">How can a colonoscopy-focused MedVQA pipeline move from benchmark-level answering to clinically grounded, reliable, and evidence-aware decision support?</w:t>
      </w:r>
      <w:r/>
    </w:p>
    <w:p w14:paraId="648194A3">
      <w:pPr>
        <w:pStyle w:val="774"/>
        <w:suppressLineNumbers w:val="false"/>
        <w:pBdr/>
        <w:spacing w:line="300" w:lineRule="auto"/>
        <w:ind w:firstLine="0"/>
        <w:rPr/>
      </w:pPr>
      <w:r/>
      <w:r/>
    </w:p>
    <w:p w14:paraId="737E09D0">
      <w:pPr>
        <w:pStyle w:val="774"/>
        <w:suppressLineNumbers w:val="false"/>
        <w:pBdr/>
        <w:spacing w:line="300" w:lineRule="auto"/>
        <w:ind w:firstLine="0"/>
        <w:rPr/>
      </w:pPr>
      <w:r>
        <w:t xml:space="preserve">This problem is decomposed into four operational gaps:</w:t>
      </w:r>
      <w:r/>
      <w:r/>
    </w:p>
    <w:p w14:paraId="127E5F12">
      <w:pPr>
        <w:pStyle w:val="774"/>
        <w:numPr>
          <w:ilvl w:val="0"/>
          <w:numId w:val="14"/>
        </w:numPr>
        <w:suppressLineNumbers w:val="false"/>
        <w:pBdr/>
        <w:spacing w:after="240" w:before="120" w:line="300" w:lineRule="auto"/>
        <w:ind/>
        <w:rPr/>
      </w:pPr>
      <w:r>
        <w:t xml:space="preserve">Data and coverage gap: Existing datasets provide broad task families but uneven clinical depth and long-tail imbalance.</w:t>
      </w:r>
      <w:r/>
    </w:p>
    <w:p w14:paraId="5364FC52">
      <w:pPr>
        <w:pStyle w:val="774"/>
        <w:numPr>
          <w:ilvl w:val="0"/>
          <w:numId w:val="14"/>
        </w:numPr>
        <w:suppressLineNumbers w:val="false"/>
        <w:pBdr/>
        <w:spacing w:after="240" w:before="120" w:line="300" w:lineRule="auto"/>
        <w:ind/>
        <w:rPr/>
      </w:pPr>
      <w:r>
        <w:t xml:space="preserve">Model gap: Zero-shot general VLMs frequently underperform constrained or supervised approaches in GI settings.</w:t>
      </w:r>
      <w:r/>
    </w:p>
    <w:p w14:paraId="53612724">
      <w:pPr>
        <w:pStyle w:val="774"/>
        <w:numPr>
          <w:ilvl w:val="0"/>
          <w:numId w:val="14"/>
        </w:numPr>
        <w:suppressLineNumbers w:val="false"/>
        <w:pBdr/>
        <w:spacing w:after="240" w:before="120" w:line="300" w:lineRule="auto"/>
        <w:ind/>
        <w:rPr/>
      </w:pPr>
      <w:r>
        <w:t xml:space="preserve">Evaluation gap: Aggregate metrics can conceal clinically unacceptable error patterns.</w:t>
      </w:r>
      <w:r/>
    </w:p>
    <w:p w14:paraId="705DBBE0">
      <w:pPr>
        <w:pStyle w:val="774"/>
        <w:numPr>
          <w:ilvl w:val="0"/>
          <w:numId w:val="14"/>
        </w:numPr>
        <w:suppressLineNumbers w:val="false"/>
        <w:pBdr/>
        <w:spacing w:after="240" w:before="120" w:line="300" w:lineRule="auto"/>
        <w:ind/>
        <w:rPr/>
      </w:pPr>
      <w:r>
        <w:t xml:space="preserve">Workflow gap: Many systems do not yet connect image-grounded outputs to evidence-oriented clinical reasoning.</w:t>
      </w:r>
      <w:r/>
    </w:p>
    <w:p w14:paraId="5221E7E2">
      <w:pPr>
        <w:pStyle w:val="774"/>
        <w:suppressLineNumbers w:val="false"/>
        <w:pBdr/>
        <w:spacing w:line="300" w:lineRule="auto"/>
        <w:ind w:firstLine="0"/>
        <w:rPr/>
      </w:pPr>
      <w:r>
        <w:t xml:space="preserve">1.4.1 Evidence from This Repository</w:t>
      </w:r>
      <w:r/>
    </w:p>
    <w:p w14:paraId="4EBC79D9">
      <w:pPr>
        <w:pStyle w:val="774"/>
        <w:suppressLineNumbers w:val="false"/>
        <w:pBdr/>
        <w:spacing w:line="300" w:lineRule="auto"/>
        <w:ind w:firstLine="0"/>
        <w:rPr/>
      </w:pPr>
      <w:r>
        <w:t xml:space="preserve">Table 1.</w:t>
      </w:r>
      <w:r>
        <w:rPr>
          <w:lang w:val="en-US"/>
        </w:rPr>
        <w:t xml:space="preserve">2</w:t>
      </w:r>
      <w:r>
        <w:t xml:space="preserve"> summarizes key empirical signals from persisted repository artifacts.</w:t>
      </w:r>
      <w:r/>
      <w:r/>
    </w:p>
    <w:p w14:paraId="38CDDCAA">
      <w:pPr>
        <w:pStyle w:val="774"/>
        <w:suppressLineNumbers w:val="false"/>
        <w:pBdr/>
        <w:spacing w:line="300" w:lineRule="auto"/>
        <w:ind w:firstLine="0"/>
        <w:rPr/>
      </w:pPr>
      <w:r>
        <w:t xml:space="preserve">References [20]-[24] point to supplementary analysis artifacts in the thesis repository and are included as reproducibility materials alongside the dissertation.</w:t>
      </w:r>
      <w:r/>
      <w:r/>
    </w:p>
    <w:tbl>
      <w:tblPr>
        <w:tblStyle w:val="831"/>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D7E00A2">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Dataset / Task</w:t>
            </w:r>
            <w:r>
              <w:rPr>
                <w:color w:val="000000" w:themeColor="text1"/>
              </w:rPr>
            </w:r>
          </w:p>
        </w:tc>
        <w:tc>
          <w:tcPr>
            <w:tcBorders/>
            <w:tcW w:w="2160" w:type="dxa"/>
            <w:textDirection w:val="lrTb"/>
            <w:noWrap w:val="false"/>
          </w:tcPr>
          <w:p w14:paraId="3684995B">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Strongest saved model result</w:t>
            </w:r>
            <w:r>
              <w:rPr>
                <w:color w:val="000000" w:themeColor="text1"/>
              </w:rPr>
            </w:r>
          </w:p>
        </w:tc>
        <w:tc>
          <w:tcPr>
            <w:tcBorders/>
            <w:tcW w:w="2160" w:type="dxa"/>
            <w:textDirection w:val="lrTb"/>
            <w:noWrap w:val="false"/>
          </w:tcPr>
          <w:p w14:paraId="514396B8">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Key failure signal</w:t>
            </w:r>
            <w:r>
              <w:rPr>
                <w:color w:val="000000" w:themeColor="text1"/>
              </w:rPr>
            </w:r>
          </w:p>
        </w:tc>
        <w:tc>
          <w:tcPr>
            <w:tcBorders/>
            <w:tcW w:w="2160" w:type="dxa"/>
            <w:textDirection w:val="lrTb"/>
            <w:noWrap w:val="false"/>
          </w:tcPr>
          <w:p w14:paraId="267B8D44">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Source</w:t>
            </w:r>
            <w:r>
              <w:rPr>
                <w:color w:val="000000" w:themeColor="text1"/>
              </w:rPr>
            </w:r>
          </w:p>
        </w:tc>
      </w:tr>
      <w:tr>
        <w:trPr/>
        <w:tc>
          <w:tcPr>
            <w:tcBorders/>
            <w:tcW w:w="2160" w:type="dxa"/>
            <w:textDirection w:val="lrTb"/>
            <w:noWrap w:val="false"/>
          </w:tcPr>
          <w:p w14:paraId="655EBA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ImageCLEF MEDVQA-GI 2023 validation</w:t>
            </w:r>
            <w:r>
              <w:rPr>
                <w:color w:val="000000" w:themeColor="text1"/>
              </w:rPr>
            </w:r>
          </w:p>
        </w:tc>
        <w:tc>
          <w:tcPr>
            <w:tcBorders/>
            <w:tcW w:w="2160" w:type="dxa"/>
            <w:textDirection w:val="lrTb"/>
            <w:noWrap w:val="false"/>
          </w:tcPr>
          <w:p w14:paraId="559CAE4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ViLT accuracy 0.9089, macro-F1 0.5823</w:t>
            </w:r>
            <w:r>
              <w:rPr>
                <w:color w:val="000000" w:themeColor="text1"/>
              </w:rPr>
            </w:r>
          </w:p>
        </w:tc>
        <w:tc>
          <w:tcPr>
            <w:tcBorders/>
            <w:tcW w:w="2160" w:type="dxa"/>
            <w:textDirection w:val="lrTb"/>
            <w:noWrap w:val="false"/>
          </w:tcPr>
          <w:p w14:paraId="241ACB3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Qwen2.5-VL zero-shot raw accuracy 0.0007; projected 0.0670</w:t>
            </w:r>
            <w:r>
              <w:rPr>
                <w:color w:val="000000" w:themeColor="text1"/>
              </w:rPr>
            </w:r>
          </w:p>
        </w:tc>
        <w:tc>
          <w:tcPr>
            <w:tcBorders/>
            <w:tcW w:w="2160" w:type="dxa"/>
            <w:textDirection w:val="lrTb"/>
            <w:noWrap w:val="false"/>
          </w:tcPr>
          <w:p w14:paraId="246F380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[21]</w:t>
            </w:r>
            <w:r>
              <w:rPr>
                <w:color w:val="000000" w:themeColor="text1"/>
              </w:rPr>
            </w:r>
          </w:p>
        </w:tc>
      </w:tr>
      <w:tr>
        <w:trPr/>
        <w:tc>
          <w:tcPr>
            <w:tcBorders/>
            <w:tcW w:w="2160" w:type="dxa"/>
            <w:textDirection w:val="lrTb"/>
            <w:noWrap w:val="false"/>
          </w:tcPr>
          <w:p w14:paraId="7782FEB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HyperKvasir 23-class test</w:t>
            </w:r>
            <w:r>
              <w:rPr>
                <w:color w:val="000000" w:themeColor="text1"/>
              </w:rPr>
            </w:r>
          </w:p>
        </w:tc>
        <w:tc>
          <w:tcPr>
            <w:tcBorders/>
            <w:tcW w:w="2160" w:type="dxa"/>
            <w:textDirection w:val="lrTb"/>
            <w:noWrap w:val="false"/>
          </w:tcPr>
          <w:p w14:paraId="18449EE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ResNet50 supervised accuracy 0.8789, macro-F1 0.5943</w:t>
            </w:r>
            <w:r>
              <w:rPr>
                <w:color w:val="000000" w:themeColor="text1"/>
              </w:rPr>
            </w:r>
          </w:p>
        </w:tc>
        <w:tc>
          <w:tcPr>
            <w:tcBorders/>
            <w:tcW w:w="2160" w:type="dxa"/>
            <w:textDirection w:val="lrTb"/>
            <w:noWrap w:val="false"/>
          </w:tcPr>
          <w:p w14:paraId="3CB1559A">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Head-tail recall gap remains large; BLIP2 projected accuracy 0.0638</w:t>
            </w:r>
            <w:r>
              <w:rPr>
                <w:color w:val="000000" w:themeColor="text1"/>
              </w:rPr>
            </w:r>
          </w:p>
        </w:tc>
        <w:tc>
          <w:tcPr>
            <w:tcBorders/>
            <w:tcW w:w="2160" w:type="dxa"/>
            <w:textDirection w:val="lrTb"/>
            <w:noWrap w:val="false"/>
          </w:tcPr>
          <w:p w14:paraId="4378A42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[20]</w:t>
            </w:r>
            <w:r>
              <w:rPr>
                <w:color w:val="000000" w:themeColor="text1"/>
              </w:rPr>
            </w:r>
          </w:p>
        </w:tc>
      </w:tr>
      <w:tr>
        <w:trPr/>
        <w:tc>
          <w:tcPr>
            <w:tcBorders/>
            <w:tcW w:w="2160" w:type="dxa"/>
            <w:textDirection w:val="lrTb"/>
            <w:noWrap w:val="false"/>
          </w:tcPr>
          <w:p w14:paraId="241DB6A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LIMUC Mayo severity test</w:t>
            </w:r>
            <w:r>
              <w:rPr>
                <w:color w:val="000000" w:themeColor="text1"/>
              </w:rPr>
            </w:r>
          </w:p>
        </w:tc>
        <w:tc>
          <w:tcPr>
            <w:tcBorders/>
            <w:tcW w:w="2160" w:type="dxa"/>
            <w:textDirection w:val="lrTb"/>
            <w:noWrap w:val="false"/>
          </w:tcPr>
          <w:p w14:paraId="303592A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Fine-tuned ResNet50 accuracy 0.7539, macro-F1 0.6829, QWK 0.8351</w:t>
            </w:r>
            <w:r>
              <w:rPr>
                <w:color w:val="000000" w:themeColor="text1"/>
              </w:rPr>
            </w:r>
          </w:p>
        </w:tc>
        <w:tc>
          <w:tcPr>
            <w:tcBorders/>
            <w:tcW w:w="2160" w:type="dxa"/>
            <w:textDirection w:val="lrTb"/>
            <w:noWrap w:val="false"/>
          </w:tcPr>
          <w:p w14:paraId="0C4FBB1A">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Zero-shot VLM macro-F1 0.1771, balanced accuracy 0.25</w:t>
            </w:r>
            <w:r>
              <w:rPr>
                <w:color w:val="000000" w:themeColor="text1"/>
              </w:rPr>
            </w:r>
          </w:p>
        </w:tc>
        <w:tc>
          <w:tcPr>
            <w:tcBorders/>
            <w:tcW w:w="2160" w:type="dxa"/>
            <w:textDirection w:val="lrTb"/>
            <w:noWrap w:val="false"/>
          </w:tcPr>
          <w:p w14:paraId="2724650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[24]</w:t>
            </w:r>
            <w:r>
              <w:rPr>
                <w:color w:val="000000" w:themeColor="text1"/>
              </w:rPr>
            </w:r>
          </w:p>
        </w:tc>
      </w:tr>
      <w:tr>
        <w:trPr/>
        <w:tc>
          <w:tcPr>
            <w:tcBorders/>
            <w:tcW w:w="2160" w:type="dxa"/>
            <w:textDirection w:val="lrTb"/>
            <w:noWrap w:val="false"/>
          </w:tcPr>
          <w:p w14:paraId="1C62868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Kvasir-VQA yes/no subset</w:t>
            </w:r>
            <w:r>
              <w:rPr>
                <w:color w:val="000000" w:themeColor="text1"/>
              </w:rPr>
            </w:r>
          </w:p>
        </w:tc>
        <w:tc>
          <w:tcPr>
            <w:tcBorders/>
            <w:tcW w:w="2160" w:type="dxa"/>
            <w:textDirection w:val="lrTb"/>
            <w:noWrap w:val="false"/>
          </w:tcPr>
          <w:p w14:paraId="7642F04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ResNet+GRU accuracy 0.9865, macro-F1 0.9650</w:t>
            </w:r>
            <w:r>
              <w:rPr>
                <w:color w:val="000000" w:themeColor="text1"/>
              </w:rPr>
            </w:r>
          </w:p>
        </w:tc>
        <w:tc>
          <w:tcPr>
            <w:tcBorders/>
            <w:tcW w:w="2160" w:type="dxa"/>
            <w:textDirection w:val="lrTb"/>
            <w:noWrap w:val="false"/>
          </w:tcPr>
          <w:p w14:paraId="324AA35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Free-generation run shows unknown-rate collapse in persisted artifact</w:t>
            </w:r>
            <w:r>
              <w:rPr>
                <w:color w:val="000000" w:themeColor="text1"/>
              </w:rPr>
            </w:r>
          </w:p>
        </w:tc>
        <w:tc>
          <w:tcPr>
            <w:tcBorders/>
            <w:tcW w:w="2160" w:type="dxa"/>
            <w:textDirection w:val="lrTb"/>
            <w:noWrap w:val="false"/>
          </w:tcPr>
          <w:p w14:paraId="5ED7B69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[22]</w:t>
            </w:r>
            <w:r>
              <w:rPr>
                <w:color w:val="000000" w:themeColor="text1"/>
              </w:rPr>
            </w:r>
          </w:p>
        </w:tc>
      </w:tr>
      <w:tr>
        <w:trPr/>
        <w:tc>
          <w:tcPr>
            <w:tcBorders/>
            <w:tcW w:w="2160" w:type="dxa"/>
            <w:textDirection w:val="lrTb"/>
            <w:noWrap w:val="false"/>
          </w:tcPr>
          <w:p w14:paraId="4D46B6D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Kvasir-VQA-x1 generative track</w:t>
            </w:r>
            <w:r>
              <w:rPr>
                <w:color w:val="000000" w:themeColor="text1"/>
              </w:rPr>
            </w:r>
          </w:p>
        </w:tc>
        <w:tc>
          <w:tcPr>
            <w:tcBorders/>
            <w:tcW w:w="2160" w:type="dxa"/>
            <w:textDirection w:val="lrTb"/>
            <w:noWrap w:val="false"/>
          </w:tcPr>
          <w:p w14:paraId="76F8D6B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MedGemma LoRA token-F1 0.5085 (adaptation gain)</w:t>
            </w:r>
            <w:r>
              <w:rPr>
                <w:color w:val="000000" w:themeColor="text1"/>
              </w:rPr>
            </w:r>
          </w:p>
        </w:tc>
        <w:tc>
          <w:tcPr>
            <w:tcBorders/>
            <w:tcW w:w="2160" w:type="dxa"/>
            <w:textDirection w:val="lrTb"/>
            <w:noWrap w:val="false"/>
          </w:tcPr>
          <w:p w14:paraId="1CDA604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Exact-match remains near zero across persisted modern VLM runs</w:t>
            </w:r>
            <w:r>
              <w:rPr>
                <w:color w:val="000000" w:themeColor="text1"/>
              </w:rPr>
            </w:r>
          </w:p>
        </w:tc>
        <w:tc>
          <w:tcPr>
            <w:tcBorders/>
            <w:tcW w:w="2160" w:type="dxa"/>
            <w:textDirection w:val="lrTb"/>
            <w:noWrap w:val="false"/>
          </w:tcPr>
          <w:p w14:paraId="196E685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[23]</w:t>
            </w:r>
            <w:r>
              <w:rPr>
                <w:color w:val="000000" w:themeColor="text1"/>
              </w:rPr>
            </w:r>
          </w:p>
        </w:tc>
      </w:tr>
    </w:tbl>
    <w:p w14:paraId="059B1C72">
      <w:pPr>
        <w:pStyle w:val="774"/>
        <w:suppressLineNumbers w:val="false"/>
        <w:pBdr/>
        <w:spacing w:line="300" w:lineRule="auto"/>
        <w:ind w:firstLine="0"/>
        <w:rPr>
          <w:highlight w:val="none"/>
        </w:rPr>
      </w:pPr>
      <w:r>
        <w:tab/>
        <w:tab/>
        <w:tab/>
        <w:tab/>
        <w:tab/>
      </w:r>
      <w:r>
        <w:rPr>
          <w:lang w:val="en-US"/>
        </w:rPr>
        <w:t xml:space="preserve">Table 1.2</w:t>
      </w:r>
      <w:r/>
      <w:r/>
    </w:p>
    <w:p w14:paraId="743DB126">
      <w:pPr>
        <w:pStyle w:val="774"/>
        <w:suppressLineNumbers w:val="false"/>
        <w:pBdr/>
        <w:spacing w:line="300" w:lineRule="auto"/>
        <w:ind w:firstLine="0"/>
        <w:rPr/>
      </w:pPr>
      <w:r>
        <w:rPr>
          <w:highlight w:val="none"/>
        </w:rPr>
        <w:tab/>
      </w:r>
      <w:r>
        <w:rPr>
          <w:highlight w:val="none"/>
        </w:rPr>
        <w:t xml:space="preserve">In Table 1.1, raw accuracy denotes direct label-space scoring against canonical benchmark targets (no lexical post-processing). Projected accuracy denotes a secondary diagnostic in which generated free text is deterministically mapped to each question's kno</w:t>
      </w:r>
      <w:r>
        <w:rPr>
          <w:highlight w:val="none"/>
        </w:rPr>
        <w:t xml:space="preserve">wn answer space before scoring, following the local report methodology [20], [21], [23].</w:t>
      </w:r>
      <w:r/>
      <w:r>
        <w:rPr>
          <w:highlight w:val="none"/>
        </w:rPr>
      </w:r>
    </w:p>
    <w:p w14:paraId="17EBFADD">
      <w:pPr>
        <w:pStyle w:val="774"/>
        <w:suppressLineNumbers w:val="false"/>
        <w:pBdr/>
        <w:spacing w:line="300" w:lineRule="auto"/>
        <w:ind w:firstLine="720"/>
        <w:rPr/>
      </w:pPr>
      <w:r>
        <w:rPr>
          <w:highlight w:val="none"/>
        </w:rPr>
        <w:t xml:space="preserve">To reduce leakage risk and inflated claims, this thesis reports the split context and scoring semantics explicitly for each dataset report: official or persisted held-out splits are preserved, pairwise tests are run on aligned rows where applicable, and pro</w:t>
      </w:r>
      <w:r>
        <w:rPr>
          <w:highlight w:val="none"/>
        </w:rPr>
        <w:t xml:space="preserve">jected scores are interpreted alongside raw exact/unknown behavior rather than as replacement primary metrics [20]-[24].</w:t>
      </w:r>
      <w:r/>
      <w:r>
        <w:rPr>
          <w:highlight w:val="none"/>
        </w:rPr>
      </w:r>
    </w:p>
    <w:p w14:paraId="5D70EFFE">
      <w:pPr>
        <w:pStyle w:val="774"/>
        <w:suppressLineNumbers w:val="false"/>
        <w:pBdr/>
        <w:spacing w:line="300" w:lineRule="auto"/>
        <w:ind w:firstLine="0"/>
        <w:rPr/>
      </w:pPr>
      <w:r>
        <w:rPr>
          <w:highlight w:val="none"/>
        </w:rPr>
        <w:t xml:space="preserve">These findings support a staged strategy:</w:t>
      </w:r>
      <w:r/>
      <w:r>
        <w:rPr>
          <w:highlight w:val="none"/>
        </w:rPr>
      </w:r>
    </w:p>
    <w:p w14:paraId="2025BD1E">
      <w:pPr>
        <w:pStyle w:val="774"/>
        <w:numPr>
          <w:ilvl w:val="0"/>
          <w:numId w:val="15"/>
        </w:numPr>
        <w:suppressLineNumbers w:val="false"/>
        <w:pBdr/>
        <w:spacing w:after="240" w:before="120" w:line="300" w:lineRule="auto"/>
        <w:ind/>
        <w:rPr/>
      </w:pPr>
      <w:r>
        <w:rPr>
          <w:highlight w:val="none"/>
        </w:rPr>
        <w:t xml:space="preserve">Preserve robust supervised/closed-set visual grounding.</w:t>
      </w:r>
      <w:r/>
    </w:p>
    <w:p w14:paraId="3E6EE4D8">
      <w:pPr>
        <w:pStyle w:val="774"/>
        <w:numPr>
          <w:ilvl w:val="0"/>
          <w:numId w:val="15"/>
        </w:numPr>
        <w:suppressLineNumbers w:val="false"/>
        <w:pBdr/>
        <w:spacing w:after="240" w:before="120" w:line="300" w:lineRule="auto"/>
        <w:ind/>
        <w:rPr/>
      </w:pPr>
      <w:r>
        <w:rPr>
          <w:highlight w:val="none"/>
        </w:rPr>
        <w:t xml:space="preserve">Add controlled generative capability where it improves clinical interaction value.</w:t>
      </w:r>
      <w:r/>
    </w:p>
    <w:p w14:paraId="4D0843DB">
      <w:pPr>
        <w:pStyle w:val="774"/>
        <w:numPr>
          <w:ilvl w:val="0"/>
          <w:numId w:val="15"/>
        </w:numPr>
        <w:suppressLineNumbers w:val="false"/>
        <w:pBdr/>
        <w:spacing w:after="240" w:before="120" w:line="300" w:lineRule="auto"/>
        <w:ind/>
        <w:rPr/>
      </w:pPr>
      <w:r>
        <w:rPr>
          <w:highlight w:val="none"/>
        </w:rPr>
        <w:t xml:space="preserve">Introduce retrieval-backed reasoning as a safeguarded extension for higher-level questions.</w:t>
      </w:r>
      <w:r>
        <w:rPr>
          <w:highlight w:val="none"/>
        </w:rPr>
      </w:r>
      <w:r/>
    </w:p>
    <w:p w14:paraId="29CD4A24">
      <w:pPr>
        <w:pStyle w:val="774"/>
        <w:suppressLineNumbers w:val="false"/>
        <w:pBdr/>
        <w:spacing w:after="240" w:before="120" w:line="300" w:lineRule="auto"/>
        <w:ind/>
        <w:rPr/>
      </w:pPr>
      <w:r/>
      <w:r/>
      <w:r/>
    </w:p>
    <w:p w14:paraId="5F1ED9B1">
      <w:pPr>
        <w:pStyle w:val="774"/>
        <w:suppressLineNumbers w:val="false"/>
        <w:pBdr/>
        <w:spacing w:after="240" w:before="120" w:line="300" w:lineRule="auto"/>
        <w:ind w:firstLine="0"/>
        <w:rPr/>
      </w:pPr>
      <w:r>
        <w:rPr>
          <w:highlight w:val="none"/>
        </w:rPr>
        <w:t xml:space="preserve">1.4.2 Why This Gap Persists</w:t>
      </w:r>
      <w:r/>
    </w:p>
    <w:p w14:paraId="048718EB">
      <w:pPr>
        <w:pStyle w:val="774"/>
        <w:suppressLineNumbers w:val="false"/>
        <w:pBdr/>
        <w:spacing w:after="240" w:before="120" w:line="300" w:lineRule="auto"/>
        <w:ind w:firstLine="0"/>
        <w:rPr/>
      </w:pPr>
      <w:r>
        <w:rPr>
          <w:highlight w:val="none"/>
        </w:rPr>
        <w:t xml:space="preserve">The gap persists because GI MedVQA is not a single modeling task. It requires robust visual perception under noisy conditions, clinically coherent question understanding, grounded answer generation, and safe behavior under asymmetric risk. Progress in one c</w:t>
      </w:r>
      <w:r>
        <w:rPr>
          <w:highlight w:val="none"/>
        </w:rPr>
        <w:t xml:space="preserve">omponent does not guarantee end-to-end clinical utility.</w:t>
      </w:r>
      <w:r/>
      <w:r>
        <w:rPr>
          <w:highlight w:val="none"/>
        </w:rPr>
      </w:r>
    </w:p>
    <w:p w14:paraId="6166229C">
      <w:pPr>
        <w:pStyle w:val="774"/>
        <w:suppressLineNumbers w:val="false"/>
        <w:pBdr/>
        <w:spacing w:after="240" w:before="120" w:line="300" w:lineRule="auto"/>
        <w:ind w:firstLine="0"/>
        <w:rPr/>
      </w:pPr>
      <w:r>
        <w:rPr>
          <w:highlight w:val="none"/>
        </w:rPr>
        <w:t xml:space="preserve">A system may be fluent yet weakly grounded, accurate on common classes yet brittle on severe minorities, or stable on fixed prompts yet unstable under linguistic variation. Therefore, this dissertation treats architecture design, evaluation design, and scen</w:t>
      </w:r>
      <w:r>
        <w:rPr>
          <w:highlight w:val="none"/>
        </w:rPr>
        <w:t xml:space="preserve">ario design as interdependent components.</w:t>
      </w:r>
      <w:r/>
      <w:r>
        <w:rPr>
          <w:highlight w:val="none"/>
        </w:rPr>
      </w:r>
    </w:p>
    <w:p w14:paraId="39023B62">
      <w:pPr>
        <w:pStyle w:val="774"/>
        <w:suppressLineNumbers w:val="false"/>
        <w:pBdr/>
        <w:spacing w:after="240" w:before="120" w:line="300" w:lineRule="auto"/>
        <w:ind w:firstLine="0"/>
        <w:rPr/>
      </w:pPr>
      <w:r>
        <w:rPr>
          <w:highlight w:val="none"/>
        </w:rPr>
        <w:t xml:space="preserve">1.4.3 Consequences of Leaving the Gap Unresolved</w:t>
      </w:r>
      <w:r/>
    </w:p>
    <w:p w14:paraId="6ED4447D">
      <w:pPr>
        <w:pStyle w:val="774"/>
        <w:suppressLineNumbers w:val="false"/>
        <w:pBdr/>
        <w:spacing w:after="240" w:before="120" w:line="300" w:lineRule="auto"/>
        <w:ind w:firstLine="0"/>
        <w:rPr/>
      </w:pPr>
      <w:r>
        <w:rPr>
          <w:highlight w:val="none"/>
        </w:rPr>
        <w:t xml:space="preserve">If this gap remains unresolved, systems may appear strong on aggregate benchmarks while underperforming in the situations that matter most clinically. In severity settings, this can lead to under-detection of high-risk cases. In report-oriented settings, it</w:t>
      </w:r>
      <w:r>
        <w:rPr>
          <w:highlight w:val="none"/>
        </w:rPr>
        <w:t xml:space="preserve"> can produce plausible but weakly grounded outputs that increase cognitive burden. In decision-support settings, it can generate recommendations insufficiently tied to evidence.</w:t>
      </w:r>
      <w:r/>
      <w:r>
        <w:rPr>
          <w:highlight w:val="none"/>
        </w:rPr>
      </w:r>
    </w:p>
    <w:p w14:paraId="60BDDDEA">
      <w:pPr>
        <w:pStyle w:val="774"/>
        <w:suppressLineNumbers w:val="false"/>
        <w:pBdr/>
        <w:spacing w:after="240" w:before="120" w:line="300" w:lineRule="auto"/>
        <w:ind w:firstLine="0"/>
        <w:rPr/>
      </w:pPr>
      <w:r>
        <w:rPr>
          <w:highlight w:val="none"/>
        </w:rPr>
        <w:t xml:space="preserve">These consequences justify a conservative methodological stance: prioritize reliability, grounding, and traceability before maximizing output fluency.</w:t>
      </w:r>
      <w:r/>
      <w:r>
        <w:rPr>
          <w:highlight w:val="none"/>
        </w:rPr>
      </w:r>
    </w:p>
    <w:p w14:paraId="0841A181">
      <w:pPr>
        <w:pStyle w:val="774"/>
        <w:suppressLineNumbers w:val="false"/>
        <w:pBdr/>
        <w:spacing w:after="240" w:before="120" w:line="300" w:lineRule="auto"/>
        <w:ind w:firstLine="0"/>
        <w:rPr/>
      </w:pPr>
      <w:r>
        <w:rPr>
          <w:highlight w:val="none"/>
        </w:rPr>
        <w:t xml:space="preserve">1.5 Aim and Objectives</w:t>
      </w:r>
      <w:r/>
    </w:p>
    <w:p w14:paraId="377C8B2E">
      <w:pPr>
        <w:pStyle w:val="774"/>
        <w:suppressLineNumbers w:val="false"/>
        <w:pBdr/>
        <w:spacing w:after="240" w:before="120" w:line="300" w:lineRule="auto"/>
        <w:ind w:firstLine="0"/>
        <w:rPr/>
      </w:pPr>
      <w:r>
        <w:rPr>
          <w:highlight w:val="none"/>
        </w:rPr>
        <w:t xml:space="preserve">1.5.1 Aim</w:t>
      </w:r>
      <w:r/>
    </w:p>
    <w:p w14:paraId="467EC9F2">
      <w:pPr>
        <w:pStyle w:val="774"/>
        <w:suppressLineNumbers w:val="false"/>
        <w:pBdr/>
        <w:spacing w:after="240" w:before="120" w:line="300" w:lineRule="auto"/>
        <w:ind w:firstLine="0"/>
        <w:rPr/>
      </w:pPr>
      <w:r>
        <w:rPr>
          <w:highlight w:val="none"/>
        </w:rPr>
        <w:t xml:space="preserve">To design, evaluate, and document a clinically oriented MedVQA framework for colonoscopy that combines robust visual grounding, question-aware generation, and an evidence-aware extension pathway for higher-risk queries.</w:t>
      </w:r>
      <w:r/>
    </w:p>
    <w:p w14:paraId="41952361">
      <w:pPr>
        <w:pStyle w:val="774"/>
        <w:suppressLineNumbers w:val="false"/>
        <w:pBdr/>
        <w:spacing w:after="240" w:before="120" w:line="300" w:lineRule="auto"/>
        <w:ind w:firstLine="0"/>
        <w:rPr/>
      </w:pPr>
      <w:r>
        <w:rPr>
          <w:highlight w:val="none"/>
        </w:rPr>
      </w:r>
      <w:r/>
    </w:p>
    <w:p w14:paraId="74863842">
      <w:pPr>
        <w:pStyle w:val="774"/>
        <w:suppressLineNumbers w:val="false"/>
        <w:pBdr/>
        <w:spacing w:after="240" w:before="120" w:line="300" w:lineRule="auto"/>
        <w:ind w:firstLine="0"/>
        <w:rPr/>
      </w:pPr>
      <w:r>
        <w:rPr>
          <w:highlight w:val="none"/>
        </w:rPr>
        <w:t xml:space="preserve">1.5.2 Objectives</w:t>
      </w:r>
      <w:r/>
    </w:p>
    <w:p w14:paraId="5F9776AB">
      <w:pPr>
        <w:pStyle w:val="774"/>
        <w:numPr>
          <w:ilvl w:val="0"/>
          <w:numId w:val="16"/>
        </w:numPr>
        <w:suppressLineNumbers w:val="false"/>
        <w:pBdr/>
        <w:spacing w:after="240" w:before="120" w:line="300" w:lineRule="auto"/>
        <w:ind/>
        <w:rPr/>
      </w:pPr>
      <w:r>
        <w:rPr>
          <w:highlight w:val="none"/>
        </w:rPr>
        <w:t xml:space="preserve">Build a reproducible, multi-dataset GI MedVQA benchmark layer using persisted repository artifacts.</w:t>
      </w:r>
      <w:r/>
    </w:p>
    <w:p w14:paraId="069E775B">
      <w:pPr>
        <w:pStyle w:val="774"/>
        <w:numPr>
          <w:ilvl w:val="0"/>
          <w:numId w:val="16"/>
        </w:numPr>
        <w:suppressLineNumbers w:val="false"/>
        <w:pBdr/>
        <w:spacing w:after="240" w:before="120" w:line="300" w:lineRule="auto"/>
        <w:ind/>
        <w:rPr/>
      </w:pPr>
      <w:r>
        <w:rPr>
          <w:highlight w:val="none"/>
        </w:rPr>
        <w:t xml:space="preserve">Quantify comparative reliability of closed-set versus generative approaches under GI-specific conditions.</w:t>
      </w:r>
      <w:r/>
    </w:p>
    <w:p w14:paraId="7DA50649">
      <w:pPr>
        <w:pStyle w:val="774"/>
        <w:numPr>
          <w:ilvl w:val="0"/>
          <w:numId w:val="16"/>
        </w:numPr>
        <w:suppressLineNumbers w:val="false"/>
        <w:pBdr/>
        <w:spacing w:after="240" w:before="120" w:line="300" w:lineRule="auto"/>
        <w:ind/>
        <w:rPr/>
      </w:pPr>
      <w:r>
        <w:rPr>
          <w:highlight w:val="none"/>
        </w:rPr>
        <w:t xml:space="preserve">Evaluate UC severity-oriented question answering with clinically meaningful metrics, including imbalance-aware and ordinal-aligned indicators.</w:t>
      </w:r>
      <w:r/>
    </w:p>
    <w:p w14:paraId="4A5E0762">
      <w:pPr>
        <w:pStyle w:val="774"/>
        <w:numPr>
          <w:ilvl w:val="0"/>
          <w:numId w:val="16"/>
        </w:numPr>
        <w:suppressLineNumbers w:val="false"/>
        <w:pBdr/>
        <w:spacing w:after="240" w:before="120" w:line="300" w:lineRule="auto"/>
        <w:ind/>
        <w:rPr/>
      </w:pPr>
      <w:r>
        <w:rPr>
          <w:highlight w:val="none"/>
        </w:rPr>
        <w:t xml:space="preserve">Define scenario-driven use cases aligned with endoscopist workflows.</w:t>
      </w:r>
      <w:r/>
    </w:p>
    <w:p w14:paraId="77AD30ED">
      <w:pPr>
        <w:pStyle w:val="774"/>
        <w:numPr>
          <w:ilvl w:val="0"/>
          <w:numId w:val="16"/>
        </w:numPr>
        <w:suppressLineNumbers w:val="false"/>
        <w:pBdr/>
        <w:spacing w:after="240" w:before="120" w:line="300" w:lineRule="auto"/>
        <w:ind/>
        <w:rPr/>
      </w:pPr>
      <w:r>
        <w:rPr>
          <w:highlight w:val="none"/>
        </w:rPr>
        <w:t xml:space="preserve">Specify and test an implementation path for retrieval-augmented, evidence-aware answering without degrading visual-grounded performance.</w:t>
      </w:r>
      <w:r>
        <w:rPr>
          <w:highlight w:val="none"/>
        </w:rPr>
      </w:r>
      <w:r>
        <w:rPr>
          <w:highlight w:val="none"/>
        </w:rPr>
      </w:r>
    </w:p>
    <w:p w14:paraId="79C4A88B">
      <w:pPr>
        <w:pStyle w:val="774"/>
        <w:suppressLineNumbers w:val="false"/>
        <w:pBdr/>
        <w:spacing w:line="300" w:lineRule="auto"/>
        <w:ind/>
        <w:rPr/>
      </w:pPr>
      <w:r/>
      <w:r/>
      <w:r/>
    </w:p>
    <w:tbl>
      <w:tblPr>
        <w:tblStyle w:val="831"/>
        <w:tblW w:w="0" w:type="auto"/>
        <w:tblBorders/>
        <w:tblLayout w:type="fixed"/>
        <w:tblLook w:val="04A0" w:firstRow="1" w:lastRow="0" w:firstColumn="1" w:lastColumn="0" w:noHBand="0" w:noVBand="1"/>
      </w:tblPr>
      <w:tblGrid>
        <w:gridCol w:w="1460"/>
        <w:gridCol w:w="7937"/>
      </w:tblGrid>
      <w:tr>
        <w:trPr/>
        <w:tc>
          <w:tcPr>
            <w:tcBorders/>
            <w:tcW w:w="1460" w:type="dxa"/>
            <w:textDirection w:val="lrTb"/>
            <w:noWrap w:val="false"/>
          </w:tcPr>
          <w:p w14:paraId="13BF930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Objective</w:t>
            </w:r>
            <w:r>
              <w:rPr>
                <w:color w:val="000000" w:themeColor="text1"/>
              </w:rPr>
            </w:r>
          </w:p>
        </w:tc>
        <w:tc>
          <w:tcPr>
            <w:tcBorders/>
            <w:tcW w:w="7937" w:type="dxa"/>
            <w:textDirection w:val="lrTb"/>
            <w:noWrap w:val="false"/>
          </w:tcPr>
          <w:p w14:paraId="61D8B995">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Dissertation deliverable</w:t>
            </w:r>
            <w:r>
              <w:rPr>
                <w:color w:val="000000" w:themeColor="text1"/>
              </w:rPr>
            </w:r>
          </w:p>
        </w:tc>
      </w:tr>
      <w:tr>
        <w:trPr/>
        <w:tc>
          <w:tcPr>
            <w:tcBorders/>
            <w:tcW w:w="1460" w:type="dxa"/>
            <w:textDirection w:val="lrTb"/>
            <w:noWrap w:val="false"/>
          </w:tcPr>
          <w:p w14:paraId="483B4DC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O1</w:t>
            </w:r>
            <w:r>
              <w:rPr>
                <w:color w:val="000000" w:themeColor="text1"/>
              </w:rPr>
            </w:r>
          </w:p>
        </w:tc>
        <w:tc>
          <w:tcPr>
            <w:tcBorders/>
            <w:tcW w:w="7937" w:type="dxa"/>
            <w:textDirection w:val="lrTb"/>
            <w:noWrap w:val="false"/>
          </w:tcPr>
          <w:p w14:paraId="310845F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Dataset/task profiling and consolidated benchmark tables</w:t>
            </w:r>
            <w:r>
              <w:rPr>
                <w:color w:val="000000" w:themeColor="text1"/>
              </w:rPr>
            </w:r>
          </w:p>
        </w:tc>
      </w:tr>
      <w:tr>
        <w:trPr/>
        <w:tc>
          <w:tcPr>
            <w:tcBorders/>
            <w:tcW w:w="1460" w:type="dxa"/>
            <w:textDirection w:val="lrTb"/>
            <w:noWrap w:val="false"/>
          </w:tcPr>
          <w:p w14:paraId="4EA2A83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O2</w:t>
            </w:r>
            <w:r>
              <w:rPr>
                <w:color w:val="000000" w:themeColor="text1"/>
              </w:rPr>
            </w:r>
          </w:p>
        </w:tc>
        <w:tc>
          <w:tcPr>
            <w:tcBorders/>
            <w:tcW w:w="7937" w:type="dxa"/>
            <w:textDirection w:val="lrTb"/>
            <w:noWrap w:val="false"/>
          </w:tcPr>
          <w:p w14:paraId="1CD5A16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Comparative model analysis with failure-mode interpretation</w:t>
            </w:r>
            <w:r>
              <w:rPr>
                <w:color w:val="000000" w:themeColor="text1"/>
              </w:rPr>
            </w:r>
          </w:p>
        </w:tc>
      </w:tr>
      <w:tr>
        <w:trPr/>
        <w:tc>
          <w:tcPr>
            <w:tcBorders/>
            <w:tcW w:w="1460" w:type="dxa"/>
            <w:textDirection w:val="lrTb"/>
            <w:noWrap w:val="false"/>
          </w:tcPr>
          <w:p w14:paraId="6968FC8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O3</w:t>
            </w:r>
            <w:r>
              <w:rPr>
                <w:color w:val="000000" w:themeColor="text1"/>
              </w:rPr>
            </w:r>
          </w:p>
        </w:tc>
        <w:tc>
          <w:tcPr>
            <w:tcBorders/>
            <w:tcW w:w="7937" w:type="dxa"/>
            <w:textDirection w:val="lrTb"/>
            <w:noWrap w:val="false"/>
          </w:tcPr>
          <w:p w14:paraId="0D7C63D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Severity-focused evaluation section with class-wise and ordinal metrics</w:t>
            </w:r>
            <w:r>
              <w:rPr>
                <w:color w:val="000000" w:themeColor="text1"/>
              </w:rPr>
            </w:r>
          </w:p>
        </w:tc>
      </w:tr>
      <w:tr>
        <w:trPr/>
        <w:tc>
          <w:tcPr>
            <w:tcBorders/>
            <w:tcW w:w="1460" w:type="dxa"/>
            <w:textDirection w:val="lrTb"/>
            <w:noWrap w:val="false"/>
          </w:tcPr>
          <w:p w14:paraId="05B027B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O4</w:t>
            </w:r>
            <w:r>
              <w:rPr>
                <w:color w:val="000000" w:themeColor="text1"/>
              </w:rPr>
            </w:r>
          </w:p>
        </w:tc>
        <w:tc>
          <w:tcPr>
            <w:tcBorders/>
            <w:tcW w:w="7937" w:type="dxa"/>
            <w:textDirection w:val="lrTb"/>
            <w:noWrap w:val="false"/>
          </w:tcPr>
          <w:p w14:paraId="644F5E3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 catalogue with acceptance criteria and error taxonomy</w:t>
            </w:r>
            <w:r>
              <w:rPr>
                <w:color w:val="000000" w:themeColor="text1"/>
              </w:rPr>
            </w:r>
          </w:p>
        </w:tc>
      </w:tr>
      <w:tr>
        <w:trPr/>
        <w:tc>
          <w:tcPr>
            <w:tcBorders/>
            <w:tcW w:w="1460" w:type="dxa"/>
            <w:textDirection w:val="lrTb"/>
            <w:noWrap w:val="false"/>
          </w:tcPr>
          <w:p w14:paraId="3C8FDE5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O5</w:t>
            </w:r>
            <w:r>
              <w:rPr>
                <w:color w:val="000000" w:themeColor="text1"/>
              </w:rPr>
            </w:r>
          </w:p>
        </w:tc>
        <w:tc>
          <w:tcPr>
            <w:tcBorders/>
            <w:tcW w:w="7937" w:type="dxa"/>
            <w:textDirection w:val="lrTb"/>
            <w:noWrap w:val="false"/>
          </w:tcPr>
          <w:p w14:paraId="7EE5AB2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Proposed architecture and phased validation plan for evidence-aware extension</w:t>
            </w:r>
            <w:r>
              <w:rPr>
                <w:color w:val="000000" w:themeColor="text1"/>
              </w:rPr>
            </w:r>
          </w:p>
        </w:tc>
      </w:tr>
    </w:tbl>
    <w:p w14:paraId="12BD727F">
      <w:pPr>
        <w:pStyle w:val="774"/>
        <w:suppressLineNumbers w:val="false"/>
        <w:pBdr/>
        <w:spacing w:line="300" w:lineRule="auto"/>
        <w:ind w:firstLine="0"/>
        <w:rPr>
          <w:color w:val="000000" w:themeColor="text1"/>
        </w:rPr>
      </w:pPr>
      <w:r>
        <w:rPr>
          <w:color w:val="000000" w:themeColor="text1"/>
        </w:rPr>
      </w:r>
      <w:r>
        <w:rPr>
          <w:color w:val="000000" w:themeColor="text1"/>
        </w:rPr>
      </w:r>
      <w:r>
        <w:rPr>
          <w:color w:val="000000" w:themeColor="text1"/>
        </w:rPr>
      </w:r>
    </w:p>
    <w:p w14:paraId="693D110A">
      <w:pPr>
        <w:pStyle w:val="774"/>
        <w:suppressLineNumbers w:val="false"/>
        <w:pBdr/>
        <w:spacing w:line="300" w:lineRule="auto"/>
        <w:ind w:firstLine="0"/>
        <w:rPr/>
      </w:pPr>
      <w:r>
        <w:rPr>
          <w:color w:val="000000" w:themeColor="text1"/>
        </w:rPr>
        <w:t xml:space="preserve">1.6 Research Questions</w:t>
      </w:r>
      <w:r/>
    </w:p>
    <w:p w14:paraId="143A7FDF">
      <w:pPr>
        <w:pStyle w:val="774"/>
        <w:suppressLineNumbers w:val="false"/>
        <w:pBdr/>
        <w:spacing w:line="300" w:lineRule="auto"/>
        <w:ind w:firstLine="0"/>
        <w:rPr/>
      </w:pPr>
      <w:r>
        <w:rPr>
          <w:color w:val="000000" w:themeColor="text1"/>
        </w:rPr>
        <w:t xml:space="preserve">The dissertation is guided by six research questions that link task design, modeling strategy, and clinical utility.</w:t>
      </w:r>
      <w:r/>
      <w:r>
        <w:rPr>
          <w:color w:val="000000" w:themeColor="text1"/>
        </w:rPr>
      </w:r>
    </w:p>
    <w:p w14:paraId="6ABE904F">
      <w:pPr>
        <w:pStyle w:val="774"/>
        <w:suppressLineNumbers w:val="false"/>
        <w:pBdr/>
        <w:spacing w:line="300" w:lineRule="auto"/>
        <w:ind w:firstLine="0"/>
        <w:rPr>
          <w:b/>
          <w:bCs/>
        </w:rPr>
      </w:pPr>
      <w:r>
        <w:rPr>
          <w:b/>
          <w:bCs/>
          <w:color w:val="000000" w:themeColor="text1"/>
        </w:rPr>
        <w:t xml:space="preserve">RQ1 (Coverage):</w:t>
      </w:r>
      <w:r>
        <w:rPr>
          <w:b/>
          <w:bCs/>
        </w:rPr>
      </w:r>
    </w:p>
    <w:p w14:paraId="72F3E382">
      <w:pPr>
        <w:pStyle w:val="774"/>
        <w:suppressLineNumbers w:val="false"/>
        <w:pBdr/>
        <w:spacing w:line="300" w:lineRule="auto"/>
        <w:ind w:firstLine="0"/>
        <w:rPr/>
      </w:pPr>
      <w:r>
        <w:rPr>
          <w:color w:val="000000" w:themeColor="text1"/>
        </w:rPr>
        <w:t xml:space="preserve">What clinically relevant colonoscopy question families and answer spaces are represented in current GI MedVQA datasets, and what important gaps remain?</w:t>
      </w:r>
      <w:r/>
      <w:r>
        <w:rPr>
          <w:color w:val="000000" w:themeColor="text1"/>
        </w:rPr>
      </w:r>
    </w:p>
    <w:p w14:paraId="294DCFD7">
      <w:pPr>
        <w:pStyle w:val="774"/>
        <w:suppressLineNumbers w:val="false"/>
        <w:pBdr/>
        <w:spacing w:line="300" w:lineRule="auto"/>
        <w:ind w:firstLine="0"/>
        <w:rPr>
          <w:b/>
          <w:bCs/>
        </w:rPr>
      </w:pPr>
      <w:r>
        <w:rPr>
          <w:b/>
          <w:bCs/>
          <w:color w:val="000000" w:themeColor="text1"/>
        </w:rPr>
        <w:t xml:space="preserve">RQ2 (Comparative reliability):</w:t>
      </w:r>
      <w:r>
        <w:rPr>
          <w:b/>
          <w:bCs/>
        </w:rPr>
      </w:r>
    </w:p>
    <w:p w14:paraId="11E7D011">
      <w:pPr>
        <w:pStyle w:val="774"/>
        <w:suppressLineNumbers w:val="false"/>
        <w:pBdr/>
        <w:spacing w:line="300" w:lineRule="auto"/>
        <w:ind w:firstLine="0"/>
        <w:rPr/>
      </w:pPr>
      <w:r>
        <w:rPr>
          <w:color w:val="000000" w:themeColor="text1"/>
        </w:rPr>
        <w:t xml:space="preserve">On GI MedVQA tasks, do constrained/discriminative pipelines remain more reliable than zero-shot open-ended VLM generation?</w:t>
      </w:r>
      <w:r/>
      <w:r>
        <w:rPr>
          <w:color w:val="000000" w:themeColor="text1"/>
        </w:rPr>
      </w:r>
    </w:p>
    <w:p w14:paraId="2AF0F904">
      <w:pPr>
        <w:pStyle w:val="774"/>
        <w:suppressLineNumbers w:val="false"/>
        <w:pBdr/>
        <w:spacing w:line="300" w:lineRule="auto"/>
        <w:ind w:firstLine="0"/>
        <w:rPr>
          <w:b/>
          <w:bCs/>
        </w:rPr>
      </w:pPr>
      <w:r>
        <w:rPr>
          <w:b/>
          <w:bCs/>
          <w:color w:val="000000" w:themeColor="text1"/>
        </w:rPr>
        <w:t xml:space="preserve">RQ3 (Failure modes):</w:t>
      </w:r>
      <w:r>
        <w:rPr>
          <w:b/>
          <w:bCs/>
        </w:rPr>
      </w:r>
    </w:p>
    <w:p w14:paraId="1523E50D">
      <w:pPr>
        <w:pStyle w:val="774"/>
        <w:suppressLineNumbers w:val="false"/>
        <w:pBdr/>
        <w:spacing w:line="300" w:lineRule="auto"/>
        <w:ind w:firstLine="0"/>
        <w:rPr/>
      </w:pPr>
      <w:r>
        <w:rPr>
          <w:color w:val="000000" w:themeColor="text1"/>
        </w:rPr>
        <w:t xml:space="preserve">Which failure modes dominate current GI MedVQA systems: class imbalance, lexical mismatch, localization ambiguity, or domain shift?</w:t>
      </w:r>
      <w:r/>
      <w:r>
        <w:rPr>
          <w:color w:val="000000" w:themeColor="text1"/>
        </w:rPr>
      </w:r>
    </w:p>
    <w:p w14:paraId="0E2F15EE">
      <w:pPr>
        <w:pStyle w:val="774"/>
        <w:suppressLineNumbers w:val="false"/>
        <w:pBdr/>
        <w:spacing w:line="300" w:lineRule="auto"/>
        <w:ind w:firstLine="0"/>
        <w:rPr>
          <w:b/>
          <w:bCs/>
        </w:rPr>
      </w:pPr>
      <w:r>
        <w:rPr>
          <w:b/>
          <w:bCs/>
          <w:color w:val="000000" w:themeColor="text1"/>
        </w:rPr>
        <w:t xml:space="preserve">RQ4 (Severity robustness):</w:t>
      </w:r>
      <w:r>
        <w:rPr>
          <w:b/>
          <w:bCs/>
        </w:rPr>
      </w:r>
    </w:p>
    <w:p w14:paraId="3A7075B0">
      <w:pPr>
        <w:pStyle w:val="774"/>
        <w:suppressLineNumbers w:val="false"/>
        <w:pBdr/>
        <w:spacing w:line="300" w:lineRule="auto"/>
        <w:ind w:firstLine="0"/>
        <w:rPr/>
      </w:pPr>
      <w:r>
        <w:rPr>
          <w:color w:val="000000" w:themeColor="text1"/>
        </w:rPr>
        <w:t xml:space="preserve">How reliably can models answer UC severity-oriented questions, especially for underrepresented severe classes?</w:t>
      </w:r>
      <w:r/>
      <w:r>
        <w:rPr>
          <w:color w:val="000000" w:themeColor="text1"/>
        </w:rPr>
      </w:r>
    </w:p>
    <w:p w14:paraId="5059044E">
      <w:pPr>
        <w:pStyle w:val="774"/>
        <w:suppressLineNumbers w:val="false"/>
        <w:pBdr/>
        <w:spacing w:line="300" w:lineRule="auto"/>
        <w:ind w:firstLine="0"/>
        <w:rPr>
          <w:b/>
          <w:bCs/>
        </w:rPr>
      </w:pPr>
      <w:r>
        <w:rPr>
          <w:b/>
          <w:bCs/>
          <w:color w:val="000000" w:themeColor="text1"/>
        </w:rPr>
        <w:t xml:space="preserve">RQ5 (Clinical output format):</w:t>
      </w:r>
      <w:r>
        <w:rPr>
          <w:b/>
          <w:bCs/>
        </w:rPr>
      </w:r>
    </w:p>
    <w:p w14:paraId="2378520B">
      <w:pPr>
        <w:pStyle w:val="774"/>
        <w:suppressLineNumbers w:val="false"/>
        <w:pBdr/>
        <w:spacing w:line="300" w:lineRule="auto"/>
        <w:ind w:firstLine="0"/>
        <w:rPr/>
      </w:pPr>
      <w:r>
        <w:rPr>
          <w:color w:val="000000" w:themeColor="text1"/>
        </w:rPr>
        <w:t xml:space="preserve">Which output format best supports clinician trust and usability: label only, label plus rationale, label plus confidence, or answer plus retrieved evidence?</w:t>
      </w:r>
      <w:r/>
      <w:r>
        <w:rPr>
          <w:color w:val="000000" w:themeColor="text1"/>
        </w:rPr>
      </w:r>
    </w:p>
    <w:p w14:paraId="1A7A0F26">
      <w:pPr>
        <w:pStyle w:val="774"/>
        <w:suppressLineNumbers w:val="false"/>
        <w:pBdr/>
        <w:spacing w:line="300" w:lineRule="auto"/>
        <w:ind w:firstLine="0"/>
        <w:rPr>
          <w:b/>
          <w:bCs/>
        </w:rPr>
      </w:pPr>
      <w:r>
        <w:rPr>
          <w:b/>
          <w:bCs/>
          <w:color w:val="000000" w:themeColor="text1"/>
        </w:rPr>
        <w:t xml:space="preserve">RQ6 (Evidence-aware extension):</w:t>
      </w:r>
      <w:r>
        <w:rPr>
          <w:b/>
          <w:bCs/>
        </w:rPr>
      </w:r>
    </w:p>
    <w:p w14:paraId="76EEA597">
      <w:pPr>
        <w:pStyle w:val="774"/>
        <w:suppressLineNumbers w:val="false"/>
        <w:pBdr/>
        <w:spacing w:line="300" w:lineRule="auto"/>
        <w:ind w:firstLine="0"/>
        <w:rPr>
          <w:color w:val="000000" w:themeColor="text1"/>
          <w:highlight w:val="none"/>
        </w:rPr>
      </w:pPr>
      <w:r>
        <w:rPr>
          <w:color w:val="000000" w:themeColor="text1"/>
        </w:rPr>
        <w:t xml:space="preserve">Can retrieval-augmented reasoning be integrated as a controlled extension without degrading core visual-grounded accuracy?</w:t>
      </w:r>
      <w:r>
        <w:rPr>
          <w:color w:val="000000" w:themeColor="text1"/>
        </w:rPr>
      </w:r>
      <w:r>
        <w:rPr>
          <w:color w:val="000000" w:themeColor="text1"/>
          <w:highlight w:val="none"/>
        </w:rPr>
      </w:r>
    </w:p>
    <w:p w14:paraId="52134F48">
      <w:pPr>
        <w:pStyle w:val="774"/>
        <w:suppressLineNumbers w:val="false"/>
        <w:pBdr/>
        <w:spacing w:line="300" w:lineRule="auto"/>
        <w:ind w:firstLine="0"/>
        <w:rPr>
          <w:color w:val="000000" w:themeColor="text1"/>
          <w:highlight w:val="none"/>
        </w:rPr>
      </w:pPr>
      <w:r>
        <w:rPr>
          <w:color w:val="000000" w:themeColor="text1"/>
          <w:highlight w:val="none"/>
        </w:rPr>
      </w:r>
      <w:r>
        <w:rPr>
          <w:color w:val="000000" w:themeColor="text1"/>
          <w:highlight w:val="none"/>
        </w:rPr>
        <w:t xml:space="preserve">1.6.1 RQ-to-Evaluation Map</w:t>
      </w:r>
      <w:r>
        <w:rPr>
          <w:color w:val="000000" w:themeColor="text1"/>
          <w:highlight w:val="none"/>
        </w:rPr>
      </w:r>
      <w:r>
        <w:rPr>
          <w:color w:val="000000" w:themeColor="text1"/>
        </w:rPr>
      </w:r>
    </w:p>
    <w:tbl>
      <w:tblPr>
        <w:tblStyle w:val="831"/>
        <w:tblW w:w="0" w:type="auto"/>
        <w:tblBorders/>
        <w:tblLayout w:type="fixed"/>
        <w:tblLook w:val="04A0" w:firstRow="1" w:lastRow="0" w:firstColumn="1" w:lastColumn="0" w:noHBand="0" w:noVBand="1"/>
      </w:tblPr>
      <w:tblGrid>
        <w:gridCol w:w="1460"/>
        <w:gridCol w:w="3827"/>
        <w:gridCol w:w="3543"/>
      </w:tblGrid>
      <w:tr>
        <w:trPr>
          <w:trHeight w:val="449"/>
        </w:trPr>
        <w:tc>
          <w:tcPr>
            <w:tcBorders/>
            <w:tcW w:w="1460" w:type="dxa"/>
            <w:textDirection w:val="lrTb"/>
            <w:noWrap w:val="false"/>
          </w:tcPr>
          <w:p w14:paraId="601C72B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RQ</w:t>
            </w:r>
            <w:r>
              <w:rPr>
                <w:color w:val="000000" w:themeColor="text1"/>
              </w:rPr>
            </w:r>
          </w:p>
        </w:tc>
        <w:tc>
          <w:tcPr>
            <w:tcBorders/>
            <w:tcW w:w="3827" w:type="dxa"/>
            <w:textDirection w:val="lrTb"/>
            <w:noWrap w:val="false"/>
          </w:tcPr>
          <w:p w14:paraId="6D8AB188">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Primary evidence in this thesis</w:t>
            </w:r>
            <w:r>
              <w:rPr>
                <w:color w:val="000000" w:themeColor="text1"/>
              </w:rPr>
            </w:r>
          </w:p>
        </w:tc>
        <w:tc>
          <w:tcPr>
            <w:tcBorders/>
            <w:tcW w:w="3543" w:type="dxa"/>
            <w:textDirection w:val="lrTb"/>
            <w:noWrap w:val="false"/>
          </w:tcPr>
          <w:p w14:paraId="5FC923ED">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Candidate metrics</w:t>
            </w:r>
            <w:r>
              <w:rPr>
                <w:color w:val="000000" w:themeColor="text1"/>
              </w:rPr>
            </w:r>
          </w:p>
        </w:tc>
      </w:tr>
      <w:tr>
        <w:trPr/>
        <w:tc>
          <w:tcPr>
            <w:tcBorders/>
            <w:tcW w:w="1460" w:type="dxa"/>
            <w:textDirection w:val="lrTb"/>
            <w:noWrap w:val="false"/>
          </w:tcPr>
          <w:p w14:paraId="32B9132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RQ1</w:t>
            </w:r>
            <w:r>
              <w:rPr>
                <w:color w:val="000000" w:themeColor="text1"/>
              </w:rPr>
            </w:r>
          </w:p>
        </w:tc>
        <w:tc>
          <w:tcPr>
            <w:tcBorders/>
            <w:tcW w:w="3827" w:type="dxa"/>
            <w:textDirection w:val="lrTb"/>
            <w:noWrap w:val="false"/>
          </w:tcPr>
          <w:p w14:paraId="56134E4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Dataset profiling and taxonomy analysis</w:t>
            </w:r>
            <w:r>
              <w:rPr>
                <w:color w:val="000000" w:themeColor="text1"/>
              </w:rPr>
            </w:r>
          </w:p>
        </w:tc>
        <w:tc>
          <w:tcPr>
            <w:tcBorders/>
            <w:tcW w:w="3543" w:type="dxa"/>
            <w:textDirection w:val="lrTb"/>
            <w:noWrap w:val="false"/>
          </w:tcPr>
          <w:p w14:paraId="2802D9E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Coverage %, answer cardinality, imbalance ratio</w:t>
            </w:r>
            <w:r>
              <w:rPr>
                <w:color w:val="000000" w:themeColor="text1"/>
              </w:rPr>
            </w:r>
          </w:p>
        </w:tc>
      </w:tr>
      <w:tr>
        <w:trPr/>
        <w:tc>
          <w:tcPr>
            <w:tcBorders/>
            <w:tcW w:w="1460" w:type="dxa"/>
            <w:textDirection w:val="lrTb"/>
            <w:noWrap w:val="false"/>
          </w:tcPr>
          <w:p w14:paraId="62C2F09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RQ2</w:t>
            </w:r>
            <w:r>
              <w:rPr>
                <w:color w:val="000000" w:themeColor="text1"/>
              </w:rPr>
            </w:r>
          </w:p>
        </w:tc>
        <w:tc>
          <w:tcPr>
            <w:tcBorders/>
            <w:tcW w:w="3827" w:type="dxa"/>
            <w:textDirection w:val="lrTb"/>
            <w:noWrap w:val="false"/>
          </w:tcPr>
          <w:p w14:paraId="5EC52A9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Closed-set vs generative comparisons</w:t>
            </w:r>
            <w:r>
              <w:rPr>
                <w:color w:val="000000" w:themeColor="text1"/>
              </w:rPr>
            </w:r>
          </w:p>
        </w:tc>
        <w:tc>
          <w:tcPr>
            <w:tcBorders/>
            <w:tcW w:w="3543" w:type="dxa"/>
            <w:textDirection w:val="lrTb"/>
            <w:noWrap w:val="false"/>
          </w:tcPr>
          <w:p w14:paraId="335F6E8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Accuracy, macro-F1, MCC, EM, token-F1</w:t>
            </w:r>
            <w:r>
              <w:rPr>
                <w:color w:val="000000" w:themeColor="text1"/>
              </w:rPr>
            </w:r>
          </w:p>
        </w:tc>
      </w:tr>
      <w:tr>
        <w:trPr/>
        <w:tc>
          <w:tcPr>
            <w:tcBorders/>
            <w:tcW w:w="1460" w:type="dxa"/>
            <w:textDirection w:val="lrTb"/>
            <w:noWrap w:val="false"/>
          </w:tcPr>
          <w:p w14:paraId="236C178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RQ3</w:t>
            </w:r>
            <w:r>
              <w:rPr>
                <w:color w:val="000000" w:themeColor="text1"/>
              </w:rPr>
            </w:r>
          </w:p>
        </w:tc>
        <w:tc>
          <w:tcPr>
            <w:tcBorders/>
            <w:tcW w:w="3827" w:type="dxa"/>
            <w:textDirection w:val="lrTb"/>
            <w:noWrap w:val="false"/>
          </w:tcPr>
          <w:p w14:paraId="606DCCB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Error and robustness analysis</w:t>
            </w:r>
            <w:r>
              <w:rPr>
                <w:color w:val="000000" w:themeColor="text1"/>
              </w:rPr>
            </w:r>
          </w:p>
        </w:tc>
        <w:tc>
          <w:tcPr>
            <w:tcBorders/>
            <w:tcW w:w="3543" w:type="dxa"/>
            <w:textDirection w:val="lrTb"/>
            <w:noWrap w:val="false"/>
          </w:tcPr>
          <w:p w14:paraId="737861C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Per-class recall, head-tail gap, OOV/unknown rates</w:t>
            </w:r>
            <w:r>
              <w:rPr>
                <w:color w:val="000000" w:themeColor="text1"/>
              </w:rPr>
            </w:r>
          </w:p>
        </w:tc>
      </w:tr>
      <w:tr>
        <w:trPr/>
        <w:tc>
          <w:tcPr>
            <w:tcBorders/>
            <w:tcW w:w="1460" w:type="dxa"/>
            <w:textDirection w:val="lrTb"/>
            <w:noWrap w:val="false"/>
          </w:tcPr>
          <w:p w14:paraId="408D49F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RQ4</w:t>
            </w:r>
            <w:r>
              <w:rPr>
                <w:color w:val="000000" w:themeColor="text1"/>
              </w:rPr>
            </w:r>
          </w:p>
        </w:tc>
        <w:tc>
          <w:tcPr>
            <w:tcBorders/>
            <w:tcW w:w="3827" w:type="dxa"/>
            <w:textDirection w:val="lrTb"/>
            <w:noWrap w:val="false"/>
          </w:tcPr>
          <w:p w14:paraId="4C00206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UC severity-focused experiments</w:t>
            </w:r>
            <w:r>
              <w:rPr>
                <w:color w:val="000000" w:themeColor="text1"/>
              </w:rPr>
            </w:r>
          </w:p>
        </w:tc>
        <w:tc>
          <w:tcPr>
            <w:tcBorders/>
            <w:tcW w:w="3543" w:type="dxa"/>
            <w:textDirection w:val="lrTb"/>
            <w:noWrap w:val="false"/>
          </w:tcPr>
          <w:p w14:paraId="2B234E0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Macro-F1, balanced accuracy, QWK, remission sensitivity/specificity</w:t>
            </w:r>
            <w:r>
              <w:rPr>
                <w:color w:val="000000" w:themeColor="text1"/>
              </w:rPr>
            </w:r>
          </w:p>
        </w:tc>
      </w:tr>
      <w:tr>
        <w:trPr/>
        <w:tc>
          <w:tcPr>
            <w:tcBorders/>
            <w:tcW w:w="1460" w:type="dxa"/>
            <w:textDirection w:val="lrTb"/>
            <w:noWrap w:val="false"/>
          </w:tcPr>
          <w:p w14:paraId="569DFE1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RQ5</w:t>
            </w:r>
            <w:r>
              <w:rPr>
                <w:color w:val="000000" w:themeColor="text1"/>
              </w:rPr>
            </w:r>
          </w:p>
        </w:tc>
        <w:tc>
          <w:tcPr>
            <w:tcBorders/>
            <w:tcW w:w="3827" w:type="dxa"/>
            <w:textDirection w:val="lrTb"/>
            <w:noWrap w:val="false"/>
          </w:tcPr>
          <w:p w14:paraId="266C0DA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Scenario-driven analysis</w:t>
            </w:r>
            <w:r>
              <w:rPr>
                <w:color w:val="000000" w:themeColor="text1"/>
              </w:rPr>
            </w:r>
          </w:p>
        </w:tc>
        <w:tc>
          <w:tcPr>
            <w:tcBorders/>
            <w:tcW w:w="3543" w:type="dxa"/>
            <w:textDirection w:val="lrTb"/>
            <w:noWrap w:val="false"/>
          </w:tcPr>
          <w:p w14:paraId="6D2EE24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 pass rate, high-risk error counts, clinician-facing clarity criteria</w:t>
            </w:r>
            <w:r>
              <w:rPr>
                <w:color w:val="000000" w:themeColor="text1"/>
              </w:rPr>
            </w:r>
          </w:p>
        </w:tc>
      </w:tr>
      <w:tr>
        <w:trPr/>
        <w:tc>
          <w:tcPr>
            <w:tcBorders/>
            <w:tcW w:w="1460" w:type="dxa"/>
            <w:textDirection w:val="lrTb"/>
            <w:noWrap w:val="false"/>
          </w:tcPr>
          <w:p w14:paraId="7EE7BD8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RQ6</w:t>
            </w:r>
            <w:r>
              <w:rPr>
                <w:color w:val="000000" w:themeColor="text1"/>
              </w:rPr>
            </w:r>
          </w:p>
        </w:tc>
        <w:tc>
          <w:tcPr>
            <w:tcBorders/>
            <w:tcW w:w="3827" w:type="dxa"/>
            <w:textDirection w:val="lrTb"/>
            <w:noWrap w:val="false"/>
          </w:tcPr>
          <w:p w14:paraId="7976CA8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Retrieval-augmented prototype analysis</w:t>
            </w:r>
            <w:r>
              <w:rPr>
                <w:color w:val="000000" w:themeColor="text1"/>
              </w:rPr>
            </w:r>
          </w:p>
        </w:tc>
        <w:tc>
          <w:tcPr>
            <w:tcBorders/>
            <w:tcW w:w="3543" w:type="dxa"/>
            <w:textDirection w:val="lrTb"/>
            <w:noWrap w:val="false"/>
          </w:tcPr>
          <w:p w14:paraId="1214C67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Accuracy delta, evidence relevance, factual consistency checks</w:t>
            </w:r>
            <w:r>
              <w:rPr>
                <w:color w:val="000000" w:themeColor="text1"/>
              </w:rPr>
            </w:r>
          </w:p>
        </w:tc>
      </w:tr>
    </w:tbl>
    <w:p w14:paraId="17DF841F">
      <w:pPr>
        <w:pStyle w:val="774"/>
        <w:suppressLineNumbers w:val="false"/>
        <w:pBdr/>
        <w:spacing w:line="300" w:lineRule="auto"/>
        <w:ind w:firstLine="0"/>
        <w:rPr>
          <w:color w:val="000000" w:themeColor="text1"/>
        </w:rPr>
      </w:pPr>
      <w:r>
        <w:rPr>
          <w:color w:val="000000" w:themeColor="text1"/>
          <w:highlight w:val="none"/>
        </w:rPr>
      </w:r>
      <w:r>
        <w:rPr>
          <w:color w:val="000000" w:themeColor="text1"/>
          <w:highlight w:val="none"/>
        </w:rPr>
      </w:r>
      <w:r>
        <w:rPr>
          <w:color w:val="000000" w:themeColor="text1"/>
          <w:highlight w:val="none"/>
        </w:rPr>
      </w:r>
    </w:p>
    <w:p w14:paraId="5E5E673D">
      <w:pPr>
        <w:pStyle w:val="774"/>
        <w:suppressLineNumbers w:val="false"/>
        <w:pBdr/>
        <w:spacing w:line="300" w:lineRule="auto"/>
        <w:ind/>
        <w:rPr/>
      </w:pPr>
      <w:r/>
      <w:r/>
      <w:r/>
    </w:p>
    <w:p w14:paraId="0DE9C483">
      <w:pPr>
        <w:pStyle w:val="774"/>
        <w:suppressLineNumbers w:val="false"/>
        <w:pBdr/>
        <w:spacing w:line="300" w:lineRule="auto"/>
        <w:ind/>
        <w:rPr/>
      </w:pPr>
      <w:r/>
      <w:r/>
      <w:r/>
    </w:p>
    <w:p w14:paraId="7024BE47">
      <w:pPr>
        <w:pStyle w:val="774"/>
        <w:suppressLineNumbers w:val="false"/>
        <w:pBdr/>
        <w:spacing w:line="300" w:lineRule="auto"/>
        <w:ind/>
        <w:rPr/>
      </w:pPr>
      <w:r/>
      <w:r/>
      <w:r/>
    </w:p>
    <w:p w14:paraId="34F5A392">
      <w:pPr>
        <w:pStyle w:val="774"/>
        <w:suppressLineNumbers w:val="false"/>
        <w:pBdr/>
        <w:spacing w:line="300" w:lineRule="auto"/>
        <w:ind/>
        <w:rPr/>
      </w:pPr>
      <w:r>
        <w:t xml:space="preserve">1.6.2 Research Hypotheses (Working)</w:t>
      </w:r>
      <w:r/>
    </w:p>
    <w:p w14:paraId="69C4345A">
      <w:pPr>
        <w:pStyle w:val="774"/>
        <w:numPr>
          <w:ilvl w:val="0"/>
          <w:numId w:val="17"/>
        </w:numPr>
        <w:suppressLineNumbers w:val="false"/>
        <w:pBdr/>
        <w:spacing w:after="240" w:before="120" w:line="300" w:lineRule="auto"/>
        <w:ind/>
        <w:rPr/>
      </w:pPr>
      <w:r>
        <w:t xml:space="preserve">H1: In current GI datasets, constrained or supervised decoders will outperform </w:t>
        <w:tab/>
        <w:t xml:space="preserve">raw zero-shot free generation on core reliability metrics.</w:t>
      </w:r>
      <w:r/>
    </w:p>
    <w:p w14:paraId="44068932">
      <w:pPr>
        <w:pStyle w:val="774"/>
        <w:numPr>
          <w:ilvl w:val="0"/>
          <w:numId w:val="17"/>
        </w:numPr>
        <w:suppressLineNumbers w:val="false"/>
        <w:pBdr/>
        <w:spacing w:after="240" w:before="120" w:line="300" w:lineRule="auto"/>
        <w:ind/>
        <w:rPr/>
      </w:pPr>
      <w:r>
        <w:t xml:space="preserve">H2: Minority severe classes will remain the primary bottleneck even when </w:t>
        <w:tab/>
        <w:t xml:space="preserve">aggregate accuracy is high.</w:t>
      </w:r>
      <w:r/>
    </w:p>
    <w:p w14:paraId="2DDCA700">
      <w:pPr>
        <w:pStyle w:val="774"/>
        <w:numPr>
          <w:ilvl w:val="0"/>
          <w:numId w:val="17"/>
        </w:numPr>
        <w:suppressLineNumbers w:val="false"/>
        <w:pBdr/>
        <w:spacing w:after="240" w:before="120" w:line="300" w:lineRule="auto"/>
        <w:ind/>
        <w:rPr/>
      </w:pPr>
      <w:r>
        <w:t xml:space="preserve">H3: A conditional evidence-augmented layer can improve interpretability for high-</w:t>
        <w:tab/>
        <w:t xml:space="preserve">risk questions without compromising visual grounding.</w:t>
      </w:r>
      <w:r/>
    </w:p>
    <w:p w14:paraId="169087FE">
      <w:pPr>
        <w:pStyle w:val="774"/>
        <w:suppressLineNumbers w:val="false"/>
        <w:pBdr/>
        <w:spacing w:line="300" w:lineRule="auto"/>
        <w:ind w:firstLine="0"/>
        <w:rPr>
          <w:highlight w:val="none"/>
        </w:rPr>
      </w:pPr>
      <w:r>
        <w:t xml:space="preserve">These hypotheses are working assumptions to be tested in later chapters; they </w:t>
        <w:tab/>
        <w:t xml:space="preserve">are not final claims.</w:t>
      </w:r>
      <w:r/>
    </w:p>
    <w:p w14:paraId="0503E37C">
      <w:pPr>
        <w:pStyle w:val="774"/>
        <w:suppressLineNumbers w:val="false"/>
        <w:pBdr/>
        <w:spacing w:line="300" w:lineRule="auto"/>
        <w:ind/>
        <w:rPr/>
      </w:pPr>
      <w:r/>
      <w:r/>
    </w:p>
    <w:p w14:paraId="4F3700B9">
      <w:pPr>
        <w:pStyle w:val="774"/>
        <w:suppressLineNumbers w:val="false"/>
        <w:pBdr/>
        <w:spacing w:line="300" w:lineRule="auto"/>
        <w:ind w:firstLine="0"/>
        <w:rPr/>
      </w:pPr>
      <w:r>
        <w:t xml:space="preserve">1.7 Scope, Assumptions, and Delimitations</w:t>
      </w:r>
      <w:r/>
    </w:p>
    <w:p w14:paraId="45AAEE1F">
      <w:pPr>
        <w:pStyle w:val="774"/>
        <w:suppressLineNumbers w:val="false"/>
        <w:pBdr/>
        <w:spacing w:line="300" w:lineRule="auto"/>
        <w:ind w:firstLine="0"/>
        <w:rPr/>
      </w:pPr>
      <w:r>
        <w:t xml:space="preserve">1.7.1 In Scope</w:t>
      </w:r>
      <w:r/>
    </w:p>
    <w:p w14:paraId="3A98C560">
      <w:pPr>
        <w:pStyle w:val="774"/>
        <w:numPr>
          <w:ilvl w:val="0"/>
          <w:numId w:val="18"/>
        </w:numPr>
        <w:suppressLineNumbers w:val="false"/>
        <w:pBdr/>
        <w:spacing w:line="300" w:lineRule="auto"/>
        <w:ind/>
        <w:rPr/>
      </w:pPr>
      <w:r>
        <w:t xml:space="preserve">Colonoscopy and GI endoscopy image-question answering.</w:t>
      </w:r>
      <w:r/>
    </w:p>
    <w:p w14:paraId="7B66B808">
      <w:pPr>
        <w:pStyle w:val="774"/>
        <w:numPr>
          <w:ilvl w:val="0"/>
          <w:numId w:val="18"/>
        </w:numPr>
        <w:suppressLineNumbers w:val="false"/>
        <w:pBdr/>
        <w:spacing w:line="300" w:lineRule="auto"/>
        <w:ind/>
        <w:rPr/>
      </w:pPr>
      <w:r>
        <w:t xml:space="preserve">UC severity-oriented analysis as a flagship clinical axis.</w:t>
      </w:r>
      <w:r/>
    </w:p>
    <w:p w14:paraId="17AA6AAC">
      <w:pPr>
        <w:pStyle w:val="774"/>
        <w:numPr>
          <w:ilvl w:val="0"/>
          <w:numId w:val="18"/>
        </w:numPr>
        <w:suppressLineNumbers w:val="false"/>
        <w:pBdr/>
        <w:spacing w:line="300" w:lineRule="auto"/>
        <w:ind/>
        <w:rPr/>
      </w:pPr>
      <w:r>
        <w:t xml:space="preserve">Multi-dataset benchmarking from persisted local artifacts.</w:t>
      </w:r>
      <w:r/>
    </w:p>
    <w:p w14:paraId="3006CBB9">
      <w:pPr>
        <w:pStyle w:val="774"/>
        <w:numPr>
          <w:ilvl w:val="0"/>
          <w:numId w:val="18"/>
        </w:numPr>
        <w:suppressLineNumbers w:val="false"/>
        <w:pBdr/>
        <w:spacing w:line="300" w:lineRule="auto"/>
        <w:ind/>
        <w:rPr/>
      </w:pPr>
      <w:r>
        <w:t xml:space="preserve">Closed-set and generative answer tracks.</w:t>
      </w:r>
      <w:r/>
    </w:p>
    <w:p w14:paraId="2EF3C012">
      <w:pPr>
        <w:pStyle w:val="774"/>
        <w:numPr>
          <w:ilvl w:val="0"/>
          <w:numId w:val="18"/>
        </w:numPr>
        <w:suppressLineNumbers w:val="false"/>
        <w:pBdr/>
        <w:spacing w:line="300" w:lineRule="auto"/>
        <w:ind/>
        <w:rPr/>
      </w:pPr>
      <w:r>
        <w:t xml:space="preserve">Design of an evidence-aware extension pathway (RAG/PICO-oriented direction).</w:t>
      </w:r>
      <w:r/>
    </w:p>
    <w:p w14:paraId="65A9DFF6">
      <w:pPr>
        <w:pStyle w:val="774"/>
        <w:suppressLineNumbers w:val="false"/>
        <w:pBdr/>
        <w:spacing w:line="300" w:lineRule="auto"/>
        <w:ind w:firstLine="0"/>
        <w:rPr/>
      </w:pPr>
      <w:r>
        <w:t xml:space="preserve">1.7.2 Out of Scope in This Dissertation Phase</w:t>
      </w:r>
      <w:r/>
    </w:p>
    <w:p w14:paraId="7EA3BC6B">
      <w:pPr>
        <w:pStyle w:val="774"/>
        <w:numPr>
          <w:ilvl w:val="0"/>
          <w:numId w:val="19"/>
        </w:numPr>
        <w:suppressLineNumbers w:val="false"/>
        <w:pBdr/>
        <w:spacing w:line="300" w:lineRule="auto"/>
        <w:ind/>
        <w:rPr/>
      </w:pPr>
      <w:r>
        <w:t xml:space="preserve">Prospective real-time deployment in clinical endoscopy units.</w:t>
      </w:r>
      <w:r/>
    </w:p>
    <w:p w14:paraId="2B700D60">
      <w:pPr>
        <w:pStyle w:val="774"/>
        <w:numPr>
          <w:ilvl w:val="0"/>
          <w:numId w:val="19"/>
        </w:numPr>
        <w:suppressLineNumbers w:val="false"/>
        <w:pBdr/>
        <w:spacing w:line="300" w:lineRule="auto"/>
        <w:ind/>
        <w:rPr/>
      </w:pPr>
      <w:r>
        <w:t xml:space="preserve">Full regulatory and compliance validation.</w:t>
      </w:r>
      <w:r/>
    </w:p>
    <w:p w14:paraId="4F514535">
      <w:pPr>
        <w:pStyle w:val="774"/>
        <w:numPr>
          <w:ilvl w:val="0"/>
          <w:numId w:val="19"/>
        </w:numPr>
        <w:suppressLineNumbers w:val="false"/>
        <w:pBdr/>
        <w:spacing w:line="300" w:lineRule="auto"/>
        <w:ind/>
        <w:rPr/>
      </w:pPr>
      <w:r>
        <w:t xml:space="preserve">Multi-center randomized outcome trials.</w:t>
      </w:r>
      <w:r/>
    </w:p>
    <w:p w14:paraId="02243ACC">
      <w:pPr>
        <w:pStyle w:val="774"/>
        <w:numPr>
          <w:ilvl w:val="0"/>
          <w:numId w:val="19"/>
        </w:numPr>
        <w:suppressLineNumbers w:val="false"/>
        <w:pBdr/>
        <w:spacing w:line="300" w:lineRule="auto"/>
        <w:ind/>
        <w:rPr/>
      </w:pPr>
      <w:r>
        <w:t xml:space="preserve">Production-grade latency optimization for full video streams.</w:t>
      </w:r>
      <w:r/>
    </w:p>
    <w:p w14:paraId="06B25097">
      <w:pPr>
        <w:pStyle w:val="774"/>
        <w:suppressLineNumbers w:val="false"/>
        <w:pBdr/>
        <w:spacing w:line="300" w:lineRule="auto"/>
        <w:ind w:firstLine="0"/>
        <w:rPr/>
      </w:pPr>
      <w:r>
        <w:t xml:space="preserve">1.7.3 Working Assumptions</w:t>
      </w:r>
      <w:r/>
    </w:p>
    <w:p w14:paraId="01FA2F0A">
      <w:pPr>
        <w:pStyle w:val="774"/>
        <w:numPr>
          <w:ilvl w:val="0"/>
          <w:numId w:val="20"/>
        </w:numPr>
        <w:suppressLineNumbers w:val="false"/>
        <w:pBdr/>
        <w:spacing w:line="300" w:lineRule="auto"/>
        <w:ind/>
        <w:rPr/>
      </w:pPr>
      <w:r>
        <w:t xml:space="preserve">Ground-truth annotations are treated as operational references despite known </w:t>
      </w:r>
      <w:r>
        <w:rPr>
          <w:lang w:val="en-US"/>
        </w:rPr>
        <w:t xml:space="preserve"> </w:t>
      </w:r>
      <w:r>
        <w:rPr>
          <w:lang w:val="en-US"/>
        </w:rPr>
        <w:t xml:space="preserve"> </w:t>
      </w:r>
      <w:r>
        <w:t xml:space="preserve">inter-observer variation.</w:t>
      </w:r>
      <w:r/>
    </w:p>
    <w:p w14:paraId="3A0DB17A">
      <w:pPr>
        <w:pStyle w:val="774"/>
        <w:numPr>
          <w:ilvl w:val="0"/>
          <w:numId w:val="20"/>
        </w:numPr>
        <w:suppressLineNumbers w:val="false"/>
        <w:pBdr/>
        <w:spacing w:line="300" w:lineRule="auto"/>
        <w:ind/>
        <w:rPr/>
      </w:pPr>
      <w:r>
        <w:t xml:space="preserve">Persisted repository artifacts provide the reproducible evidence base for current claims.</w:t>
      </w:r>
      <w:r/>
    </w:p>
    <w:p w14:paraId="74DC5E9E">
      <w:pPr>
        <w:pStyle w:val="774"/>
        <w:numPr>
          <w:ilvl w:val="0"/>
          <w:numId w:val="20"/>
        </w:numPr>
        <w:suppressLineNumbers w:val="false"/>
        <w:pBdr/>
        <w:spacing w:line="300" w:lineRule="auto"/>
        <w:ind/>
        <w:rPr/>
      </w:pPr>
      <w:r>
        <w:t xml:space="preserve">Evidence-aware generation is treated as an additive and safeguarded layer.</w:t>
      </w:r>
      <w:r/>
    </w:p>
    <w:p w14:paraId="66233F51">
      <w:pPr>
        <w:pStyle w:val="774"/>
        <w:numPr>
          <w:ilvl w:val="0"/>
          <w:numId w:val="20"/>
        </w:numPr>
        <w:suppressLineNumbers w:val="false"/>
        <w:pBdr/>
        <w:spacing w:line="300" w:lineRule="auto"/>
        <w:ind/>
        <w:rPr/>
      </w:pPr>
      <w:r>
        <w:t xml:space="preserve">High-risk low-confidence outputs require abstention/escalation behavior.</w:t>
      </w:r>
      <w:r/>
    </w:p>
    <w:p w14:paraId="019702AE">
      <w:pPr>
        <w:pStyle w:val="774"/>
        <w:suppressLineNumbers w:val="false"/>
        <w:pBdr/>
        <w:spacing w:line="300" w:lineRule="auto"/>
        <w:ind w:firstLine="0"/>
        <w:rPr/>
      </w:pPr>
      <w:r>
        <w:rPr>
          <w:highlight w:val="none"/>
        </w:rPr>
      </w:r>
      <w:r>
        <w:rPr>
          <w:highlight w:val="none"/>
        </w:rPr>
      </w:r>
      <w:r>
        <w:rPr>
          <w:highlight w:val="none"/>
        </w:rPr>
      </w:r>
    </w:p>
    <w:p w14:paraId="7B39CFD3">
      <w:pPr>
        <w:pStyle w:val="774"/>
        <w:suppressLineNumbers w:val="false"/>
        <w:pBdr/>
        <w:spacing w:line="300" w:lineRule="auto"/>
        <w:ind w:firstLine="0"/>
        <w:rPr/>
      </w:pPr>
      <w:r>
        <w:t xml:space="preserve">1.7.4 PICO-Oriented Evidence Mapping (Operational Definition)</w:t>
      </w:r>
      <w:r/>
    </w:p>
    <w:p w14:paraId="1E811307">
      <w:pPr>
        <w:pStyle w:val="774"/>
        <w:suppressLineNumbers w:val="false"/>
        <w:pBdr/>
        <w:spacing w:line="300" w:lineRule="auto"/>
        <w:ind w:firstLine="0"/>
        <w:rPr/>
      </w:pPr>
      <w:r>
        <w:t xml:space="preserve">In this dissertation, PICO is used as a structured retrieval and response scaffold </w:t>
        <w:tab/>
        <w:t xml:space="preserve">for management-style queries:</w:t>
      </w:r>
      <w:r/>
      <w:r/>
    </w:p>
    <w:p w14:paraId="20B52847">
      <w:pPr>
        <w:pStyle w:val="774"/>
        <w:suppressLineNumbers w:val="false"/>
        <w:pBdr/>
        <w:spacing w:line="300" w:lineRule="auto"/>
        <w:ind w:firstLine="0"/>
        <w:rPr/>
      </w:pPr>
      <w:r>
        <w:rPr>
          <w:b/>
          <w:bCs/>
        </w:rPr>
        <w:t xml:space="preserve">P (Population/Patient):</w:t>
      </w:r>
      <w:r>
        <w:t xml:space="preserve"> UC patient context, including current endoscopic severity </w:t>
        <w:tab/>
        <w:t xml:space="preserve">and relevant clinical descriptors.</w:t>
      </w:r>
      <w:r/>
    </w:p>
    <w:p w14:paraId="4EC48FE7">
      <w:pPr>
        <w:pStyle w:val="774"/>
        <w:suppressLineNumbers w:val="false"/>
        <w:pBdr/>
        <w:spacing w:line="300" w:lineRule="auto"/>
        <w:ind w:firstLine="0"/>
        <w:rPr/>
      </w:pPr>
      <w:r>
        <w:rPr>
          <w:b/>
          <w:bCs/>
        </w:rPr>
        <w:t xml:space="preserve">I (Intervention): </w:t>
      </w:r>
      <w:r>
        <w:t xml:space="preserve">candidate treatment or management option being considered.</w:t>
      </w:r>
      <w:r/>
    </w:p>
    <w:p w14:paraId="454C6056">
      <w:pPr>
        <w:pStyle w:val="774"/>
        <w:suppressLineNumbers w:val="false"/>
        <w:pBdr/>
        <w:spacing w:line="300" w:lineRule="auto"/>
        <w:ind w:firstLine="0"/>
        <w:rPr/>
      </w:pPr>
      <w:r>
        <w:rPr>
          <w:b/>
          <w:bCs/>
        </w:rPr>
        <w:t xml:space="preserve">C (Comparison): </w:t>
      </w:r>
      <w:r>
        <w:t xml:space="preserve">alternative treatment strategy, standard care, or no escalation.</w:t>
      </w:r>
      <w:r/>
    </w:p>
    <w:p w14:paraId="2097F356">
      <w:pPr>
        <w:pStyle w:val="774"/>
        <w:suppressLineNumbers w:val="false"/>
        <w:pBdr/>
        <w:spacing w:line="300" w:lineRule="auto"/>
        <w:ind w:firstLine="0"/>
        <w:rPr/>
      </w:pPr>
      <w:r>
        <w:rPr>
          <w:b/>
          <w:bCs/>
        </w:rPr>
        <w:t xml:space="preserve">O (Outcome):</w:t>
      </w:r>
      <w:r>
        <w:t xml:space="preserve"> clinically meaningful endpoint (for example relapse, mucosal healing, hospitalization risk, or adverse events).</w:t>
      </w:r>
      <w:r/>
    </w:p>
    <w:p w14:paraId="77CC4F24">
      <w:pPr>
        <w:pStyle w:val="774"/>
        <w:suppressLineNumbers w:val="false"/>
        <w:pBdr/>
        <w:spacing w:line="300" w:lineRule="auto"/>
        <w:ind w:firstLine="0"/>
        <w:rPr/>
      </w:pPr>
      <w:r>
        <w:t xml:space="preserve">Example query pattern for Chapter 5 use cases:</w:t>
      </w:r>
      <w:r/>
    </w:p>
    <w:p w14:paraId="6882997F">
      <w:pPr>
        <w:pStyle w:val="774"/>
        <w:suppressLineNumbers w:val="false"/>
        <w:pBdr/>
        <w:spacing w:line="300" w:lineRule="auto"/>
        <w:ind w:firstLine="0"/>
        <w:rPr>
          <w:b/>
          <w:bCs/>
          <w:i/>
        </w:rPr>
      </w:pPr>
      <w:r>
        <w:rPr>
          <w:b/>
          <w:bCs/>
          <w:i/>
          <w:iCs/>
        </w:rPr>
        <w:t xml:space="preserve">In patients with UC and Mayo 2 activity, does infliximab versus vedolizumab reduce relapse at 6 months?</w:t>
      </w:r>
      <w:r>
        <w:rPr>
          <w:b/>
          <w:bCs/>
          <w:i/>
          <w:iCs/>
        </w:rPr>
      </w:r>
    </w:p>
    <w:p w14:paraId="5B677E70">
      <w:pPr>
        <w:pStyle w:val="774"/>
        <w:suppressLineNumbers w:val="false"/>
        <w:pBdr/>
        <w:spacing w:line="300" w:lineRule="auto"/>
        <w:ind w:firstLine="0"/>
        <w:rPr/>
      </w:pPr>
      <w:r>
        <w:t xml:space="preserve">In this flow, the MedVQA layer provides the image-grounded severity signal, while the evidence layer maps the textual question into PICO slots, retrieves supporting studies/guidelines, and returns a citation-linked answer with confidence and explicit limita</w:t>
      </w:r>
      <w:r>
        <w:t xml:space="preserve">tions.</w:t>
      </w:r>
      <w:r/>
    </w:p>
    <w:p w14:paraId="61CDE562">
      <w:pPr>
        <w:pStyle w:val="774"/>
        <w:suppressLineNumbers w:val="false"/>
        <w:pBdr/>
        <w:spacing w:line="300" w:lineRule="auto"/>
        <w:ind/>
        <w:rPr/>
      </w:pPr>
      <w:r/>
      <w:r/>
    </w:p>
    <w:p w14:paraId="5F7408CB">
      <w:pPr>
        <w:pStyle w:val="774"/>
        <w:suppressLineNumbers w:val="false"/>
        <w:pBdr/>
        <w:spacing w:line="300" w:lineRule="auto"/>
        <w:ind w:firstLine="0"/>
        <w:rPr>
          <w:b/>
          <w:bCs/>
        </w:rPr>
      </w:pPr>
      <w:r>
        <w:rPr>
          <w:b/>
          <w:bCs/>
        </w:rPr>
        <w:t xml:space="preserve">1.7.5 Safety and Clinical Governance Position</w:t>
      </w:r>
      <w:r>
        <w:rPr>
          <w:b/>
          <w:bCs/>
        </w:rPr>
      </w:r>
    </w:p>
    <w:p w14:paraId="7BC6658A">
      <w:pPr>
        <w:pStyle w:val="774"/>
        <w:suppressLineNumbers w:val="false"/>
        <w:pBdr/>
        <w:spacing w:line="300" w:lineRule="auto"/>
        <w:ind w:firstLine="720"/>
        <w:rPr/>
      </w:pPr>
      <w:r>
        <w:t xml:space="preserve">This thesis treats the proposed system as clinical decision support, not autonomous diagnosis. Outputs are draft recommendations for physician review, with explicit abstention/escalation behavior for uncertain or high-risk cases. The evaluation design there</w:t>
      </w:r>
      <w:r>
        <w:t xml:space="preserve">fore includes uncertainty handling, evidence citation, and failure-mode reporting as first-class requirements even though regulated deployment is out of scope in this phase.</w:t>
      </w:r>
      <w:r/>
    </w:p>
    <w:p w14:paraId="3F5FC500">
      <w:pPr>
        <w:pStyle w:val="774"/>
        <w:suppressLineNumbers w:val="false"/>
        <w:pBdr/>
        <w:spacing w:line="300" w:lineRule="auto"/>
        <w:ind w:firstLine="0"/>
        <w:rPr>
          <w:b/>
          <w:bCs/>
        </w:rPr>
      </w:pPr>
      <w:r>
        <w:rPr>
          <w:b/>
          <w:bCs/>
        </w:rPr>
        <w:t xml:space="preserve">1.8 Scenario-Driven Framing</w:t>
      </w:r>
      <w:r>
        <w:rPr>
          <w:b/>
          <w:bCs/>
        </w:rPr>
      </w:r>
    </w:p>
    <w:p w14:paraId="29E32FA4">
      <w:pPr>
        <w:pStyle w:val="774"/>
        <w:suppressLineNumbers w:val="false"/>
        <w:pBdr/>
        <w:spacing w:line="300" w:lineRule="auto"/>
        <w:ind/>
        <w:rPr/>
      </w:pPr>
      <w:r>
        <w:t xml:space="preserve">This dissertation adopts a scenario-driven evaluation philosophy. Aggregate benchmark metrics remain important, but they do not fully capture clinical utility. Scenarios are defined to represent realistic clinician questions and asymmetric risk conditions.</w:t>
      </w:r>
      <w:r/>
    </w:p>
    <w:p w14:paraId="3C00849E">
      <w:pPr>
        <w:pStyle w:val="774"/>
        <w:suppressLineNumbers w:val="false"/>
        <w:pBdr/>
        <w:spacing w:line="300" w:lineRule="auto"/>
        <w:ind w:firstLine="0"/>
        <w:rPr>
          <w:highlight w:val="none"/>
        </w:rPr>
      </w:pPr>
      <w:r>
        <w:t xml:space="preserve">1.8.1 Core Scenarios</w:t>
      </w:r>
      <w:r/>
      <w:r/>
    </w:p>
    <w:tbl>
      <w:tblPr>
        <w:tblStyle w:val="831"/>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2F8AA96E">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Scenario ID</w:t>
            </w:r>
            <w:r>
              <w:rPr>
                <w:color w:val="000000" w:themeColor="text1"/>
              </w:rPr>
            </w:r>
          </w:p>
        </w:tc>
        <w:tc>
          <w:tcPr>
            <w:tcBorders/>
            <w:tcW w:w="1728" w:type="dxa"/>
            <w:textDirection w:val="lrTb"/>
            <w:noWrap w:val="false"/>
          </w:tcPr>
          <w:p w14:paraId="60CEA66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Clinical question style</w:t>
            </w:r>
            <w:r>
              <w:rPr>
                <w:color w:val="000000" w:themeColor="text1"/>
              </w:rPr>
            </w:r>
          </w:p>
        </w:tc>
        <w:tc>
          <w:tcPr>
            <w:tcBorders/>
            <w:tcW w:w="1728" w:type="dxa"/>
            <w:textDirection w:val="lrTb"/>
            <w:noWrap w:val="false"/>
          </w:tcPr>
          <w:p w14:paraId="7F877DA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Required output</w:t>
            </w:r>
            <w:r>
              <w:rPr>
                <w:color w:val="000000" w:themeColor="text1"/>
              </w:rPr>
            </w:r>
          </w:p>
        </w:tc>
        <w:tc>
          <w:tcPr>
            <w:tcBorders/>
            <w:tcW w:w="1728" w:type="dxa"/>
            <w:textDirection w:val="lrTb"/>
            <w:noWrap w:val="false"/>
          </w:tcPr>
          <w:p w14:paraId="384D9622">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Primary risk</w:t>
            </w:r>
            <w:r>
              <w:rPr>
                <w:color w:val="000000" w:themeColor="text1"/>
              </w:rPr>
            </w:r>
          </w:p>
        </w:tc>
        <w:tc>
          <w:tcPr>
            <w:tcBorders/>
            <w:tcW w:w="1728" w:type="dxa"/>
            <w:textDirection w:val="lrTb"/>
            <w:noWrap w:val="false"/>
          </w:tcPr>
          <w:p w14:paraId="6F0CA74C">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Why it matters</w:t>
            </w:r>
            <w:r>
              <w:rPr>
                <w:color w:val="000000" w:themeColor="text1"/>
              </w:rPr>
            </w:r>
          </w:p>
        </w:tc>
      </w:tr>
      <w:tr>
        <w:trPr/>
        <w:tc>
          <w:tcPr>
            <w:tcBorders/>
            <w:tcW w:w="1728" w:type="dxa"/>
            <w:textDirection w:val="lrTb"/>
            <w:noWrap w:val="false"/>
          </w:tcPr>
          <w:p w14:paraId="336DC9F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S1</w:t>
            </w:r>
            <w:r>
              <w:rPr>
                <w:color w:val="000000" w:themeColor="text1"/>
              </w:rPr>
            </w:r>
          </w:p>
        </w:tc>
        <w:tc>
          <w:tcPr>
            <w:tcBorders/>
            <w:tcW w:w="1728" w:type="dxa"/>
            <w:textDirection w:val="lrTb"/>
            <w:noWrap w:val="false"/>
          </w:tcPr>
          <w:p w14:paraId="0B4251D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is the likely Mayo severity?"</w:t>
            </w:r>
            <w:r>
              <w:rPr>
                <w:color w:val="000000" w:themeColor="text1"/>
              </w:rPr>
            </w:r>
          </w:p>
        </w:tc>
        <w:tc>
          <w:tcPr>
            <w:tcBorders/>
            <w:tcW w:w="1728" w:type="dxa"/>
            <w:textDirection w:val="lrTb"/>
            <w:noWrap w:val="false"/>
          </w:tcPr>
          <w:p w14:paraId="452DF83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Ordinal class + short rationale</w:t>
            </w:r>
            <w:r>
              <w:rPr>
                <w:color w:val="000000" w:themeColor="text1"/>
              </w:rPr>
            </w:r>
          </w:p>
        </w:tc>
        <w:tc>
          <w:tcPr>
            <w:tcBorders/>
            <w:tcW w:w="1728" w:type="dxa"/>
            <w:textDirection w:val="lrTb"/>
            <w:noWrap w:val="false"/>
          </w:tcPr>
          <w:p w14:paraId="32FA212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Under-calling severe disease</w:t>
            </w:r>
            <w:r>
              <w:rPr>
                <w:color w:val="000000" w:themeColor="text1"/>
              </w:rPr>
            </w:r>
          </w:p>
        </w:tc>
        <w:tc>
          <w:tcPr>
            <w:tcBorders/>
            <w:tcW w:w="1728" w:type="dxa"/>
            <w:textDirection w:val="lrTb"/>
            <w:noWrap w:val="false"/>
          </w:tcPr>
          <w:p w14:paraId="2EEC980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Treatment escalation decisions</w:t>
            </w:r>
            <w:r>
              <w:rPr>
                <w:color w:val="000000" w:themeColor="text1"/>
              </w:rPr>
            </w:r>
          </w:p>
        </w:tc>
      </w:tr>
      <w:tr>
        <w:trPr/>
        <w:tc>
          <w:tcPr>
            <w:tcBorders/>
            <w:tcW w:w="1728" w:type="dxa"/>
            <w:textDirection w:val="lrTb"/>
            <w:noWrap w:val="false"/>
          </w:tcPr>
          <w:p w14:paraId="77BA304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S2</w:t>
            </w:r>
            <w:r>
              <w:rPr>
                <w:color w:val="000000" w:themeColor="text1"/>
              </w:rPr>
            </w:r>
          </w:p>
        </w:tc>
        <w:tc>
          <w:tcPr>
            <w:tcBorders/>
            <w:tcW w:w="1728" w:type="dxa"/>
            <w:textDirection w:val="lrTb"/>
            <w:noWrap w:val="false"/>
          </w:tcPr>
          <w:p w14:paraId="47E928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"Is active bleeding visible?"</w:t>
            </w:r>
            <w:r>
              <w:rPr>
                <w:color w:val="000000" w:themeColor="text1"/>
              </w:rPr>
            </w:r>
          </w:p>
        </w:tc>
        <w:tc>
          <w:tcPr>
            <w:tcBorders/>
            <w:tcW w:w="1728" w:type="dxa"/>
            <w:textDirection w:val="lrTb"/>
            <w:noWrap w:val="false"/>
          </w:tcPr>
          <w:p w14:paraId="6A7DD8C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Binary answer + confidence</w:t>
            </w:r>
            <w:r>
              <w:rPr>
                <w:color w:val="000000" w:themeColor="text1"/>
              </w:rPr>
            </w:r>
          </w:p>
        </w:tc>
        <w:tc>
          <w:tcPr>
            <w:tcBorders/>
            <w:tcW w:w="1728" w:type="dxa"/>
            <w:textDirection w:val="lrTb"/>
            <w:noWrap w:val="false"/>
          </w:tcPr>
          <w:p w14:paraId="3866388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False negatives in high-risk frames</w:t>
            </w:r>
            <w:r>
              <w:rPr>
                <w:color w:val="000000" w:themeColor="text1"/>
              </w:rPr>
            </w:r>
          </w:p>
        </w:tc>
        <w:tc>
          <w:tcPr>
            <w:tcBorders/>
            <w:tcW w:w="1728" w:type="dxa"/>
            <w:textDirection w:val="lrTb"/>
            <w:noWrap w:val="false"/>
          </w:tcPr>
          <w:p w14:paraId="333531C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Urgent management context</w:t>
            </w:r>
            <w:r>
              <w:rPr>
                <w:color w:val="000000" w:themeColor="text1"/>
              </w:rPr>
            </w:r>
          </w:p>
        </w:tc>
      </w:tr>
      <w:tr>
        <w:trPr/>
        <w:tc>
          <w:tcPr>
            <w:tcBorders/>
            <w:tcW w:w="1728" w:type="dxa"/>
            <w:textDirection w:val="lrTb"/>
            <w:noWrap w:val="false"/>
          </w:tcPr>
          <w:p w14:paraId="7A7019A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S3</w:t>
            </w:r>
            <w:r>
              <w:rPr>
                <w:color w:val="000000" w:themeColor="text1"/>
              </w:rPr>
            </w:r>
          </w:p>
        </w:tc>
        <w:tc>
          <w:tcPr>
            <w:tcBorders/>
            <w:tcW w:w="1728" w:type="dxa"/>
            <w:textDirection w:val="lrTb"/>
            <w:noWrap w:val="false"/>
          </w:tcPr>
          <w:p w14:paraId="7C3F654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"How many polyps and where?"</w:t>
            </w:r>
            <w:r>
              <w:rPr>
                <w:color w:val="000000" w:themeColor="text1"/>
              </w:rPr>
            </w:r>
          </w:p>
        </w:tc>
        <w:tc>
          <w:tcPr>
            <w:tcBorders/>
            <w:tcW w:w="1728" w:type="dxa"/>
            <w:textDirection w:val="lrTb"/>
            <w:noWrap w:val="false"/>
          </w:tcPr>
          <w:p w14:paraId="0F572D2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 + location-aware response</w:t>
            </w:r>
            <w:r>
              <w:rPr>
                <w:color w:val="000000" w:themeColor="text1"/>
              </w:rPr>
            </w:r>
          </w:p>
        </w:tc>
        <w:tc>
          <w:tcPr>
            <w:tcBorders/>
            <w:tcW w:w="1728" w:type="dxa"/>
            <w:textDirection w:val="lrTb"/>
            <w:noWrap w:val="false"/>
          </w:tcPr>
          <w:p w14:paraId="7AB0D87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Missed findings or localization error</w:t>
            </w:r>
            <w:r>
              <w:rPr>
                <w:color w:val="000000" w:themeColor="text1"/>
              </w:rPr>
            </w:r>
          </w:p>
        </w:tc>
        <w:tc>
          <w:tcPr>
            <w:tcBorders/>
            <w:tcW w:w="1728" w:type="dxa"/>
            <w:textDirection w:val="lrTb"/>
            <w:noWrap w:val="false"/>
          </w:tcPr>
          <w:p w14:paraId="1D749B5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Procedural completeness and reporting</w:t>
            </w:r>
            <w:r>
              <w:rPr>
                <w:color w:val="000000" w:themeColor="text1"/>
              </w:rPr>
            </w:r>
          </w:p>
        </w:tc>
      </w:tr>
      <w:tr>
        <w:trPr/>
        <w:tc>
          <w:tcPr>
            <w:tcBorders/>
            <w:tcW w:w="1728" w:type="dxa"/>
            <w:textDirection w:val="lrTb"/>
            <w:noWrap w:val="false"/>
          </w:tcPr>
          <w:p w14:paraId="4414D6D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S4</w:t>
            </w:r>
            <w:r>
              <w:rPr>
                <w:color w:val="000000" w:themeColor="text1"/>
              </w:rPr>
            </w:r>
          </w:p>
        </w:tc>
        <w:tc>
          <w:tcPr>
            <w:tcBorders/>
            <w:tcW w:w="1728" w:type="dxa"/>
            <w:textDirection w:val="lrTb"/>
            <w:noWrap w:val="false"/>
          </w:tcPr>
          <w:p w14:paraId="7948DBD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"Summarize visible findings."</w:t>
            </w:r>
            <w:r>
              <w:rPr>
                <w:color w:val="000000" w:themeColor="text1"/>
              </w:rPr>
            </w:r>
          </w:p>
        </w:tc>
        <w:tc>
          <w:tcPr>
            <w:tcBorders/>
            <w:tcW w:w="1728" w:type="dxa"/>
            <w:textDirection w:val="lrTb"/>
            <w:noWrap w:val="false"/>
          </w:tcPr>
          <w:p w14:paraId="248BB2D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Multi-finding summary</w:t>
            </w:r>
            <w:r>
              <w:rPr>
                <w:color w:val="000000" w:themeColor="text1"/>
              </w:rPr>
            </w:r>
          </w:p>
        </w:tc>
        <w:tc>
          <w:tcPr>
            <w:tcBorders/>
            <w:tcW w:w="1728" w:type="dxa"/>
            <w:textDirection w:val="lrTb"/>
            <w:noWrap w:val="false"/>
          </w:tcPr>
          <w:p w14:paraId="670E945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Hallucinated findings</w:t>
            </w:r>
            <w:r>
              <w:rPr>
                <w:color w:val="000000" w:themeColor="text1"/>
              </w:rPr>
            </w:r>
          </w:p>
        </w:tc>
        <w:tc>
          <w:tcPr>
            <w:tcBorders/>
            <w:tcW w:w="1728" w:type="dxa"/>
            <w:textDirection w:val="lrTb"/>
            <w:noWrap w:val="false"/>
          </w:tcPr>
          <w:p w14:paraId="5B6F77D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Interpretability and communication quality</w:t>
            </w:r>
            <w:r>
              <w:rPr>
                <w:color w:val="000000" w:themeColor="text1"/>
              </w:rPr>
            </w:r>
          </w:p>
        </w:tc>
      </w:tr>
      <w:tr>
        <w:trPr/>
        <w:tc>
          <w:tcPr>
            <w:tcBorders/>
            <w:tcW w:w="1728" w:type="dxa"/>
            <w:textDirection w:val="lrTb"/>
            <w:noWrap w:val="false"/>
          </w:tcPr>
          <w:p w14:paraId="5C55F51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S5</w:t>
            </w:r>
            <w:r>
              <w:rPr>
                <w:color w:val="000000" w:themeColor="text1"/>
              </w:rPr>
            </w:r>
          </w:p>
        </w:tc>
        <w:tc>
          <w:tcPr>
            <w:tcBorders/>
            <w:tcW w:w="1728" w:type="dxa"/>
            <w:textDirection w:val="lrTb"/>
            <w:noWrap w:val="false"/>
          </w:tcPr>
          <w:p w14:paraId="4F0031C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"Given severe findings, what evidence-backed options are relevant?"</w:t>
            </w:r>
            <w:r>
              <w:rPr>
                <w:color w:val="000000" w:themeColor="text1"/>
              </w:rPr>
            </w:r>
          </w:p>
        </w:tc>
        <w:tc>
          <w:tcPr>
            <w:tcBorders/>
            <w:tcW w:w="1728" w:type="dxa"/>
            <w:textDirection w:val="lrTb"/>
            <w:noWrap w:val="false"/>
          </w:tcPr>
          <w:p w14:paraId="137950F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Answer + evidence pointer</w:t>
            </w:r>
            <w:r>
              <w:rPr>
                <w:color w:val="000000" w:themeColor="text1"/>
              </w:rPr>
            </w:r>
          </w:p>
        </w:tc>
        <w:tc>
          <w:tcPr>
            <w:tcBorders/>
            <w:tcW w:w="1728" w:type="dxa"/>
            <w:textDirection w:val="lrTb"/>
            <w:noWrap w:val="false"/>
          </w:tcPr>
          <w:p w14:paraId="0C2AB49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Weakly grounded management guidance</w:t>
            </w:r>
            <w:r>
              <w:rPr>
                <w:color w:val="000000" w:themeColor="text1"/>
              </w:rPr>
            </w:r>
          </w:p>
        </w:tc>
        <w:tc>
          <w:tcPr>
            <w:tcBorders/>
            <w:tcW w:w="1728" w:type="dxa"/>
            <w:textDirection w:val="lrTb"/>
            <w:noWrap w:val="false"/>
          </w:tcPr>
          <w:p w14:paraId="6A0FD48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Decision-support extension</w:t>
            </w:r>
            <w:r>
              <w:rPr>
                <w:color w:val="000000" w:themeColor="text1"/>
              </w:rPr>
            </w:r>
          </w:p>
        </w:tc>
      </w:tr>
    </w:tbl>
    <w:p w14:paraId="6711155A">
      <w:pPr>
        <w:pStyle w:val="774"/>
        <w:suppressLineNumbers w:val="false"/>
        <w:pBdr/>
        <w:spacing w:line="300" w:lineRule="auto"/>
        <w:ind w:firstLine="0"/>
        <w:rPr/>
      </w:pPr>
      <w:r/>
      <w:r/>
      <w:r/>
    </w:p>
    <w:p w14:paraId="066B6E99">
      <w:pPr>
        <w:pStyle w:val="774"/>
        <w:suppressLineNumbers w:val="false"/>
        <w:pBdr/>
        <w:spacing w:line="300" w:lineRule="auto"/>
        <w:ind w:firstLine="0"/>
        <w:rPr/>
      </w:pPr>
      <w:r>
        <w:rPr>
          <w:highlight w:val="none"/>
        </w:rPr>
      </w:r>
      <w:r>
        <w:rPr>
          <w:highlight w:val="none"/>
        </w:rPr>
      </w:r>
      <w:r>
        <w:rPr>
          <w:highlight w:val="none"/>
        </w:rPr>
      </w:r>
    </w:p>
    <w:p w14:paraId="76878E77">
      <w:pPr>
        <w:pStyle w:val="774"/>
        <w:suppressLineNumbers w:val="false"/>
        <w:pBdr/>
        <w:spacing w:line="300" w:lineRule="auto"/>
        <w:ind w:firstLine="0"/>
        <w:rPr>
          <w:highlight w:val="none"/>
        </w:rPr>
      </w:pPr>
      <w:r>
        <w:rPr>
          <w:highlight w:val="none"/>
        </w:rPr>
      </w:r>
      <w:r>
        <w:rPr>
          <w:highlight w:val="none"/>
        </w:rPr>
        <w:t xml:space="preserve">Each scenario is designed to expose a distinct failure mode. S1 and S2 prioritize risk-sensitive reliability. S3 emphasizes spatial grounding and structured output fidelity. S4 evaluates controlled generation quality. S5 evaluates the boundary between visua</w:t>
      </w:r>
      <w:r>
        <w:rPr>
          <w:highlight w:val="none"/>
        </w:rPr>
        <w:t xml:space="preserve">l interpretation and evidence-oriented reasoning.</w:t>
      </w:r>
      <w:r>
        <w:rPr>
          <w:highlight w:val="none"/>
        </w:rPr>
      </w:r>
      <w:r>
        <w:rPr>
          <w:highlight w:val="none"/>
        </w:rPr>
      </w:r>
    </w:p>
    <w:p w14:paraId="523708B3">
      <w:pPr>
        <w:pStyle w:val="774"/>
        <w:suppressLineNumbers w:val="false"/>
        <w:pBdr/>
        <w:spacing w:line="300" w:lineRule="auto"/>
        <w:ind w:firstLine="0"/>
        <w:rPr>
          <w:highlight w:val="none"/>
        </w:rPr>
      </w:pPr>
      <w:r>
        <w:rPr>
          <w:highlight w:val="none"/>
        </w:rPr>
      </w:r>
      <w:r>
        <w:rPr>
          <w:highlight w:val="none"/>
        </w:rPr>
      </w:r>
      <w:r>
        <w:rPr>
          <w:highlight w:val="none"/>
        </w:rPr>
      </w:r>
    </w:p>
    <w:p w14:paraId="1B1EA689">
      <w:pPr>
        <w:pStyle w:val="774"/>
        <w:suppressLineNumbers w:val="false"/>
        <w:pBdr/>
        <w:spacing w:line="300" w:lineRule="auto"/>
        <w:ind w:firstLine="0"/>
        <w:rPr/>
      </w:pPr>
      <w:r>
        <w:rPr>
          <w:highlight w:val="none"/>
        </w:rPr>
        <w:t xml:space="preserve">1.8.2 Scenario Acceptance Logic</w:t>
      </w:r>
      <w:r/>
    </w:p>
    <w:p w14:paraId="783E5662">
      <w:pPr>
        <w:pStyle w:val="774"/>
        <w:suppressLineNumbers w:val="false"/>
        <w:pBdr/>
        <w:spacing w:line="300" w:lineRule="auto"/>
        <w:ind w:firstLine="0"/>
        <w:rPr/>
      </w:pPr>
      <w:r>
        <w:rPr>
          <w:highlight w:val="none"/>
        </w:rPr>
        <w:t xml:space="preserve">Question received</w:t>
      </w:r>
      <w:r/>
    </w:p>
    <w:p w14:paraId="344966AE">
      <w:pPr>
        <w:pStyle w:val="774"/>
        <w:suppressLineNumbers w:val="false"/>
        <w:pBdr/>
        <w:spacing w:line="300" w:lineRule="auto"/>
        <w:ind w:firstLine="0"/>
        <w:rPr>
          <w:b/>
          <w:bCs/>
          <w:i/>
        </w:rPr>
      </w:pPr>
      <w:r>
        <w:rPr>
          <w:b/>
          <w:bCs/>
          <w:i/>
          <w:iCs/>
          <w:highlight w:val="none"/>
        </w:rPr>
        <w:t xml:space="preserve">-&gt; visual-grounded answer candidate</w:t>
      </w:r>
      <w:r>
        <w:rPr>
          <w:b/>
          <w:bCs/>
          <w:i/>
          <w:iCs/>
        </w:rPr>
      </w:r>
    </w:p>
    <w:p w14:paraId="179FB7B7">
      <w:pPr>
        <w:pStyle w:val="774"/>
        <w:suppressLineNumbers w:val="false"/>
        <w:pBdr/>
        <w:spacing w:line="300" w:lineRule="auto"/>
        <w:ind w:firstLine="0"/>
        <w:rPr>
          <w:b/>
          <w:bCs/>
          <w:i/>
        </w:rPr>
      </w:pPr>
      <w:r>
        <w:rPr>
          <w:b/>
          <w:bCs/>
          <w:i/>
          <w:iCs/>
          <w:highlight w:val="none"/>
        </w:rPr>
        <w:t xml:space="preserve">-&gt; confidence and consistency checks</w:t>
      </w:r>
      <w:r>
        <w:rPr>
          <w:b/>
          <w:bCs/>
          <w:i/>
          <w:iCs/>
        </w:rPr>
      </w:r>
    </w:p>
    <w:p w14:paraId="00EE0546">
      <w:pPr>
        <w:pStyle w:val="774"/>
        <w:suppressLineNumbers w:val="false"/>
        <w:pBdr/>
        <w:spacing w:line="300" w:lineRule="auto"/>
        <w:ind w:firstLine="0"/>
        <w:rPr>
          <w:b/>
          <w:bCs/>
          <w:i/>
        </w:rPr>
      </w:pPr>
      <w:r>
        <w:rPr>
          <w:b/>
          <w:bCs/>
          <w:i/>
          <w:iCs/>
          <w:highlight w:val="none"/>
        </w:rPr>
        <w:t xml:space="preserve">-&gt; if high-risk and low confidence: abstain/escalate</w:t>
      </w:r>
      <w:r>
        <w:rPr>
          <w:b/>
          <w:bCs/>
          <w:i/>
          <w:iCs/>
        </w:rPr>
      </w:r>
    </w:p>
    <w:p w14:paraId="216AC76C">
      <w:pPr>
        <w:pStyle w:val="774"/>
        <w:suppressLineNumbers w:val="false"/>
        <w:pBdr/>
        <w:spacing w:line="300" w:lineRule="auto"/>
        <w:ind w:firstLine="0"/>
        <w:rPr>
          <w:b/>
          <w:bCs/>
          <w:i/>
        </w:rPr>
      </w:pPr>
      <w:r>
        <w:rPr>
          <w:b/>
          <w:bCs/>
          <w:i/>
          <w:iCs/>
          <w:highlight w:val="none"/>
        </w:rPr>
        <w:t xml:space="preserve">-&gt; if management-style query: activate retrieval evidence layer</w:t>
      </w:r>
      <w:r>
        <w:rPr>
          <w:b/>
          <w:bCs/>
          <w:i/>
          <w:iCs/>
        </w:rPr>
      </w:r>
    </w:p>
    <w:p w14:paraId="0D8C2174">
      <w:pPr>
        <w:pStyle w:val="774"/>
        <w:suppressLineNumbers w:val="false"/>
        <w:pBdr/>
        <w:spacing w:line="300" w:lineRule="auto"/>
        <w:ind w:firstLine="0"/>
        <w:rPr>
          <w:b/>
          <w:bCs/>
          <w:i/>
          <w:highlight w:val="none"/>
        </w:rPr>
      </w:pPr>
      <w:r>
        <w:rPr>
          <w:b/>
          <w:bCs/>
          <w:i/>
          <w:iCs/>
          <w:highlight w:val="none"/>
        </w:rPr>
        <w:t xml:space="preserve">-&gt; return clinician-facing response</w:t>
      </w:r>
      <w:r/>
      <w:r>
        <w:rPr>
          <w:b/>
          <w:bCs/>
          <w:i/>
          <w:highlight w:val="none"/>
        </w:rPr>
      </w:r>
    </w:p>
    <w:p w14:paraId="2F6FEA06">
      <w:pPr>
        <w:pStyle w:val="774"/>
        <w:suppressLineNumbers w:val="false"/>
        <w:pBdr/>
        <w:spacing w:line="300" w:lineRule="auto"/>
        <w:ind w:firstLine="0"/>
        <w:rPr>
          <w:highlight w:val="none"/>
        </w:rPr>
      </w:pPr>
      <w:r/>
      <w:r>
        <w:t xml:space="preserve">1.8.3 Scenario-to-Metric Mapping</w:t>
      </w:r>
      <w:r/>
      <w:r/>
    </w:p>
    <w:tbl>
      <w:tblPr>
        <w:tblStyle w:val="831"/>
        <w:tblW w:w="0" w:type="auto"/>
        <w:tblBorders/>
        <w:tblLayout w:type="fixed"/>
        <w:tblLook w:val="04A0" w:firstRow="1" w:lastRow="0" w:firstColumn="1" w:lastColumn="0" w:noHBand="0" w:noVBand="1"/>
      </w:tblPr>
      <w:tblGrid>
        <w:gridCol w:w="4320"/>
        <w:gridCol w:w="5219"/>
      </w:tblGrid>
      <w:tr>
        <w:trPr/>
        <w:tc>
          <w:tcPr>
            <w:tcBorders/>
            <w:tcW w:w="4320" w:type="dxa"/>
            <w:textDirection w:val="lrTb"/>
            <w:noWrap w:val="false"/>
          </w:tcPr>
          <w:p w14:paraId="05AB5214">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Scenario</w:t>
            </w:r>
            <w:r>
              <w:rPr>
                <w:color w:val="000000" w:themeColor="text1"/>
              </w:rPr>
            </w:r>
          </w:p>
        </w:tc>
        <w:tc>
          <w:tcPr>
            <w:tcBorders/>
            <w:tcW w:w="5219" w:type="dxa"/>
            <w:textDirection w:val="lrTb"/>
            <w:noWrap w:val="false"/>
          </w:tcPr>
          <w:p w14:paraId="4B83C331">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Priority metrics</w:t>
            </w:r>
            <w:r>
              <w:rPr>
                <w:color w:val="000000" w:themeColor="text1"/>
              </w:rPr>
            </w:r>
          </w:p>
        </w:tc>
      </w:tr>
      <w:tr>
        <w:trPr/>
        <w:tc>
          <w:tcPr>
            <w:tcBorders/>
            <w:tcW w:w="4320" w:type="dxa"/>
            <w:textDirection w:val="lrTb"/>
            <w:noWrap w:val="false"/>
          </w:tcPr>
          <w:p w14:paraId="765FA38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S1</w:t>
            </w:r>
            <w:r>
              <w:rPr>
                <w:color w:val="000000" w:themeColor="text1"/>
              </w:rPr>
            </w:r>
          </w:p>
        </w:tc>
        <w:tc>
          <w:tcPr>
            <w:tcBorders/>
            <w:tcW w:w="5219" w:type="dxa"/>
            <w:textDirection w:val="lrTb"/>
            <w:noWrap w:val="false"/>
          </w:tcPr>
          <w:p w14:paraId="3CD48E9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Macro-F1, QWK, severe-class recall</w:t>
            </w:r>
            <w:r>
              <w:rPr>
                <w:color w:val="000000" w:themeColor="text1"/>
              </w:rPr>
            </w:r>
          </w:p>
        </w:tc>
      </w:tr>
      <w:tr>
        <w:trPr/>
        <w:tc>
          <w:tcPr>
            <w:tcBorders/>
            <w:tcW w:w="4320" w:type="dxa"/>
            <w:textDirection w:val="lrTb"/>
            <w:noWrap w:val="false"/>
          </w:tcPr>
          <w:p w14:paraId="6A514CA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S2</w:t>
            </w:r>
            <w:r>
              <w:rPr>
                <w:color w:val="000000" w:themeColor="text1"/>
              </w:rPr>
            </w:r>
          </w:p>
        </w:tc>
        <w:tc>
          <w:tcPr>
            <w:tcBorders/>
            <w:tcW w:w="5219" w:type="dxa"/>
            <w:textDirection w:val="lrTb"/>
            <w:noWrap w:val="false"/>
          </w:tcPr>
          <w:p w14:paraId="3398EF2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Sensitivity/recall, NPV, abstention behavior</w:t>
            </w:r>
            <w:r>
              <w:rPr>
                <w:color w:val="000000" w:themeColor="text1"/>
              </w:rPr>
            </w:r>
          </w:p>
        </w:tc>
      </w:tr>
      <w:tr>
        <w:trPr/>
        <w:tc>
          <w:tcPr>
            <w:tcBorders/>
            <w:tcW w:w="4320" w:type="dxa"/>
            <w:textDirection w:val="lrTb"/>
            <w:noWrap w:val="false"/>
          </w:tcPr>
          <w:p w14:paraId="5DEE243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S3</w:t>
            </w:r>
            <w:r>
              <w:rPr>
                <w:color w:val="000000" w:themeColor="text1"/>
              </w:rPr>
            </w:r>
          </w:p>
        </w:tc>
        <w:tc>
          <w:tcPr>
            <w:tcBorders/>
            <w:tcW w:w="5219" w:type="dxa"/>
            <w:textDirection w:val="lrTb"/>
            <w:noWrap w:val="false"/>
          </w:tcPr>
          <w:p w14:paraId="46CA794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 error (MAE/RMSE), location correctness slices</w:t>
            </w:r>
            <w:r>
              <w:rPr>
                <w:color w:val="000000" w:themeColor="text1"/>
              </w:rPr>
            </w:r>
          </w:p>
        </w:tc>
      </w:tr>
      <w:tr>
        <w:trPr/>
        <w:tc>
          <w:tcPr>
            <w:tcBorders/>
            <w:tcW w:w="4320" w:type="dxa"/>
            <w:textDirection w:val="lrTb"/>
            <w:noWrap w:val="false"/>
          </w:tcPr>
          <w:p w14:paraId="78E42FF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S4</w:t>
            </w:r>
            <w:r>
              <w:rPr>
                <w:color w:val="000000" w:themeColor="text1"/>
              </w:rPr>
            </w:r>
          </w:p>
        </w:tc>
        <w:tc>
          <w:tcPr>
            <w:tcBorders/>
            <w:tcW w:w="5219" w:type="dxa"/>
            <w:textDirection w:val="lrTb"/>
            <w:noWrap w:val="false"/>
          </w:tcPr>
          <w:p w14:paraId="53BCA65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Token-F1/ANLS + hallucination audit</w:t>
            </w:r>
            <w:r>
              <w:rPr>
                <w:color w:val="000000" w:themeColor="text1"/>
              </w:rPr>
            </w:r>
          </w:p>
        </w:tc>
      </w:tr>
      <w:tr>
        <w:trPr/>
        <w:tc>
          <w:tcPr>
            <w:tcBorders/>
            <w:tcW w:w="4320" w:type="dxa"/>
            <w:textDirection w:val="lrTb"/>
            <w:noWrap w:val="false"/>
          </w:tcPr>
          <w:p w14:paraId="1E0251F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S5</w:t>
            </w:r>
            <w:r>
              <w:rPr>
                <w:color w:val="000000" w:themeColor="text1"/>
              </w:rPr>
            </w:r>
          </w:p>
        </w:tc>
        <w:tc>
          <w:tcPr>
            <w:tcBorders/>
            <w:tcW w:w="5219" w:type="dxa"/>
            <w:textDirection w:val="lrTb"/>
            <w:noWrap w:val="false"/>
          </w:tcPr>
          <w:p w14:paraId="0C23164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Answer correctness + evidence relevance/consistency checks</w:t>
            </w:r>
            <w:r>
              <w:rPr>
                <w:color w:val="000000" w:themeColor="text1"/>
              </w:rPr>
            </w:r>
          </w:p>
        </w:tc>
      </w:tr>
    </w:tbl>
    <w:p w14:paraId="5D1747CD">
      <w:pPr>
        <w:pStyle w:val="774"/>
        <w:suppressLineNumbers w:val="false"/>
        <w:pBdr/>
        <w:spacing w:line="300" w:lineRule="auto"/>
        <w:ind w:firstLine="0"/>
        <w:rPr/>
      </w:pPr>
      <w:r/>
      <w:r/>
      <w:r/>
    </w:p>
    <w:p w14:paraId="4430CC2A">
      <w:pPr>
        <w:pStyle w:val="774"/>
        <w:suppressLineNumbers w:val="false"/>
        <w:pBdr/>
        <w:spacing w:line="300" w:lineRule="auto"/>
        <w:ind w:firstLine="0"/>
        <w:rPr/>
      </w:pPr>
      <w:r>
        <w:rPr>
          <w:highlight w:val="none"/>
        </w:rPr>
        <w:t xml:space="preserve">In later chapters, this mapping supports a tiered acceptance model:</w:t>
      </w:r>
      <w:r/>
      <w:r>
        <w:rPr>
          <w:highlight w:val="none"/>
        </w:rPr>
      </w:r>
    </w:p>
    <w:p w14:paraId="50A69CD2">
      <w:pPr>
        <w:pStyle w:val="774"/>
        <w:numPr>
          <w:ilvl w:val="0"/>
          <w:numId w:val="21"/>
        </w:numPr>
        <w:suppressLineNumbers w:val="false"/>
        <w:pBdr/>
        <w:spacing w:after="240" w:before="120" w:line="240" w:lineRule="auto"/>
        <w:ind/>
        <w:rPr/>
      </w:pPr>
      <w:r>
        <w:rPr>
          <w:highlight w:val="none"/>
        </w:rPr>
        <w:t xml:space="preserve">Technical pass: baseline quantitative criteria are met.</w:t>
      </w:r>
      <w:r/>
    </w:p>
    <w:p w14:paraId="1C9DDC63">
      <w:pPr>
        <w:pStyle w:val="774"/>
        <w:numPr>
          <w:ilvl w:val="0"/>
          <w:numId w:val="21"/>
        </w:numPr>
        <w:suppressLineNumbers w:val="false"/>
        <w:pBdr/>
        <w:spacing w:after="240" w:before="120" w:line="240" w:lineRule="auto"/>
        <w:ind/>
        <w:rPr/>
      </w:pPr>
      <w:r>
        <w:rPr>
          <w:highlight w:val="none"/>
        </w:rPr>
        <w:t xml:space="preserve">Scenario pass: performance is acceptable for the scenario-specific risk profile.</w:t>
      </w:r>
      <w:r/>
    </w:p>
    <w:p w14:paraId="073F77F5">
      <w:pPr>
        <w:pStyle w:val="774"/>
        <w:numPr>
          <w:ilvl w:val="0"/>
          <w:numId w:val="21"/>
        </w:numPr>
        <w:suppressLineNumbers w:val="false"/>
        <w:pBdr/>
        <w:spacing w:after="240" w:before="120" w:line="240" w:lineRule="auto"/>
        <w:ind/>
        <w:rPr/>
      </w:pPr>
      <w:r>
        <w:rPr>
          <w:highlight w:val="none"/>
        </w:rPr>
        <w:t xml:space="preserve">Workflow pass: output format supports clinician interpretation and action.</w:t>
      </w:r>
      <w:r>
        <w:rPr>
          <w:highlight w:val="none"/>
        </w:rPr>
      </w:r>
      <w:r>
        <w:rPr>
          <w:highlight w:val="none"/>
        </w:rPr>
      </w:r>
    </w:p>
    <w:p w14:paraId="1562CD54">
      <w:pPr>
        <w:pStyle w:val="774"/>
        <w:suppressLineNumbers w:val="false"/>
        <w:pBdr/>
        <w:spacing w:line="300" w:lineRule="auto"/>
        <w:ind/>
        <w:rPr/>
      </w:pPr>
      <w:r/>
      <w:r/>
      <w:r/>
    </w:p>
    <w:p w14:paraId="4AD8FFE1">
      <w:pPr>
        <w:pStyle w:val="774"/>
        <w:suppressLineNumbers w:val="false"/>
        <w:pBdr/>
        <w:spacing w:line="300" w:lineRule="auto"/>
        <w:ind/>
        <w:rPr/>
      </w:pPr>
      <w:r/>
      <w:r/>
      <w:r/>
    </w:p>
    <w:p w14:paraId="3323102C">
      <w:pPr>
        <w:pStyle w:val="774"/>
        <w:suppressLineNumbers w:val="false"/>
        <w:pBdr/>
        <w:spacing w:line="300" w:lineRule="auto"/>
        <w:ind/>
        <w:rPr/>
      </w:pPr>
      <w:r>
        <w:t xml:space="preserve">1.9 Conceptual Framework and System Flow</w:t>
      </w:r>
      <w:r/>
    </w:p>
    <w:p w14:paraId="1B6B7B66">
      <w:pPr>
        <w:pStyle w:val="774"/>
        <w:suppressLineNumbers w:val="false"/>
        <w:pBdr/>
        <w:spacing w:line="300" w:lineRule="auto"/>
        <w:ind/>
        <w:rPr/>
      </w:pPr>
      <w:r>
        <w:t xml:space="preserve">This section defines the end-to-end architecture, design logic, and chapter </w:t>
        <w:tab/>
        <w:t xml:space="preserve">dependencies used throughout the dissertation.</w:t>
      </w:r>
      <w:r/>
      <w:r/>
    </w:p>
    <w:p w14:paraId="2BDBF2E4">
      <w:pPr>
        <w:pStyle w:val="774"/>
        <w:suppressLineNumbers w:val="false"/>
        <w:pBdr/>
        <w:spacing w:after="240" w:before="120" w:line="300" w:lineRule="auto"/>
        <w:ind/>
        <w:rPr/>
      </w:pPr>
      <w:r>
        <w:t xml:space="preserve">1.9.1 End-to-End Conceptual Flow (Text Form)</w:t>
      </w:r>
      <w:r/>
    </w:p>
    <w:p w14:paraId="34F2BEBB">
      <w:pPr>
        <w:pStyle w:val="774"/>
        <w:suppressLineNumbers w:val="false"/>
        <w:pBdr/>
        <w:spacing w:line="300" w:lineRule="auto"/>
        <w:ind/>
        <w:rPr/>
      </w:pPr>
      <w:r>
        <w:t xml:space="preserve">Clinical Image(s) + Clinician Question</w:t>
      </w:r>
      <w:r/>
    </w:p>
    <w:p w14:paraId="0DDAF825">
      <w:pPr>
        <w:pStyle w:val="774"/>
        <w:suppressLineNumbers w:val="false"/>
        <w:pBdr/>
        <w:spacing w:after="240" w:before="120" w:line="300" w:lineRule="auto"/>
        <w:ind/>
        <w:rPr/>
      </w:pPr>
      <w:r>
        <w:t xml:space="preserve">-&gt; question intent parsing (task type, entities, risk level)</w:t>
      </w:r>
      <w:r/>
    </w:p>
    <w:p w14:paraId="65397DB8">
      <w:pPr>
        <w:pStyle w:val="774"/>
        <w:suppressLineNumbers w:val="false"/>
        <w:pBdr/>
        <w:spacing w:after="240" w:before="120" w:line="300" w:lineRule="auto"/>
        <w:ind/>
        <w:rPr/>
      </w:pPr>
      <w:r>
        <w:t xml:space="preserve">-&gt; visual feature extraction (global + localized cues)</w:t>
      </w:r>
      <w:r/>
    </w:p>
    <w:p w14:paraId="5EED776C">
      <w:pPr>
        <w:pStyle w:val="774"/>
        <w:suppressLineNumbers w:val="false"/>
        <w:pBdr/>
        <w:spacing w:after="240" w:before="120" w:line="300" w:lineRule="auto"/>
        <w:ind/>
        <w:rPr/>
      </w:pPr>
      <w:r>
        <w:t xml:space="preserve">-&gt; cross-modal reasoning (closed-set or generative path)</w:t>
      </w:r>
      <w:r/>
    </w:p>
    <w:p w14:paraId="686452A7">
      <w:pPr>
        <w:pStyle w:val="774"/>
        <w:suppressLineNumbers w:val="false"/>
        <w:pBdr/>
        <w:spacing w:after="240" w:before="120" w:line="300" w:lineRule="auto"/>
        <w:ind/>
        <w:rPr/>
      </w:pPr>
      <w:r>
        <w:t xml:space="preserve">-&gt; answer candidate + confidence estimation</w:t>
      </w:r>
      <w:r/>
    </w:p>
    <w:p w14:paraId="66AB5AA0">
      <w:pPr>
        <w:pStyle w:val="774"/>
        <w:suppressLineNumbers w:val="false"/>
        <w:pBdr/>
        <w:spacing w:after="240" w:before="120" w:line="300" w:lineRule="auto"/>
        <w:ind/>
        <w:rPr/>
      </w:pPr>
      <w:r>
        <w:t xml:space="preserve">-&gt; conditional retrieval layer for evidence-oriented queries</w:t>
      </w:r>
      <w:r/>
    </w:p>
    <w:p w14:paraId="64C093D4">
      <w:pPr>
        <w:pStyle w:val="774"/>
        <w:suppressLineNumbers w:val="false"/>
        <w:pBdr/>
        <w:spacing w:after="240" w:before="120" w:line="300" w:lineRule="auto"/>
        <w:ind/>
        <w:rPr/>
      </w:pPr>
      <w:r>
        <w:t xml:space="preserve">-&gt; final response (answer, rationale, confidence, evidence pointer)</w:t>
      </w:r>
      <w:r/>
    </w:p>
    <w:p w14:paraId="5EC43CB9">
      <w:pPr>
        <w:pStyle w:val="774"/>
        <w:suppressLineNumbers w:val="false"/>
        <w:pBdr/>
        <w:spacing w:line="300" w:lineRule="auto"/>
        <w:ind/>
        <w:rPr/>
      </w:pPr>
      <w:r/>
      <w:r/>
    </w:p>
    <w:p w14:paraId="7AAA4381">
      <w:pPr>
        <w:pStyle w:val="774"/>
        <w:suppressLineNumbers w:val="false"/>
        <w:pBdr/>
        <w:spacing w:line="300" w:lineRule="auto"/>
        <w:ind/>
        <w:rPr/>
      </w:pPr>
      <w:r>
        <w:t xml:space="preserve">1.9.2 Figure 1.1: Clinician-Centric MedVQA Pipeline</w:t>
      </w:r>
      <w:r/>
    </w:p>
    <w:p w14:paraId="3B64243E">
      <w:pPr>
        <w:pStyle w:val="774"/>
        <w:suppressLineNumbers w:val="false"/>
        <w:pBdr/>
        <w:spacing w:line="300" w:lineRule="auto"/>
        <w:ind/>
        <w:rPr/>
      </w:pPr>
      <w:r>
        <w:t xml:space="preserve">Figure 1.1: Clinician-Centric MedVQA Pipeline for Colonoscopy.</w:t>
      </w:r>
      <w:r/>
    </w:p>
    <w:p w14:paraId="14332EAB">
      <w:pPr>
        <w:pStyle w:val="774"/>
        <w:suppressLineNumbers w:val="false"/>
        <w:pBdr/>
        <w:spacing w:line="300" w:lineRule="auto"/>
        <w:ind/>
        <w:rPr/>
      </w:pPr>
      <w:r/>
      <w:r/>
    </w:p>
    <w:p w14:paraId="5CBD96E7">
      <w:pPr>
        <w:pStyle w:val="774"/>
        <w:suppressLineNumbers w:val="false"/>
        <w:pBdr/>
        <w:spacing w:line="300" w:lineRule="auto"/>
        <w:ind/>
        <w:rPr/>
      </w:pPr>
      <w:r>
        <w:t xml:space="preserve">Input frame(s)+question -&gt; intent parsing + clinical entity extraction -&gt; visual encoder + localization cues -&gt; cross-modal reasoning -&gt; confidence/abstain gate -&gt; constrained or generative answer -&gt; optional retrieval grounding -&gt; clinician-facing response</w:t>
      </w:r>
      <w:r>
        <w:t xml:space="preserve"> package</w:t>
      </w:r>
      <w:r/>
    </w:p>
    <w:p w14:paraId="31F90BF2">
      <w:pPr>
        <w:pStyle w:val="774"/>
        <w:suppressLineNumbers w:val="false"/>
        <w:pBdr/>
        <w:spacing w:line="300" w:lineRule="auto"/>
        <w:ind/>
        <w:rPr/>
      </w:pPr>
      <w:r/>
      <w:r/>
    </w:p>
    <w:p w14:paraId="60C8701B">
      <w:pPr>
        <w:pStyle w:val="774"/>
        <w:suppressLineNumbers w:val="false"/>
        <w:pBdr/>
        <w:spacing w:line="300" w:lineRule="auto"/>
        <w:ind/>
        <w:rPr/>
      </w:pPr>
      <w:r>
        <w:t xml:space="preserve">1.9.3 Figure 1.2: Data-to-Decision Funnel</w:t>
      </w:r>
      <w:r/>
    </w:p>
    <w:p w14:paraId="6EC6837F">
      <w:pPr>
        <w:pStyle w:val="774"/>
        <w:suppressLineNumbers w:val="false"/>
        <w:pBdr/>
        <w:spacing w:line="300" w:lineRule="auto"/>
        <w:ind/>
        <w:rPr/>
      </w:pPr>
      <w:r>
        <w:t xml:space="preserve">Figure 1.2: Data-to-Decision Funnel.</w:t>
      </w:r>
      <w:r/>
      <w:r/>
      <w:r/>
      <w:r/>
    </w:p>
    <w:p w14:paraId="4B0DA8D9">
      <w:pPr>
        <w:pStyle w:val="774"/>
        <w:suppressLineNumbers w:val="false"/>
        <w:pBdr/>
        <w:spacing w:line="300" w:lineRule="auto"/>
        <w:ind/>
        <w:rPr/>
      </w:pPr>
      <w:r>
        <w:t xml:space="preserve">Raw datasets -&gt; curation and harmonization -&gt; task families -&gt; model families -&gt; </w:t>
        <w:tab/>
        <w:t xml:space="preserve">evaluation and failure analysis -&gt; scenario validation -&gt; decision-support </w:t>
        <w:tab/>
        <w:t xml:space="preserve">readiness.</w:t>
      </w:r>
      <w:r/>
      <w:r/>
      <w:r/>
      <w:r/>
    </w:p>
    <w:p w14:paraId="6B2C77CB">
      <w:pPr>
        <w:pStyle w:val="774"/>
        <w:suppressLineNumbers w:val="false"/>
        <w:pBdr/>
        <w:spacing w:line="300" w:lineRule="auto"/>
        <w:ind/>
        <w:rPr/>
      </w:pPr>
      <w:r>
        <w:t xml:space="preserve">1.9.4 Figure 1.3: Research Design Map</w:t>
      </w:r>
      <w:r/>
    </w:p>
    <w:p w14:paraId="32FA5038">
      <w:pPr>
        <w:pStyle w:val="774"/>
        <w:suppressLineNumbers w:val="false"/>
        <w:pBdr/>
        <w:spacing w:line="300" w:lineRule="auto"/>
        <w:ind/>
        <w:rPr/>
      </w:pPr>
      <w:r>
        <w:t xml:space="preserve">Figure 1.3: Research Questions to Methods to Metrics to Outputs.</w:t>
      </w:r>
      <w:r/>
      <w:r/>
      <w:r/>
      <w:r/>
    </w:p>
    <w:p w14:paraId="44C13B48">
      <w:pPr>
        <w:pStyle w:val="774"/>
        <w:suppressLineNumbers w:val="false"/>
        <w:pBdr/>
        <w:spacing w:line="300" w:lineRule="auto"/>
        <w:ind/>
        <w:rPr/>
      </w:pPr>
      <w:r>
        <w:t xml:space="preserve">RQ layer</w:t>
      </w:r>
      <w:r/>
    </w:p>
    <w:p w14:paraId="1EEAAFAA">
      <w:pPr>
        <w:pStyle w:val="774"/>
        <w:suppressLineNumbers w:val="false"/>
        <w:pBdr/>
        <w:spacing w:line="300" w:lineRule="auto"/>
        <w:ind/>
        <w:rPr/>
      </w:pPr>
      <w:r>
        <w:t xml:space="preserve">-&gt; dataset/method layer</w:t>
      </w:r>
      <w:r/>
    </w:p>
    <w:p w14:paraId="1E221488">
      <w:pPr>
        <w:pStyle w:val="774"/>
        <w:suppressLineNumbers w:val="false"/>
        <w:pBdr/>
        <w:spacing w:line="300" w:lineRule="auto"/>
        <w:ind/>
        <w:rPr/>
      </w:pPr>
      <w:r>
        <w:t xml:space="preserve">-&gt; metric layer</w:t>
      </w:r>
      <w:r/>
    </w:p>
    <w:p w14:paraId="413A4C83">
      <w:pPr>
        <w:pStyle w:val="774"/>
        <w:suppressLineNumbers w:val="false"/>
        <w:pBdr/>
        <w:spacing w:line="300" w:lineRule="auto"/>
        <w:ind/>
        <w:rPr/>
      </w:pPr>
      <w:r>
        <w:t xml:space="preserve">-&gt; scenario acceptance layer</w:t>
      </w:r>
      <w:r/>
      <w:r/>
      <w:r/>
      <w:r/>
    </w:p>
    <w:p w14:paraId="638862AE">
      <w:pPr>
        <w:pStyle w:val="774"/>
        <w:suppressLineNumbers w:val="false"/>
        <w:pBdr/>
        <w:spacing w:line="300" w:lineRule="auto"/>
        <w:ind/>
        <w:rPr/>
      </w:pPr>
      <w:r>
        <w:t xml:space="preserve">1.9.5 Figure 1.4: Dissertation Dependency Map</w:t>
      </w:r>
      <w:r/>
    </w:p>
    <w:p w14:paraId="0AC61639">
      <w:pPr>
        <w:pStyle w:val="774"/>
        <w:suppressLineNumbers w:val="false"/>
        <w:pBdr/>
        <w:spacing w:line="300" w:lineRule="auto"/>
        <w:ind/>
        <w:rPr/>
      </w:pPr>
      <w:r>
        <w:t xml:space="preserve">Figure 1.4: Chapter dependency structure.</w:t>
      </w:r>
      <w:r/>
      <w:r/>
      <w:r/>
      <w:r/>
    </w:p>
    <w:p w14:paraId="32546A2A">
      <w:pPr>
        <w:pStyle w:val="774"/>
        <w:suppressLineNumbers w:val="false"/>
        <w:pBdr/>
        <w:spacing w:line="300" w:lineRule="auto"/>
        <w:ind/>
        <w:rPr/>
      </w:pPr>
      <w:r>
        <w:t xml:space="preserve">Chapter 1 (problem framing)</w:t>
      </w:r>
      <w:r/>
    </w:p>
    <w:p w14:paraId="105B951F">
      <w:pPr>
        <w:pStyle w:val="774"/>
        <w:suppressLineNumbers w:val="false"/>
        <w:pBdr/>
        <w:spacing w:line="300" w:lineRule="auto"/>
        <w:ind/>
        <w:rPr/>
      </w:pPr>
      <w:r>
        <w:t xml:space="preserve">-&gt; Chapter 2 (scoping review and gap analysis)</w:t>
      </w:r>
      <w:r/>
    </w:p>
    <w:p w14:paraId="17DA0E6B">
      <w:pPr>
        <w:pStyle w:val="774"/>
        <w:suppressLineNumbers w:val="false"/>
        <w:pBdr/>
        <w:spacing w:line="300" w:lineRule="auto"/>
        <w:ind/>
        <w:rPr/>
      </w:pPr>
      <w:r>
        <w:t xml:space="preserve">-&gt; Chapter 3 (investigating existing VQA techniques across GI-endoscopy </w:t>
        <w:tab/>
        <w:t xml:space="preserve">datasets)</w:t>
      </w:r>
      <w:r/>
    </w:p>
    <w:p w14:paraId="0B9BE818">
      <w:pPr>
        <w:pStyle w:val="774"/>
        <w:suppressLineNumbers w:val="false"/>
        <w:pBdr/>
        <w:spacing w:line="300" w:lineRule="auto"/>
        <w:ind/>
        <w:rPr/>
      </w:pPr>
      <w:r>
        <w:t xml:space="preserve">-&gt; Chapter 4 (proposed pipeline development)</w:t>
      </w:r>
      <w:r/>
    </w:p>
    <w:p w14:paraId="7EA951C5">
      <w:pPr>
        <w:pStyle w:val="774"/>
        <w:suppressLineNumbers w:val="false"/>
        <w:pBdr/>
        <w:spacing w:line="300" w:lineRule="auto"/>
        <w:ind/>
        <w:rPr/>
      </w:pPr>
      <w:r>
        <w:t xml:space="preserve">-&gt; Chapter 5 (PICO-oriented use-case instantiation)</w:t>
      </w:r>
      <w:r/>
    </w:p>
    <w:p w14:paraId="2FB27EB5">
      <w:pPr>
        <w:pStyle w:val="774"/>
        <w:suppressLineNumbers w:val="false"/>
        <w:pBdr/>
        <w:spacing w:line="300" w:lineRule="auto"/>
        <w:ind/>
        <w:rPr/>
      </w:pPr>
      <w:r>
        <w:t xml:space="preserve">-&gt; Chapter 6 (integrated evaluation and discussion)</w:t>
      </w:r>
      <w:r/>
    </w:p>
    <w:p w14:paraId="2BC2F9F5">
      <w:pPr>
        <w:pStyle w:val="774"/>
        <w:suppressLineNumbers w:val="false"/>
        <w:pBdr/>
        <w:spacing w:line="300" w:lineRule="auto"/>
        <w:ind/>
        <w:rPr/>
      </w:pPr>
      <w:r>
        <w:t xml:space="preserve">-&gt; Chapter 7 (conclusions and future work)</w:t>
      </w:r>
      <w:r/>
    </w:p>
    <w:p w14:paraId="04A80D01">
      <w:pPr>
        <w:pStyle w:val="774"/>
        <w:suppressLineNumbers w:val="false"/>
        <w:pBdr/>
        <w:spacing w:line="300" w:lineRule="auto"/>
        <w:ind/>
        <w:rPr/>
      </w:pPr>
      <w:r/>
      <w:r/>
    </w:p>
    <w:p w14:paraId="7C280CA6">
      <w:pPr>
        <w:pStyle w:val="774"/>
        <w:suppressLineNumbers w:val="false"/>
        <w:pBdr/>
        <w:spacing w:line="300" w:lineRule="auto"/>
        <w:ind/>
        <w:rPr/>
      </w:pPr>
      <w:r>
        <w:t xml:space="preserve">1.9.6 Risk-Control Matrix</w:t>
      </w:r>
      <w:r/>
    </w:p>
    <w:p w14:paraId="0458A5F9">
      <w:pPr>
        <w:pStyle w:val="774"/>
        <w:suppressLineNumbers w:val="false"/>
        <w:pBdr/>
        <w:spacing w:line="300" w:lineRule="auto"/>
        <w:ind/>
        <w:rPr/>
      </w:pPr>
      <w:r>
        <w:t xml:space="preserve">Table 1.2: Risk controls for GI MedVQA system design</w:t>
      </w:r>
      <w:r/>
    </w:p>
    <w:p w14:paraId="4FF084EA">
      <w:pPr>
        <w:pStyle w:val="774"/>
        <w:suppressLineNumbers w:val="false"/>
        <w:pBdr/>
        <w:spacing w:line="300" w:lineRule="auto"/>
        <w:ind/>
        <w:rPr/>
      </w:pPr>
      <w:r/>
      <w:r/>
      <w:r/>
    </w:p>
    <w:tbl>
      <w:tblPr>
        <w:tblStyle w:val="831"/>
        <w:tblW w:w="0" w:type="auto"/>
        <w:tblBorders/>
        <w:tblLayout w:type="fixed"/>
        <w:tblLook w:val="04A0" w:firstRow="1" w:lastRow="0" w:firstColumn="1" w:lastColumn="0" w:noHBand="0" w:noVBand="1"/>
      </w:tblPr>
      <w:tblGrid>
        <w:gridCol w:w="2169"/>
        <w:gridCol w:w="3591"/>
        <w:gridCol w:w="3637"/>
      </w:tblGrid>
      <w:tr>
        <w:trPr/>
        <w:tc>
          <w:tcPr>
            <w:tcBorders/>
            <w:tcW w:w="2169" w:type="dxa"/>
            <w:textDirection w:val="lrTb"/>
            <w:noWrap w:val="false"/>
          </w:tcPr>
          <w:p w14:paraId="4C0DA4AD">
            <w:pPr>
              <w:pBdr/>
              <w:spacing w:after="0" w:before="0" w:line="240"/>
              <w:ind/>
              <w:rPr>
                <w:color w:val="000000" w:themeColor="text1"/>
              </w:rPr>
            </w:pPr>
            <w:r>
              <w:rPr>
                <w:rFonts w:ascii="Arial" w:hAnsi="Arial" w:eastAsia="Arial" w:cs="Arial"/>
                <w:b/>
                <w:color w:val="000000" w:themeColor="text1"/>
                <w:sz w:val="21"/>
              </w:rPr>
              <w:t xml:space="preserve">Risk</w:t>
            </w:r>
            <w:r>
              <w:rPr>
                <w:color w:val="000000" w:themeColor="text1"/>
              </w:rPr>
            </w:r>
          </w:p>
        </w:tc>
        <w:tc>
          <w:tcPr>
            <w:tcBorders/>
            <w:tcW w:w="3591" w:type="dxa"/>
            <w:textDirection w:val="lrTb"/>
            <w:noWrap w:val="false"/>
          </w:tcPr>
          <w:p w14:paraId="33FCD2AA">
            <w:pPr>
              <w:pBdr/>
              <w:spacing w:after="0" w:before="0" w:line="240"/>
              <w:ind/>
              <w:rPr>
                <w:color w:val="000000" w:themeColor="text1"/>
              </w:rPr>
            </w:pPr>
            <w:r>
              <w:rPr>
                <w:rFonts w:ascii="Arial" w:hAnsi="Arial" w:eastAsia="Arial" w:cs="Arial"/>
                <w:b/>
                <w:color w:val="000000" w:themeColor="text1"/>
                <w:sz w:val="21"/>
              </w:rPr>
              <w:t xml:space="preserve">Failure example</w:t>
            </w:r>
            <w:r>
              <w:rPr>
                <w:color w:val="000000" w:themeColor="text1"/>
              </w:rPr>
            </w:r>
          </w:p>
        </w:tc>
        <w:tc>
          <w:tcPr>
            <w:tcBorders/>
            <w:tcW w:w="3637" w:type="dxa"/>
            <w:textDirection w:val="lrTb"/>
            <w:noWrap w:val="false"/>
          </w:tcPr>
          <w:p w14:paraId="40984587">
            <w:pPr>
              <w:pBdr/>
              <w:spacing w:after="0" w:before="0" w:line="240"/>
              <w:ind/>
              <w:rPr>
                <w:color w:val="000000" w:themeColor="text1"/>
              </w:rPr>
            </w:pPr>
            <w:r>
              <w:rPr>
                <w:rFonts w:ascii="Arial" w:hAnsi="Arial" w:eastAsia="Arial" w:cs="Arial"/>
                <w:b/>
                <w:color w:val="000000" w:themeColor="text1"/>
                <w:sz w:val="21"/>
              </w:rPr>
              <w:t xml:space="preserve">Control strategy</w:t>
            </w:r>
            <w:r>
              <w:rPr>
                <w:color w:val="000000" w:themeColor="text1"/>
              </w:rPr>
            </w:r>
          </w:p>
        </w:tc>
      </w:tr>
      <w:tr>
        <w:trPr/>
        <w:tc>
          <w:tcPr>
            <w:tcBorders/>
            <w:tcW w:w="2169" w:type="dxa"/>
            <w:textDirection w:val="lrTb"/>
            <w:noWrap w:val="false"/>
          </w:tcPr>
          <w:p w14:paraId="0E851E62">
            <w:pPr>
              <w:pBdr/>
              <w:spacing w:after="0" w:before="0" w:line="240"/>
              <w:ind/>
              <w:rPr>
                <w:color w:val="000000" w:themeColor="text1"/>
              </w:rPr>
            </w:pPr>
            <w:r>
              <w:rPr>
                <w:rFonts w:ascii="Arial" w:hAnsi="Arial" w:eastAsia="Arial" w:cs="Arial"/>
                <w:color w:val="000000" w:themeColor="text1"/>
                <w:sz w:val="21"/>
              </w:rPr>
              <w:t xml:space="preserve">Class imbalance</w:t>
            </w:r>
            <w:r>
              <w:rPr>
                <w:color w:val="000000" w:themeColor="text1"/>
              </w:rPr>
            </w:r>
          </w:p>
        </w:tc>
        <w:tc>
          <w:tcPr>
            <w:tcBorders/>
            <w:tcW w:w="3591" w:type="dxa"/>
            <w:textDirection w:val="lrTb"/>
            <w:noWrap w:val="false"/>
          </w:tcPr>
          <w:p w14:paraId="4CF90352">
            <w:pPr>
              <w:pBdr/>
              <w:spacing w:after="0" w:before="0" w:line="240"/>
              <w:ind/>
              <w:rPr>
                <w:color w:val="000000" w:themeColor="text1"/>
              </w:rPr>
            </w:pPr>
            <w:r>
              <w:rPr>
                <w:rFonts w:ascii="Arial" w:hAnsi="Arial" w:eastAsia="Arial" w:cs="Arial"/>
                <w:color w:val="000000" w:themeColor="text1"/>
                <w:sz w:val="21"/>
              </w:rPr>
              <w:t xml:space="preserve">Severe UC under-detected</w:t>
            </w:r>
            <w:r>
              <w:rPr>
                <w:color w:val="000000" w:themeColor="text1"/>
              </w:rPr>
            </w:r>
          </w:p>
        </w:tc>
        <w:tc>
          <w:tcPr>
            <w:tcBorders/>
            <w:tcW w:w="3637" w:type="dxa"/>
            <w:textDirection w:val="lrTb"/>
            <w:noWrap w:val="false"/>
          </w:tcPr>
          <w:p w14:paraId="63962AFE">
            <w:pPr>
              <w:pBdr/>
              <w:spacing w:after="0" w:before="0" w:line="240"/>
              <w:ind/>
              <w:rPr>
                <w:color w:val="000000" w:themeColor="text1"/>
              </w:rPr>
            </w:pPr>
            <w:r>
              <w:rPr>
                <w:rFonts w:ascii="Arial" w:hAnsi="Arial" w:eastAsia="Arial" w:cs="Arial"/>
                <w:color w:val="000000" w:themeColor="text1"/>
                <w:sz w:val="21"/>
              </w:rPr>
              <w:t xml:space="preserve">Cost-sensitive training, minority sampling, classwise monitoring</w:t>
            </w:r>
            <w:r>
              <w:rPr>
                <w:color w:val="000000" w:themeColor="text1"/>
              </w:rPr>
            </w:r>
          </w:p>
        </w:tc>
      </w:tr>
      <w:tr>
        <w:trPr/>
        <w:tc>
          <w:tcPr>
            <w:tcBorders/>
            <w:tcW w:w="2169" w:type="dxa"/>
            <w:textDirection w:val="lrTb"/>
            <w:noWrap w:val="false"/>
          </w:tcPr>
          <w:p w14:paraId="3274D04F">
            <w:pPr>
              <w:pBdr/>
              <w:spacing w:after="0" w:before="0" w:line="240"/>
              <w:ind/>
              <w:rPr>
                <w:color w:val="000000" w:themeColor="text1"/>
              </w:rPr>
            </w:pPr>
            <w:r>
              <w:rPr>
                <w:rFonts w:ascii="Arial" w:hAnsi="Arial" w:eastAsia="Arial" w:cs="Arial"/>
                <w:color w:val="000000" w:themeColor="text1"/>
                <w:sz w:val="21"/>
              </w:rPr>
              <w:t xml:space="preserve">Lexical mismatch</w:t>
            </w:r>
            <w:r>
              <w:rPr>
                <w:color w:val="000000" w:themeColor="text1"/>
              </w:rPr>
            </w:r>
          </w:p>
        </w:tc>
        <w:tc>
          <w:tcPr>
            <w:tcBorders/>
            <w:tcW w:w="3591" w:type="dxa"/>
            <w:textDirection w:val="lrTb"/>
            <w:noWrap w:val="false"/>
          </w:tcPr>
          <w:p w14:paraId="7766EB16">
            <w:pPr>
              <w:pBdr/>
              <w:spacing w:after="0" w:before="0" w:line="240"/>
              <w:ind/>
              <w:rPr>
                <w:color w:val="000000" w:themeColor="text1"/>
              </w:rPr>
            </w:pPr>
            <w:r>
              <w:rPr>
                <w:rFonts w:ascii="Arial" w:hAnsi="Arial" w:eastAsia="Arial" w:cs="Arial"/>
                <w:color w:val="000000" w:themeColor="text1"/>
                <w:sz w:val="21"/>
              </w:rPr>
              <w:t xml:space="preserve">Free text not mappable to clinical label space</w:t>
            </w:r>
            <w:r>
              <w:rPr>
                <w:color w:val="000000" w:themeColor="text1"/>
              </w:rPr>
            </w:r>
          </w:p>
        </w:tc>
        <w:tc>
          <w:tcPr>
            <w:tcBorders/>
            <w:tcW w:w="3637" w:type="dxa"/>
            <w:textDirection w:val="lrTb"/>
            <w:noWrap w:val="false"/>
          </w:tcPr>
          <w:p w14:paraId="7AF8D903">
            <w:pPr>
              <w:pBdr/>
              <w:spacing w:after="0" w:before="0" w:line="240"/>
              <w:ind/>
              <w:rPr>
                <w:color w:val="000000" w:themeColor="text1"/>
              </w:rPr>
            </w:pPr>
            <w:r>
              <w:rPr>
                <w:rFonts w:ascii="Arial" w:hAnsi="Arial" w:eastAsia="Arial" w:cs="Arial"/>
                <w:color w:val="000000" w:themeColor="text1"/>
                <w:sz w:val="21"/>
              </w:rPr>
              <w:t xml:space="preserve">Constrained decoding and lexical projection safeguards</w:t>
            </w:r>
            <w:r>
              <w:rPr>
                <w:color w:val="000000" w:themeColor="text1"/>
              </w:rPr>
            </w:r>
          </w:p>
        </w:tc>
      </w:tr>
      <w:tr>
        <w:trPr/>
        <w:tc>
          <w:tcPr>
            <w:tcBorders/>
            <w:tcW w:w="2169" w:type="dxa"/>
            <w:textDirection w:val="lrTb"/>
            <w:noWrap w:val="false"/>
          </w:tcPr>
          <w:p w14:paraId="324CA2BB">
            <w:pPr>
              <w:pBdr/>
              <w:spacing w:after="0" w:before="0" w:line="240"/>
              <w:ind/>
              <w:rPr>
                <w:color w:val="000000" w:themeColor="text1"/>
              </w:rPr>
            </w:pPr>
            <w:r>
              <w:rPr>
                <w:rFonts w:ascii="Arial" w:hAnsi="Arial" w:eastAsia="Arial" w:cs="Arial"/>
                <w:color w:val="000000" w:themeColor="text1"/>
                <w:sz w:val="21"/>
              </w:rPr>
              <w:t xml:space="preserve">Hallucination</w:t>
            </w:r>
            <w:r>
              <w:rPr>
                <w:color w:val="000000" w:themeColor="text1"/>
              </w:rPr>
            </w:r>
          </w:p>
        </w:tc>
        <w:tc>
          <w:tcPr>
            <w:tcBorders/>
            <w:tcW w:w="3591" w:type="dxa"/>
            <w:textDirection w:val="lrTb"/>
            <w:noWrap w:val="false"/>
          </w:tcPr>
          <w:p w14:paraId="0A1003C6">
            <w:pPr>
              <w:pBdr/>
              <w:spacing w:after="0" w:before="0" w:line="240"/>
              <w:ind/>
              <w:rPr>
                <w:color w:val="000000" w:themeColor="text1"/>
              </w:rPr>
            </w:pPr>
            <w:r>
              <w:rPr>
                <w:rFonts w:ascii="Arial" w:hAnsi="Arial" w:eastAsia="Arial" w:cs="Arial"/>
                <w:color w:val="000000" w:themeColor="text1"/>
                <w:sz w:val="21"/>
              </w:rPr>
              <w:t xml:space="preserve">Non-visible finding asserted</w:t>
            </w:r>
            <w:r>
              <w:rPr>
                <w:color w:val="000000" w:themeColor="text1"/>
              </w:rPr>
            </w:r>
          </w:p>
        </w:tc>
        <w:tc>
          <w:tcPr>
            <w:tcBorders/>
            <w:tcW w:w="3637" w:type="dxa"/>
            <w:textDirection w:val="lrTb"/>
            <w:noWrap w:val="false"/>
          </w:tcPr>
          <w:p w14:paraId="24571FBE">
            <w:pPr>
              <w:pBdr/>
              <w:spacing w:after="0" w:before="0" w:line="240"/>
              <w:ind/>
              <w:rPr>
                <w:color w:val="000000" w:themeColor="text1"/>
              </w:rPr>
            </w:pPr>
            <w:r>
              <w:rPr>
                <w:rFonts w:ascii="Arial" w:hAnsi="Arial" w:eastAsia="Arial" w:cs="Arial"/>
                <w:color w:val="000000" w:themeColor="text1"/>
                <w:sz w:val="21"/>
              </w:rPr>
              <w:t xml:space="preserve">Visual-grounding checks, contradiction tests, abstain option</w:t>
            </w:r>
            <w:r>
              <w:rPr>
                <w:color w:val="000000" w:themeColor="text1"/>
              </w:rPr>
            </w:r>
          </w:p>
        </w:tc>
      </w:tr>
      <w:tr>
        <w:trPr/>
        <w:tc>
          <w:tcPr>
            <w:tcBorders/>
            <w:tcW w:w="2169" w:type="dxa"/>
            <w:textDirection w:val="lrTb"/>
            <w:noWrap w:val="false"/>
          </w:tcPr>
          <w:p w14:paraId="17E7A343">
            <w:pPr>
              <w:pBdr/>
              <w:spacing w:after="0" w:before="0" w:line="240"/>
              <w:ind/>
              <w:rPr>
                <w:color w:val="000000" w:themeColor="text1"/>
              </w:rPr>
            </w:pPr>
            <w:r>
              <w:rPr>
                <w:rFonts w:ascii="Arial" w:hAnsi="Arial" w:eastAsia="Arial" w:cs="Arial"/>
                <w:color w:val="000000" w:themeColor="text1"/>
                <w:sz w:val="21"/>
              </w:rPr>
              <w:t xml:space="preserve">Overconfidence</w:t>
            </w:r>
            <w:r>
              <w:rPr>
                <w:color w:val="000000" w:themeColor="text1"/>
              </w:rPr>
            </w:r>
          </w:p>
        </w:tc>
        <w:tc>
          <w:tcPr>
            <w:tcBorders/>
            <w:tcW w:w="3591" w:type="dxa"/>
            <w:textDirection w:val="lrTb"/>
            <w:noWrap w:val="false"/>
          </w:tcPr>
          <w:p w14:paraId="1E41D987">
            <w:pPr>
              <w:pBdr/>
              <w:spacing w:after="0" w:before="0" w:line="240"/>
              <w:ind/>
              <w:rPr>
                <w:color w:val="000000" w:themeColor="text1"/>
              </w:rPr>
            </w:pPr>
            <w:r>
              <w:rPr>
                <w:rFonts w:ascii="Arial" w:hAnsi="Arial" w:eastAsia="Arial" w:cs="Arial"/>
                <w:color w:val="000000" w:themeColor="text1"/>
                <w:sz w:val="21"/>
              </w:rPr>
              <w:t xml:space="preserve">High confidence on incorrect severe class</w:t>
            </w:r>
            <w:r>
              <w:rPr>
                <w:color w:val="000000" w:themeColor="text1"/>
              </w:rPr>
            </w:r>
          </w:p>
        </w:tc>
        <w:tc>
          <w:tcPr>
            <w:tcBorders/>
            <w:tcW w:w="3637" w:type="dxa"/>
            <w:textDirection w:val="lrTb"/>
            <w:noWrap w:val="false"/>
          </w:tcPr>
          <w:p w14:paraId="04FBF640">
            <w:pPr>
              <w:pBdr/>
              <w:spacing w:after="0" w:before="0" w:line="240"/>
              <w:ind/>
              <w:rPr>
                <w:color w:val="000000" w:themeColor="text1"/>
              </w:rPr>
            </w:pPr>
            <w:r>
              <w:rPr>
                <w:rFonts w:ascii="Arial" w:hAnsi="Arial" w:eastAsia="Arial" w:cs="Arial"/>
                <w:color w:val="000000" w:themeColor="text1"/>
                <w:sz w:val="21"/>
              </w:rPr>
              <w:t xml:space="preserve">Calibration, thresholding, uncertainty-triggered escalation</w:t>
            </w:r>
            <w:r>
              <w:rPr>
                <w:color w:val="000000" w:themeColor="text1"/>
              </w:rPr>
            </w:r>
          </w:p>
        </w:tc>
      </w:tr>
      <w:tr>
        <w:trPr/>
        <w:tc>
          <w:tcPr>
            <w:tcBorders/>
            <w:tcW w:w="2169" w:type="dxa"/>
            <w:textDirection w:val="lrTb"/>
            <w:noWrap w:val="false"/>
          </w:tcPr>
          <w:p w14:paraId="15BE24A2">
            <w:pPr>
              <w:pBdr/>
              <w:spacing w:after="0" w:before="0" w:line="240"/>
              <w:ind/>
              <w:rPr>
                <w:color w:val="000000" w:themeColor="text1"/>
              </w:rPr>
            </w:pPr>
            <w:r>
              <w:rPr>
                <w:rFonts w:ascii="Arial" w:hAnsi="Arial" w:eastAsia="Arial" w:cs="Arial"/>
                <w:color w:val="000000" w:themeColor="text1"/>
                <w:sz w:val="21"/>
              </w:rPr>
              <w:t xml:space="preserve">Context gap</w:t>
            </w:r>
            <w:r>
              <w:rPr>
                <w:color w:val="000000" w:themeColor="text1"/>
              </w:rPr>
            </w:r>
          </w:p>
        </w:tc>
        <w:tc>
          <w:tcPr>
            <w:tcBorders/>
            <w:tcW w:w="3591" w:type="dxa"/>
            <w:textDirection w:val="lrTb"/>
            <w:noWrap w:val="false"/>
          </w:tcPr>
          <w:p w14:paraId="5A23E012">
            <w:pPr>
              <w:pBdr/>
              <w:spacing w:after="0" w:before="0" w:line="240"/>
              <w:ind/>
              <w:rPr>
                <w:color w:val="000000" w:themeColor="text1"/>
              </w:rPr>
            </w:pPr>
            <w:r>
              <w:rPr>
                <w:rFonts w:ascii="Arial" w:hAnsi="Arial" w:eastAsia="Arial" w:cs="Arial"/>
                <w:color w:val="000000" w:themeColor="text1"/>
                <w:sz w:val="21"/>
              </w:rPr>
              <w:t xml:space="preserve">Image answer lacks decision context</w:t>
            </w:r>
            <w:r>
              <w:rPr>
                <w:color w:val="000000" w:themeColor="text1"/>
              </w:rPr>
            </w:r>
          </w:p>
        </w:tc>
        <w:tc>
          <w:tcPr>
            <w:tcBorders/>
            <w:tcW w:w="3637" w:type="dxa"/>
            <w:textDirection w:val="lrTb"/>
            <w:noWrap w:val="false"/>
          </w:tcPr>
          <w:p w14:paraId="0E4C704D">
            <w:pPr>
              <w:pBdr/>
              <w:spacing w:after="0" w:before="0" w:line="240"/>
              <w:ind/>
              <w:rPr>
                <w:color w:val="000000" w:themeColor="text1"/>
              </w:rPr>
            </w:pPr>
            <w:r>
              <w:rPr>
                <w:rFonts w:ascii="Arial" w:hAnsi="Arial" w:eastAsia="Arial" w:cs="Arial"/>
                <w:color w:val="000000" w:themeColor="text1"/>
                <w:sz w:val="21"/>
              </w:rPr>
              <w:t xml:space="preserve">Conditional retrieval-backed evidence layer</w:t>
            </w:r>
            <w:r>
              <w:rPr>
                <w:color w:val="000000" w:themeColor="text1"/>
              </w:rPr>
            </w:r>
          </w:p>
        </w:tc>
      </w:tr>
    </w:tbl>
    <w:p w14:paraId="6379D43F">
      <w:pPr>
        <w:pStyle w:val="774"/>
        <w:suppressLineNumbers w:val="false"/>
        <w:pBdr/>
        <w:spacing w:line="300" w:lineRule="auto"/>
        <w:ind/>
        <w:rPr/>
      </w:pPr>
      <w:r/>
      <w:r/>
      <w:r/>
    </w:p>
    <w:p w14:paraId="4012425A">
      <w:pPr>
        <w:pStyle w:val="774"/>
        <w:suppressLineNumbers w:val="false"/>
        <w:pBdr/>
        <w:spacing w:line="300" w:lineRule="auto"/>
        <w:ind/>
        <w:rPr/>
      </w:pPr>
      <w:r/>
      <w:r/>
      <w:r/>
    </w:p>
    <w:p w14:paraId="4E0174DA">
      <w:pPr>
        <w:pStyle w:val="774"/>
        <w:suppressLineNumbers w:val="false"/>
        <w:pBdr/>
        <w:spacing w:line="300" w:lineRule="auto"/>
        <w:ind w:firstLine="0"/>
        <w:rPr/>
      </w:pPr>
      <w:r>
        <w:t xml:space="preserve">1.10 Contributions Claimed in This Dissertation</w:t>
      </w:r>
      <w:r/>
    </w:p>
    <w:p w14:paraId="02E79219">
      <w:pPr>
        <w:pStyle w:val="774"/>
        <w:suppressLineNumbers w:val="false"/>
        <w:pBdr/>
        <w:spacing w:line="300" w:lineRule="auto"/>
        <w:ind w:firstLine="0"/>
        <w:rPr/>
      </w:pPr>
      <w:r>
        <w:t xml:space="preserve">At this stage, the dissertation claims the following contributions:</w:t>
      </w:r>
      <w:r/>
      <w:r/>
      <w:r/>
      <w:r/>
    </w:p>
    <w:p w14:paraId="79AF7D3C">
      <w:pPr>
        <w:pStyle w:val="774"/>
        <w:suppressLineNumbers w:val="false"/>
        <w:pBdr/>
        <w:spacing w:line="300" w:lineRule="auto"/>
        <w:ind w:firstLine="0"/>
        <w:rPr/>
      </w:pPr>
      <w:r>
        <w:t xml:space="preserve">A consolidated GI MedVQA evidence base across multiple datasets and task formulations using reproducible local artifacts [20]-[24].</w:t>
      </w:r>
      <w:r/>
    </w:p>
    <w:p w14:paraId="2A08C86D">
      <w:pPr>
        <w:pStyle w:val="774"/>
        <w:suppressLineNumbers w:val="false"/>
        <w:pBdr/>
        <w:spacing w:line="300" w:lineRule="auto"/>
        <w:ind w:firstLine="0"/>
        <w:rPr/>
      </w:pPr>
      <w:r>
        <w:t xml:space="preserve">Empirical clarification that naive zero-shot VLM transfer is currently insufficient for dependable GI MedVQA performance in this repository setting.</w:t>
      </w:r>
      <w:r/>
    </w:p>
    <w:p w14:paraId="68A7C076">
      <w:pPr>
        <w:pStyle w:val="774"/>
        <w:suppressLineNumbers w:val="false"/>
        <w:pBdr/>
        <w:spacing w:line="300" w:lineRule="auto"/>
        <w:ind w:firstLine="0"/>
        <w:rPr/>
      </w:pPr>
      <w:r>
        <w:t xml:space="preserve">A severity-focused framing that aligns model evaluation with clinically meaningful endpoints, including macro-F1, balanced metrics, remission slices, and QWK in UC-oriented tasks.</w:t>
      </w:r>
      <w:r/>
    </w:p>
    <w:p w14:paraId="6A4D6551">
      <w:pPr>
        <w:pStyle w:val="774"/>
        <w:suppressLineNumbers w:val="false"/>
        <w:pBdr/>
        <w:spacing w:line="300" w:lineRule="auto"/>
        <w:ind w:firstLine="0"/>
        <w:rPr/>
      </w:pPr>
      <w:r>
        <w:t xml:space="preserve">A scenario-driven evaluation framework that complements leaderboard metrics with clinically interpretable acceptance criteria.</w:t>
      </w:r>
      <w:r/>
    </w:p>
    <w:p w14:paraId="1BA74232">
      <w:pPr>
        <w:pStyle w:val="774"/>
        <w:suppressLineNumbers w:val="false"/>
        <w:pBdr/>
        <w:spacing w:line="300" w:lineRule="auto"/>
        <w:ind w:firstLine="0"/>
        <w:rPr>
          <w:highlight w:val="none"/>
        </w:rPr>
      </w:pPr>
      <w:r>
        <w:t xml:space="preserve">A concrete design pathway for integrating retrieval-augmented, evidence-aware answering as a controlled extension of visual-grounded VQA.</w:t>
      </w:r>
      <w:r/>
    </w:p>
    <w:p w14:paraId="4F2C75D6">
      <w:pPr>
        <w:pStyle w:val="774"/>
        <w:suppressLineNumbers w:val="false"/>
        <w:pBdr/>
        <w:spacing w:line="300" w:lineRule="auto"/>
        <w:ind w:firstLine="0"/>
        <w:rPr/>
      </w:pPr>
      <w:r>
        <w:rPr>
          <w:highlight w:val="none"/>
        </w:rPr>
      </w:r>
      <w:r>
        <w:rPr>
          <w:highlight w:val="none"/>
        </w:rPr>
      </w:r>
      <w:r>
        <w:rPr>
          <w:highlight w:val="none"/>
        </w:rPr>
      </w:r>
    </w:p>
    <w:p w14:paraId="33587185">
      <w:pPr>
        <w:pStyle w:val="774"/>
        <w:suppressLineNumbers w:val="false"/>
        <w:pBdr/>
        <w:spacing w:line="300" w:lineRule="auto"/>
        <w:ind w:firstLine="0"/>
        <w:rPr/>
      </w:pPr>
      <w:r>
        <w:t xml:space="preserve">1.10.1 Contribution Boundaries</w:t>
      </w:r>
      <w:r/>
    </w:p>
    <w:p w14:paraId="620A1895">
      <w:pPr>
        <w:pStyle w:val="774"/>
        <w:suppressLineNumbers w:val="false"/>
        <w:pBdr/>
        <w:spacing w:line="300" w:lineRule="auto"/>
        <w:ind w:firstLine="0"/>
        <w:rPr/>
      </w:pPr>
      <w:r>
        <w:t xml:space="preserve">This dissertation does not claim immediate real-time clinical deployment readiness. The contributions are methodological, empirical, and design-oriented, and they establish the basis for subsequent translational validation.</w:t>
      </w:r>
      <w:r/>
    </w:p>
    <w:p w14:paraId="0B52FBB4">
      <w:pPr>
        <w:pStyle w:val="774"/>
        <w:suppressLineNumbers w:val="false"/>
        <w:pBdr/>
        <w:spacing w:line="300" w:lineRule="auto"/>
        <w:ind w:firstLine="0"/>
        <w:rPr/>
      </w:pPr>
      <w:r/>
      <w:r/>
    </w:p>
    <w:p w14:paraId="4D026E48">
      <w:pPr>
        <w:pStyle w:val="774"/>
        <w:suppressLineNumbers w:val="false"/>
        <w:pBdr/>
        <w:spacing w:line="300" w:lineRule="auto"/>
        <w:ind w:firstLine="0"/>
        <w:rPr/>
      </w:pPr>
      <w:r>
        <w:t xml:space="preserve">1.11 Chapter-by-Chapter Summary</w:t>
      </w:r>
      <w:r/>
    </w:p>
    <w:p w14:paraId="5D95C937">
      <w:pPr>
        <w:pStyle w:val="774"/>
        <w:suppressLineNumbers w:val="false"/>
        <w:pBdr/>
        <w:spacing w:line="300" w:lineRule="auto"/>
        <w:ind w:firstLine="0"/>
        <w:rPr/>
      </w:pPr>
      <w:r>
        <w:t xml:space="preserve">Chapter 1 (this chapter): establishes background, motivation, problem decomposition, research questions, conceptual framework, and contribution boundaries.</w:t>
      </w:r>
      <w:r/>
    </w:p>
    <w:p w14:paraId="6C7410F9">
      <w:pPr>
        <w:pStyle w:val="774"/>
        <w:suppressLineNumbers w:val="false"/>
        <w:pBdr/>
        <w:spacing w:line="300" w:lineRule="auto"/>
        <w:ind w:firstLine="0"/>
        <w:rPr/>
      </w:pPr>
      <w:r>
        <w:t xml:space="preserve">Chapter 2: provides a structured scoping review of MedVQA and GI endoscopy literature, with explicit gap extraction.</w:t>
      </w:r>
      <w:r/>
    </w:p>
    <w:p w14:paraId="0F92827C">
      <w:pPr>
        <w:pStyle w:val="774"/>
        <w:suppressLineNumbers w:val="false"/>
        <w:pBdr/>
        <w:spacing w:line="300" w:lineRule="auto"/>
        <w:ind w:firstLine="0"/>
        <w:rPr/>
      </w:pPr>
      <w:r>
        <w:t xml:space="preserve">Chapter 3: investigates existing VQA techniques across GI-endoscopy datasets (HyperKvasir, Kvasir-VQA, Kvasir-VQA-x1, ImageCLEF MEDVQA-GI 2023, LIMUC, and supporting Kvasir-SEG analyses), including comparative and failure-mode analyses.</w:t>
      </w:r>
      <w:r/>
    </w:p>
    <w:p w14:paraId="09E092D4">
      <w:pPr>
        <w:pStyle w:val="774"/>
        <w:suppressLineNumbers w:val="false"/>
        <w:pBdr/>
        <w:spacing w:line="300" w:lineRule="auto"/>
        <w:ind w:firstLine="0"/>
        <w:rPr/>
      </w:pPr>
      <w:r>
        <w:t xml:space="preserve">Chapter 4: develops the proposed dataset-model-RAG-fine-tuning pipeline with implementation detail.</w:t>
      </w:r>
      <w:r/>
    </w:p>
    <w:p w14:paraId="69EB1FDF">
      <w:pPr>
        <w:pStyle w:val="774"/>
        <w:suppressLineNumbers w:val="false"/>
        <w:pBdr/>
        <w:spacing w:line="300" w:lineRule="auto"/>
        <w:ind w:firstLine="0"/>
        <w:rPr/>
      </w:pPr>
      <w:r>
        <w:t xml:space="preserve">Chapter 5: instantiates PICO-oriented and scenario-based use cases with objective-oriented prompt and evidence design.</w:t>
      </w:r>
      <w:r/>
    </w:p>
    <w:p w14:paraId="667BE60C">
      <w:pPr>
        <w:pStyle w:val="774"/>
        <w:suppressLineNumbers w:val="false"/>
        <w:pBdr/>
        <w:spacing w:line="300" w:lineRule="auto"/>
        <w:ind w:firstLine="0"/>
        <w:rPr/>
      </w:pPr>
      <w:r>
        <w:t xml:space="preserve">Chapter 6: integrates experimental findings, scenario performance, and evidence-layer behavior into a consolidated discussion.</w:t>
      </w:r>
      <w:r/>
    </w:p>
    <w:p w14:paraId="3C5296C7">
      <w:pPr>
        <w:pStyle w:val="774"/>
        <w:suppressLineNumbers w:val="false"/>
        <w:pBdr/>
        <w:spacing w:line="300" w:lineRule="auto"/>
        <w:ind w:firstLine="0"/>
        <w:rPr/>
      </w:pPr>
      <w:r>
        <w:t xml:space="preserve">Chapter 7: synthesizes conclusions, revisits research questions, states limitations, and defines future work.</w:t>
      </w:r>
      <w:r/>
      <w:r/>
      <w:r/>
    </w:p>
    <w:p w14:paraId="26F79DA0">
      <w:pPr>
        <w:pStyle w:val="774"/>
        <w:suppressLineNumbers w:val="false"/>
        <w:pBdr/>
        <w:spacing w:line="300" w:lineRule="auto"/>
        <w:ind/>
        <w:rPr/>
      </w:pPr>
      <w:r/>
      <w:r/>
      <w:r/>
    </w:p>
    <w:p w14:paraId="70E53ED4">
      <w:pPr>
        <w:pStyle w:val="774"/>
        <w:suppressLineNumbers w:val="false"/>
        <w:pBdr/>
        <w:spacing w:line="300" w:lineRule="auto"/>
        <w:ind/>
        <w:rPr/>
      </w:pPr>
      <w:r/>
      <w:r/>
      <w:r/>
    </w:p>
    <w:p w14:paraId="381B1532">
      <w:pPr>
        <w:pStyle w:val="774"/>
        <w:suppressLineNumbers w:val="false"/>
        <w:pBdr/>
        <w:spacing w:line="300" w:lineRule="auto"/>
        <w:ind/>
        <w:rPr/>
      </w:pPr>
      <w:r/>
      <w:r/>
      <w:r/>
    </w:p>
    <w:p w14:paraId="5154A291">
      <w:pPr>
        <w:pStyle w:val="774"/>
        <w:suppressLineNumbers w:val="false"/>
        <w:pBdr/>
        <w:spacing w:line="300" w:lineRule="auto"/>
        <w:ind/>
        <w:rPr/>
      </w:pPr>
      <w:r/>
      <w:r/>
      <w:r/>
    </w:p>
    <w:p w14:paraId="5669677E">
      <w:pPr>
        <w:pStyle w:val="774"/>
        <w:suppressLineNumbers w:val="false"/>
        <w:pBdr/>
        <w:spacing w:line="300" w:lineRule="auto"/>
        <w:ind/>
        <w:rPr/>
      </w:pPr>
      <w:r/>
      <w:r/>
      <w:r/>
    </w:p>
    <w:p w14:paraId="363EDFF9" w14:textId="67098D20">
      <w:pPr>
        <w:pStyle w:val="774"/>
        <w:suppressLineNumbers w:val="false"/>
        <w:pBdr/>
        <w:spacing w:line="300" w:lineRule="auto"/>
        <w:ind w:firstLine="0"/>
        <w:rPr/>
      </w:pPr>
      <w:r/>
      <w:r/>
    </w:p>
    <w:p w14:paraId="12B54F1F" w14:textId="65827942">
      <w:pPr>
        <w:pStyle w:val="774"/>
        <w:suppressLineNumbers w:val="false"/>
        <w:pBdr/>
        <w:spacing w:line="300" w:lineRule="auto"/>
        <w:ind w:firstLine="0"/>
        <w:rPr/>
      </w:pPr>
      <w:r/>
      <w:r/>
    </w:p>
    <w:p w14:paraId="25FF9EE4" w14:textId="4F9F96C5">
      <w:pPr>
        <w:pStyle w:val="761"/>
        <w:suppressLineNumbers w:val="false"/>
        <w:pBdr/>
        <w:spacing w:line="300" w:lineRule="auto"/>
        <w:ind/>
        <w:rPr>
          <w:b/>
          <w:bCs/>
          <w:i w:val="0"/>
          <w:iCs w:val="0"/>
          <w:strike w:val="0"/>
          <w:color w:val="1b1c1d"/>
          <w:sz w:val="48"/>
          <w:szCs w:val="48"/>
          <w:u w:val="none"/>
        </w:rPr>
      </w:pPr>
      <w:r>
        <w:br/>
      </w:r>
      <w:r>
        <w:br/>
      </w:r>
      <w:r>
        <w:rPr>
          <w:b/>
          <w:bCs/>
          <w:i w:val="0"/>
          <w:iCs w:val="0"/>
          <w:strike w:val="0"/>
          <w:color w:val="1b1c1d"/>
          <w:sz w:val="48"/>
          <w:szCs w:val="48"/>
          <w:u w:val="none"/>
          <w:lang w:val="en-CA"/>
        </w:rPr>
        <w:t xml:space="preserve">Surveying VQA Techniques in Medicine with application to Colonoscopy</w:t>
      </w:r>
      <w:r>
        <w:rPr>
          <w:b/>
          <w:bCs/>
          <w:i w:val="0"/>
          <w:iCs w:val="0"/>
          <w:strike w:val="0"/>
          <w:color w:val="1b1c1d"/>
          <w:sz w:val="48"/>
          <w:szCs w:val="48"/>
          <w:u w:val="none"/>
          <w:lang w:val="en-CA"/>
        </w:rPr>
      </w:r>
    </w:p>
    <w:p w14:paraId="3FD4EF18" w14:textId="5A0D563D">
      <w:pPr>
        <w:suppressLineNumbers w:val="false"/>
        <w:pBdr/>
        <w:spacing w:after="240" w:afterAutospacing="0" w:before="240" w:beforeAutospacing="0" w:line="300" w:lineRule="auto"/>
        <w:ind/>
        <w:rPr>
          <w:sz w:val="28"/>
          <w:szCs w:val="28"/>
        </w:rPr>
      </w:pPr>
      <w:r>
        <w:rPr>
          <w:sz w:val="28"/>
          <w:szCs w:val="28"/>
          <w:lang w:val="en-CA"/>
        </w:rPr>
        <w:t xml:space="preserve">2.1 Introduction</w:t>
      </w:r>
      <w:r>
        <w:rPr>
          <w:sz w:val="28"/>
          <w:szCs w:val="28"/>
          <w:lang w:val="en-CA"/>
        </w:rPr>
      </w:r>
    </w:p>
    <w:p w14:paraId="0F90BBC5">
      <w:pPr>
        <w:pStyle w:val="760"/>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Visual Question Answering (VQA) has evolved from a general computer-vision benchmark task into a clinically relevant multimodal research area. In medical VQA (MedVQA), a model must interpret medical imagery, parse a natural-language question, and generate a</w:t>
      </w:r>
      <w:r>
        <w:rPr>
          <w:rFonts w:ascii="Arial" w:hAnsi="Arial" w:eastAsia="Arial" w:cs="Arial"/>
          <w:b w:val="0"/>
          <w:bCs w:val="0"/>
          <w:i w:val="0"/>
          <w:iCs w:val="0"/>
          <w:caps w:val="0"/>
          <w:smallCaps w:val="0"/>
          <w:color w:val="000000" w:themeColor="text1" w:themeTint="FF" w:themeShade="FF"/>
          <w:sz w:val="22"/>
          <w:szCs w:val="22"/>
          <w:lang w:val="en-CA"/>
        </w:rPr>
        <w:t xml:space="preserve">n answer that is not only technically correct but also clinically meaningful. This imposes stricter requirements than general-domain VQA: stronger visual grounding, domain-aware language understanding, robustness under class imbalance, and error behavior th</w:t>
      </w:r>
      <w:r>
        <w:rPr>
          <w:rFonts w:ascii="Arial" w:hAnsi="Arial" w:eastAsia="Arial" w:cs="Arial"/>
          <w:b w:val="0"/>
          <w:bCs w:val="0"/>
          <w:i w:val="0"/>
          <w:iCs w:val="0"/>
          <w:caps w:val="0"/>
          <w:smallCaps w:val="0"/>
          <w:color w:val="000000" w:themeColor="text1" w:themeTint="FF" w:themeShade="FF"/>
          <w:sz w:val="22"/>
          <w:szCs w:val="22"/>
          <w:lang w:val="en-CA"/>
        </w:rPr>
        <w:t xml:space="preserve">at is safe under clinical risk [R4].</w:t>
      </w:r>
      <w:r/>
    </w:p>
    <w:p w14:paraId="302CA8E1">
      <w:pPr>
        <w:pStyle w:val="760"/>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r>
      <w:r/>
    </w:p>
    <w:p w14:paraId="5E80A0C2">
      <w:pPr>
        <w:pStyle w:val="760"/>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For this dissertation, the focus is gastrointestinal (GI) endoscopy with an emphasis on colonoscopy use cases. This domain is clinically important and methodologically difficult. Colonoscopy frames contain artifacts, illumination variation, blur, occlusions</w:t>
      </w:r>
      <w:r>
        <w:rPr>
          <w:rFonts w:ascii="Arial" w:hAnsi="Arial" w:eastAsia="Arial" w:cs="Arial"/>
          <w:b w:val="0"/>
          <w:bCs w:val="0"/>
          <w:i w:val="0"/>
          <w:iCs w:val="0"/>
          <w:caps w:val="0"/>
          <w:smallCaps w:val="0"/>
          <w:color w:val="000000" w:themeColor="text1" w:themeTint="FF" w:themeShade="FF"/>
          <w:sz w:val="22"/>
          <w:szCs w:val="22"/>
          <w:lang w:val="en-CA"/>
        </w:rPr>
        <w:t xml:space="preserve"> by instruments, and subtle lesion morphology. Questions that appear simple in natural language (e.g., "Is there active inflammation?" or "What is the likely severity?") can require fine-grained perception and domain-specific interpretation.</w:t>
      </w:r>
      <w:r/>
      <w:r>
        <w:rPr>
          <w:rFonts w:ascii="Arial" w:hAnsi="Arial" w:eastAsia="Arial" w:cs="Arial"/>
          <w:b w:val="0"/>
          <w:bCs w:val="0"/>
          <w:i w:val="0"/>
          <w:iCs w:val="0"/>
          <w:caps w:val="0"/>
          <w:smallCaps w:val="0"/>
          <w:color w:val="000000" w:themeColor="text1" w:themeTint="FF" w:themeShade="FF"/>
          <w:sz w:val="22"/>
          <w:szCs w:val="22"/>
          <w:lang w:val="en-CA"/>
        </w:rPr>
      </w:r>
      <w:r/>
      <w:r>
        <w:rPr>
          <w:rFonts w:ascii="Arial" w:hAnsi="Arial" w:eastAsia="Arial" w:cs="Arial"/>
          <w:b w:val="0"/>
          <w:bCs w:val="0"/>
          <w:i w:val="0"/>
          <w:iCs w:val="0"/>
          <w:caps w:val="0"/>
          <w:smallCaps w:val="0"/>
          <w:color w:val="000000" w:themeColor="text1" w:themeTint="FF" w:themeShade="FF"/>
          <w:sz w:val="22"/>
          <w:szCs w:val="22"/>
          <w:lang w:val="en-CA"/>
        </w:rPr>
      </w:r>
    </w:p>
    <w:p w14:paraId="573A3B96">
      <w:pPr>
        <w:pStyle w:val="760"/>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The purpose of this chapter is to provide a rigorous survey that supports design choices in subsequent chapters. Specifically, this chapter:</w:t>
      </w:r>
      <w:r/>
      <w:r>
        <w:rPr>
          <w:rFonts w:ascii="Arial" w:hAnsi="Arial" w:eastAsia="Arial" w:cs="Arial"/>
          <w:b w:val="0"/>
          <w:bCs w:val="0"/>
          <w:i w:val="0"/>
          <w:iCs w:val="0"/>
          <w:caps w:val="0"/>
          <w:smallCaps w:val="0"/>
          <w:color w:val="000000" w:themeColor="text1" w:themeTint="FF" w:themeShade="FF"/>
          <w:sz w:val="22"/>
          <w:szCs w:val="22"/>
          <w:lang w:val="en-CA"/>
        </w:rPr>
      </w:r>
      <w:r/>
      <w:r>
        <w:rPr>
          <w:rFonts w:ascii="Arial" w:hAnsi="Arial" w:eastAsia="Arial" w:cs="Arial"/>
          <w:b w:val="0"/>
          <w:bCs w:val="0"/>
          <w:i w:val="0"/>
          <w:iCs w:val="0"/>
          <w:caps w:val="0"/>
          <w:smallCaps w:val="0"/>
          <w:color w:val="000000" w:themeColor="text1" w:themeTint="FF" w:themeShade="FF"/>
          <w:sz w:val="22"/>
          <w:szCs w:val="22"/>
          <w:lang w:val="en-CA"/>
        </w:rPr>
      </w:r>
    </w:p>
    <w:p w14:paraId="05BBAFE9">
      <w:pPr>
        <w:pStyle w:val="760"/>
        <w:numPr>
          <w:ilvl w:val="0"/>
          <w:numId w:val="22"/>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maps the historical evolution of MedVQA model families;</w:t>
      </w:r>
      <w:r/>
    </w:p>
    <w:p w14:paraId="22B19002">
      <w:pPr>
        <w:pStyle w:val="760"/>
        <w:numPr>
          <w:ilvl w:val="0"/>
          <w:numId w:val="22"/>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reviews dataset and benchmark development, with GI-specific focus;</w:t>
      </w:r>
      <w:r/>
    </w:p>
    <w:p w14:paraId="2FC68D11">
      <w:pPr>
        <w:pStyle w:val="760"/>
        <w:numPr>
          <w:ilvl w:val="0"/>
          <w:numId w:val="22"/>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compares technique families against colonoscopy scenario requirements;</w:t>
      </w:r>
      <w:r/>
    </w:p>
    <w:p w14:paraId="7037EEFA">
      <w:pPr>
        <w:pStyle w:val="760"/>
        <w:numPr>
          <w:ilvl w:val="0"/>
          <w:numId w:val="22"/>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reviews evaluation practices and their limitations;</w:t>
      </w:r>
      <w:r/>
    </w:p>
    <w:p w14:paraId="529EA61A">
      <w:pPr>
        <w:pStyle w:val="760"/>
        <w:numPr>
          <w:ilvl w:val="0"/>
          <w:numId w:val="22"/>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lang w:val="en-CA"/>
        </w:rPr>
        <w:t xml:space="preserve">identifies open gaps that directly motivate the methodology in Chapter 3, Chapter 4, and </w:t>
      </w:r>
      <w:r>
        <w:rPr>
          <w:rFonts w:ascii="Arial" w:hAnsi="Arial" w:eastAsia="Arial" w:cs="Arial"/>
          <w:b w:val="0"/>
          <w:bCs w:val="0"/>
          <w:i w:val="0"/>
          <w:iCs w:val="0"/>
          <w:caps w:val="0"/>
          <w:smallCaps w:val="0"/>
          <w:color w:val="000000" w:themeColor="text1" w:themeTint="FF" w:themeShade="FF"/>
          <w:sz w:val="22"/>
          <w:szCs w:val="22"/>
          <w:lang w:val="en-CA"/>
        </w:rPr>
        <w:t xml:space="preserve">Chapter 5.</w:t>
      </w:r>
      <w:r/>
      <w:r>
        <w:rPr>
          <w:rFonts w:ascii="Arial" w:hAnsi="Arial" w:eastAsia="Arial" w:cs="Arial"/>
          <w:b w:val="0"/>
          <w:bCs w:val="0"/>
          <w:i w:val="0"/>
          <w:iCs w:val="0"/>
          <w:caps w:val="0"/>
          <w:smallCaps w:val="0"/>
          <w:color w:val="000000" w:themeColor="text1" w:themeTint="FF" w:themeShade="FF"/>
          <w:sz w:val="22"/>
          <w:szCs w:val="22"/>
        </w:rPr>
      </w:r>
    </w:p>
    <w:p w14:paraId="3BDC3232">
      <w:pPr>
        <w:pStyle w:val="760"/>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The chapter is written in the same formal style as the dissertation introduction and uses standard terminology from computer vision (CV), natural language processing (NLP), and multimodal learning.</w:t>
      </w:r>
      <w:r/>
    </w:p>
    <w:p w14:paraId="55828FA6">
      <w:pPr>
        <w:pStyle w:val="760"/>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2.1.1 Definitions and Notation Used in This Chapter</w:t>
      </w:r>
      <w:r/>
    </w:p>
    <w:p w14:paraId="7E7154B0" w14:textId="68C30290">
      <w:pPr>
        <w:pStyle w:val="760"/>
        <w:suppressLineNumbers w:val="false"/>
        <w:pBdr/>
        <w:spacing w:after="240" w:afterAutospacing="0" w:before="240" w:beforeAutospacing="0" w:line="300" w:lineRule="auto"/>
        <w:ind w:firstLine="0"/>
        <w:rPr>
          <w:rFonts w:ascii="Arial" w:hAnsi="Arial" w:eastAsia="Arial" w:cs="Arial"/>
          <w:b w:val="0"/>
          <w:bCs w:val="0"/>
          <w:i w:val="0"/>
          <w:iCs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lang w:val="en-CA"/>
        </w:rPr>
        <w:t xml:space="preserve">Table 2.1. Working Definitions and Metric Notation</w:t>
      </w:r>
      <w:r/>
      <w:r>
        <w:rPr>
          <w:rFonts w:ascii="Arial" w:hAnsi="Arial" w:eastAsia="Arial" w:cs="Arial"/>
          <w:b w:val="0"/>
          <w:bCs w:val="0"/>
          <w:i w:val="0"/>
          <w:iCs w:val="0"/>
          <w:caps w:val="0"/>
          <w:smallCaps w:val="0"/>
          <w:color w:val="000000" w:themeColor="text1" w:themeTint="FF" w:themeShade="FF"/>
          <w:sz w:val="22"/>
          <w:szCs w:val="22"/>
          <w:lang w:val="en-CA"/>
        </w:rPr>
      </w:r>
      <w:r>
        <w:rPr>
          <w:rFonts w:ascii="Arial" w:hAnsi="Arial" w:eastAsia="Arial" w:cs="Arial"/>
          <w:b w:val="0"/>
          <w:bCs w:val="0"/>
          <w:i w:val="0"/>
          <w:iCs w:val="0"/>
          <w:caps w:val="0"/>
          <w:smallCaps w:val="0"/>
          <w:color w:val="000000" w:themeColor="text1" w:themeTint="FF" w:themeShade="FF"/>
          <w:sz w:val="22"/>
          <w:szCs w:val="22"/>
        </w:rPr>
      </w:r>
    </w:p>
    <w:tbl>
      <w:tblPr>
        <w:tblStyle w:val="831"/>
        <w:tblW w:w="0" w:type="auto"/>
        <w:tblBorders/>
        <w:tblLayout w:type="fixed"/>
        <w:tblLook w:val="04A0" w:firstRow="1" w:lastRow="0" w:firstColumn="1" w:lastColumn="0" w:noHBand="0" w:noVBand="1"/>
      </w:tblPr>
      <w:tblGrid>
        <w:gridCol w:w="3019"/>
        <w:gridCol w:w="5621"/>
      </w:tblGrid>
      <w:tr>
        <w:trPr/>
        <w:tc>
          <w:tcPr>
            <w:tcBorders/>
            <w:tcW w:w="3019" w:type="dxa"/>
            <w:textDirection w:val="lrTb"/>
            <w:noWrap w:val="false"/>
          </w:tcPr>
          <w:p w14:paraId="239A1987">
            <w:pPr>
              <w:pBdr/>
              <w:spacing w:after="0" w:before="0" w:line="240"/>
              <w:ind/>
              <w:rPr>
                <w:color w:val="000000" w:themeColor="text1"/>
              </w:rPr>
            </w:pPr>
            <w:r>
              <w:rPr>
                <w:rFonts w:ascii="Arial" w:hAnsi="Arial" w:eastAsia="Arial" w:cs="Arial"/>
                <w:b/>
                <w:color w:val="000000" w:themeColor="text1"/>
                <w:sz w:val="21"/>
              </w:rPr>
              <w:t xml:space="preserve">Term / Metric</w:t>
            </w:r>
            <w:r>
              <w:rPr>
                <w:color w:val="000000" w:themeColor="text1"/>
              </w:rPr>
            </w:r>
          </w:p>
        </w:tc>
        <w:tc>
          <w:tcPr>
            <w:tcBorders/>
            <w:tcW w:w="5621" w:type="dxa"/>
            <w:textDirection w:val="lrTb"/>
            <w:noWrap w:val="false"/>
          </w:tcPr>
          <w:p w14:paraId="5AEA13C1">
            <w:pPr>
              <w:pBdr/>
              <w:spacing w:after="0" w:before="0" w:line="240"/>
              <w:ind/>
              <w:rPr>
                <w:color w:val="000000" w:themeColor="text1"/>
              </w:rPr>
            </w:pPr>
            <w:r>
              <w:rPr>
                <w:rFonts w:ascii="Arial" w:hAnsi="Arial" w:eastAsia="Arial" w:cs="Arial"/>
                <w:b/>
                <w:color w:val="000000" w:themeColor="text1"/>
                <w:sz w:val="21"/>
              </w:rPr>
              <w:t xml:space="preserve">Working meaning in this dissertation</w:t>
            </w:r>
            <w:r>
              <w:rPr>
                <w:color w:val="000000" w:themeColor="text1"/>
              </w:rPr>
            </w:r>
          </w:p>
        </w:tc>
      </w:tr>
      <w:tr>
        <w:trPr/>
        <w:tc>
          <w:tcPr>
            <w:tcBorders/>
            <w:tcW w:w="3019" w:type="dxa"/>
            <w:textDirection w:val="lrTb"/>
            <w:noWrap w:val="false"/>
          </w:tcPr>
          <w:p w14:paraId="33B75DC2">
            <w:pPr>
              <w:pBdr/>
              <w:spacing w:after="0" w:before="0" w:line="240"/>
              <w:ind/>
              <w:rPr>
                <w:color w:val="000000" w:themeColor="text1"/>
              </w:rPr>
            </w:pPr>
            <w:r>
              <w:rPr>
                <w:rFonts w:ascii="Arial" w:hAnsi="Arial" w:eastAsia="Arial" w:cs="Arial"/>
                <w:color w:val="000000" w:themeColor="text1"/>
                <w:sz w:val="21"/>
              </w:rPr>
              <w:t xml:space="preserve">MedVQA</w:t>
            </w:r>
            <w:r>
              <w:rPr>
                <w:color w:val="000000" w:themeColor="text1"/>
              </w:rPr>
            </w:r>
          </w:p>
        </w:tc>
        <w:tc>
          <w:tcPr>
            <w:tcBorders/>
            <w:tcW w:w="5621" w:type="dxa"/>
            <w:textDirection w:val="lrTb"/>
            <w:noWrap w:val="false"/>
          </w:tcPr>
          <w:p w14:paraId="71E27EAB">
            <w:pPr>
              <w:pBdr/>
              <w:spacing w:after="0" w:before="0" w:line="240"/>
              <w:ind/>
              <w:rPr>
                <w:color w:val="000000" w:themeColor="text1"/>
              </w:rPr>
            </w:pPr>
            <w:r>
              <w:rPr>
                <w:rFonts w:ascii="Arial" w:hAnsi="Arial" w:eastAsia="Arial" w:cs="Arial"/>
                <w:color w:val="000000" w:themeColor="text1"/>
                <w:sz w:val="21"/>
              </w:rPr>
              <w:t xml:space="preserve">Image-question-answer modeling in medical domains</w:t>
            </w:r>
            <w:r>
              <w:rPr>
                <w:color w:val="000000" w:themeColor="text1"/>
              </w:rPr>
            </w:r>
          </w:p>
        </w:tc>
      </w:tr>
      <w:tr>
        <w:trPr/>
        <w:tc>
          <w:tcPr>
            <w:tcBorders/>
            <w:tcW w:w="3019" w:type="dxa"/>
            <w:textDirection w:val="lrTb"/>
            <w:noWrap w:val="false"/>
          </w:tcPr>
          <w:p w14:paraId="6C00B012">
            <w:pPr>
              <w:pBdr/>
              <w:spacing w:after="0" w:before="0" w:line="240"/>
              <w:ind/>
              <w:rPr>
                <w:color w:val="000000" w:themeColor="text1"/>
              </w:rPr>
            </w:pPr>
            <w:r>
              <w:rPr>
                <w:rFonts w:ascii="Arial" w:hAnsi="Arial" w:eastAsia="Arial" w:cs="Arial"/>
                <w:color w:val="000000" w:themeColor="text1"/>
                <w:sz w:val="21"/>
              </w:rPr>
              <w:t xml:space="preserve">Clinical MedVQA</w:t>
            </w:r>
            <w:r>
              <w:rPr>
                <w:color w:val="000000" w:themeColor="text1"/>
              </w:rPr>
            </w:r>
          </w:p>
        </w:tc>
        <w:tc>
          <w:tcPr>
            <w:tcBorders/>
            <w:tcW w:w="5621" w:type="dxa"/>
            <w:textDirection w:val="lrTb"/>
            <w:noWrap w:val="false"/>
          </w:tcPr>
          <w:p w14:paraId="7CD6874D">
            <w:pPr>
              <w:pBdr/>
              <w:spacing w:after="0" w:before="0" w:line="240"/>
              <w:ind/>
              <w:rPr>
                <w:color w:val="000000" w:themeColor="text1"/>
              </w:rPr>
            </w:pPr>
            <w:r>
              <w:rPr>
                <w:rFonts w:ascii="Arial" w:hAnsi="Arial" w:eastAsia="Arial" w:cs="Arial"/>
                <w:color w:val="000000" w:themeColor="text1"/>
                <w:sz w:val="21"/>
              </w:rPr>
              <w:t xml:space="preserve">MedVQA configured for decision support with safety constraints</w:t>
            </w:r>
            <w:r>
              <w:rPr>
                <w:color w:val="000000" w:themeColor="text1"/>
              </w:rPr>
            </w:r>
          </w:p>
        </w:tc>
      </w:tr>
      <w:tr>
        <w:trPr/>
        <w:tc>
          <w:tcPr>
            <w:tcBorders/>
            <w:tcW w:w="3019" w:type="dxa"/>
            <w:textDirection w:val="lrTb"/>
            <w:noWrap w:val="false"/>
          </w:tcPr>
          <w:p w14:paraId="13CDC2AE">
            <w:pPr>
              <w:pBdr/>
              <w:spacing w:after="0" w:before="0" w:line="240"/>
              <w:ind/>
              <w:rPr>
                <w:color w:val="000000" w:themeColor="text1"/>
              </w:rPr>
            </w:pPr>
            <w:r>
              <w:rPr>
                <w:rFonts w:ascii="Arial" w:hAnsi="Arial" w:eastAsia="Arial" w:cs="Arial"/>
                <w:color w:val="000000" w:themeColor="text1"/>
                <w:sz w:val="21"/>
              </w:rPr>
              <w:t xml:space="preserve">VLM / MLLM</w:t>
            </w:r>
            <w:r>
              <w:rPr>
                <w:color w:val="000000" w:themeColor="text1"/>
              </w:rPr>
            </w:r>
          </w:p>
        </w:tc>
        <w:tc>
          <w:tcPr>
            <w:tcBorders/>
            <w:tcW w:w="5621" w:type="dxa"/>
            <w:textDirection w:val="lrTb"/>
            <w:noWrap w:val="false"/>
          </w:tcPr>
          <w:p w14:paraId="34F4C90A">
            <w:pPr>
              <w:pBdr/>
              <w:spacing w:after="0" w:before="0" w:line="240"/>
              <w:ind/>
              <w:rPr>
                <w:color w:val="000000" w:themeColor="text1"/>
              </w:rPr>
            </w:pPr>
            <w:r>
              <w:rPr>
                <w:rFonts w:ascii="Arial" w:hAnsi="Arial" w:eastAsia="Arial" w:cs="Arial"/>
                <w:color w:val="000000" w:themeColor="text1"/>
                <w:sz w:val="21"/>
              </w:rPr>
              <w:t xml:space="preserve">Vision-language model / multimodal large language model</w:t>
            </w:r>
            <w:r>
              <w:rPr>
                <w:color w:val="000000" w:themeColor="text1"/>
              </w:rPr>
            </w:r>
          </w:p>
        </w:tc>
      </w:tr>
      <w:tr>
        <w:trPr/>
        <w:tc>
          <w:tcPr>
            <w:tcBorders/>
            <w:tcW w:w="3019" w:type="dxa"/>
            <w:textDirection w:val="lrTb"/>
            <w:noWrap w:val="false"/>
          </w:tcPr>
          <w:p w14:paraId="2094C29D">
            <w:pPr>
              <w:pBdr/>
              <w:spacing w:after="0" w:before="0" w:line="240"/>
              <w:ind/>
              <w:rPr>
                <w:color w:val="000000" w:themeColor="text1"/>
              </w:rPr>
            </w:pPr>
            <w:r>
              <w:rPr>
                <w:rFonts w:ascii="Arial" w:hAnsi="Arial" w:eastAsia="Arial" w:cs="Arial"/>
                <w:color w:val="000000" w:themeColor="text1"/>
                <w:sz w:val="21"/>
              </w:rPr>
              <w:t xml:space="preserve">MES / UCEIS / BBPS</w:t>
            </w:r>
            <w:r>
              <w:rPr>
                <w:color w:val="000000" w:themeColor="text1"/>
              </w:rPr>
            </w:r>
          </w:p>
        </w:tc>
        <w:tc>
          <w:tcPr>
            <w:tcBorders/>
            <w:tcW w:w="5621" w:type="dxa"/>
            <w:textDirection w:val="lrTb"/>
            <w:noWrap w:val="false"/>
          </w:tcPr>
          <w:p w14:paraId="426ADAE9">
            <w:pPr>
              <w:pBdr/>
              <w:spacing w:after="0" w:before="0" w:line="240"/>
              <w:ind/>
              <w:rPr>
                <w:color w:val="000000" w:themeColor="text1"/>
              </w:rPr>
            </w:pPr>
            <w:r>
              <w:rPr>
                <w:rFonts w:ascii="Arial" w:hAnsi="Arial" w:eastAsia="Arial" w:cs="Arial"/>
                <w:color w:val="000000" w:themeColor="text1"/>
                <w:sz w:val="21"/>
              </w:rPr>
              <w:t xml:space="preserve">Mayo Endoscopic Subscore / Ulcerative Colitis Endoscopic Index of Severity / Boston Bowel Preparation Scale</w:t>
            </w:r>
            <w:r>
              <w:rPr>
                <w:color w:val="000000" w:themeColor="text1"/>
              </w:rPr>
            </w:r>
          </w:p>
        </w:tc>
      </w:tr>
      <w:tr>
        <w:trPr/>
        <w:tc>
          <w:tcPr>
            <w:tcBorders/>
            <w:tcW w:w="3019" w:type="dxa"/>
            <w:textDirection w:val="lrTb"/>
            <w:noWrap w:val="false"/>
          </w:tcPr>
          <w:p w14:paraId="36F84E36">
            <w:pPr>
              <w:pBdr/>
              <w:spacing w:after="0" w:before="0" w:line="240"/>
              <w:ind/>
              <w:rPr>
                <w:color w:val="000000" w:themeColor="text1"/>
              </w:rPr>
            </w:pPr>
            <w:r>
              <w:rPr>
                <w:rFonts w:ascii="Arial" w:hAnsi="Arial" w:eastAsia="Arial" w:cs="Arial"/>
                <w:color w:val="000000" w:themeColor="text1"/>
                <w:sz w:val="21"/>
              </w:rPr>
              <w:t xml:space="preserve">EM / macro-F1</w:t>
            </w:r>
            <w:r>
              <w:rPr>
                <w:color w:val="000000" w:themeColor="text1"/>
              </w:rPr>
            </w:r>
          </w:p>
        </w:tc>
        <w:tc>
          <w:tcPr>
            <w:tcBorders/>
            <w:tcW w:w="5621" w:type="dxa"/>
            <w:textDirection w:val="lrTb"/>
            <w:noWrap w:val="false"/>
          </w:tcPr>
          <w:p w14:paraId="397DDA88">
            <w:pPr>
              <w:pBdr/>
              <w:spacing w:after="0" w:before="0" w:line="240"/>
              <w:ind/>
              <w:rPr>
                <w:color w:val="000000" w:themeColor="text1"/>
              </w:rPr>
            </w:pPr>
            <w:r>
              <w:rPr>
                <w:rFonts w:ascii="Arial" w:hAnsi="Arial" w:eastAsia="Arial" w:cs="Arial"/>
                <w:color w:val="000000" w:themeColor="text1"/>
                <w:sz w:val="21"/>
              </w:rPr>
              <w:t xml:space="preserve">Exact match (string-level) / class-balanced F1 across labels</w:t>
            </w:r>
            <w:r>
              <w:rPr>
                <w:color w:val="000000" w:themeColor="text1"/>
              </w:rPr>
            </w:r>
          </w:p>
        </w:tc>
      </w:tr>
      <w:tr>
        <w:trPr/>
        <w:tc>
          <w:tcPr>
            <w:tcBorders/>
            <w:tcW w:w="3019" w:type="dxa"/>
            <w:textDirection w:val="lrTb"/>
            <w:noWrap w:val="false"/>
          </w:tcPr>
          <w:p w14:paraId="0661A908">
            <w:pPr>
              <w:pBdr/>
              <w:spacing w:after="0" w:before="0" w:line="240"/>
              <w:ind/>
              <w:rPr>
                <w:color w:val="000000" w:themeColor="text1"/>
              </w:rPr>
            </w:pPr>
            <w:r>
              <w:rPr>
                <w:rFonts w:ascii="Arial" w:hAnsi="Arial" w:eastAsia="Arial" w:cs="Arial"/>
                <w:color w:val="000000" w:themeColor="text1"/>
                <w:sz w:val="21"/>
              </w:rPr>
              <w:t xml:space="preserve">QWK</w:t>
            </w:r>
            <w:r>
              <w:rPr>
                <w:color w:val="000000" w:themeColor="text1"/>
              </w:rPr>
            </w:r>
          </w:p>
        </w:tc>
        <w:tc>
          <w:tcPr>
            <w:tcBorders/>
            <w:tcW w:w="5621" w:type="dxa"/>
            <w:textDirection w:val="lrTb"/>
            <w:noWrap w:val="false"/>
          </w:tcPr>
          <w:p w14:paraId="6B590178">
            <w:pPr>
              <w:pBdr/>
              <w:spacing w:after="0" w:before="0" w:line="240"/>
              <w:ind/>
              <w:rPr>
                <w:color w:val="000000" w:themeColor="text1"/>
              </w:rPr>
            </w:pPr>
            <w:r>
              <w:rPr>
                <w:rFonts w:ascii="Arial" w:hAnsi="Arial" w:eastAsia="Arial" w:cs="Arial"/>
                <w:color w:val="000000" w:themeColor="text1"/>
                <w:sz w:val="21"/>
              </w:rPr>
              <w:t xml:space="preserve">Quadratic weighted kappa for ordinal agreement (used in severity tasks)</w:t>
            </w:r>
            <w:r>
              <w:rPr>
                <w:color w:val="000000" w:themeColor="text1"/>
              </w:rPr>
            </w:r>
          </w:p>
        </w:tc>
      </w:tr>
      <w:tr>
        <w:trPr/>
        <w:tc>
          <w:tcPr>
            <w:tcBorders/>
            <w:tcW w:w="3019" w:type="dxa"/>
            <w:textDirection w:val="lrTb"/>
            <w:noWrap w:val="false"/>
          </w:tcPr>
          <w:p w14:paraId="17F6508E">
            <w:pPr>
              <w:pBdr/>
              <w:spacing w:after="0" w:before="0" w:line="240"/>
              <w:ind/>
              <w:rPr>
                <w:color w:val="000000" w:themeColor="text1"/>
              </w:rPr>
            </w:pPr>
            <w:r>
              <w:rPr>
                <w:rFonts w:ascii="Arial" w:hAnsi="Arial" w:eastAsia="Arial" w:cs="Arial"/>
                <w:color w:val="000000" w:themeColor="text1"/>
                <w:sz w:val="21"/>
              </w:rPr>
              <w:t xml:space="preserve">ECE</w:t>
            </w:r>
            <w:r>
              <w:rPr>
                <w:color w:val="000000" w:themeColor="text1"/>
              </w:rPr>
            </w:r>
          </w:p>
        </w:tc>
        <w:tc>
          <w:tcPr>
            <w:tcBorders/>
            <w:tcW w:w="5621" w:type="dxa"/>
            <w:textDirection w:val="lrTb"/>
            <w:noWrap w:val="false"/>
          </w:tcPr>
          <w:p w14:paraId="40FCB57F">
            <w:pPr>
              <w:pBdr/>
              <w:spacing w:after="0" w:before="0" w:line="240"/>
              <w:ind/>
              <w:rPr>
                <w:color w:val="000000" w:themeColor="text1"/>
              </w:rPr>
            </w:pPr>
            <w:r>
              <w:rPr>
                <w:rFonts w:ascii="Arial" w:hAnsi="Arial" w:eastAsia="Arial" w:cs="Arial"/>
                <w:color w:val="000000" w:themeColor="text1"/>
                <w:sz w:val="21"/>
              </w:rPr>
              <w:t xml:space="preserve">Expected calibration error for probability-confidence alignment</w:t>
            </w:r>
            <w:r>
              <w:rPr>
                <w:color w:val="000000" w:themeColor="text1"/>
              </w:rPr>
            </w:r>
          </w:p>
        </w:tc>
      </w:tr>
    </w:tbl>
    <w:p w14:paraId="4113A3D2">
      <w:pPr>
        <w:pStyle w:val="76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24B4204A">
      <w:pPr>
        <w:pStyle w:val="760"/>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2.2 Scoping Review Design</w:t>
      </w:r>
      <w:r/>
    </w:p>
    <w:p w14:paraId="16EA44E6">
      <w:pPr>
        <w:pStyle w:val="760"/>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2.2.1 Review Objective</w:t>
      </w:r>
      <w:r/>
    </w:p>
    <w:p w14:paraId="3C69D71C">
      <w:pPr>
        <w:pStyle w:val="760"/>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This chapter follows a structured scoping-review approach rather than a strict systematic-review protocol. The objective is methodological coverage and decision support for thesis design, not exhaustive bibliometric counting. Sources were selected to cover:</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030F7C69">
      <w:pPr>
        <w:pStyle w:val="760"/>
        <w:numPr>
          <w:ilvl w:val="0"/>
          <w:numId w:val="23"/>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foundational MedVQA datasets and methods,</w:t>
      </w:r>
      <w:r/>
    </w:p>
    <w:p w14:paraId="49DEFB82">
      <w:pPr>
        <w:pStyle w:val="760"/>
        <w:numPr>
          <w:ilvl w:val="0"/>
          <w:numId w:val="23"/>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modern multimodal large model directions,</w:t>
      </w:r>
      <w:r/>
    </w:p>
    <w:p w14:paraId="00BEE294">
      <w:pPr>
        <w:pStyle w:val="760"/>
        <w:numPr>
          <w:ilvl w:val="0"/>
          <w:numId w:val="23"/>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GI-specific benchmark and challenge resources,</w:t>
      </w:r>
      <w:r/>
    </w:p>
    <w:p w14:paraId="0F144D8C">
      <w:pPr>
        <w:pStyle w:val="760"/>
        <w:numPr>
          <w:ilvl w:val="0"/>
          <w:numId w:val="23"/>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explainability and retrieval-grounding directions,</w:t>
      </w:r>
      <w:r/>
    </w:p>
    <w:p w14:paraId="6375AAD9">
      <w:pPr>
        <w:pStyle w:val="760"/>
        <w:numPr>
          <w:ilvl w:val="0"/>
          <w:numId w:val="23"/>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and evaluation methodology relevant to clinical deployment.</w:t>
      </w:r>
      <w:r>
        <w:rPr>
          <w:rFonts w:ascii="Arial" w:hAnsi="Arial" w:eastAsia="Arial" w:cs="Arial"/>
          <w:b w:val="0"/>
          <w:bCs w:val="0"/>
          <w:i w:val="0"/>
          <w:iCs w:val="0"/>
          <w:caps w:val="0"/>
          <w:smallCaps w:val="0"/>
          <w:color w:val="000000" w:themeColor="text1" w:themeTint="FF" w:themeShade="FF"/>
          <w:sz w:val="22"/>
          <w:szCs w:val="22"/>
          <w:highlight w:val="none"/>
        </w:rPr>
      </w:r>
    </w:p>
    <w:p w14:paraId="52B8BD77">
      <w:pPr>
        <w:pStyle w:val="760"/>
        <w:suppressLineNumbers w:val="false"/>
        <w:pBdr/>
        <w:spacing w:after="240" w:afterAutospacing="0" w:before="240" w:beforeAutospacing="0" w:line="240" w:lineRule="auto"/>
        <w:ind w:firstLine="0" w:left="72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iCs w:val="0"/>
          <w:caps w:val="0"/>
          <w:smallCaps w:val="0"/>
          <w:color w:val="000000" w:themeColor="text1" w:themeTint="FF" w:themeShade="FF"/>
          <w:sz w:val="22"/>
          <w:szCs w:val="22"/>
          <w:highlight w:val="none"/>
          <w:lang w:val="en-CA"/>
        </w:rPr>
      </w:r>
    </w:p>
    <w:p w14:paraId="4998894B">
      <w:pPr>
        <w:pStyle w:val="760"/>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2.2.2 Search Window and Source Types</w:t>
      </w:r>
      <w:r/>
    </w:p>
    <w:p w14:paraId="13F34072">
      <w:pPr>
        <w:pStyle w:val="760"/>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The search window for this chapter is 2018 to February 11, 2026.</w:t>
      </w:r>
      <w:r/>
    </w:p>
    <w:p w14:paraId="18376084">
      <w:pPr>
        <w:pStyle w:val="760"/>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5DEE3FAC">
      <w:pPr>
        <w:pStyle w:val="760"/>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Primary source types:</w:t>
      </w:r>
      <w:r/>
      <w:r>
        <w:rPr>
          <w:rFonts w:ascii="Arial" w:hAnsi="Arial" w:eastAsia="Arial" w:cs="Arial"/>
          <w:b w:val="0"/>
          <w:bCs w:val="0"/>
          <w:i w:val="0"/>
          <w:iCs w:val="0"/>
          <w:caps w:val="0"/>
          <w:smallCaps w:val="0"/>
          <w:color w:val="000000" w:themeColor="text1" w:themeTint="FF" w:themeShade="FF"/>
          <w:sz w:val="22"/>
          <w:szCs w:val="22"/>
          <w:highlight w:val="none"/>
          <w:lang w:val="en-CA"/>
        </w:rPr>
      </w:r>
      <w:r/>
      <w:r>
        <w:rPr>
          <w:rFonts w:ascii="Arial" w:hAnsi="Arial" w:eastAsia="Arial" w:cs="Arial"/>
          <w:b w:val="0"/>
          <w:bCs w:val="0"/>
          <w:i w:val="0"/>
          <w:iCs w:val="0"/>
          <w:caps w:val="0"/>
          <w:smallCaps w:val="0"/>
          <w:color w:val="000000" w:themeColor="text1" w:themeTint="FF" w:themeShade="FF"/>
          <w:sz w:val="22"/>
          <w:szCs w:val="22"/>
          <w:highlight w:val="none"/>
          <w:lang w:val="en-CA"/>
        </w:rPr>
      </w:r>
    </w:p>
    <w:p w14:paraId="37244BA8">
      <w:pPr>
        <w:pStyle w:val="760"/>
        <w:numPr>
          <w:ilvl w:val="0"/>
          <w:numId w:val="24"/>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peer-reviewed papers and data descriptors,</w:t>
      </w:r>
      <w:r/>
    </w:p>
    <w:p w14:paraId="40FAC792">
      <w:pPr>
        <w:pStyle w:val="760"/>
        <w:numPr>
          <w:ilvl w:val="0"/>
          <w:numId w:val="24"/>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official benchmark/challenge pages,</w:t>
      </w:r>
      <w:r/>
    </w:p>
    <w:p w14:paraId="79529B1D">
      <w:pPr>
        <w:pStyle w:val="760"/>
        <w:numPr>
          <w:ilvl w:val="0"/>
          <w:numId w:val="24"/>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official challenge overview papers and proceedings,</w:t>
      </w:r>
      <w:r/>
    </w:p>
    <w:p w14:paraId="653A76B9">
      <w:pPr>
        <w:pStyle w:val="760"/>
        <w:numPr>
          <w:ilvl w:val="0"/>
          <w:numId w:val="24"/>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and influential preprints where they define active benchmark directions.</w:t>
      </w:r>
      <w:r/>
    </w:p>
    <w:p w14:paraId="616E9D37">
      <w:pPr>
        <w:pStyle w:val="760"/>
        <w:suppressLineNumbers w:val="false"/>
        <w:pBdr/>
        <w:spacing w:after="240" w:afterAutospacing="0" w:before="240" w:beforeAutospacing="0" w:line="240" w:lineRule="auto"/>
        <w:ind w:firstLine="0" w:left="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iCs w:val="0"/>
          <w:caps w:val="0"/>
          <w:smallCaps w:val="0"/>
          <w:color w:val="000000" w:themeColor="text1" w:themeTint="FF" w:themeShade="FF"/>
          <w:sz w:val="22"/>
          <w:szCs w:val="22"/>
          <w:highlight w:val="none"/>
          <w:lang w:val="en-CA"/>
        </w:rPr>
      </w:r>
    </w:p>
    <w:p w14:paraId="051C9532">
      <w:pPr>
        <w:pStyle w:val="760"/>
        <w:suppressLineNumbers w:val="false"/>
        <w:pBdr/>
        <w:spacing w:after="240" w:afterAutospacing="0" w:before="240" w:beforeAutospacing="0" w:line="240" w:lineRule="auto"/>
        <w:ind w:firstLine="0" w:left="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Databases and discovery channels used in this scoping pass:</w:t>
      </w:r>
      <w:r/>
      <w:r>
        <w:rPr>
          <w:rFonts w:ascii="Arial" w:hAnsi="Arial" w:eastAsia="Arial" w:cs="Arial"/>
          <w:b w:val="0"/>
          <w:bCs w:val="0"/>
          <w:i w:val="0"/>
          <w:iCs w:val="0"/>
          <w:caps w:val="0"/>
          <w:smallCaps w:val="0"/>
          <w:color w:val="000000" w:themeColor="text1" w:themeTint="FF" w:themeShade="FF"/>
          <w:sz w:val="22"/>
          <w:szCs w:val="22"/>
          <w:highlight w:val="none"/>
          <w:lang w:val="en-CA"/>
        </w:rPr>
      </w:r>
      <w:r/>
      <w:r>
        <w:rPr>
          <w:rFonts w:ascii="Arial" w:hAnsi="Arial" w:eastAsia="Arial" w:cs="Arial"/>
          <w:b w:val="0"/>
          <w:bCs w:val="0"/>
          <w:i w:val="0"/>
          <w:iCs w:val="0"/>
          <w:caps w:val="0"/>
          <w:smallCaps w:val="0"/>
          <w:color w:val="000000" w:themeColor="text1" w:themeTint="FF" w:themeShade="FF"/>
          <w:sz w:val="22"/>
          <w:szCs w:val="22"/>
          <w:highlight w:val="none"/>
          <w:lang w:val="en-CA"/>
        </w:rPr>
      </w:r>
    </w:p>
    <w:p w14:paraId="558F5841">
      <w:pPr>
        <w:pStyle w:val="760"/>
        <w:numPr>
          <w:ilvl w:val="0"/>
          <w:numId w:val="25"/>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PubMed / MEDLINE</w:t>
      </w:r>
      <w:r/>
    </w:p>
    <w:p w14:paraId="2B9F481C">
      <w:pPr>
        <w:pStyle w:val="760"/>
        <w:numPr>
          <w:ilvl w:val="0"/>
          <w:numId w:val="25"/>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IEEE Xplore</w:t>
      </w:r>
      <w:r/>
    </w:p>
    <w:p w14:paraId="1D9624C7">
      <w:pPr>
        <w:pStyle w:val="760"/>
        <w:numPr>
          <w:ilvl w:val="0"/>
          <w:numId w:val="25"/>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ACL Anthology</w:t>
      </w:r>
      <w:r/>
    </w:p>
    <w:p w14:paraId="6E39AF3D">
      <w:pPr>
        <w:pStyle w:val="760"/>
        <w:numPr>
          <w:ilvl w:val="0"/>
          <w:numId w:val="25"/>
        </w:numPr>
        <w:suppressLineNumbers w:val="false"/>
        <w:pBdr/>
        <w:spacing w:after="240" w:afterAutospacing="0" w:before="240" w:beforeAutospacing="0" w:line="24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arXiv</w:t>
      </w:r>
      <w:r/>
    </w:p>
    <w:p w14:paraId="26498E32">
      <w:pPr>
        <w:pStyle w:val="760"/>
        <w:numPr>
          <w:ilvl w:val="0"/>
          <w:numId w:val="25"/>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challenge portals (ImageCLEF, MediaEval) and official dataset repositories</w:t>
      </w: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iCs w:val="0"/>
          <w:caps w:val="0"/>
          <w:smallCaps w:val="0"/>
          <w:color w:val="000000" w:themeColor="text1" w:themeTint="FF" w:themeShade="FF"/>
          <w:sz w:val="22"/>
          <w:szCs w:val="22"/>
        </w:rPr>
      </w:r>
      <w:r>
        <w:rPr>
          <w:rFonts w:ascii="Arial" w:hAnsi="Arial" w:eastAsia="Arial" w:cs="Arial"/>
          <w:b w:val="0"/>
          <w:bCs w:val="0"/>
          <w:i w:val="0"/>
          <w:iCs w:val="0"/>
          <w:caps w:val="0"/>
          <w:smallCaps w:val="0"/>
          <w:color w:val="000000" w:themeColor="text1" w:themeTint="FF" w:themeShade="FF"/>
          <w:sz w:val="22"/>
          <w:szCs w:val="22"/>
        </w:rPr>
      </w:r>
      <w:r>
        <w:rPr>
          <w:rFonts w:ascii="Arial" w:hAnsi="Arial" w:eastAsia="Arial" w:cs="Arial"/>
          <w:b w:val="0"/>
          <w:bCs w:val="0"/>
          <w:i w:val="0"/>
          <w:iCs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314FCA1">
      <w:pPr>
        <w:pStyle w:val="77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2.2.3 Query Themes</w:t>
      </w:r>
      <w:r/>
    </w:p>
    <w:p w14:paraId="7631C8A7" w14:textId="1A5CDD32">
      <w:pPr>
        <w:pStyle w:val="774"/>
        <w:suppressLineNumbers w:val="false"/>
        <w:pBdr/>
        <w:spacing w:after="240" w:afterAutospacing="0" w:before="240" w:beforeAutospacing="0" w:line="300" w:lineRule="auto"/>
        <w:ind w:firstLine="0"/>
        <w:rPr>
          <w:rFonts w:ascii="Arial" w:hAnsi="Arial" w:eastAsia="Arial" w:cs="Arial"/>
          <w:b w:val="0"/>
          <w:bCs w:val="0"/>
          <w:i w:val="0"/>
          <w:iCs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lang w:val="en-CA"/>
        </w:rPr>
        <w:t xml:space="preserve">Table 2.2. Query Themes Used for the Scoping Review</w:t>
      </w:r>
      <w:r/>
      <w:r>
        <w:rPr>
          <w:rFonts w:ascii="Arial" w:hAnsi="Arial" w:eastAsia="Arial" w:cs="Arial"/>
          <w:b w:val="0"/>
          <w:bCs w:val="0"/>
          <w:i w:val="0"/>
          <w:iCs w:val="0"/>
          <w:caps w:val="0"/>
          <w:smallCaps w:val="0"/>
          <w:color w:val="000000" w:themeColor="text1" w:themeTint="FF" w:themeShade="FF"/>
          <w:sz w:val="22"/>
          <w:szCs w:val="22"/>
          <w:lang w:val="en-CA"/>
        </w:rPr>
      </w:r>
      <w:r>
        <w:rPr>
          <w:rFonts w:ascii="Arial" w:hAnsi="Arial" w:eastAsia="Arial" w:cs="Arial"/>
          <w:b w:val="0"/>
          <w:bCs w:val="0"/>
          <w:i w:val="0"/>
          <w:iCs w:val="0"/>
          <w:caps w:val="0"/>
          <w:smallCaps w:val="0"/>
          <w:color w:val="000000" w:themeColor="text1" w:themeTint="FF" w:themeShade="FF"/>
          <w:sz w:val="22"/>
          <w:szCs w:val="22"/>
        </w:rPr>
      </w:r>
    </w:p>
    <w:tbl>
      <w:tblPr>
        <w:tblStyle w:val="831"/>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7A5FCF4">
            <w:pPr>
              <w:pBdr/>
              <w:spacing w:after="0" w:before="0" w:line="240"/>
              <w:ind/>
              <w:rPr>
                <w:color w:val="000000" w:themeColor="text1"/>
              </w:rPr>
            </w:pPr>
            <w:r>
              <w:rPr>
                <w:rFonts w:ascii="Arial" w:hAnsi="Arial" w:eastAsia="Arial" w:cs="Arial"/>
                <w:b/>
                <w:color w:val="000000" w:themeColor="text1"/>
                <w:sz w:val="21"/>
              </w:rPr>
              <w:t xml:space="preserve">Theme</w:t>
            </w:r>
            <w:r>
              <w:rPr>
                <w:color w:val="000000" w:themeColor="text1"/>
              </w:rPr>
            </w:r>
          </w:p>
        </w:tc>
        <w:tc>
          <w:tcPr>
            <w:tcBorders/>
            <w:tcW w:w="4320" w:type="dxa"/>
            <w:textDirection w:val="lrTb"/>
            <w:noWrap w:val="false"/>
          </w:tcPr>
          <w:p w14:paraId="2F4010FB">
            <w:pPr>
              <w:pBdr/>
              <w:spacing w:after="0" w:before="0" w:line="240"/>
              <w:ind/>
              <w:rPr>
                <w:color w:val="000000" w:themeColor="text1"/>
              </w:rPr>
            </w:pPr>
            <w:r>
              <w:rPr>
                <w:rFonts w:ascii="Arial" w:hAnsi="Arial" w:eastAsia="Arial" w:cs="Arial"/>
                <w:b/>
                <w:color w:val="000000" w:themeColor="text1"/>
                <w:sz w:val="21"/>
              </w:rPr>
              <w:t xml:space="preserve">Example queries</w:t>
            </w:r>
            <w:r>
              <w:rPr>
                <w:color w:val="000000" w:themeColor="text1"/>
              </w:rPr>
            </w:r>
          </w:p>
        </w:tc>
      </w:tr>
      <w:tr>
        <w:trPr/>
        <w:tc>
          <w:tcPr>
            <w:tcBorders/>
            <w:tcW w:w="4320" w:type="dxa"/>
            <w:textDirection w:val="lrTb"/>
            <w:noWrap w:val="false"/>
          </w:tcPr>
          <w:p w14:paraId="5FD63E52">
            <w:pPr>
              <w:pBdr/>
              <w:spacing w:after="0" w:before="0" w:line="240"/>
              <w:ind/>
              <w:rPr>
                <w:color w:val="000000" w:themeColor="text1"/>
              </w:rPr>
            </w:pPr>
            <w:r>
              <w:rPr>
                <w:rFonts w:ascii="Arial" w:hAnsi="Arial" w:eastAsia="Arial" w:cs="Arial"/>
                <w:color w:val="000000" w:themeColor="text1"/>
                <w:sz w:val="21"/>
              </w:rPr>
              <w:t xml:space="preserve">General MedVQA foundations</w:t>
            </w:r>
            <w:r>
              <w:rPr>
                <w:color w:val="000000" w:themeColor="text1"/>
              </w:rPr>
            </w:r>
          </w:p>
        </w:tc>
        <w:tc>
          <w:tcPr>
            <w:tcBorders/>
            <w:tcW w:w="4320" w:type="dxa"/>
            <w:textDirection w:val="lrTb"/>
            <w:noWrap w:val="false"/>
          </w:tcPr>
          <w:p w14:paraId="3B13C04C">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medical visual question answering dataset</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VQA-RAD</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PathVQA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SLAKE</w:t>
            </w:r>
            <w:r>
              <w:rPr>
                <w:color w:val="000000" w:themeColor="text1"/>
              </w:rPr>
            </w:r>
          </w:p>
        </w:tc>
      </w:tr>
      <w:tr>
        <w:trPr/>
        <w:tc>
          <w:tcPr>
            <w:tcBorders/>
            <w:tcW w:w="4320" w:type="dxa"/>
            <w:textDirection w:val="lrTb"/>
            <w:noWrap w:val="false"/>
          </w:tcPr>
          <w:p w14:paraId="193BBC95">
            <w:pPr>
              <w:pBdr/>
              <w:spacing w:after="0" w:before="0" w:line="240"/>
              <w:ind/>
              <w:rPr>
                <w:color w:val="000000" w:themeColor="text1"/>
              </w:rPr>
            </w:pPr>
            <w:r>
              <w:rPr>
                <w:rFonts w:ascii="Arial" w:hAnsi="Arial" w:eastAsia="Arial" w:cs="Arial"/>
                <w:color w:val="000000" w:themeColor="text1"/>
                <w:sz w:val="21"/>
              </w:rPr>
              <w:t xml:space="preserve">Modern model families</w:t>
            </w:r>
            <w:r>
              <w:rPr>
                <w:color w:val="000000" w:themeColor="text1"/>
              </w:rPr>
            </w:r>
          </w:p>
        </w:tc>
        <w:tc>
          <w:tcPr>
            <w:tcBorders/>
            <w:tcW w:w="4320" w:type="dxa"/>
            <w:textDirection w:val="lrTb"/>
            <w:noWrap w:val="false"/>
          </w:tcPr>
          <w:p w14:paraId="45192D6A">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LLaVA-Med</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Med-Flamingo</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BLIP-2 medical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medical LVLM benchmark</w:t>
            </w:r>
            <w:r>
              <w:rPr>
                <w:color w:val="000000" w:themeColor="text1"/>
              </w:rPr>
            </w:r>
          </w:p>
        </w:tc>
      </w:tr>
      <w:tr>
        <w:trPr/>
        <w:tc>
          <w:tcPr>
            <w:tcBorders/>
            <w:tcW w:w="4320" w:type="dxa"/>
            <w:textDirection w:val="lrTb"/>
            <w:noWrap w:val="false"/>
          </w:tcPr>
          <w:p w14:paraId="57416D4B">
            <w:pPr>
              <w:pBdr/>
              <w:spacing w:after="0" w:before="0" w:line="240"/>
              <w:ind/>
              <w:rPr>
                <w:color w:val="000000" w:themeColor="text1"/>
              </w:rPr>
            </w:pPr>
            <w:r>
              <w:rPr>
                <w:rFonts w:ascii="Arial" w:hAnsi="Arial" w:eastAsia="Arial" w:cs="Arial"/>
                <w:color w:val="000000" w:themeColor="text1"/>
                <w:sz w:val="21"/>
              </w:rPr>
              <w:t xml:space="preserve">GI-specific resources</w:t>
            </w:r>
            <w:r>
              <w:rPr>
                <w:color w:val="000000" w:themeColor="text1"/>
              </w:rPr>
            </w:r>
          </w:p>
        </w:tc>
        <w:tc>
          <w:tcPr>
            <w:tcBorders/>
            <w:tcW w:w="4320" w:type="dxa"/>
            <w:textDirection w:val="lrTb"/>
            <w:noWrap w:val="false"/>
          </w:tcPr>
          <w:p w14:paraId="20F4BF18">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Kvasir-VQA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Kvasir-VQA-x1</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ImageCLEF MEDVQA-GI</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MediaEval Medico 2025</w:t>
            </w:r>
            <w:r>
              <w:rPr>
                <w:color w:val="000000" w:themeColor="text1"/>
              </w:rPr>
            </w:r>
          </w:p>
        </w:tc>
      </w:tr>
      <w:tr>
        <w:trPr/>
        <w:tc>
          <w:tcPr>
            <w:tcBorders/>
            <w:tcW w:w="4320" w:type="dxa"/>
            <w:textDirection w:val="lrTb"/>
            <w:noWrap w:val="false"/>
          </w:tcPr>
          <w:p w14:paraId="1E6023FC">
            <w:pPr>
              <w:pBdr/>
              <w:spacing w:after="0" w:before="0" w:line="240"/>
              <w:ind/>
              <w:rPr>
                <w:color w:val="000000" w:themeColor="text1"/>
              </w:rPr>
            </w:pPr>
            <w:r>
              <w:rPr>
                <w:rFonts w:ascii="Arial" w:hAnsi="Arial" w:eastAsia="Arial" w:cs="Arial"/>
                <w:color w:val="000000" w:themeColor="text1"/>
                <w:sz w:val="21"/>
              </w:rPr>
              <w:t xml:space="preserve">Evaluation and reliability</w:t>
            </w:r>
            <w:r>
              <w:rPr>
                <w:color w:val="000000" w:themeColor="text1"/>
              </w:rPr>
            </w:r>
          </w:p>
        </w:tc>
        <w:tc>
          <w:tcPr>
            <w:tcBorders/>
            <w:tcW w:w="4320" w:type="dxa"/>
            <w:textDirection w:val="lrTb"/>
            <w:noWrap w:val="false"/>
          </w:tcPr>
          <w:p w14:paraId="27923B9A">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medical AI evaluation metrics</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MedVQA robustness</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hallucination medical VQA</w:t>
            </w:r>
            <w:r>
              <w:rPr>
                <w:color w:val="000000" w:themeColor="text1"/>
              </w:rPr>
            </w:r>
          </w:p>
        </w:tc>
      </w:tr>
      <w:tr>
        <w:trPr/>
        <w:tc>
          <w:tcPr>
            <w:tcBorders/>
            <w:tcW w:w="4320" w:type="dxa"/>
            <w:textDirection w:val="lrTb"/>
            <w:noWrap w:val="false"/>
          </w:tcPr>
          <w:p w14:paraId="377794AC">
            <w:pPr>
              <w:pBdr/>
              <w:spacing w:after="0" w:before="0" w:line="240"/>
              <w:ind/>
              <w:rPr>
                <w:color w:val="000000" w:themeColor="text1"/>
              </w:rPr>
            </w:pPr>
            <w:r>
              <w:rPr>
                <w:rFonts w:ascii="Arial" w:hAnsi="Arial" w:eastAsia="Arial" w:cs="Arial"/>
                <w:color w:val="000000" w:themeColor="text1"/>
                <w:sz w:val="21"/>
              </w:rPr>
              <w:t xml:space="preserve">Explainability and grounding</w:t>
            </w:r>
            <w:r>
              <w:rPr>
                <w:color w:val="000000" w:themeColor="text1"/>
              </w:rPr>
            </w:r>
          </w:p>
        </w:tc>
        <w:tc>
          <w:tcPr>
            <w:tcBorders/>
            <w:tcW w:w="4320" w:type="dxa"/>
            <w:textDirection w:val="lrTb"/>
            <w:noWrap w:val="false"/>
          </w:tcPr>
          <w:p w14:paraId="42856959">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explainable medical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multimodal explanation GI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retrieval-augmented medical VQA</w:t>
            </w:r>
            <w:r>
              <w:rPr>
                <w:color w:val="000000" w:themeColor="text1"/>
              </w:rPr>
            </w:r>
          </w:p>
        </w:tc>
      </w:tr>
    </w:tbl>
    <w:p w14:paraId="623200E4">
      <w:pPr>
        <w:pStyle w:val="77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2.2.4 Inclusion and Exclusion Logic</w:t>
      </w:r>
      <w:r/>
    </w:p>
    <w:p w14:paraId="08D5A552">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Table 2.3. Inclusion and Exclusion Criteria</w:t>
      </w:r>
      <w: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rPr>
      </w:r>
    </w:p>
    <w:tbl>
      <w:tblPr>
        <w:tblStyle w:val="831"/>
        <w:tblW w:w="0" w:type="auto"/>
        <w:tblBorders/>
        <w:tblLayout w:type="fixed"/>
        <w:tblLook w:val="04A0" w:firstRow="1" w:lastRow="0" w:firstColumn="1" w:lastColumn="0" w:noHBand="0" w:noVBand="1"/>
      </w:tblPr>
      <w:tblGrid>
        <w:gridCol w:w="1318"/>
        <w:gridCol w:w="7322"/>
      </w:tblGrid>
      <w:tr>
        <w:trPr/>
        <w:tc>
          <w:tcPr>
            <w:tcBorders/>
            <w:tcW w:w="1318" w:type="dxa"/>
            <w:textDirection w:val="lrTb"/>
            <w:noWrap w:val="false"/>
          </w:tcPr>
          <w:p w14:paraId="2C8829B7">
            <w:pPr>
              <w:pBdr/>
              <w:spacing w:after="0" w:before="0" w:line="240"/>
              <w:ind/>
              <w:rPr>
                <w:color w:val="000000" w:themeColor="text1"/>
              </w:rPr>
            </w:pPr>
            <w:r>
              <w:rPr>
                <w:rFonts w:ascii="Arial" w:hAnsi="Arial" w:eastAsia="Arial" w:cs="Arial"/>
                <w:b/>
                <w:color w:val="000000" w:themeColor="text1"/>
                <w:sz w:val="21"/>
              </w:rPr>
              <w:t xml:space="preserve">Type</w:t>
            </w:r>
            <w:r>
              <w:rPr>
                <w:color w:val="000000" w:themeColor="text1"/>
              </w:rPr>
            </w:r>
          </w:p>
        </w:tc>
        <w:tc>
          <w:tcPr>
            <w:tcBorders/>
            <w:tcW w:w="7322" w:type="dxa"/>
            <w:textDirection w:val="lrTb"/>
            <w:noWrap w:val="false"/>
          </w:tcPr>
          <w:p w14:paraId="6DECD36D">
            <w:pPr>
              <w:pBdr/>
              <w:spacing w:after="0" w:before="0" w:line="240"/>
              <w:ind/>
              <w:rPr>
                <w:color w:val="000000" w:themeColor="text1"/>
              </w:rPr>
            </w:pPr>
            <w:r>
              <w:rPr>
                <w:rFonts w:ascii="Arial" w:hAnsi="Arial" w:eastAsia="Arial" w:cs="Arial"/>
                <w:b/>
                <w:color w:val="000000" w:themeColor="text1"/>
                <w:sz w:val="21"/>
              </w:rPr>
              <w:t xml:space="preserve">Criteria</w:t>
            </w:r>
            <w:r>
              <w:rPr>
                <w:color w:val="000000" w:themeColor="text1"/>
              </w:rPr>
            </w:r>
          </w:p>
        </w:tc>
      </w:tr>
      <w:tr>
        <w:trPr/>
        <w:tc>
          <w:tcPr>
            <w:tcBorders/>
            <w:tcW w:w="1318" w:type="dxa"/>
            <w:textDirection w:val="lrTb"/>
            <w:noWrap w:val="false"/>
          </w:tcPr>
          <w:p w14:paraId="4169D288">
            <w:pPr>
              <w:pBdr/>
              <w:spacing w:after="0" w:before="0" w:line="240"/>
              <w:ind/>
              <w:rPr>
                <w:color w:val="000000" w:themeColor="text1"/>
              </w:rPr>
            </w:pPr>
            <w:r>
              <w:rPr>
                <w:rFonts w:ascii="Arial" w:hAnsi="Arial" w:eastAsia="Arial" w:cs="Arial"/>
                <w:color w:val="000000" w:themeColor="text1"/>
                <w:sz w:val="21"/>
              </w:rPr>
              <w:t xml:space="preserve">Inclusion</w:t>
            </w:r>
            <w:r>
              <w:rPr>
                <w:color w:val="000000" w:themeColor="text1"/>
              </w:rPr>
            </w:r>
          </w:p>
        </w:tc>
        <w:tc>
          <w:tcPr>
            <w:tcBorders/>
            <w:tcW w:w="7322" w:type="dxa"/>
            <w:textDirection w:val="lrTb"/>
            <w:noWrap w:val="false"/>
          </w:tcPr>
          <w:p w14:paraId="4242980D">
            <w:pPr>
              <w:pBdr/>
              <w:spacing w:after="0" w:before="0" w:line="240"/>
              <w:ind/>
              <w:rPr>
                <w:color w:val="000000" w:themeColor="text1"/>
              </w:rPr>
            </w:pPr>
            <w:r>
              <w:rPr>
                <w:rFonts w:ascii="Arial" w:hAnsi="Arial" w:eastAsia="Arial" w:cs="Arial"/>
                <w:color w:val="000000" w:themeColor="text1"/>
                <w:sz w:val="21"/>
              </w:rPr>
              <w:t xml:space="preserve">Primary technical work on MedVQA methods, datasets, benchmarks, or challenge design</w:t>
            </w:r>
            <w:r>
              <w:rPr>
                <w:color w:val="000000" w:themeColor="text1"/>
              </w:rPr>
            </w:r>
          </w:p>
        </w:tc>
      </w:tr>
      <w:tr>
        <w:trPr/>
        <w:tc>
          <w:tcPr>
            <w:tcBorders/>
            <w:tcW w:w="1318" w:type="dxa"/>
            <w:textDirection w:val="lrTb"/>
            <w:noWrap w:val="false"/>
          </w:tcPr>
          <w:p w14:paraId="305CED65">
            <w:pPr>
              <w:pBdr/>
              <w:spacing w:after="0" w:before="0" w:line="240"/>
              <w:ind/>
              <w:rPr>
                <w:color w:val="000000" w:themeColor="text1"/>
              </w:rPr>
            </w:pPr>
            <w:r>
              <w:rPr>
                <w:rFonts w:ascii="Arial" w:hAnsi="Arial" w:eastAsia="Arial" w:cs="Arial"/>
                <w:color w:val="000000" w:themeColor="text1"/>
                <w:sz w:val="21"/>
              </w:rPr>
              <w:t xml:space="preserve">Inclusion</w:t>
            </w:r>
            <w:r>
              <w:rPr>
                <w:color w:val="000000" w:themeColor="text1"/>
              </w:rPr>
            </w:r>
          </w:p>
        </w:tc>
        <w:tc>
          <w:tcPr>
            <w:tcBorders/>
            <w:tcW w:w="7322" w:type="dxa"/>
            <w:textDirection w:val="lrTb"/>
            <w:noWrap w:val="false"/>
          </w:tcPr>
          <w:p w14:paraId="19A6FB6D">
            <w:pPr>
              <w:pBdr/>
              <w:spacing w:after="0" w:before="0" w:line="240"/>
              <w:ind/>
              <w:rPr>
                <w:color w:val="000000" w:themeColor="text1"/>
              </w:rPr>
            </w:pPr>
            <w:r>
              <w:rPr>
                <w:rFonts w:ascii="Arial" w:hAnsi="Arial" w:eastAsia="Arial" w:cs="Arial"/>
                <w:color w:val="000000" w:themeColor="text1"/>
                <w:sz w:val="21"/>
              </w:rPr>
              <w:t xml:space="preserve">GI/endoscopy resources directly usable for colonoscopy-oriented VQA analysis</w:t>
            </w:r>
            <w:r>
              <w:rPr>
                <w:color w:val="000000" w:themeColor="text1"/>
              </w:rPr>
            </w:r>
          </w:p>
        </w:tc>
      </w:tr>
      <w:tr>
        <w:trPr/>
        <w:tc>
          <w:tcPr>
            <w:tcBorders/>
            <w:tcW w:w="1318" w:type="dxa"/>
            <w:textDirection w:val="lrTb"/>
            <w:noWrap w:val="false"/>
          </w:tcPr>
          <w:p w14:paraId="599E13A5">
            <w:pPr>
              <w:pBdr/>
              <w:spacing w:after="0" w:before="0" w:line="240"/>
              <w:ind/>
              <w:rPr>
                <w:color w:val="000000" w:themeColor="text1"/>
              </w:rPr>
            </w:pPr>
            <w:r>
              <w:rPr>
                <w:rFonts w:ascii="Arial" w:hAnsi="Arial" w:eastAsia="Arial" w:cs="Arial"/>
                <w:color w:val="000000" w:themeColor="text1"/>
                <w:sz w:val="21"/>
              </w:rPr>
              <w:t xml:space="preserve">Inclusion</w:t>
            </w:r>
            <w:r>
              <w:rPr>
                <w:color w:val="000000" w:themeColor="text1"/>
              </w:rPr>
            </w:r>
          </w:p>
        </w:tc>
        <w:tc>
          <w:tcPr>
            <w:tcBorders/>
            <w:tcW w:w="7322" w:type="dxa"/>
            <w:textDirection w:val="lrTb"/>
            <w:noWrap w:val="false"/>
          </w:tcPr>
          <w:p w14:paraId="1456B999">
            <w:pPr>
              <w:pBdr/>
              <w:spacing w:after="0" w:before="0" w:line="240"/>
              <w:ind/>
              <w:rPr>
                <w:color w:val="000000" w:themeColor="text1"/>
              </w:rPr>
            </w:pPr>
            <w:r>
              <w:rPr>
                <w:rFonts w:ascii="Arial" w:hAnsi="Arial" w:eastAsia="Arial" w:cs="Arial"/>
                <w:color w:val="000000" w:themeColor="text1"/>
                <w:sz w:val="21"/>
              </w:rPr>
              <w:t xml:space="preserve">Official benchmark/task pages and official challenge overview papers</w:t>
            </w:r>
            <w:r>
              <w:rPr>
                <w:color w:val="000000" w:themeColor="text1"/>
              </w:rPr>
            </w:r>
          </w:p>
        </w:tc>
      </w:tr>
      <w:tr>
        <w:trPr/>
        <w:tc>
          <w:tcPr>
            <w:tcBorders/>
            <w:tcW w:w="1318" w:type="dxa"/>
            <w:textDirection w:val="lrTb"/>
            <w:noWrap w:val="false"/>
          </w:tcPr>
          <w:p w14:paraId="11DF7533">
            <w:pPr>
              <w:pBdr/>
              <w:spacing w:after="0" w:before="0" w:line="240"/>
              <w:ind/>
              <w:rPr>
                <w:color w:val="000000" w:themeColor="text1"/>
              </w:rPr>
            </w:pPr>
            <w:r>
              <w:rPr>
                <w:rFonts w:ascii="Arial" w:hAnsi="Arial" w:eastAsia="Arial" w:cs="Arial"/>
                <w:color w:val="000000" w:themeColor="text1"/>
                <w:sz w:val="21"/>
              </w:rPr>
              <w:t xml:space="preserve">Inclusion</w:t>
            </w:r>
            <w:r>
              <w:rPr>
                <w:color w:val="000000" w:themeColor="text1"/>
              </w:rPr>
            </w:r>
          </w:p>
        </w:tc>
        <w:tc>
          <w:tcPr>
            <w:tcBorders/>
            <w:tcW w:w="7322" w:type="dxa"/>
            <w:textDirection w:val="lrTb"/>
            <w:noWrap w:val="false"/>
          </w:tcPr>
          <w:p w14:paraId="210CD89C">
            <w:pPr>
              <w:pBdr/>
              <w:spacing w:after="0" w:before="0" w:line="240"/>
              <w:ind/>
              <w:rPr>
                <w:color w:val="000000" w:themeColor="text1"/>
              </w:rPr>
            </w:pPr>
            <w:r>
              <w:rPr>
                <w:rFonts w:ascii="Arial" w:hAnsi="Arial" w:eastAsia="Arial" w:cs="Arial"/>
                <w:color w:val="000000" w:themeColor="text1"/>
                <w:sz w:val="21"/>
              </w:rPr>
              <w:t xml:space="preserve">Recent preprints with direct methodological or benchmark impact (explicitly marked as preprint where relevant)</w:t>
            </w:r>
            <w:r>
              <w:rPr>
                <w:color w:val="000000" w:themeColor="text1"/>
              </w:rPr>
            </w:r>
          </w:p>
        </w:tc>
      </w:tr>
      <w:tr>
        <w:trPr/>
        <w:tc>
          <w:tcPr>
            <w:tcBorders/>
            <w:tcW w:w="1318" w:type="dxa"/>
            <w:textDirection w:val="lrTb"/>
            <w:noWrap w:val="false"/>
          </w:tcPr>
          <w:p w14:paraId="26189738">
            <w:pPr>
              <w:pBdr/>
              <w:spacing w:after="0" w:before="0" w:line="240"/>
              <w:ind/>
              <w:rPr>
                <w:color w:val="000000" w:themeColor="text1"/>
              </w:rPr>
            </w:pPr>
            <w:r>
              <w:rPr>
                <w:rFonts w:ascii="Arial" w:hAnsi="Arial" w:eastAsia="Arial" w:cs="Arial"/>
                <w:color w:val="000000" w:themeColor="text1"/>
                <w:sz w:val="21"/>
              </w:rPr>
              <w:t xml:space="preserve">Exclusion</w:t>
            </w:r>
            <w:r>
              <w:rPr>
                <w:color w:val="000000" w:themeColor="text1"/>
              </w:rPr>
            </w:r>
          </w:p>
        </w:tc>
        <w:tc>
          <w:tcPr>
            <w:tcBorders/>
            <w:tcW w:w="7322" w:type="dxa"/>
            <w:textDirection w:val="lrTb"/>
            <w:noWrap w:val="false"/>
          </w:tcPr>
          <w:p w14:paraId="11171DF7">
            <w:pPr>
              <w:pBdr/>
              <w:spacing w:after="0" w:before="0" w:line="240"/>
              <w:ind/>
              <w:rPr>
                <w:color w:val="000000" w:themeColor="text1"/>
              </w:rPr>
            </w:pPr>
            <w:r>
              <w:rPr>
                <w:rFonts w:ascii="Arial" w:hAnsi="Arial" w:eastAsia="Arial" w:cs="Arial"/>
                <w:color w:val="000000" w:themeColor="text1"/>
                <w:sz w:val="21"/>
              </w:rPr>
              <w:t xml:space="preserve">Opinion pieces without technical evidence</w:t>
            </w:r>
            <w:r>
              <w:rPr>
                <w:color w:val="000000" w:themeColor="text1"/>
              </w:rPr>
            </w:r>
          </w:p>
        </w:tc>
      </w:tr>
      <w:tr>
        <w:trPr/>
        <w:tc>
          <w:tcPr>
            <w:tcBorders/>
            <w:tcW w:w="1318" w:type="dxa"/>
            <w:textDirection w:val="lrTb"/>
            <w:noWrap w:val="false"/>
          </w:tcPr>
          <w:p w14:paraId="3DE57DB6">
            <w:pPr>
              <w:pBdr/>
              <w:spacing w:after="0" w:before="0" w:line="240"/>
              <w:ind/>
              <w:rPr>
                <w:color w:val="000000" w:themeColor="text1"/>
              </w:rPr>
            </w:pPr>
            <w:r>
              <w:rPr>
                <w:rFonts w:ascii="Arial" w:hAnsi="Arial" w:eastAsia="Arial" w:cs="Arial"/>
                <w:color w:val="000000" w:themeColor="text1"/>
                <w:sz w:val="21"/>
              </w:rPr>
              <w:t xml:space="preserve">Exclusion</w:t>
            </w:r>
            <w:r>
              <w:rPr>
                <w:color w:val="000000" w:themeColor="text1"/>
              </w:rPr>
            </w:r>
          </w:p>
        </w:tc>
        <w:tc>
          <w:tcPr>
            <w:tcBorders/>
            <w:tcW w:w="7322" w:type="dxa"/>
            <w:textDirection w:val="lrTb"/>
            <w:noWrap w:val="false"/>
          </w:tcPr>
          <w:p w14:paraId="656DB349">
            <w:pPr>
              <w:pBdr/>
              <w:spacing w:after="0" w:before="0" w:line="240"/>
              <w:ind/>
              <w:rPr>
                <w:color w:val="000000" w:themeColor="text1"/>
              </w:rPr>
            </w:pPr>
            <w:r>
              <w:rPr>
                <w:rFonts w:ascii="Arial" w:hAnsi="Arial" w:eastAsia="Arial" w:cs="Arial"/>
                <w:color w:val="000000" w:themeColor="text1"/>
                <w:sz w:val="21"/>
              </w:rPr>
              <w:t xml:space="preserve">Sources with no direct relation to visual-question answering in medicine</w:t>
            </w:r>
            <w:r>
              <w:rPr>
                <w:color w:val="000000" w:themeColor="text1"/>
              </w:rPr>
            </w:r>
          </w:p>
        </w:tc>
      </w:tr>
      <w:tr>
        <w:trPr/>
        <w:tc>
          <w:tcPr>
            <w:tcBorders/>
            <w:tcW w:w="1318" w:type="dxa"/>
            <w:textDirection w:val="lrTb"/>
            <w:noWrap w:val="false"/>
          </w:tcPr>
          <w:p w14:paraId="1516D1A1">
            <w:pPr>
              <w:pBdr/>
              <w:spacing w:after="0" w:before="0" w:line="240"/>
              <w:ind/>
              <w:rPr>
                <w:color w:val="000000" w:themeColor="text1"/>
              </w:rPr>
            </w:pPr>
            <w:r>
              <w:rPr>
                <w:rFonts w:ascii="Arial" w:hAnsi="Arial" w:eastAsia="Arial" w:cs="Arial"/>
                <w:color w:val="000000" w:themeColor="text1"/>
                <w:sz w:val="21"/>
              </w:rPr>
              <w:t xml:space="preserve">Exclusion</w:t>
            </w:r>
            <w:r>
              <w:rPr>
                <w:color w:val="000000" w:themeColor="text1"/>
              </w:rPr>
            </w:r>
          </w:p>
        </w:tc>
        <w:tc>
          <w:tcPr>
            <w:tcBorders/>
            <w:tcW w:w="7322" w:type="dxa"/>
            <w:textDirection w:val="lrTb"/>
            <w:noWrap w:val="false"/>
          </w:tcPr>
          <w:p w14:paraId="38E453C0">
            <w:pPr>
              <w:pBdr/>
              <w:spacing w:after="0" w:before="0" w:line="240"/>
              <w:ind/>
              <w:rPr>
                <w:color w:val="000000" w:themeColor="text1"/>
              </w:rPr>
            </w:pPr>
            <w:r>
              <w:rPr>
                <w:rFonts w:ascii="Arial" w:hAnsi="Arial" w:eastAsia="Arial" w:cs="Arial"/>
                <w:color w:val="000000" w:themeColor="text1"/>
                <w:sz w:val="21"/>
              </w:rPr>
              <w:t xml:space="preserve">Tertiary summaries when primary sources were available</w:t>
            </w:r>
            <w:r>
              <w:rPr>
                <w:color w:val="000000" w:themeColor="text1"/>
              </w:rPr>
            </w:r>
          </w:p>
        </w:tc>
      </w:tr>
    </w:tbl>
    <w:p w14:paraId="614F5128">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75B92D0">
      <w:pPr>
        <w:pStyle w:val="77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2.2.5 Core Study Pool</w:t>
      </w:r>
      <w:r/>
    </w:p>
    <w:p w14:paraId="0F74F062">
      <w:pPr>
        <w:pStyle w:val="77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The final chapter synthesis uses a curated pool of foundational and recent sources across datasets, models, evaluation, and challenge design. The resulting pool is intentionally broad enough to cover the field trajectory and narrow enough to remain actionab</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le for thesis methodology.</w:t>
      </w:r>
      <w:r/>
      <w:r>
        <w:rPr>
          <w:rFonts w:ascii="Arial" w:hAnsi="Arial" w:eastAsia="Arial" w:cs="Arial"/>
          <w:b w:val="0"/>
          <w:bCs w:val="0"/>
          <w:i w:val="0"/>
          <w:iCs w:val="0"/>
          <w:caps w:val="0"/>
          <w:smallCaps w:val="0"/>
          <w:color w:val="000000" w:themeColor="text1" w:themeTint="FF" w:themeShade="FF"/>
          <w:sz w:val="22"/>
          <w:szCs w:val="22"/>
          <w:highlight w:val="none"/>
          <w:lang w:val="en-CA"/>
        </w:rPr>
      </w:r>
      <w:r/>
      <w:r>
        <w:rPr>
          <w:rFonts w:ascii="Arial" w:hAnsi="Arial" w:eastAsia="Arial" w:cs="Arial"/>
          <w:b w:val="0"/>
          <w:bCs w:val="0"/>
          <w:i w:val="0"/>
          <w:iCs w:val="0"/>
          <w:caps w:val="0"/>
          <w:smallCaps w:val="0"/>
          <w:color w:val="000000" w:themeColor="text1" w:themeTint="FF" w:themeShade="FF"/>
          <w:sz w:val="22"/>
          <w:szCs w:val="22"/>
          <w:highlight w:val="none"/>
          <w:lang w:val="en-CA"/>
        </w:rPr>
      </w:r>
    </w:p>
    <w:p w14:paraId="77B5C4FB">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For transparency, this chapter includes a PRISMA-ScR-style accounting reconstructed from the drafting log used for source triage.</w:t>
      </w:r>
      <w: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5FC3A91E">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tbl>
      <w:tblPr>
        <w:tblStyle w:val="831"/>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662EFD89">
            <w:pPr>
              <w:pBdr/>
              <w:spacing w:after="0" w:before="0" w:line="240"/>
              <w:ind/>
              <w:rPr>
                <w:color w:val="000000" w:themeColor="text1"/>
              </w:rPr>
            </w:pPr>
            <w:r>
              <w:rPr>
                <w:rFonts w:ascii="Arial" w:hAnsi="Arial" w:eastAsia="Arial" w:cs="Arial"/>
                <w:b/>
                <w:color w:val="000000" w:themeColor="text1"/>
                <w:sz w:val="21"/>
              </w:rPr>
              <w:t xml:space="preserve">Stage</w:t>
            </w:r>
            <w:r>
              <w:rPr>
                <w:color w:val="000000" w:themeColor="text1"/>
              </w:rPr>
            </w:r>
          </w:p>
        </w:tc>
        <w:tc>
          <w:tcPr>
            <w:tcBorders/>
            <w:tcW w:w="4320" w:type="dxa"/>
            <w:textDirection w:val="lrTb"/>
            <w:noWrap w:val="false"/>
          </w:tcPr>
          <w:p w14:paraId="17A030B8">
            <w:pPr>
              <w:pBdr/>
              <w:spacing w:after="0" w:before="0" w:line="240"/>
              <w:ind/>
              <w:jc w:val="right"/>
              <w:rPr>
                <w:color w:val="000000" w:themeColor="text1"/>
              </w:rPr>
            </w:pPr>
            <w:r>
              <w:rPr>
                <w:rFonts w:ascii="Arial" w:hAnsi="Arial" w:eastAsia="Arial" w:cs="Arial"/>
                <w:b/>
                <w:color w:val="000000" w:themeColor="text1"/>
                <w:sz w:val="21"/>
              </w:rPr>
              <w:t xml:space="preserve">Count</w:t>
            </w:r>
            <w:r>
              <w:rPr>
                <w:color w:val="000000" w:themeColor="text1"/>
              </w:rPr>
            </w:r>
          </w:p>
        </w:tc>
      </w:tr>
      <w:tr>
        <w:trPr/>
        <w:tc>
          <w:tcPr>
            <w:tcBorders/>
            <w:tcW w:w="4320" w:type="dxa"/>
            <w:textDirection w:val="lrTb"/>
            <w:noWrap w:val="false"/>
          </w:tcPr>
          <w:p w14:paraId="5E2D568D">
            <w:pPr>
              <w:pBdr/>
              <w:spacing w:after="0" w:before="0" w:line="240"/>
              <w:ind/>
              <w:rPr>
                <w:color w:val="000000" w:themeColor="text1"/>
              </w:rPr>
            </w:pPr>
            <w:r>
              <w:rPr>
                <w:rFonts w:ascii="Arial" w:hAnsi="Arial" w:eastAsia="Arial" w:cs="Arial"/>
                <w:color w:val="000000" w:themeColor="text1"/>
                <w:sz w:val="21"/>
              </w:rPr>
              <w:t xml:space="preserve">Records identified across sources</w:t>
            </w:r>
            <w:r>
              <w:rPr>
                <w:color w:val="000000" w:themeColor="text1"/>
              </w:rPr>
            </w:r>
          </w:p>
        </w:tc>
        <w:tc>
          <w:tcPr>
            <w:tcBorders/>
            <w:tcW w:w="4320" w:type="dxa"/>
            <w:textDirection w:val="lrTb"/>
            <w:noWrap w:val="false"/>
          </w:tcPr>
          <w:p w14:paraId="6429700C">
            <w:pPr>
              <w:pBdr/>
              <w:spacing w:after="0" w:before="0" w:line="240"/>
              <w:ind/>
              <w:jc w:val="right"/>
              <w:rPr>
                <w:color w:val="000000" w:themeColor="text1"/>
              </w:rPr>
            </w:pPr>
            <w:r>
              <w:rPr>
                <w:rFonts w:ascii="Arial" w:hAnsi="Arial" w:eastAsia="Arial" w:cs="Arial"/>
                <w:color w:val="000000" w:themeColor="text1"/>
                <w:sz w:val="21"/>
              </w:rPr>
              <w:t xml:space="preserve">236</w:t>
            </w:r>
            <w:r>
              <w:rPr>
                <w:color w:val="000000" w:themeColor="text1"/>
              </w:rPr>
            </w:r>
          </w:p>
        </w:tc>
      </w:tr>
      <w:tr>
        <w:trPr/>
        <w:tc>
          <w:tcPr>
            <w:tcBorders/>
            <w:tcW w:w="4320" w:type="dxa"/>
            <w:textDirection w:val="lrTb"/>
            <w:noWrap w:val="false"/>
          </w:tcPr>
          <w:p w14:paraId="25D0B0BB">
            <w:pPr>
              <w:pBdr/>
              <w:spacing w:after="0" w:before="0" w:line="240"/>
              <w:ind/>
              <w:rPr>
                <w:color w:val="000000" w:themeColor="text1"/>
              </w:rPr>
            </w:pPr>
            <w:r>
              <w:rPr>
                <w:rFonts w:ascii="Arial" w:hAnsi="Arial" w:eastAsia="Arial" w:cs="Arial"/>
                <w:color w:val="000000" w:themeColor="text1"/>
                <w:sz w:val="21"/>
              </w:rPr>
              <w:t xml:space="preserve">Duplicates removed</w:t>
            </w:r>
            <w:r>
              <w:rPr>
                <w:color w:val="000000" w:themeColor="text1"/>
              </w:rPr>
            </w:r>
          </w:p>
        </w:tc>
        <w:tc>
          <w:tcPr>
            <w:tcBorders/>
            <w:tcW w:w="4320" w:type="dxa"/>
            <w:textDirection w:val="lrTb"/>
            <w:noWrap w:val="false"/>
          </w:tcPr>
          <w:p w14:paraId="1573B0D4">
            <w:pPr>
              <w:pBdr/>
              <w:spacing w:after="0" w:before="0" w:line="240"/>
              <w:ind/>
              <w:jc w:val="right"/>
              <w:rPr>
                <w:color w:val="000000" w:themeColor="text1"/>
              </w:rPr>
            </w:pPr>
            <w:r>
              <w:rPr>
                <w:rFonts w:ascii="Arial" w:hAnsi="Arial" w:eastAsia="Arial" w:cs="Arial"/>
                <w:color w:val="000000" w:themeColor="text1"/>
                <w:sz w:val="21"/>
              </w:rPr>
              <w:t xml:space="preserve">54</w:t>
            </w:r>
            <w:r>
              <w:rPr>
                <w:color w:val="000000" w:themeColor="text1"/>
              </w:rPr>
            </w:r>
          </w:p>
        </w:tc>
      </w:tr>
      <w:tr>
        <w:trPr/>
        <w:tc>
          <w:tcPr>
            <w:tcBorders/>
            <w:tcW w:w="4320" w:type="dxa"/>
            <w:textDirection w:val="lrTb"/>
            <w:noWrap w:val="false"/>
          </w:tcPr>
          <w:p w14:paraId="64C747C6">
            <w:pPr>
              <w:pBdr/>
              <w:spacing w:after="0" w:before="0" w:line="240"/>
              <w:ind/>
              <w:rPr>
                <w:color w:val="000000" w:themeColor="text1"/>
              </w:rPr>
            </w:pPr>
            <w:r>
              <w:rPr>
                <w:rFonts w:ascii="Arial" w:hAnsi="Arial" w:eastAsia="Arial" w:cs="Arial"/>
                <w:color w:val="000000" w:themeColor="text1"/>
                <w:sz w:val="21"/>
              </w:rPr>
              <w:t xml:space="preserve">Records screened (title/abstract)</w:t>
            </w:r>
            <w:r>
              <w:rPr>
                <w:color w:val="000000" w:themeColor="text1"/>
              </w:rPr>
            </w:r>
          </w:p>
        </w:tc>
        <w:tc>
          <w:tcPr>
            <w:tcBorders/>
            <w:tcW w:w="4320" w:type="dxa"/>
            <w:textDirection w:val="lrTb"/>
            <w:noWrap w:val="false"/>
          </w:tcPr>
          <w:p w14:paraId="7E5BE1E8">
            <w:pPr>
              <w:pBdr/>
              <w:spacing w:after="0" w:before="0" w:line="240"/>
              <w:ind/>
              <w:jc w:val="right"/>
              <w:rPr>
                <w:color w:val="000000" w:themeColor="text1"/>
              </w:rPr>
            </w:pPr>
            <w:r>
              <w:rPr>
                <w:rFonts w:ascii="Arial" w:hAnsi="Arial" w:eastAsia="Arial" w:cs="Arial"/>
                <w:color w:val="000000" w:themeColor="text1"/>
                <w:sz w:val="21"/>
              </w:rPr>
              <w:t xml:space="preserve">182</w:t>
            </w:r>
            <w:r>
              <w:rPr>
                <w:color w:val="000000" w:themeColor="text1"/>
              </w:rPr>
            </w:r>
          </w:p>
        </w:tc>
      </w:tr>
      <w:tr>
        <w:trPr/>
        <w:tc>
          <w:tcPr>
            <w:tcBorders/>
            <w:tcW w:w="4320" w:type="dxa"/>
            <w:textDirection w:val="lrTb"/>
            <w:noWrap w:val="false"/>
          </w:tcPr>
          <w:p w14:paraId="6F39DF69">
            <w:pPr>
              <w:pBdr/>
              <w:spacing w:after="0" w:before="0" w:line="240"/>
              <w:ind/>
              <w:rPr>
                <w:color w:val="000000" w:themeColor="text1"/>
              </w:rPr>
            </w:pPr>
            <w:r>
              <w:rPr>
                <w:rFonts w:ascii="Arial" w:hAnsi="Arial" w:eastAsia="Arial" w:cs="Arial"/>
                <w:color w:val="000000" w:themeColor="text1"/>
                <w:sz w:val="21"/>
              </w:rPr>
              <w:t xml:space="preserve">Records excluded at screening</w:t>
            </w:r>
            <w:r>
              <w:rPr>
                <w:color w:val="000000" w:themeColor="text1"/>
              </w:rPr>
            </w:r>
          </w:p>
        </w:tc>
        <w:tc>
          <w:tcPr>
            <w:tcBorders/>
            <w:tcW w:w="4320" w:type="dxa"/>
            <w:textDirection w:val="lrTb"/>
            <w:noWrap w:val="false"/>
          </w:tcPr>
          <w:p w14:paraId="55697A94">
            <w:pPr>
              <w:pBdr/>
              <w:spacing w:after="0" w:before="0" w:line="240"/>
              <w:ind/>
              <w:jc w:val="right"/>
              <w:rPr>
                <w:color w:val="000000" w:themeColor="text1"/>
              </w:rPr>
            </w:pPr>
            <w:r>
              <w:rPr>
                <w:rFonts w:ascii="Arial" w:hAnsi="Arial" w:eastAsia="Arial" w:cs="Arial"/>
                <w:color w:val="000000" w:themeColor="text1"/>
                <w:sz w:val="21"/>
              </w:rPr>
              <w:t xml:space="preserve">96</w:t>
            </w:r>
            <w:r>
              <w:rPr>
                <w:color w:val="000000" w:themeColor="text1"/>
              </w:rPr>
            </w:r>
          </w:p>
        </w:tc>
      </w:tr>
      <w:tr>
        <w:trPr/>
        <w:tc>
          <w:tcPr>
            <w:tcBorders/>
            <w:tcW w:w="4320" w:type="dxa"/>
            <w:textDirection w:val="lrTb"/>
            <w:noWrap w:val="false"/>
          </w:tcPr>
          <w:p w14:paraId="2142EE5C">
            <w:pPr>
              <w:pBdr/>
              <w:spacing w:after="0" w:before="0" w:line="240"/>
              <w:ind/>
              <w:rPr>
                <w:color w:val="000000" w:themeColor="text1"/>
              </w:rPr>
            </w:pPr>
            <w:r>
              <w:rPr>
                <w:rFonts w:ascii="Arial" w:hAnsi="Arial" w:eastAsia="Arial" w:cs="Arial"/>
                <w:color w:val="000000" w:themeColor="text1"/>
                <w:sz w:val="21"/>
              </w:rPr>
              <w:t xml:space="preserve">Full-text records assessed</w:t>
            </w:r>
            <w:r>
              <w:rPr>
                <w:color w:val="000000" w:themeColor="text1"/>
              </w:rPr>
            </w:r>
          </w:p>
        </w:tc>
        <w:tc>
          <w:tcPr>
            <w:tcBorders/>
            <w:tcW w:w="4320" w:type="dxa"/>
            <w:textDirection w:val="lrTb"/>
            <w:noWrap w:val="false"/>
          </w:tcPr>
          <w:p w14:paraId="00BFEF12">
            <w:pPr>
              <w:pBdr/>
              <w:spacing w:after="0" w:before="0" w:line="240"/>
              <w:ind/>
              <w:jc w:val="right"/>
              <w:rPr>
                <w:color w:val="000000" w:themeColor="text1"/>
              </w:rPr>
            </w:pPr>
            <w:r>
              <w:rPr>
                <w:rFonts w:ascii="Arial" w:hAnsi="Arial" w:eastAsia="Arial" w:cs="Arial"/>
                <w:color w:val="000000" w:themeColor="text1"/>
                <w:sz w:val="21"/>
              </w:rPr>
              <w:t xml:space="preserve">86</w:t>
            </w:r>
            <w:r>
              <w:rPr>
                <w:color w:val="000000" w:themeColor="text1"/>
              </w:rPr>
            </w:r>
          </w:p>
        </w:tc>
      </w:tr>
      <w:tr>
        <w:trPr/>
        <w:tc>
          <w:tcPr>
            <w:tcBorders/>
            <w:tcW w:w="4320" w:type="dxa"/>
            <w:textDirection w:val="lrTb"/>
            <w:noWrap w:val="false"/>
          </w:tcPr>
          <w:p w14:paraId="485FCDE1">
            <w:pPr>
              <w:pBdr/>
              <w:spacing w:after="0" w:before="0" w:line="240"/>
              <w:ind/>
              <w:rPr>
                <w:color w:val="000000" w:themeColor="text1"/>
              </w:rPr>
            </w:pPr>
            <w:r>
              <w:rPr>
                <w:rFonts w:ascii="Arial" w:hAnsi="Arial" w:eastAsia="Arial" w:cs="Arial"/>
                <w:color w:val="000000" w:themeColor="text1"/>
                <w:sz w:val="21"/>
              </w:rPr>
              <w:t xml:space="preserve">Full-text records excluded</w:t>
            </w:r>
            <w:r>
              <w:rPr>
                <w:color w:val="000000" w:themeColor="text1"/>
              </w:rPr>
            </w:r>
          </w:p>
        </w:tc>
        <w:tc>
          <w:tcPr>
            <w:tcBorders/>
            <w:tcW w:w="4320" w:type="dxa"/>
            <w:textDirection w:val="lrTb"/>
            <w:noWrap w:val="false"/>
          </w:tcPr>
          <w:p w14:paraId="3BE3F1A2">
            <w:pPr>
              <w:pBdr/>
              <w:spacing w:after="0" w:before="0" w:line="240"/>
              <w:ind/>
              <w:jc w:val="right"/>
              <w:rPr>
                <w:color w:val="000000" w:themeColor="text1"/>
              </w:rPr>
            </w:pPr>
            <w:r>
              <w:rPr>
                <w:rFonts w:ascii="Arial" w:hAnsi="Arial" w:eastAsia="Arial" w:cs="Arial"/>
                <w:color w:val="000000" w:themeColor="text1"/>
                <w:sz w:val="21"/>
              </w:rPr>
              <w:t xml:space="preserve">45</w:t>
            </w:r>
            <w:r>
              <w:rPr>
                <w:color w:val="000000" w:themeColor="text1"/>
              </w:rPr>
            </w:r>
          </w:p>
        </w:tc>
      </w:tr>
      <w:tr>
        <w:trPr/>
        <w:tc>
          <w:tcPr>
            <w:tcBorders/>
            <w:tcW w:w="4320" w:type="dxa"/>
            <w:textDirection w:val="lrTb"/>
            <w:noWrap w:val="false"/>
          </w:tcPr>
          <w:p w14:paraId="42019C8F">
            <w:pPr>
              <w:pBdr/>
              <w:spacing w:after="0" w:before="0" w:line="240"/>
              <w:ind/>
              <w:rPr>
                <w:color w:val="000000" w:themeColor="text1"/>
              </w:rPr>
            </w:pPr>
            <w:r>
              <w:rPr>
                <w:rFonts w:ascii="Arial" w:hAnsi="Arial" w:eastAsia="Arial" w:cs="Arial"/>
                <w:color w:val="000000" w:themeColor="text1"/>
                <w:sz w:val="21"/>
              </w:rPr>
              <w:t xml:space="preserve">Included in chapter synthesis (external)</w:t>
            </w:r>
            <w:r>
              <w:rPr>
                <w:color w:val="000000" w:themeColor="text1"/>
              </w:rPr>
            </w:r>
          </w:p>
        </w:tc>
        <w:tc>
          <w:tcPr>
            <w:tcBorders/>
            <w:tcW w:w="4320" w:type="dxa"/>
            <w:textDirection w:val="lrTb"/>
            <w:noWrap w:val="false"/>
          </w:tcPr>
          <w:p w14:paraId="55859879">
            <w:pPr>
              <w:pBdr/>
              <w:spacing w:after="0" w:before="0" w:line="240"/>
              <w:ind/>
              <w:jc w:val="right"/>
              <w:rPr>
                <w:color w:val="000000" w:themeColor="text1"/>
              </w:rPr>
            </w:pPr>
            <w:r>
              <w:rPr>
                <w:rFonts w:ascii="Arial" w:hAnsi="Arial" w:eastAsia="Arial" w:cs="Arial"/>
                <w:color w:val="000000" w:themeColor="text1"/>
                <w:sz w:val="21"/>
              </w:rPr>
              <w:t xml:space="preserve">41</w:t>
            </w:r>
            <w:r>
              <w:rPr>
                <w:color w:val="000000" w:themeColor="text1"/>
              </w:rPr>
            </w:r>
          </w:p>
        </w:tc>
      </w:tr>
    </w:tbl>
    <w:p w14:paraId="01073633">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tbl>
      <w:tblPr>
        <w:tblStyle w:val="831"/>
        <w:tblW w:w="0" w:type="auto"/>
        <w:tblBorders/>
        <w:tblLayout w:type="fixed"/>
        <w:tblLook w:val="04A0" w:firstRow="1" w:lastRow="0" w:firstColumn="1" w:lastColumn="0" w:noHBand="0" w:noVBand="1"/>
      </w:tblPr>
      <w:tblGrid>
        <w:gridCol w:w="6420"/>
        <w:gridCol w:w="2220"/>
      </w:tblGrid>
      <w:tr>
        <w:trPr/>
        <w:tc>
          <w:tcPr>
            <w:tcBorders/>
            <w:tcW w:w="6420" w:type="dxa"/>
            <w:textDirection w:val="lrTb"/>
            <w:noWrap w:val="false"/>
          </w:tcPr>
          <w:p w14:paraId="7FFC05D1">
            <w:pPr>
              <w:pBdr/>
              <w:spacing w:after="0" w:before="0" w:line="240"/>
              <w:ind/>
              <w:rPr>
                <w:color w:val="000000" w:themeColor="text1"/>
              </w:rPr>
            </w:pPr>
            <w:r>
              <w:rPr>
                <w:rFonts w:ascii="Arial" w:hAnsi="Arial" w:eastAsia="Arial" w:cs="Arial"/>
                <w:b/>
                <w:color w:val="000000" w:themeColor="text1"/>
                <w:sz w:val="21"/>
              </w:rPr>
              <w:t xml:space="preserve">Exclusion reason</w:t>
            </w:r>
            <w:r>
              <w:rPr>
                <w:color w:val="000000" w:themeColor="text1"/>
              </w:rPr>
            </w:r>
          </w:p>
        </w:tc>
        <w:tc>
          <w:tcPr>
            <w:tcBorders/>
            <w:tcW w:w="2220" w:type="dxa"/>
            <w:textDirection w:val="lrTb"/>
            <w:noWrap w:val="false"/>
          </w:tcPr>
          <w:p w14:paraId="0CBA335F">
            <w:pPr>
              <w:pBdr/>
              <w:spacing w:after="0" w:before="0" w:line="240"/>
              <w:ind/>
              <w:jc w:val="right"/>
              <w:rPr>
                <w:color w:val="000000" w:themeColor="text1"/>
              </w:rPr>
            </w:pPr>
            <w:r>
              <w:rPr>
                <w:rFonts w:ascii="Arial" w:hAnsi="Arial" w:eastAsia="Arial" w:cs="Arial"/>
                <w:b/>
                <w:color w:val="000000" w:themeColor="text1"/>
                <w:sz w:val="21"/>
              </w:rPr>
              <w:t xml:space="preserve">Count</w:t>
            </w:r>
            <w:r>
              <w:rPr>
                <w:color w:val="000000" w:themeColor="text1"/>
              </w:rPr>
            </w:r>
          </w:p>
        </w:tc>
      </w:tr>
      <w:tr>
        <w:trPr/>
        <w:tc>
          <w:tcPr>
            <w:tcBorders/>
            <w:tcW w:w="6420" w:type="dxa"/>
            <w:textDirection w:val="lrTb"/>
            <w:noWrap w:val="false"/>
          </w:tcPr>
          <w:p w14:paraId="587FEF90">
            <w:pPr>
              <w:pBdr/>
              <w:spacing w:after="0" w:before="0" w:line="240"/>
              <w:ind/>
              <w:rPr>
                <w:color w:val="000000" w:themeColor="text1"/>
              </w:rPr>
            </w:pPr>
            <w:r>
              <w:rPr>
                <w:rFonts w:ascii="Arial" w:hAnsi="Arial" w:eastAsia="Arial" w:cs="Arial"/>
                <w:color w:val="000000" w:themeColor="text1"/>
                <w:sz w:val="21"/>
              </w:rPr>
              <w:t xml:space="preserve">Not MedVQA-specific (generic CV/NLP without QA task linkage)</w:t>
            </w:r>
            <w:r>
              <w:rPr>
                <w:color w:val="000000" w:themeColor="text1"/>
              </w:rPr>
            </w:r>
          </w:p>
        </w:tc>
        <w:tc>
          <w:tcPr>
            <w:tcBorders/>
            <w:tcW w:w="2220" w:type="dxa"/>
            <w:textDirection w:val="lrTb"/>
            <w:noWrap w:val="false"/>
          </w:tcPr>
          <w:p w14:paraId="6ACE1219">
            <w:pPr>
              <w:pBdr/>
              <w:spacing w:after="0" w:before="0" w:line="240"/>
              <w:ind/>
              <w:jc w:val="right"/>
              <w:rPr>
                <w:color w:val="000000" w:themeColor="text1"/>
              </w:rPr>
            </w:pPr>
            <w:r>
              <w:rPr>
                <w:rFonts w:ascii="Arial" w:hAnsi="Arial" w:eastAsia="Arial" w:cs="Arial"/>
                <w:color w:val="000000" w:themeColor="text1"/>
                <w:sz w:val="21"/>
              </w:rPr>
              <w:t xml:space="preserve">16</w:t>
            </w:r>
            <w:r>
              <w:rPr>
                <w:color w:val="000000" w:themeColor="text1"/>
              </w:rPr>
            </w:r>
          </w:p>
        </w:tc>
      </w:tr>
      <w:tr>
        <w:trPr/>
        <w:tc>
          <w:tcPr>
            <w:tcBorders/>
            <w:tcW w:w="6420" w:type="dxa"/>
            <w:textDirection w:val="lrTb"/>
            <w:noWrap w:val="false"/>
          </w:tcPr>
          <w:p w14:paraId="590E7F0E">
            <w:pPr>
              <w:pBdr/>
              <w:spacing w:after="0" w:before="0" w:line="240"/>
              <w:ind/>
              <w:rPr>
                <w:color w:val="000000" w:themeColor="text1"/>
              </w:rPr>
            </w:pPr>
            <w:r>
              <w:rPr>
                <w:rFonts w:ascii="Arial" w:hAnsi="Arial" w:eastAsia="Arial" w:cs="Arial"/>
                <w:color w:val="000000" w:themeColor="text1"/>
                <w:sz w:val="21"/>
              </w:rPr>
              <w:t xml:space="preserve">Limited clinical/GI relevance for this thesis scope</w:t>
            </w:r>
            <w:r>
              <w:rPr>
                <w:color w:val="000000" w:themeColor="text1"/>
              </w:rPr>
            </w:r>
          </w:p>
        </w:tc>
        <w:tc>
          <w:tcPr>
            <w:tcBorders/>
            <w:tcW w:w="2220" w:type="dxa"/>
            <w:textDirection w:val="lrTb"/>
            <w:noWrap w:val="false"/>
          </w:tcPr>
          <w:p w14:paraId="1D59EFFF">
            <w:pPr>
              <w:pBdr/>
              <w:spacing w:after="0" w:before="0" w:line="240"/>
              <w:ind/>
              <w:jc w:val="right"/>
              <w:rPr>
                <w:color w:val="000000" w:themeColor="text1"/>
              </w:rPr>
            </w:pPr>
            <w:r>
              <w:rPr>
                <w:rFonts w:ascii="Arial" w:hAnsi="Arial" w:eastAsia="Arial" w:cs="Arial"/>
                <w:color w:val="000000" w:themeColor="text1"/>
                <w:sz w:val="21"/>
              </w:rPr>
              <w:t xml:space="preserve">11</w:t>
            </w:r>
            <w:r>
              <w:rPr>
                <w:color w:val="000000" w:themeColor="text1"/>
              </w:rPr>
            </w:r>
          </w:p>
        </w:tc>
      </w:tr>
      <w:tr>
        <w:trPr/>
        <w:tc>
          <w:tcPr>
            <w:tcBorders/>
            <w:tcW w:w="6420" w:type="dxa"/>
            <w:textDirection w:val="lrTb"/>
            <w:noWrap w:val="false"/>
          </w:tcPr>
          <w:p w14:paraId="6328A46E">
            <w:pPr>
              <w:pBdr/>
              <w:spacing w:after="0" w:before="0" w:line="240"/>
              <w:ind/>
              <w:rPr>
                <w:color w:val="000000" w:themeColor="text1"/>
              </w:rPr>
            </w:pPr>
            <w:r>
              <w:rPr>
                <w:rFonts w:ascii="Arial" w:hAnsi="Arial" w:eastAsia="Arial" w:cs="Arial"/>
                <w:color w:val="000000" w:themeColor="text1"/>
                <w:sz w:val="21"/>
              </w:rPr>
              <w:t xml:space="preserve">Non-primary or tertiary source where primary source existed</w:t>
            </w:r>
            <w:r>
              <w:rPr>
                <w:color w:val="000000" w:themeColor="text1"/>
              </w:rPr>
            </w:r>
          </w:p>
        </w:tc>
        <w:tc>
          <w:tcPr>
            <w:tcBorders/>
            <w:tcW w:w="2220" w:type="dxa"/>
            <w:textDirection w:val="lrTb"/>
            <w:noWrap w:val="false"/>
          </w:tcPr>
          <w:p w14:paraId="5109B21B">
            <w:pPr>
              <w:pBdr/>
              <w:spacing w:after="0" w:before="0" w:line="240"/>
              <w:ind/>
              <w:jc w:val="right"/>
              <w:rPr>
                <w:color w:val="000000" w:themeColor="text1"/>
              </w:rPr>
            </w:pPr>
            <w:r>
              <w:rPr>
                <w:rFonts w:ascii="Arial" w:hAnsi="Arial" w:eastAsia="Arial" w:cs="Arial"/>
                <w:color w:val="000000" w:themeColor="text1"/>
                <w:sz w:val="21"/>
              </w:rPr>
              <w:t xml:space="preserve">8</w:t>
            </w:r>
            <w:r>
              <w:rPr>
                <w:color w:val="000000" w:themeColor="text1"/>
              </w:rPr>
            </w:r>
          </w:p>
        </w:tc>
      </w:tr>
      <w:tr>
        <w:trPr>
          <w:trHeight w:val="197"/>
        </w:trPr>
        <w:tc>
          <w:tcPr>
            <w:tcBorders/>
            <w:tcW w:w="6420" w:type="dxa"/>
            <w:textDirection w:val="lrTb"/>
            <w:noWrap w:val="false"/>
          </w:tcPr>
          <w:p w14:paraId="1D059476">
            <w:pPr>
              <w:pBdr/>
              <w:spacing w:after="0" w:before="0" w:line="240"/>
              <w:ind/>
              <w:rPr>
                <w:color w:val="000000" w:themeColor="text1"/>
              </w:rPr>
            </w:pPr>
            <w:r>
              <w:rPr>
                <w:rFonts w:ascii="Arial" w:hAnsi="Arial" w:eastAsia="Arial" w:cs="Arial"/>
                <w:color w:val="000000" w:themeColor="text1"/>
                <w:sz w:val="21"/>
              </w:rPr>
              <w:t xml:space="preserve">Insufficient methodological detail for comparative synthesis</w:t>
            </w:r>
            <w:r>
              <w:rPr>
                <w:color w:val="000000" w:themeColor="text1"/>
              </w:rPr>
            </w:r>
          </w:p>
        </w:tc>
        <w:tc>
          <w:tcPr>
            <w:tcBorders/>
            <w:tcW w:w="2220" w:type="dxa"/>
            <w:textDirection w:val="lrTb"/>
            <w:noWrap w:val="false"/>
          </w:tcPr>
          <w:p w14:paraId="5FB0832B">
            <w:pPr>
              <w:pBdr/>
              <w:spacing w:after="0" w:before="0" w:line="240"/>
              <w:ind/>
              <w:jc w:val="right"/>
              <w:rPr>
                <w:color w:val="000000" w:themeColor="text1"/>
              </w:rPr>
            </w:pPr>
            <w:r>
              <w:rPr>
                <w:rFonts w:ascii="Arial" w:hAnsi="Arial" w:eastAsia="Arial" w:cs="Arial"/>
                <w:color w:val="000000" w:themeColor="text1"/>
                <w:sz w:val="21"/>
              </w:rPr>
              <w:t xml:space="preserve">10</w:t>
            </w:r>
            <w:r>
              <w:rPr>
                <w:color w:val="000000" w:themeColor="text1"/>
              </w:rPr>
            </w:r>
          </w:p>
        </w:tc>
      </w:tr>
    </w:tbl>
    <w:p w14:paraId="57C43417">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409C42C8">
      <w:pPr>
        <w:pStyle w:val="77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bidi="en-CA"/>
        </w:rPr>
        <w:t xml:space="preserve">Figure 2.1: Scoping review flow (PRISMA-style, chapter-level).</w:t>
      </w:r>
      <w:r/>
      <w:r>
        <w:rPr>
          <w:rFonts w:ascii="Arial" w:hAnsi="Arial" w:eastAsia="Arial" w:cs="Arial"/>
          <w:b w:val="0"/>
          <w:bCs w:val="0"/>
          <w:i w:val="0"/>
          <w:iCs w:val="0"/>
          <w:caps w:val="0"/>
          <w:smallCaps w:val="0"/>
          <w:color w:val="000000" w:themeColor="text1" w:themeTint="FF" w:themeShade="FF"/>
          <w:sz w:val="22"/>
          <w:szCs w:val="22"/>
          <w:highlight w:val="none"/>
          <w:lang w:val="en-CA" w:bidi="en-CA"/>
        </w:rPr>
      </w:r>
      <w:r/>
      <w:r>
        <w:rPr>
          <w:rFonts w:ascii="Arial" w:hAnsi="Arial" w:eastAsia="Arial" w:cs="Arial"/>
          <w:b w:val="0"/>
          <w:bCs w:val="0"/>
          <w:i w:val="0"/>
          <w:iCs w:val="0"/>
          <w:caps w:val="0"/>
          <w:smallCaps w:val="0"/>
          <w:color w:val="000000" w:themeColor="text1" w:themeTint="FF" w:themeShade="FF"/>
          <w:sz w:val="22"/>
          <w:szCs w:val="22"/>
          <w:highlight w:val="none"/>
          <w:lang w:val="en-CA" w:bidi="en-CA"/>
        </w:rPr>
      </w:r>
    </w:p>
    <w:p w14:paraId="1ED84573">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bidi="en-CA"/>
        </w:rPr>
      </w:pPr>
      <w:r>
        <w:rPr>
          <w:rFonts w:ascii="Arial" w:hAnsi="Arial" w:eastAsia="Arial" w:cs="Arial"/>
          <w:b w:val="0"/>
          <w:bCs w:val="0"/>
          <w:i w:val="0"/>
          <w:iCs w:val="0"/>
          <w:caps w:val="0"/>
          <w:smallCaps w:val="0"/>
          <w:color w:val="000000" w:themeColor="text1" w:themeTint="FF" w:themeShade="FF"/>
          <w:sz w:val="22"/>
          <w:szCs w:val="22"/>
          <w:highlight w:val="none"/>
          <w:lang w:val="en-CA" w:bidi="en-CA"/>
        </w:rPr>
        <w:t xml:space="preserve">Identification (n=236) -&gt; de-duplication (n=54 removed) -&gt; screening (n=182) -&gt; eligibility (n=86 full text) -&gt; included external studies (n=41)</w:t>
      </w:r>
      <w:r>
        <w:rPr>
          <w:rFonts w:ascii="Arial" w:hAnsi="Arial" w:eastAsia="Arial" w:cs="Arial"/>
          <w:b w:val="0"/>
          <w:bCs w:val="0"/>
          <w:i w:val="0"/>
          <w:iCs w:val="0"/>
          <w:caps w:val="0"/>
          <w:smallCaps w:val="0"/>
          <w:color w:val="000000" w:themeColor="text1" w:themeTint="FF" w:themeShade="FF"/>
          <w:sz w:val="22"/>
          <w:szCs w:val="22"/>
          <w:highlight w:val="none"/>
          <w:lang w:val="en-CA" w:bidi="en-CA"/>
        </w:rPr>
      </w:r>
    </w:p>
    <w:p w14:paraId="6A8965F4">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bidi="en-CA"/>
        </w:rPr>
      </w:pPr>
      <w:r>
        <w:rPr>
          <w:rFonts w:ascii="Arial" w:hAnsi="Arial" w:eastAsia="Arial" w:cs="Arial"/>
          <w:b w:val="0"/>
          <w:bCs w:val="0"/>
          <w:i w:val="0"/>
          <w:caps w:val="0"/>
          <w:smallCaps w:val="0"/>
          <w:color w:val="000000" w:themeColor="text1" w:themeTint="FF" w:themeShade="FF"/>
          <w:sz w:val="22"/>
          <w:szCs w:val="22"/>
          <w:highlight w:val="none"/>
          <w:lang w:val="en-CA" w:bidi="en-CA"/>
        </w:rPr>
      </w:r>
      <w:r>
        <w:rPr>
          <w:rFonts w:ascii="Arial" w:hAnsi="Arial" w:eastAsia="Arial" w:cs="Arial"/>
          <w:b w:val="0"/>
          <w:bCs w:val="0"/>
          <w:i w:val="0"/>
          <w:caps w:val="0"/>
          <w:smallCaps w:val="0"/>
          <w:color w:val="000000" w:themeColor="text1" w:themeTint="FF" w:themeShade="FF"/>
          <w:sz w:val="22"/>
          <w:szCs w:val="22"/>
          <w:highlight w:val="none"/>
          <w:lang w:val="en-CA" w:bidi="en-CA"/>
        </w:rPr>
      </w:r>
      <w:r>
        <w:rPr>
          <w:rFonts w:ascii="Arial" w:hAnsi="Arial" w:eastAsia="Arial" w:cs="Arial"/>
          <w:b w:val="0"/>
          <w:bCs w:val="0"/>
          <w:i w:val="0"/>
          <w:caps w:val="0"/>
          <w:smallCaps w:val="0"/>
          <w:color w:val="000000" w:themeColor="text1" w:themeTint="FF" w:themeShade="FF"/>
          <w:sz w:val="22"/>
          <w:szCs w:val="22"/>
          <w:highlight w:val="none"/>
          <w:lang w:val="en-CA" w:bidi="en-CA"/>
        </w:rPr>
      </w:r>
    </w:p>
    <w:p w14:paraId="6C83504D">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2.3 Evolution of VQA Methods: From General AI to Clinical MedVQA</w:t>
      </w:r>
      <w:r/>
    </w:p>
    <w:p w14:paraId="640CE1C4">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technical development of MedVQA follows, with delay, the broader VQA trajectory in AI.</w:t>
      </w:r>
      <w:r/>
      <w:r>
        <w:rPr>
          <w:rFonts w:ascii="Arial" w:hAnsi="Arial" w:eastAsia="Arial" w:cs="Arial"/>
          <w:b w:val="0"/>
          <w:bCs w:val="0"/>
          <w:i w:val="0"/>
          <w:caps w:val="0"/>
          <w:smallCaps w:val="0"/>
          <w:color w:val="000000" w:themeColor="text1" w:themeTint="FF" w:themeShade="FF"/>
          <w:sz w:val="22"/>
          <w:szCs w:val="22"/>
          <w:highlight w:val="none"/>
          <w:lang w:val="en-CA" w:bidi="en-CA"/>
        </w:rPr>
      </w:r>
      <w:r/>
      <w:r>
        <w:rPr>
          <w:rFonts w:ascii="Arial" w:hAnsi="Arial" w:eastAsia="Arial" w:cs="Arial"/>
          <w:b w:val="0"/>
          <w:bCs w:val="0"/>
          <w:i w:val="0"/>
          <w:caps w:val="0"/>
          <w:smallCaps w:val="0"/>
          <w:color w:val="000000" w:themeColor="text1" w:themeTint="FF" w:themeShade="FF"/>
          <w:sz w:val="22"/>
          <w:szCs w:val="22"/>
          <w:highlight w:val="none"/>
          <w:lang w:val="en-CA" w:bidi="en-CA"/>
        </w:rPr>
      </w:r>
    </w:p>
    <w:p w14:paraId="4CFB8093">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2.3.1 Stage A: Early Discriminative Pipelines</w:t>
      </w:r>
      <w:r/>
    </w:p>
    <w:p w14:paraId="2A1AF50F">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Early VQA systems relied on CNN image encoders and RNN question encoders with shallow fusion. In these setups, the final task is usually answer classification from a fixed vocabulary. This structure is data-efficient and operationally stable for constrained</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 question sets, but limited for open-ended clinical answers.</w:t>
      </w:r>
      <w:r/>
      <w:r>
        <w:rPr>
          <w:rFonts w:ascii="Arial" w:hAnsi="Arial" w:eastAsia="Arial" w:cs="Arial"/>
          <w:b w:val="0"/>
          <w:bCs w:val="0"/>
          <w:i w:val="0"/>
          <w:caps w:val="0"/>
          <w:smallCaps w:val="0"/>
          <w:color w:val="000000" w:themeColor="text1" w:themeTint="FF" w:themeShade="FF"/>
          <w:sz w:val="22"/>
          <w:szCs w:val="22"/>
          <w:highlight w:val="none"/>
          <w:lang w:val="en-CA" w:bidi="en-CA"/>
        </w:rPr>
      </w:r>
      <w:r/>
      <w:r>
        <w:rPr>
          <w:rFonts w:ascii="Arial" w:hAnsi="Arial" w:eastAsia="Arial" w:cs="Arial"/>
          <w:b w:val="0"/>
          <w:bCs w:val="0"/>
          <w:i w:val="0"/>
          <w:caps w:val="0"/>
          <w:smallCaps w:val="0"/>
          <w:color w:val="000000" w:themeColor="text1" w:themeTint="FF" w:themeShade="FF"/>
          <w:sz w:val="22"/>
          <w:szCs w:val="22"/>
          <w:highlight w:val="none"/>
          <w:lang w:val="en-CA" w:bidi="en-CA"/>
        </w:rPr>
      </w:r>
    </w:p>
    <w:p w14:paraId="07EB3EC0">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2.3.2 Stage B: Attention and Cross-Modal Transformers</w:t>
      </w:r>
      <w:r/>
    </w:p>
    <w:p w14:paraId="083ECA84">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Transformer-based multimodal architectures improved cross-modal alignment and reasoning depth. Two-stream and cross-attention approaches such as ViLBERT and LXMERT established a stronger pretraining paradigm for vision-language tasks [R31], [R32]. Large-sca</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le contrastive pretraining (e.g., CLIP) then made transfer learning more scalable [R33].</w:t>
      </w:r>
      <w:r/>
      <w:r>
        <w:rPr>
          <w:rFonts w:ascii="Arial" w:hAnsi="Arial" w:eastAsia="Arial" w:cs="Arial"/>
          <w:b w:val="0"/>
          <w:bCs w:val="0"/>
          <w:i w:val="0"/>
          <w:caps w:val="0"/>
          <w:smallCaps w:val="0"/>
          <w:color w:val="000000" w:themeColor="text1" w:themeTint="FF" w:themeShade="FF"/>
          <w:sz w:val="22"/>
          <w:szCs w:val="22"/>
          <w:highlight w:val="none"/>
          <w:lang w:val="en-CA" w:bidi="en-CA"/>
        </w:rPr>
      </w:r>
      <w:r/>
      <w:r>
        <w:rPr>
          <w:rFonts w:ascii="Arial" w:hAnsi="Arial" w:eastAsia="Arial" w:cs="Arial"/>
          <w:b w:val="0"/>
          <w:bCs w:val="0"/>
          <w:i w:val="0"/>
          <w:caps w:val="0"/>
          <w:smallCaps w:val="0"/>
          <w:color w:val="000000" w:themeColor="text1" w:themeTint="FF" w:themeShade="FF"/>
          <w:sz w:val="22"/>
          <w:szCs w:val="22"/>
          <w:highlight w:val="none"/>
          <w:lang w:val="en-CA" w:bidi="en-CA"/>
        </w:rPr>
      </w:r>
    </w:p>
    <w:p w14:paraId="36870BD0">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2.3.3 Stage C: Instruction-Tuned Generative Multimodal Models</w:t>
      </w:r>
      <w:r/>
    </w:p>
    <w:p w14:paraId="603EFB00">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Recent systems increasingly treat MedVQA as a generative task rather than fixed-label classification. The shift is visible in BLIP-2 style adaptation [R34], LLaVA-style visual instruction tuning [R35], and medical-domain variants such as LLaVA-Med [R6] and </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Med-Flamingo [R7]. Biomedical language pretraining backbones such as BioBERT and BioGPT [R40], [R41] are also important in this stage because they improve terminology fidelity and domain-specific language control in downstream medical QA systems.</w:t>
      </w:r>
      <w:r/>
      <w:r>
        <w:rPr>
          <w:rFonts w:ascii="Arial" w:hAnsi="Arial" w:eastAsia="Arial" w:cs="Arial"/>
          <w:b w:val="0"/>
          <w:bCs w:val="0"/>
          <w:i w:val="0"/>
          <w:caps w:val="0"/>
          <w:smallCaps w:val="0"/>
          <w:color w:val="000000" w:themeColor="text1" w:themeTint="FF" w:themeShade="FF"/>
          <w:sz w:val="22"/>
          <w:szCs w:val="22"/>
          <w:highlight w:val="none"/>
          <w:lang w:val="en-CA" w:bidi="en-CA"/>
        </w:rPr>
      </w:r>
      <w:r/>
      <w:r>
        <w:rPr>
          <w:rFonts w:ascii="Arial" w:hAnsi="Arial" w:eastAsia="Arial" w:cs="Arial"/>
          <w:b w:val="0"/>
          <w:bCs w:val="0"/>
          <w:i w:val="0"/>
          <w:caps w:val="0"/>
          <w:smallCaps w:val="0"/>
          <w:color w:val="000000" w:themeColor="text1" w:themeTint="FF" w:themeShade="FF"/>
          <w:sz w:val="22"/>
          <w:szCs w:val="22"/>
          <w:highlight w:val="none"/>
          <w:lang w:val="en-CA" w:bidi="en-CA"/>
        </w:rPr>
      </w:r>
    </w:p>
    <w:p w14:paraId="5E05D7F5">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advantage is richer interaction and explanation-like output. The risk is that fluent generated text can become weakly grounded, lexically mismatched to benchmark labels, or clinically unsafe if not constrained.</w:t>
      </w:r>
      <w:r/>
    </w:p>
    <w:p w14:paraId="21DE6576">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1761B484">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bidi="en-CA"/>
        </w:rPr>
      </w:pPr>
      <w:r>
        <w:rPr>
          <w:rFonts w:ascii="Arial" w:hAnsi="Arial" w:eastAsia="Arial" w:cs="Arial"/>
          <w:b w:val="0"/>
          <w:bCs w:val="0"/>
          <w:i w:val="0"/>
          <w:caps w:val="0"/>
          <w:smallCaps w:val="0"/>
          <w:color w:val="000000" w:themeColor="text1" w:themeTint="FF" w:themeShade="FF"/>
          <w:sz w:val="22"/>
          <w:szCs w:val="22"/>
          <w:highlight w:val="none"/>
          <w:lang w:val="en-CA" w:bidi="en-CA"/>
        </w:rPr>
      </w:r>
      <w:r>
        <w:rPr>
          <w:rFonts w:ascii="Arial" w:hAnsi="Arial" w:eastAsia="Arial" w:cs="Arial"/>
          <w:b w:val="0"/>
          <w:bCs w:val="0"/>
          <w:i w:val="0"/>
          <w:caps w:val="0"/>
          <w:smallCaps w:val="0"/>
          <w:color w:val="000000" w:themeColor="text1" w:themeTint="FF" w:themeShade="FF"/>
          <w:sz w:val="22"/>
          <w:szCs w:val="22"/>
          <w:highlight w:val="none"/>
          <w:lang w:val="en-CA" w:bidi="en-CA"/>
        </w:rPr>
      </w:r>
      <w:r>
        <w:rPr>
          <w:rFonts w:ascii="Arial" w:hAnsi="Arial" w:eastAsia="Arial" w:cs="Arial"/>
          <w:b w:val="0"/>
          <w:bCs w:val="0"/>
          <w:i w:val="0"/>
          <w:caps w:val="0"/>
          <w:smallCaps w:val="0"/>
          <w:color w:val="000000" w:themeColor="text1" w:themeTint="FF" w:themeShade="FF"/>
          <w:sz w:val="22"/>
          <w:szCs w:val="22"/>
          <w:highlight w:val="none"/>
          <w:lang w:val="en-CA" w:bidi="en-CA"/>
        </w:rPr>
      </w:r>
    </w:p>
    <w:p w14:paraId="776ED911">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bidi="en-CA"/>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2.3.4 Stage D: Reliability, Explainability, and Evidence Grounding</w:t>
      </w:r>
      <w:r/>
    </w:p>
    <w:p w14:paraId="4DDCE036">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current frontier moves beyond "answer generation" toward clinical trust requirements: grounding, calibration, interpretability, and evidence linkage. This includes benchmark-level work on probing reliability [R11], multimodal in-context robustness [R12]</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 explainability frameworks [R15], and retrieval-based methods in clinical VQA settings [R30].</w:t>
      </w:r>
      <w:r/>
    </w:p>
    <w:p w14:paraId="042A007D">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24E3FBDA">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Figure 2.2: Historical trajectory of MedVQA.</w:t>
      </w:r>
      <w:r/>
      <w:r>
        <w:rPr>
          <w:rFonts w:ascii="Arial" w:hAnsi="Arial" w:eastAsia="Arial" w:cs="Arial"/>
          <w:b w:val="0"/>
          <w:bCs w:val="0"/>
          <w:i w:val="0"/>
          <w:caps w:val="0"/>
          <w:smallCaps w:val="0"/>
          <w:color w:val="000000" w:themeColor="text1" w:themeTint="FF" w:themeShade="FF"/>
          <w:sz w:val="22"/>
          <w:szCs w:val="22"/>
          <w:highlight w:val="none"/>
          <w:lang w:val="en-CA" w:bidi="en-CA"/>
        </w:rPr>
      </w:r>
      <w:r/>
      <w:r>
        <w:rPr>
          <w:rFonts w:ascii="Arial" w:hAnsi="Arial" w:eastAsia="Arial" w:cs="Arial"/>
          <w:b w:val="0"/>
          <w:bCs w:val="0"/>
          <w:i w:val="0"/>
          <w:caps w:val="0"/>
          <w:smallCaps w:val="0"/>
          <w:color w:val="000000" w:themeColor="text1" w:themeTint="FF" w:themeShade="FF"/>
          <w:sz w:val="22"/>
          <w:szCs w:val="22"/>
          <w:highlight w:val="none"/>
          <w:lang w:val="en-CA" w:bidi="en-CA"/>
        </w:rPr>
      </w:r>
    </w:p>
    <w:p w14:paraId="20D47220">
      <w:pPr>
        <w:pStyle w:val="774"/>
        <w:suppressLineNumbers w:val="false"/>
        <w:pBdr/>
        <w:spacing w:after="240" w:afterAutospacing="0" w:before="240" w:beforeAutospacing="0" w:line="300" w:lineRule="auto"/>
        <w:ind w:firstLine="0"/>
        <w:rPr>
          <w:rFonts w:ascii="Arial" w:hAnsi="Arial" w:eastAsia="Arial" w:cs="Arial"/>
          <w:b/>
          <w:bCs/>
          <w:i/>
          <w:caps w:val="0"/>
          <w:smallCaps w:val="0"/>
          <w:color w:val="000000" w:themeColor="text1" w:themeTint="FF" w:themeShade="FF"/>
          <w:sz w:val="22"/>
          <w:szCs w:val="22"/>
          <w:highlight w:val="none"/>
        </w:rPr>
      </w:pPr>
      <w:r>
        <w:rPr>
          <w:rFonts w:ascii="Arial" w:hAnsi="Arial" w:eastAsia="Arial" w:cs="Arial"/>
          <w:b/>
          <w:bCs/>
          <w:i/>
          <w:iCs/>
          <w:caps w:val="0"/>
          <w:smallCaps w:val="0"/>
          <w:color w:val="000000" w:themeColor="text1" w:themeTint="FF" w:themeShade="FF"/>
          <w:sz w:val="22"/>
          <w:szCs w:val="22"/>
          <w:highlight w:val="none"/>
          <w:lang w:val="en-CA" w:bidi="en-CA"/>
        </w:rPr>
        <w:t xml:space="preserve">CNN+RNN -&gt; Attention fusion -&gt; Multimodal transformers -&gt; Generative MLLMs -&gt; Explainable and evidence-aware systems</w:t>
      </w:r>
      <w:r>
        <w:rPr>
          <w:rFonts w:ascii="Arial" w:hAnsi="Arial" w:eastAsia="Arial" w:cs="Arial"/>
          <w:b/>
          <w:bCs/>
          <w:i/>
          <w:iCs/>
          <w:caps w:val="0"/>
          <w:smallCaps w:val="0"/>
          <w:color w:val="000000" w:themeColor="text1" w:themeTint="FF" w:themeShade="FF"/>
          <w:sz w:val="22"/>
          <w:szCs w:val="22"/>
          <w:highlight w:val="none"/>
          <w:lang w:val="en-CA" w:bidi="en-CA"/>
        </w:rPr>
      </w:r>
      <w:r>
        <w:rPr>
          <w:rFonts w:ascii="Arial" w:hAnsi="Arial" w:eastAsia="Arial" w:cs="Arial"/>
          <w:b/>
          <w:bCs/>
          <w:i/>
          <w:iCs/>
          <w:caps w:val="0"/>
          <w:smallCaps w:val="0"/>
          <w:color w:val="000000" w:themeColor="text1" w:themeTint="FF" w:themeShade="FF"/>
          <w:sz w:val="22"/>
          <w:szCs w:val="22"/>
          <w:highlight w:val="none"/>
          <w:lang w:val="en-CA" w:bidi="en-CA"/>
        </w:rPr>
      </w:r>
    </w:p>
    <w:p w14:paraId="306569BE">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bidi="en-CA"/>
        </w:rPr>
      </w:pPr>
      <w:r>
        <w:rPr>
          <w:rFonts w:ascii="Arial" w:hAnsi="Arial" w:eastAsia="Arial" w:cs="Arial"/>
          <w:b w:val="0"/>
          <w:bCs w:val="0"/>
          <w:i w:val="0"/>
          <w:iCs w:val="0"/>
          <w:caps w:val="0"/>
          <w:smallCaps w:val="0"/>
          <w:color w:val="000000" w:themeColor="text1" w:themeTint="FF" w:themeShade="FF"/>
          <w:sz w:val="22"/>
          <w:szCs w:val="22"/>
          <w:highlight w:val="none"/>
          <w:lang w:val="en-CA" w:bidi="en-CA"/>
        </w:rPr>
      </w:r>
      <w:r>
        <w:rPr>
          <w:rFonts w:ascii="Arial" w:hAnsi="Arial" w:eastAsia="Arial" w:cs="Arial"/>
          <w:b w:val="0"/>
          <w:bCs w:val="0"/>
          <w:i w:val="0"/>
          <w:iCs w:val="0"/>
          <w:caps w:val="0"/>
          <w:smallCaps w:val="0"/>
          <w:color w:val="000000" w:themeColor="text1" w:themeTint="FF" w:themeShade="FF"/>
          <w:sz w:val="22"/>
          <w:szCs w:val="22"/>
          <w:highlight w:val="none"/>
          <w:lang w:val="en-CA" w:bidi="en-CA"/>
        </w:rPr>
      </w:r>
      <w:r>
        <w:rPr>
          <w:rFonts w:ascii="Arial" w:hAnsi="Arial" w:eastAsia="Arial" w:cs="Arial"/>
          <w:b w:val="0"/>
          <w:bCs w:val="0"/>
          <w:i w:val="0"/>
          <w:iCs w:val="0"/>
          <w:caps w:val="0"/>
          <w:smallCaps w:val="0"/>
          <w:color w:val="000000" w:themeColor="text1" w:themeTint="FF" w:themeShade="FF"/>
          <w:sz w:val="22"/>
          <w:szCs w:val="22"/>
          <w:highlight w:val="none"/>
          <w:lang w:val="en-CA" w:bidi="en-CA"/>
        </w:rPr>
      </w:r>
    </w:p>
    <w:tbl>
      <w:tblPr>
        <w:tblStyle w:val="831"/>
        <w:tblW w:w="0" w:type="auto"/>
        <w:tblBorders/>
        <w:tblLayout w:type="fixed"/>
        <w:tblLook w:val="04A0" w:firstRow="1" w:lastRow="0" w:firstColumn="1" w:lastColumn="0" w:noHBand="0" w:noVBand="1"/>
      </w:tblPr>
      <w:tblGrid>
        <w:gridCol w:w="2160"/>
        <w:gridCol w:w="1426"/>
        <w:gridCol w:w="2894"/>
        <w:gridCol w:w="2633"/>
      </w:tblGrid>
      <w:tr>
        <w:trPr/>
        <w:tc>
          <w:tcPr>
            <w:tcBorders/>
            <w:tcW w:w="2160" w:type="dxa"/>
            <w:textDirection w:val="lrTb"/>
            <w:noWrap w:val="false"/>
          </w:tcPr>
          <w:p w14:paraId="1BB6D935">
            <w:pPr>
              <w:pBdr/>
              <w:spacing w:after="0" w:before="0" w:line="240"/>
              <w:ind/>
              <w:rPr>
                <w:color w:val="000000" w:themeColor="text1"/>
              </w:rPr>
            </w:pPr>
            <w:r>
              <w:rPr>
                <w:rFonts w:ascii="Arial" w:hAnsi="Arial" w:eastAsia="Arial" w:cs="Arial"/>
                <w:b/>
                <w:color w:val="000000" w:themeColor="text1"/>
                <w:sz w:val="21"/>
              </w:rPr>
              <w:t xml:space="preserve">Dataset / Benchmark</w:t>
            </w:r>
            <w:r>
              <w:rPr>
                <w:color w:val="000000" w:themeColor="text1"/>
              </w:rPr>
            </w:r>
          </w:p>
        </w:tc>
        <w:tc>
          <w:tcPr>
            <w:tcBorders/>
            <w:tcW w:w="1426" w:type="dxa"/>
            <w:textDirection w:val="lrTb"/>
            <w:noWrap w:val="false"/>
          </w:tcPr>
          <w:p w14:paraId="72A04FB2">
            <w:pPr>
              <w:pBdr/>
              <w:spacing w:after="0" w:before="0" w:line="240"/>
              <w:ind/>
              <w:jc w:val="right"/>
              <w:rPr>
                <w:color w:val="000000" w:themeColor="text1"/>
              </w:rPr>
            </w:pPr>
            <w:r>
              <w:rPr>
                <w:rFonts w:ascii="Arial" w:hAnsi="Arial" w:eastAsia="Arial" w:cs="Arial"/>
                <w:b/>
                <w:color w:val="000000" w:themeColor="text1"/>
                <w:sz w:val="21"/>
              </w:rPr>
              <w:t xml:space="preserve">Year</w:t>
            </w:r>
            <w:r>
              <w:rPr>
                <w:color w:val="000000" w:themeColor="text1"/>
              </w:rPr>
            </w:r>
          </w:p>
        </w:tc>
        <w:tc>
          <w:tcPr>
            <w:tcBorders/>
            <w:tcW w:w="2894" w:type="dxa"/>
            <w:textDirection w:val="lrTb"/>
            <w:noWrap w:val="false"/>
          </w:tcPr>
          <w:p w14:paraId="5A74EF29">
            <w:pPr>
              <w:pBdr/>
              <w:spacing w:after="0" w:before="0" w:line="240"/>
              <w:ind/>
              <w:rPr>
                <w:color w:val="000000" w:themeColor="text1"/>
              </w:rPr>
            </w:pPr>
            <w:r>
              <w:rPr>
                <w:rFonts w:ascii="Arial" w:hAnsi="Arial" w:eastAsia="Arial" w:cs="Arial"/>
                <w:b/>
                <w:color w:val="000000" w:themeColor="text1"/>
                <w:sz w:val="21"/>
              </w:rPr>
              <w:t xml:space="preserve">Reported scope</w:t>
            </w:r>
            <w:r>
              <w:rPr>
                <w:color w:val="000000" w:themeColor="text1"/>
              </w:rPr>
            </w:r>
          </w:p>
        </w:tc>
        <w:tc>
          <w:tcPr>
            <w:tcBorders/>
            <w:tcW w:w="2633" w:type="dxa"/>
            <w:textDirection w:val="lrTb"/>
            <w:noWrap w:val="false"/>
          </w:tcPr>
          <w:p w14:paraId="08273E8D">
            <w:pPr>
              <w:pBdr/>
              <w:spacing w:after="0" w:before="0" w:line="240"/>
              <w:ind/>
              <w:rPr>
                <w:color w:val="000000" w:themeColor="text1"/>
              </w:rPr>
            </w:pPr>
            <w:r>
              <w:rPr>
                <w:rFonts w:ascii="Arial" w:hAnsi="Arial" w:eastAsia="Arial" w:cs="Arial"/>
                <w:b/>
                <w:color w:val="000000" w:themeColor="text1"/>
                <w:sz w:val="21"/>
              </w:rPr>
              <w:t xml:space="preserve">Why it matters</w:t>
            </w:r>
            <w:r>
              <w:rPr>
                <w:color w:val="000000" w:themeColor="text1"/>
              </w:rPr>
            </w:r>
          </w:p>
        </w:tc>
      </w:tr>
      <w:tr>
        <w:trPr/>
        <w:tc>
          <w:tcPr>
            <w:tcBorders/>
            <w:tcW w:w="2160" w:type="dxa"/>
            <w:textDirection w:val="lrTb"/>
            <w:noWrap w:val="false"/>
          </w:tcPr>
          <w:p w14:paraId="5B497BE1">
            <w:pPr>
              <w:pBdr/>
              <w:spacing w:after="0" w:before="0" w:line="240"/>
              <w:ind/>
              <w:rPr>
                <w:color w:val="000000" w:themeColor="text1"/>
              </w:rPr>
            </w:pPr>
            <w:r>
              <w:rPr>
                <w:rFonts w:ascii="Arial" w:hAnsi="Arial" w:eastAsia="Arial" w:cs="Arial"/>
                <w:color w:val="000000" w:themeColor="text1"/>
                <w:sz w:val="21"/>
              </w:rPr>
              <w:t xml:space="preserve">VQA-RAD [R1]</w:t>
            </w:r>
            <w:r>
              <w:rPr>
                <w:color w:val="000000" w:themeColor="text1"/>
              </w:rPr>
            </w:r>
          </w:p>
        </w:tc>
        <w:tc>
          <w:tcPr>
            <w:tcBorders/>
            <w:tcW w:w="1426" w:type="dxa"/>
            <w:textDirection w:val="lrTb"/>
            <w:noWrap w:val="false"/>
          </w:tcPr>
          <w:p w14:paraId="3D1B7E2E">
            <w:pPr>
              <w:pBdr/>
              <w:spacing w:after="0" w:before="0" w:line="240"/>
              <w:ind/>
              <w:jc w:val="right"/>
              <w:rPr>
                <w:color w:val="000000" w:themeColor="text1"/>
              </w:rPr>
            </w:pPr>
            <w:r>
              <w:rPr>
                <w:rFonts w:ascii="Arial" w:hAnsi="Arial" w:eastAsia="Arial" w:cs="Arial"/>
                <w:color w:val="000000" w:themeColor="text1"/>
                <w:sz w:val="21"/>
              </w:rPr>
              <w:t xml:space="preserve">2018</w:t>
            </w:r>
            <w:r>
              <w:rPr>
                <w:color w:val="000000" w:themeColor="text1"/>
              </w:rPr>
            </w:r>
          </w:p>
        </w:tc>
        <w:tc>
          <w:tcPr>
            <w:tcBorders/>
            <w:tcW w:w="2894" w:type="dxa"/>
            <w:textDirection w:val="lrTb"/>
            <w:noWrap w:val="false"/>
          </w:tcPr>
          <w:p w14:paraId="172AF322">
            <w:pPr>
              <w:pBdr/>
              <w:spacing w:after="0" w:before="0" w:line="240"/>
              <w:ind/>
              <w:rPr>
                <w:color w:val="000000" w:themeColor="text1"/>
              </w:rPr>
            </w:pPr>
            <w:r>
              <w:rPr>
                <w:rFonts w:ascii="Arial" w:hAnsi="Arial" w:eastAsia="Arial" w:cs="Arial"/>
                <w:color w:val="000000" w:themeColor="text1"/>
                <w:sz w:val="21"/>
              </w:rPr>
              <w:t xml:space="preserve">Clinician-authored radiology QA</w:t>
            </w:r>
            <w:r>
              <w:rPr>
                <w:color w:val="000000" w:themeColor="text1"/>
              </w:rPr>
            </w:r>
          </w:p>
        </w:tc>
        <w:tc>
          <w:tcPr>
            <w:tcBorders/>
            <w:tcW w:w="2633" w:type="dxa"/>
            <w:textDirection w:val="lrTb"/>
            <w:noWrap w:val="false"/>
          </w:tcPr>
          <w:p w14:paraId="6845090C">
            <w:pPr>
              <w:pBdr/>
              <w:spacing w:after="0" w:before="0" w:line="240"/>
              <w:ind/>
              <w:rPr>
                <w:color w:val="000000" w:themeColor="text1"/>
              </w:rPr>
            </w:pPr>
            <w:r>
              <w:rPr>
                <w:rFonts w:ascii="Arial" w:hAnsi="Arial" w:eastAsia="Arial" w:cs="Arial"/>
                <w:color w:val="000000" w:themeColor="text1"/>
                <w:sz w:val="21"/>
              </w:rPr>
              <w:t xml:space="preserve">Early high-quality clinician-driven MedVQA benchmark</w:t>
            </w:r>
            <w:r>
              <w:rPr>
                <w:color w:val="000000" w:themeColor="text1"/>
              </w:rPr>
            </w:r>
          </w:p>
        </w:tc>
      </w:tr>
      <w:tr>
        <w:trPr/>
        <w:tc>
          <w:tcPr>
            <w:tcBorders/>
            <w:tcW w:w="2160" w:type="dxa"/>
            <w:textDirection w:val="lrTb"/>
            <w:noWrap w:val="false"/>
          </w:tcPr>
          <w:p w14:paraId="560C83FC">
            <w:pPr>
              <w:pBdr/>
              <w:spacing w:after="0" w:before="0" w:line="240"/>
              <w:ind/>
              <w:rPr>
                <w:color w:val="000000" w:themeColor="text1"/>
              </w:rPr>
            </w:pPr>
            <w:r>
              <w:rPr>
                <w:rFonts w:ascii="Arial" w:hAnsi="Arial" w:eastAsia="Arial" w:cs="Arial"/>
                <w:color w:val="000000" w:themeColor="text1"/>
                <w:sz w:val="21"/>
              </w:rPr>
              <w:t xml:space="preserve">PathVQA [R2]</w:t>
            </w:r>
            <w:r>
              <w:rPr>
                <w:color w:val="000000" w:themeColor="text1"/>
              </w:rPr>
            </w:r>
          </w:p>
        </w:tc>
        <w:tc>
          <w:tcPr>
            <w:tcBorders/>
            <w:tcW w:w="1426" w:type="dxa"/>
            <w:textDirection w:val="lrTb"/>
            <w:noWrap w:val="false"/>
          </w:tcPr>
          <w:p w14:paraId="3C5E547B">
            <w:pPr>
              <w:pBdr/>
              <w:spacing w:after="0" w:before="0" w:line="240"/>
              <w:ind/>
              <w:jc w:val="right"/>
              <w:rPr>
                <w:color w:val="000000" w:themeColor="text1"/>
              </w:rPr>
            </w:pPr>
            <w:r>
              <w:rPr>
                <w:rFonts w:ascii="Arial" w:hAnsi="Arial" w:eastAsia="Arial" w:cs="Arial"/>
                <w:color w:val="000000" w:themeColor="text1"/>
                <w:sz w:val="21"/>
              </w:rPr>
              <w:t xml:space="preserve">2020</w:t>
            </w:r>
            <w:r>
              <w:rPr>
                <w:color w:val="000000" w:themeColor="text1"/>
              </w:rPr>
            </w:r>
          </w:p>
        </w:tc>
        <w:tc>
          <w:tcPr>
            <w:tcBorders/>
            <w:tcW w:w="2894" w:type="dxa"/>
            <w:textDirection w:val="lrTb"/>
            <w:noWrap w:val="false"/>
          </w:tcPr>
          <w:p w14:paraId="3CAA6A15">
            <w:pPr>
              <w:pBdr/>
              <w:spacing w:after="0" w:before="0" w:line="240"/>
              <w:ind/>
              <w:rPr>
                <w:color w:val="000000" w:themeColor="text1"/>
              </w:rPr>
            </w:pPr>
            <w:r>
              <w:rPr>
                <w:rFonts w:ascii="Arial" w:hAnsi="Arial" w:eastAsia="Arial" w:cs="Arial"/>
                <w:color w:val="000000" w:themeColor="text1"/>
                <w:sz w:val="21"/>
              </w:rPr>
              <w:t xml:space="preserve">Pathology QA from textbook/digital resources</w:t>
            </w:r>
            <w:r>
              <w:rPr>
                <w:color w:val="000000" w:themeColor="text1"/>
              </w:rPr>
            </w:r>
          </w:p>
        </w:tc>
        <w:tc>
          <w:tcPr>
            <w:tcBorders/>
            <w:tcW w:w="2633" w:type="dxa"/>
            <w:textDirection w:val="lrTb"/>
            <w:noWrap w:val="false"/>
          </w:tcPr>
          <w:p w14:paraId="3818061F">
            <w:pPr>
              <w:pBdr/>
              <w:spacing w:after="0" w:before="0" w:line="240"/>
              <w:ind/>
              <w:rPr>
                <w:color w:val="000000" w:themeColor="text1"/>
              </w:rPr>
            </w:pPr>
            <w:r>
              <w:rPr>
                <w:rFonts w:ascii="Arial" w:hAnsi="Arial" w:eastAsia="Arial" w:cs="Arial"/>
                <w:color w:val="000000" w:themeColor="text1"/>
                <w:sz w:val="21"/>
              </w:rPr>
              <w:t xml:space="preserve">Extended MedVQA to histopathology</w:t>
            </w:r>
            <w:r>
              <w:rPr>
                <w:color w:val="000000" w:themeColor="text1"/>
              </w:rPr>
            </w:r>
          </w:p>
        </w:tc>
      </w:tr>
      <w:tr>
        <w:trPr/>
        <w:tc>
          <w:tcPr>
            <w:tcBorders/>
            <w:tcW w:w="2160" w:type="dxa"/>
            <w:textDirection w:val="lrTb"/>
            <w:noWrap w:val="false"/>
          </w:tcPr>
          <w:p w14:paraId="21D6FC69">
            <w:pPr>
              <w:pBdr/>
              <w:spacing w:after="0" w:before="0" w:line="240"/>
              <w:ind/>
              <w:rPr>
                <w:color w:val="000000" w:themeColor="text1"/>
              </w:rPr>
            </w:pPr>
            <w:r>
              <w:rPr>
                <w:rFonts w:ascii="Arial" w:hAnsi="Arial" w:eastAsia="Arial" w:cs="Arial"/>
                <w:color w:val="000000" w:themeColor="text1"/>
                <w:sz w:val="21"/>
              </w:rPr>
              <w:t xml:space="preserve">SLAKE [R3]</w:t>
            </w:r>
            <w:r>
              <w:rPr>
                <w:color w:val="000000" w:themeColor="text1"/>
              </w:rPr>
            </w:r>
          </w:p>
        </w:tc>
        <w:tc>
          <w:tcPr>
            <w:tcBorders/>
            <w:tcW w:w="1426" w:type="dxa"/>
            <w:textDirection w:val="lrTb"/>
            <w:noWrap w:val="false"/>
          </w:tcPr>
          <w:p w14:paraId="76D1610E">
            <w:pPr>
              <w:pBdr/>
              <w:spacing w:after="0" w:before="0" w:line="240"/>
              <w:ind/>
              <w:jc w:val="right"/>
              <w:rPr>
                <w:color w:val="000000" w:themeColor="text1"/>
              </w:rPr>
            </w:pPr>
            <w:r>
              <w:rPr>
                <w:rFonts w:ascii="Arial" w:hAnsi="Arial" w:eastAsia="Arial" w:cs="Arial"/>
                <w:color w:val="000000" w:themeColor="text1"/>
                <w:sz w:val="21"/>
              </w:rPr>
              <w:t xml:space="preserve">2021</w:t>
            </w:r>
            <w:r>
              <w:rPr>
                <w:color w:val="000000" w:themeColor="text1"/>
              </w:rPr>
            </w:r>
          </w:p>
        </w:tc>
        <w:tc>
          <w:tcPr>
            <w:tcBorders/>
            <w:tcW w:w="2894" w:type="dxa"/>
            <w:textDirection w:val="lrTb"/>
            <w:noWrap w:val="false"/>
          </w:tcPr>
          <w:p w14:paraId="3D1AF1BF">
            <w:pPr>
              <w:pBdr/>
              <w:spacing w:after="0" w:before="0" w:line="240"/>
              <w:ind/>
              <w:rPr>
                <w:color w:val="000000" w:themeColor="text1"/>
              </w:rPr>
            </w:pPr>
            <w:r>
              <w:rPr>
                <w:rFonts w:ascii="Arial" w:hAnsi="Arial" w:eastAsia="Arial" w:cs="Arial"/>
                <w:color w:val="000000" w:themeColor="text1"/>
                <w:sz w:val="21"/>
              </w:rPr>
              <w:t xml:space="preserve">Bilingual, semantically labeled medical QA</w:t>
            </w:r>
            <w:r>
              <w:rPr>
                <w:color w:val="000000" w:themeColor="text1"/>
              </w:rPr>
            </w:r>
          </w:p>
        </w:tc>
        <w:tc>
          <w:tcPr>
            <w:tcBorders/>
            <w:tcW w:w="2633" w:type="dxa"/>
            <w:textDirection w:val="lrTb"/>
            <w:noWrap w:val="false"/>
          </w:tcPr>
          <w:p w14:paraId="3914D672">
            <w:pPr>
              <w:pBdr/>
              <w:spacing w:after="0" w:before="0" w:line="240"/>
              <w:ind/>
              <w:rPr>
                <w:color w:val="000000" w:themeColor="text1"/>
              </w:rPr>
            </w:pPr>
            <w:r>
              <w:rPr>
                <w:rFonts w:ascii="Arial" w:hAnsi="Arial" w:eastAsia="Arial" w:cs="Arial"/>
                <w:color w:val="000000" w:themeColor="text1"/>
                <w:sz w:val="21"/>
              </w:rPr>
              <w:t xml:space="preserve">Added richer semantic structure and multilinguality</w:t>
            </w:r>
            <w:r>
              <w:rPr>
                <w:color w:val="000000" w:themeColor="text1"/>
              </w:rPr>
            </w:r>
          </w:p>
        </w:tc>
      </w:tr>
      <w:tr>
        <w:trPr/>
        <w:tc>
          <w:tcPr>
            <w:tcBorders/>
            <w:tcW w:w="2160" w:type="dxa"/>
            <w:textDirection w:val="lrTb"/>
            <w:noWrap w:val="false"/>
          </w:tcPr>
          <w:p w14:paraId="2EAF0E2D">
            <w:pPr>
              <w:pBdr/>
              <w:spacing w:after="0" w:before="0" w:line="240"/>
              <w:ind/>
              <w:rPr>
                <w:color w:val="000000" w:themeColor="text1"/>
              </w:rPr>
            </w:pPr>
            <w:r>
              <w:rPr>
                <w:rFonts w:ascii="Arial" w:hAnsi="Arial" w:eastAsia="Arial" w:cs="Arial"/>
                <w:color w:val="000000" w:themeColor="text1"/>
                <w:sz w:val="21"/>
              </w:rPr>
              <w:t xml:space="preserve">PMC-VQA [R5]</w:t>
            </w:r>
            <w:r>
              <w:rPr>
                <w:color w:val="000000" w:themeColor="text1"/>
              </w:rPr>
            </w:r>
          </w:p>
        </w:tc>
        <w:tc>
          <w:tcPr>
            <w:tcBorders/>
            <w:tcW w:w="1426" w:type="dxa"/>
            <w:textDirection w:val="lrTb"/>
            <w:noWrap w:val="false"/>
          </w:tcPr>
          <w:p w14:paraId="2D29C4DC">
            <w:pPr>
              <w:pBdr/>
              <w:spacing w:after="0" w:before="0" w:line="240"/>
              <w:ind/>
              <w:jc w:val="right"/>
              <w:rPr>
                <w:color w:val="000000" w:themeColor="text1"/>
              </w:rPr>
            </w:pPr>
            <w:r>
              <w:rPr>
                <w:rFonts w:ascii="Arial" w:hAnsi="Arial" w:eastAsia="Arial" w:cs="Arial"/>
                <w:color w:val="000000" w:themeColor="text1"/>
                <w:sz w:val="21"/>
              </w:rPr>
              <w:t xml:space="preserve">2023</w:t>
            </w:r>
            <w:r>
              <w:rPr>
                <w:color w:val="000000" w:themeColor="text1"/>
              </w:rPr>
            </w:r>
          </w:p>
        </w:tc>
        <w:tc>
          <w:tcPr>
            <w:tcBorders/>
            <w:tcW w:w="2894" w:type="dxa"/>
            <w:textDirection w:val="lrTb"/>
            <w:noWrap w:val="false"/>
          </w:tcPr>
          <w:p w14:paraId="5E701DB6">
            <w:pPr>
              <w:pBdr/>
              <w:spacing w:after="0" w:before="0" w:line="240"/>
              <w:ind/>
              <w:rPr>
                <w:color w:val="000000" w:themeColor="text1"/>
              </w:rPr>
            </w:pPr>
            <w:r>
              <w:rPr>
                <w:rFonts w:ascii="Arial" w:hAnsi="Arial" w:eastAsia="Arial" w:cs="Arial"/>
                <w:color w:val="000000" w:themeColor="text1"/>
                <w:sz w:val="21"/>
              </w:rPr>
              <w:t xml:space="preserve">Large-scale visual instruction tuning corpus</w:t>
            </w:r>
            <w:r>
              <w:rPr>
                <w:color w:val="000000" w:themeColor="text1"/>
              </w:rPr>
            </w:r>
          </w:p>
        </w:tc>
        <w:tc>
          <w:tcPr>
            <w:tcBorders/>
            <w:tcW w:w="2633" w:type="dxa"/>
            <w:textDirection w:val="lrTb"/>
            <w:noWrap w:val="false"/>
          </w:tcPr>
          <w:p w14:paraId="4653EC90">
            <w:pPr>
              <w:pBdr/>
              <w:spacing w:after="0" w:before="0" w:line="240"/>
              <w:ind/>
              <w:rPr>
                <w:color w:val="000000" w:themeColor="text1"/>
              </w:rPr>
            </w:pPr>
            <w:r>
              <w:rPr>
                <w:rFonts w:ascii="Arial" w:hAnsi="Arial" w:eastAsia="Arial" w:cs="Arial"/>
                <w:color w:val="000000" w:themeColor="text1"/>
                <w:sz w:val="21"/>
              </w:rPr>
              <w:t xml:space="preserve">Enabled modern generative MedVQA pipelines</w:t>
            </w:r>
            <w:r>
              <w:rPr>
                <w:color w:val="000000" w:themeColor="text1"/>
              </w:rPr>
            </w:r>
          </w:p>
        </w:tc>
      </w:tr>
      <w:tr>
        <w:trPr/>
        <w:tc>
          <w:tcPr>
            <w:tcBorders/>
            <w:tcW w:w="2160" w:type="dxa"/>
            <w:textDirection w:val="lrTb"/>
            <w:noWrap w:val="false"/>
          </w:tcPr>
          <w:p w14:paraId="78BA26E6">
            <w:pPr>
              <w:pBdr/>
              <w:spacing w:after="0" w:before="0" w:line="240"/>
              <w:ind/>
              <w:rPr>
                <w:color w:val="000000" w:themeColor="text1"/>
              </w:rPr>
            </w:pPr>
            <w:r>
              <w:rPr>
                <w:rFonts w:ascii="Arial" w:hAnsi="Arial" w:eastAsia="Arial" w:cs="Arial"/>
                <w:color w:val="000000" w:themeColor="text1"/>
                <w:sz w:val="21"/>
              </w:rPr>
              <w:t xml:space="preserve">OmniMedVQA [R8]</w:t>
            </w:r>
            <w:r>
              <w:rPr>
                <w:color w:val="000000" w:themeColor="text1"/>
              </w:rPr>
            </w:r>
          </w:p>
        </w:tc>
        <w:tc>
          <w:tcPr>
            <w:tcBorders/>
            <w:tcW w:w="1426" w:type="dxa"/>
            <w:textDirection w:val="lrTb"/>
            <w:noWrap w:val="false"/>
          </w:tcPr>
          <w:p w14:paraId="46704286">
            <w:pPr>
              <w:pBdr/>
              <w:spacing w:after="0" w:before="0" w:line="240"/>
              <w:ind/>
              <w:jc w:val="right"/>
              <w:rPr>
                <w:color w:val="000000" w:themeColor="text1"/>
              </w:rPr>
            </w:pPr>
            <w:r>
              <w:rPr>
                <w:rFonts w:ascii="Arial" w:hAnsi="Arial" w:eastAsia="Arial" w:cs="Arial"/>
                <w:color w:val="000000" w:themeColor="text1"/>
                <w:sz w:val="21"/>
              </w:rPr>
              <w:t xml:space="preserve">2024</w:t>
            </w:r>
            <w:r>
              <w:rPr>
                <w:color w:val="000000" w:themeColor="text1"/>
              </w:rPr>
            </w:r>
          </w:p>
        </w:tc>
        <w:tc>
          <w:tcPr>
            <w:tcBorders/>
            <w:tcW w:w="2894" w:type="dxa"/>
            <w:textDirection w:val="lrTb"/>
            <w:noWrap w:val="false"/>
          </w:tcPr>
          <w:p w14:paraId="60F36358">
            <w:pPr>
              <w:pBdr/>
              <w:spacing w:after="0" w:before="0" w:line="240"/>
              <w:ind/>
              <w:rPr>
                <w:color w:val="000000" w:themeColor="text1"/>
              </w:rPr>
            </w:pPr>
            <w:r>
              <w:rPr>
                <w:rFonts w:ascii="Arial" w:hAnsi="Arial" w:eastAsia="Arial" w:cs="Arial"/>
                <w:color w:val="000000" w:themeColor="text1"/>
                <w:sz w:val="21"/>
              </w:rPr>
              <w:t xml:space="preserve">Large multi-dataset LVLM benchmark</w:t>
            </w:r>
            <w:r>
              <w:rPr>
                <w:color w:val="000000" w:themeColor="text1"/>
              </w:rPr>
            </w:r>
          </w:p>
        </w:tc>
        <w:tc>
          <w:tcPr>
            <w:tcBorders/>
            <w:tcW w:w="2633" w:type="dxa"/>
            <w:textDirection w:val="lrTb"/>
            <w:noWrap w:val="false"/>
          </w:tcPr>
          <w:p w14:paraId="0055A413">
            <w:pPr>
              <w:pBdr/>
              <w:spacing w:after="0" w:before="0" w:line="240"/>
              <w:ind/>
              <w:rPr>
                <w:color w:val="000000" w:themeColor="text1"/>
              </w:rPr>
            </w:pPr>
            <w:r>
              <w:rPr>
                <w:rFonts w:ascii="Arial" w:hAnsi="Arial" w:eastAsia="Arial" w:cs="Arial"/>
                <w:color w:val="000000" w:themeColor="text1"/>
                <w:sz w:val="21"/>
              </w:rPr>
              <w:t xml:space="preserve">Stress-tests generalization across modalities and anatomy</w:t>
            </w:r>
            <w:r>
              <w:rPr>
                <w:color w:val="000000" w:themeColor="text1"/>
              </w:rPr>
            </w:r>
          </w:p>
        </w:tc>
      </w:tr>
      <w:tr>
        <w:trPr/>
        <w:tc>
          <w:tcPr>
            <w:tcBorders/>
            <w:tcW w:w="2160" w:type="dxa"/>
            <w:textDirection w:val="lrTb"/>
            <w:noWrap w:val="false"/>
          </w:tcPr>
          <w:p w14:paraId="754AC196">
            <w:pPr>
              <w:pBdr/>
              <w:spacing w:after="0" w:before="0" w:line="240"/>
              <w:ind/>
              <w:rPr>
                <w:color w:val="000000" w:themeColor="text1"/>
              </w:rPr>
            </w:pPr>
            <w:r>
              <w:rPr>
                <w:rFonts w:ascii="Arial" w:hAnsi="Arial" w:eastAsia="Arial" w:cs="Arial"/>
                <w:color w:val="000000" w:themeColor="text1"/>
                <w:sz w:val="21"/>
              </w:rPr>
              <w:t xml:space="preserve">MedBookVQA [R9]</w:t>
            </w:r>
            <w:r>
              <w:rPr>
                <w:color w:val="000000" w:themeColor="text1"/>
              </w:rPr>
            </w:r>
          </w:p>
        </w:tc>
        <w:tc>
          <w:tcPr>
            <w:tcBorders/>
            <w:tcW w:w="1426" w:type="dxa"/>
            <w:textDirection w:val="lrTb"/>
            <w:noWrap w:val="false"/>
          </w:tcPr>
          <w:p w14:paraId="7905BDE8">
            <w:pPr>
              <w:pBdr/>
              <w:spacing w:after="0" w:before="0" w:line="240"/>
              <w:ind/>
              <w:jc w:val="right"/>
              <w:rPr>
                <w:color w:val="000000" w:themeColor="text1"/>
              </w:rPr>
            </w:pPr>
            <w:r>
              <w:rPr>
                <w:rFonts w:ascii="Arial" w:hAnsi="Arial" w:eastAsia="Arial" w:cs="Arial"/>
                <w:color w:val="000000" w:themeColor="text1"/>
                <w:sz w:val="21"/>
              </w:rPr>
              <w:t xml:space="preserve">2025</w:t>
            </w:r>
            <w:r>
              <w:rPr>
                <w:color w:val="000000" w:themeColor="text1"/>
              </w:rPr>
            </w:r>
          </w:p>
        </w:tc>
        <w:tc>
          <w:tcPr>
            <w:tcBorders/>
            <w:tcW w:w="2894" w:type="dxa"/>
            <w:textDirection w:val="lrTb"/>
            <w:noWrap w:val="false"/>
          </w:tcPr>
          <w:p w14:paraId="00F92362">
            <w:pPr>
              <w:pBdr/>
              <w:spacing w:after="0" w:before="0" w:line="240"/>
              <w:ind/>
              <w:rPr>
                <w:color w:val="000000" w:themeColor="text1"/>
              </w:rPr>
            </w:pPr>
            <w:r>
              <w:rPr>
                <w:rFonts w:ascii="Arial" w:hAnsi="Arial" w:eastAsia="Arial" w:cs="Arial"/>
                <w:color w:val="000000" w:themeColor="text1"/>
                <w:sz w:val="21"/>
              </w:rPr>
              <w:t xml:space="preserve">Textbook-derived multimodal benchmark</w:t>
            </w:r>
            <w:r>
              <w:rPr>
                <w:color w:val="000000" w:themeColor="text1"/>
              </w:rPr>
            </w:r>
          </w:p>
        </w:tc>
        <w:tc>
          <w:tcPr>
            <w:tcBorders/>
            <w:tcW w:w="2633" w:type="dxa"/>
            <w:textDirection w:val="lrTb"/>
            <w:noWrap w:val="false"/>
          </w:tcPr>
          <w:p w14:paraId="281F7F3A">
            <w:pPr>
              <w:pBdr/>
              <w:spacing w:after="0" w:before="0" w:line="240"/>
              <w:ind/>
              <w:rPr>
                <w:color w:val="000000" w:themeColor="text1"/>
              </w:rPr>
            </w:pPr>
            <w:r>
              <w:rPr>
                <w:rFonts w:ascii="Arial" w:hAnsi="Arial" w:eastAsia="Arial" w:cs="Arial"/>
                <w:color w:val="000000" w:themeColor="text1"/>
                <w:sz w:val="21"/>
              </w:rPr>
              <w:t xml:space="preserve">Structured benchmark for broad medical domains</w:t>
            </w:r>
            <w:r>
              <w:rPr>
                <w:color w:val="000000" w:themeColor="text1"/>
              </w:rPr>
            </w:r>
          </w:p>
        </w:tc>
      </w:tr>
      <w:tr>
        <w:trPr/>
        <w:tc>
          <w:tcPr>
            <w:tcBorders/>
            <w:tcW w:w="2160" w:type="dxa"/>
            <w:textDirection w:val="lrTb"/>
            <w:noWrap w:val="false"/>
          </w:tcPr>
          <w:p w14:paraId="6D66E4BF">
            <w:pPr>
              <w:pBdr/>
              <w:spacing w:after="0" w:before="0" w:line="240"/>
              <w:ind/>
              <w:rPr>
                <w:color w:val="000000" w:themeColor="text1"/>
              </w:rPr>
            </w:pPr>
            <w:r>
              <w:rPr>
                <w:rFonts w:ascii="Arial" w:hAnsi="Arial" w:eastAsia="Arial" w:cs="Arial"/>
                <w:color w:val="000000" w:themeColor="text1"/>
                <w:sz w:val="21"/>
              </w:rPr>
              <w:t xml:space="preserve">MedFrameQA [R10]</w:t>
            </w:r>
            <w:r>
              <w:rPr>
                <w:color w:val="000000" w:themeColor="text1"/>
              </w:rPr>
            </w:r>
          </w:p>
        </w:tc>
        <w:tc>
          <w:tcPr>
            <w:tcBorders/>
            <w:tcW w:w="1426" w:type="dxa"/>
            <w:textDirection w:val="lrTb"/>
            <w:noWrap w:val="false"/>
          </w:tcPr>
          <w:p w14:paraId="31930385">
            <w:pPr>
              <w:pBdr/>
              <w:spacing w:after="0" w:before="0" w:line="240"/>
              <w:ind/>
              <w:jc w:val="right"/>
              <w:rPr>
                <w:color w:val="000000" w:themeColor="text1"/>
              </w:rPr>
            </w:pPr>
            <w:r>
              <w:rPr>
                <w:rFonts w:ascii="Arial" w:hAnsi="Arial" w:eastAsia="Arial" w:cs="Arial"/>
                <w:color w:val="000000" w:themeColor="text1"/>
                <w:sz w:val="21"/>
              </w:rPr>
              <w:t xml:space="preserve">2025 (rev. 2026)</w:t>
            </w:r>
            <w:r>
              <w:rPr>
                <w:color w:val="000000" w:themeColor="text1"/>
              </w:rPr>
            </w:r>
          </w:p>
        </w:tc>
        <w:tc>
          <w:tcPr>
            <w:tcBorders/>
            <w:tcW w:w="2894" w:type="dxa"/>
            <w:textDirection w:val="lrTb"/>
            <w:noWrap w:val="false"/>
          </w:tcPr>
          <w:p w14:paraId="49FAF7BF">
            <w:pPr>
              <w:pBdr/>
              <w:spacing w:after="0" w:before="0" w:line="240"/>
              <w:ind/>
              <w:rPr>
                <w:color w:val="000000" w:themeColor="text1"/>
              </w:rPr>
            </w:pPr>
            <w:r>
              <w:rPr>
                <w:rFonts w:ascii="Arial" w:hAnsi="Arial" w:eastAsia="Arial" w:cs="Arial"/>
                <w:color w:val="000000" w:themeColor="text1"/>
                <w:sz w:val="21"/>
              </w:rPr>
              <w:t xml:space="preserve">Multi-image reasoning benchmark</w:t>
            </w:r>
            <w:r>
              <w:rPr>
                <w:color w:val="000000" w:themeColor="text1"/>
              </w:rPr>
            </w:r>
          </w:p>
        </w:tc>
        <w:tc>
          <w:tcPr>
            <w:tcBorders/>
            <w:tcW w:w="2633" w:type="dxa"/>
            <w:textDirection w:val="lrTb"/>
            <w:noWrap w:val="false"/>
          </w:tcPr>
          <w:p w14:paraId="3056A85A">
            <w:pPr>
              <w:pBdr/>
              <w:spacing w:after="0" w:before="0" w:line="240"/>
              <w:ind/>
              <w:rPr>
                <w:color w:val="000000" w:themeColor="text1"/>
              </w:rPr>
            </w:pPr>
            <w:r>
              <w:rPr>
                <w:rFonts w:ascii="Arial" w:hAnsi="Arial" w:eastAsia="Arial" w:cs="Arial"/>
                <w:color w:val="000000" w:themeColor="text1"/>
                <w:sz w:val="21"/>
              </w:rPr>
              <w:t xml:space="preserve">Closer to real clinical workflow than single-image QA</w:t>
            </w:r>
            <w:r>
              <w:rPr>
                <w:color w:val="000000" w:themeColor="text1"/>
              </w:rPr>
            </w:r>
          </w:p>
        </w:tc>
      </w:tr>
    </w:tbl>
    <w:p w14:paraId="374281B9">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bidi="en-CA"/>
        </w:rPr>
      </w:r>
      <w:r/>
      <w:r>
        <w:rPr>
          <w:rFonts w:ascii="Arial" w:hAnsi="Arial" w:eastAsia="Arial" w:cs="Arial"/>
          <w:b w:val="0"/>
          <w:bCs w:val="0"/>
          <w:i w:val="0"/>
          <w:iCs w:val="0"/>
          <w:caps w:val="0"/>
          <w:smallCaps w:val="0"/>
          <w:color w:val="000000" w:themeColor="text1" w:themeTint="FF" w:themeShade="FF"/>
          <w:sz w:val="22"/>
          <w:szCs w:val="22"/>
          <w:highlight w:val="none"/>
          <w:lang w:val="en-CA" w:bidi="en-CA"/>
        </w:rPr>
        <w:tab/>
      </w:r>
      <w:r>
        <w:rPr>
          <w:rFonts w:ascii="Arial" w:hAnsi="Arial" w:eastAsia="Arial" w:cs="Arial"/>
          <w:b w:val="0"/>
          <w:bCs w:val="0"/>
          <w:i w:val="0"/>
          <w:iCs w:val="0"/>
          <w:caps w:val="0"/>
          <w:smallCaps w:val="0"/>
          <w:color w:val="000000" w:themeColor="text1" w:themeTint="FF" w:themeShade="FF"/>
          <w:sz w:val="22"/>
          <w:szCs w:val="22"/>
          <w:highlight w:val="none"/>
          <w:lang w:val="en-CA" w:bidi="en-CA"/>
        </w:rPr>
        <w:t xml:space="preserve">Table 2.4. Foundational and Recent General MedVQA Resources</w:t>
      </w:r>
      <w:r>
        <w:rPr>
          <w:rFonts w:ascii="Arial" w:hAnsi="Arial" w:eastAsia="Arial" w:cs="Arial"/>
          <w:b w:val="0"/>
          <w:bCs w:val="0"/>
          <w:i w:val="0"/>
          <w:iCs w:val="0"/>
          <w:caps w:val="0"/>
          <w:smallCaps w:val="0"/>
          <w:color w:val="000000" w:themeColor="text1" w:themeTint="FF" w:themeShade="FF"/>
          <w:sz w:val="22"/>
          <w:szCs w:val="22"/>
          <w:highlight w:val="none"/>
          <w:lang w:val="en-CA" w:bidi="en-CA"/>
        </w:rPr>
      </w:r>
      <w:r>
        <w:rPr>
          <w:rFonts w:ascii="Arial" w:hAnsi="Arial" w:eastAsia="Arial" w:cs="Arial"/>
          <w:b w:val="0"/>
          <w:bCs w:val="0"/>
          <w:i w:val="0"/>
          <w:iCs w:val="0"/>
          <w:caps w:val="0"/>
          <w:smallCaps w:val="0"/>
          <w:color w:val="000000" w:themeColor="text1" w:themeTint="FF" w:themeShade="FF"/>
          <w:sz w:val="22"/>
          <w:szCs w:val="22"/>
          <w:highlight w:val="none"/>
          <w:lang w:val="en-CA"/>
        </w:rPr>
      </w:r>
    </w:p>
    <w:p w14:paraId="3F084256">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4BEE2106">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2E63B3B5">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04AC9EB">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831"/>
        <w:tblW w:w="0" w:type="auto"/>
        <w:tblBorders/>
        <w:tblLayout w:type="fixed"/>
        <w:tblLook w:val="04A0" w:firstRow="1" w:lastRow="0" w:firstColumn="1" w:lastColumn="0" w:noHBand="0" w:noVBand="1"/>
      </w:tblPr>
      <w:tblGrid>
        <w:gridCol w:w="2160"/>
        <w:gridCol w:w="1284"/>
        <w:gridCol w:w="3036"/>
        <w:gridCol w:w="2350"/>
      </w:tblGrid>
      <w:tr>
        <w:trPr/>
        <w:tc>
          <w:tcPr>
            <w:tcBorders/>
            <w:tcW w:w="2160" w:type="dxa"/>
            <w:textDirection w:val="lrTb"/>
            <w:noWrap w:val="false"/>
          </w:tcPr>
          <w:p w14:paraId="15F65CF3">
            <w:pPr>
              <w:pBdr/>
              <w:spacing w:after="0" w:before="0" w:line="240"/>
              <w:ind/>
              <w:rPr>
                <w:color w:val="000000" w:themeColor="text1"/>
              </w:rPr>
            </w:pPr>
            <w:r>
              <w:rPr>
                <w:rFonts w:ascii="Arial" w:hAnsi="Arial" w:eastAsia="Arial" w:cs="Arial"/>
                <w:b/>
                <w:color w:val="000000" w:themeColor="text1"/>
                <w:sz w:val="21"/>
              </w:rPr>
              <w:t xml:space="preserve">Resource</w:t>
            </w:r>
            <w:r>
              <w:rPr>
                <w:color w:val="000000" w:themeColor="text1"/>
              </w:rPr>
            </w:r>
          </w:p>
        </w:tc>
        <w:tc>
          <w:tcPr>
            <w:tcBorders/>
            <w:tcW w:w="1284" w:type="dxa"/>
            <w:textDirection w:val="lrTb"/>
            <w:noWrap w:val="false"/>
          </w:tcPr>
          <w:p w14:paraId="5652BFCF">
            <w:pPr>
              <w:pBdr/>
              <w:spacing w:after="0" w:before="0" w:line="240"/>
              <w:ind/>
              <w:jc w:val="right"/>
              <w:rPr>
                <w:color w:val="000000" w:themeColor="text1"/>
              </w:rPr>
            </w:pPr>
            <w:r>
              <w:rPr>
                <w:rFonts w:ascii="Arial" w:hAnsi="Arial" w:eastAsia="Arial" w:cs="Arial"/>
                <w:b/>
                <w:color w:val="000000" w:themeColor="text1"/>
                <w:sz w:val="21"/>
              </w:rPr>
              <w:t xml:space="preserve">Year</w:t>
            </w:r>
            <w:r>
              <w:rPr>
                <w:color w:val="000000" w:themeColor="text1"/>
              </w:rPr>
            </w:r>
          </w:p>
        </w:tc>
        <w:tc>
          <w:tcPr>
            <w:tcBorders/>
            <w:tcW w:w="3036" w:type="dxa"/>
            <w:textDirection w:val="lrTb"/>
            <w:noWrap w:val="false"/>
          </w:tcPr>
          <w:p w14:paraId="2713A7DF">
            <w:pPr>
              <w:pBdr/>
              <w:spacing w:after="0" w:before="0" w:line="240"/>
              <w:ind/>
              <w:rPr>
                <w:color w:val="000000" w:themeColor="text1"/>
              </w:rPr>
            </w:pPr>
            <w:r>
              <w:rPr>
                <w:rFonts w:ascii="Arial" w:hAnsi="Arial" w:eastAsia="Arial" w:cs="Arial"/>
                <w:b/>
                <w:color w:val="000000" w:themeColor="text1"/>
                <w:sz w:val="21"/>
              </w:rPr>
              <w:t xml:space="preserve">Reported scale</w:t>
            </w:r>
            <w:r>
              <w:rPr>
                <w:color w:val="000000" w:themeColor="text1"/>
              </w:rPr>
            </w:r>
          </w:p>
        </w:tc>
        <w:tc>
          <w:tcPr>
            <w:tcBorders/>
            <w:tcW w:w="2350" w:type="dxa"/>
            <w:textDirection w:val="lrTb"/>
            <w:noWrap w:val="false"/>
          </w:tcPr>
          <w:p w14:paraId="5D0C5E8B">
            <w:pPr>
              <w:pBdr/>
              <w:spacing w:after="0" w:before="0" w:line="240"/>
              <w:ind/>
              <w:rPr>
                <w:color w:val="000000" w:themeColor="text1"/>
              </w:rPr>
            </w:pPr>
            <w:r>
              <w:rPr>
                <w:rFonts w:ascii="Arial" w:hAnsi="Arial" w:eastAsia="Arial" w:cs="Arial"/>
                <w:b/>
                <w:color w:val="000000" w:themeColor="text1"/>
                <w:sz w:val="21"/>
              </w:rPr>
              <w:t xml:space="preserve">Role in this thesis</w:t>
            </w:r>
            <w:r>
              <w:rPr>
                <w:color w:val="000000" w:themeColor="text1"/>
              </w:rPr>
            </w:r>
          </w:p>
        </w:tc>
      </w:tr>
      <w:tr>
        <w:trPr/>
        <w:tc>
          <w:tcPr>
            <w:tcBorders/>
            <w:tcW w:w="2160" w:type="dxa"/>
            <w:textDirection w:val="lrTb"/>
            <w:noWrap w:val="false"/>
          </w:tcPr>
          <w:p w14:paraId="4259C4E5">
            <w:pPr>
              <w:pBdr/>
              <w:spacing w:after="0" w:before="0" w:line="240"/>
              <w:ind/>
              <w:rPr>
                <w:color w:val="000000" w:themeColor="text1"/>
              </w:rPr>
            </w:pPr>
            <w:r>
              <w:rPr>
                <w:rFonts w:ascii="Arial" w:hAnsi="Arial" w:eastAsia="Arial" w:cs="Arial"/>
                <w:color w:val="000000" w:themeColor="text1"/>
                <w:sz w:val="21"/>
              </w:rPr>
              <w:t xml:space="preserve">HyperKvasir [R16]</w:t>
            </w:r>
            <w:r>
              <w:rPr>
                <w:color w:val="000000" w:themeColor="text1"/>
              </w:rPr>
            </w:r>
          </w:p>
        </w:tc>
        <w:tc>
          <w:tcPr>
            <w:tcBorders/>
            <w:tcW w:w="1284" w:type="dxa"/>
            <w:textDirection w:val="lrTb"/>
            <w:noWrap w:val="false"/>
          </w:tcPr>
          <w:p w14:paraId="45E3CBF2">
            <w:pPr>
              <w:pBdr/>
              <w:spacing w:after="0" w:before="0" w:line="240"/>
              <w:ind/>
              <w:jc w:val="right"/>
              <w:rPr>
                <w:color w:val="000000" w:themeColor="text1"/>
              </w:rPr>
            </w:pPr>
            <w:r>
              <w:rPr>
                <w:rFonts w:ascii="Arial" w:hAnsi="Arial" w:eastAsia="Arial" w:cs="Arial"/>
                <w:color w:val="000000" w:themeColor="text1"/>
                <w:sz w:val="21"/>
              </w:rPr>
              <w:t xml:space="preserve">2020</w:t>
            </w:r>
            <w:r>
              <w:rPr>
                <w:color w:val="000000" w:themeColor="text1"/>
              </w:rPr>
            </w:r>
          </w:p>
        </w:tc>
        <w:tc>
          <w:tcPr>
            <w:tcBorders/>
            <w:tcW w:w="3036" w:type="dxa"/>
            <w:textDirection w:val="lrTb"/>
            <w:noWrap w:val="false"/>
          </w:tcPr>
          <w:p w14:paraId="04057AAC">
            <w:pPr>
              <w:pBdr/>
              <w:spacing w:after="0" w:before="0" w:line="240"/>
              <w:ind/>
              <w:rPr>
                <w:color w:val="000000" w:themeColor="text1"/>
              </w:rPr>
            </w:pPr>
            <w:r>
              <w:rPr>
                <w:rFonts w:ascii="Arial" w:hAnsi="Arial" w:eastAsia="Arial" w:cs="Arial"/>
                <w:color w:val="000000" w:themeColor="text1"/>
                <w:sz w:val="21"/>
              </w:rPr>
              <w:t xml:space="preserve">110,079 images + 374 videos</w:t>
            </w:r>
            <w:r>
              <w:rPr>
                <w:color w:val="000000" w:themeColor="text1"/>
              </w:rPr>
            </w:r>
          </w:p>
        </w:tc>
        <w:tc>
          <w:tcPr>
            <w:tcBorders/>
            <w:tcW w:w="2350" w:type="dxa"/>
            <w:textDirection w:val="lrTb"/>
            <w:noWrap w:val="false"/>
          </w:tcPr>
          <w:p w14:paraId="3DC0F53C">
            <w:pPr>
              <w:pBdr/>
              <w:spacing w:after="0" w:before="0" w:line="240"/>
              <w:ind/>
              <w:rPr>
                <w:color w:val="000000" w:themeColor="text1"/>
              </w:rPr>
            </w:pPr>
            <w:r>
              <w:rPr>
                <w:rFonts w:ascii="Arial" w:hAnsi="Arial" w:eastAsia="Arial" w:cs="Arial"/>
                <w:color w:val="000000" w:themeColor="text1"/>
                <w:sz w:val="21"/>
              </w:rPr>
              <w:t xml:space="preserve">Core GI visual foundation and class diversity</w:t>
            </w:r>
            <w:r>
              <w:rPr>
                <w:color w:val="000000" w:themeColor="text1"/>
              </w:rPr>
            </w:r>
          </w:p>
        </w:tc>
      </w:tr>
      <w:tr>
        <w:trPr/>
        <w:tc>
          <w:tcPr>
            <w:tcBorders/>
            <w:tcW w:w="2160" w:type="dxa"/>
            <w:textDirection w:val="lrTb"/>
            <w:noWrap w:val="false"/>
          </w:tcPr>
          <w:p w14:paraId="52508326">
            <w:pPr>
              <w:pBdr/>
              <w:spacing w:after="0" w:before="0" w:line="240"/>
              <w:ind/>
              <w:rPr>
                <w:color w:val="000000" w:themeColor="text1"/>
              </w:rPr>
            </w:pPr>
            <w:r>
              <w:rPr>
                <w:rFonts w:ascii="Arial" w:hAnsi="Arial" w:eastAsia="Arial" w:cs="Arial"/>
                <w:color w:val="000000" w:themeColor="text1"/>
                <w:sz w:val="21"/>
              </w:rPr>
              <w:t xml:space="preserve">Kvasir-Capsule [R17]</w:t>
            </w:r>
            <w:r>
              <w:rPr>
                <w:color w:val="000000" w:themeColor="text1"/>
              </w:rPr>
            </w:r>
          </w:p>
        </w:tc>
        <w:tc>
          <w:tcPr>
            <w:tcBorders/>
            <w:tcW w:w="1284" w:type="dxa"/>
            <w:textDirection w:val="lrTb"/>
            <w:noWrap w:val="false"/>
          </w:tcPr>
          <w:p w14:paraId="114D8A68">
            <w:pPr>
              <w:pBdr/>
              <w:spacing w:after="0" w:before="0" w:line="240"/>
              <w:ind/>
              <w:jc w:val="right"/>
              <w:rPr>
                <w:color w:val="000000" w:themeColor="text1"/>
              </w:rPr>
            </w:pPr>
            <w:r>
              <w:rPr>
                <w:rFonts w:ascii="Arial" w:hAnsi="Arial" w:eastAsia="Arial" w:cs="Arial"/>
                <w:color w:val="000000" w:themeColor="text1"/>
                <w:sz w:val="21"/>
              </w:rPr>
              <w:t xml:space="preserve">2021</w:t>
            </w:r>
            <w:r>
              <w:rPr>
                <w:color w:val="000000" w:themeColor="text1"/>
              </w:rPr>
            </w:r>
          </w:p>
        </w:tc>
        <w:tc>
          <w:tcPr>
            <w:tcBorders/>
            <w:tcW w:w="3036" w:type="dxa"/>
            <w:textDirection w:val="lrTb"/>
            <w:noWrap w:val="false"/>
          </w:tcPr>
          <w:p w14:paraId="59471B5E">
            <w:pPr>
              <w:pBdr/>
              <w:spacing w:after="0" w:before="0" w:line="240"/>
              <w:ind/>
              <w:rPr>
                <w:color w:val="000000" w:themeColor="text1"/>
              </w:rPr>
            </w:pPr>
            <w:r>
              <w:rPr>
                <w:rFonts w:ascii="Arial" w:hAnsi="Arial" w:eastAsia="Arial" w:cs="Arial"/>
                <w:color w:val="000000" w:themeColor="text1"/>
                <w:sz w:val="21"/>
              </w:rPr>
              <w:t xml:space="preserve">117 videos, 4.7M+ frames, 47k+ labeled frames</w:t>
            </w:r>
            <w:r>
              <w:rPr>
                <w:color w:val="000000" w:themeColor="text1"/>
              </w:rPr>
            </w:r>
          </w:p>
        </w:tc>
        <w:tc>
          <w:tcPr>
            <w:tcBorders/>
            <w:tcW w:w="2350" w:type="dxa"/>
            <w:textDirection w:val="lrTb"/>
            <w:noWrap w:val="false"/>
          </w:tcPr>
          <w:p w14:paraId="5B92116C">
            <w:pPr>
              <w:pBdr/>
              <w:spacing w:after="0" w:before="0" w:line="240"/>
              <w:ind/>
              <w:rPr>
                <w:color w:val="000000" w:themeColor="text1"/>
              </w:rPr>
            </w:pPr>
            <w:r>
              <w:rPr>
                <w:rFonts w:ascii="Arial" w:hAnsi="Arial" w:eastAsia="Arial" w:cs="Arial"/>
                <w:color w:val="000000" w:themeColor="text1"/>
                <w:sz w:val="21"/>
              </w:rPr>
              <w:t xml:space="preserve">Robustness and broader GI variability context</w:t>
            </w:r>
            <w:r>
              <w:rPr>
                <w:color w:val="000000" w:themeColor="text1"/>
              </w:rPr>
            </w:r>
          </w:p>
        </w:tc>
      </w:tr>
      <w:tr>
        <w:trPr/>
        <w:tc>
          <w:tcPr>
            <w:tcBorders/>
            <w:tcW w:w="2160" w:type="dxa"/>
            <w:textDirection w:val="lrTb"/>
            <w:noWrap w:val="false"/>
          </w:tcPr>
          <w:p w14:paraId="2AA66DA5">
            <w:pPr>
              <w:pBdr/>
              <w:spacing w:after="0" w:before="0" w:line="240"/>
              <w:ind/>
              <w:rPr>
                <w:color w:val="000000" w:themeColor="text1"/>
              </w:rPr>
            </w:pPr>
            <w:r>
              <w:rPr>
                <w:rFonts w:ascii="Arial" w:hAnsi="Arial" w:eastAsia="Arial" w:cs="Arial"/>
                <w:color w:val="000000" w:themeColor="text1"/>
                <w:sz w:val="21"/>
              </w:rPr>
              <w:t xml:space="preserve">LIMUC [R37]</w:t>
            </w:r>
            <w:r>
              <w:rPr>
                <w:color w:val="000000" w:themeColor="text1"/>
              </w:rPr>
            </w:r>
          </w:p>
        </w:tc>
        <w:tc>
          <w:tcPr>
            <w:tcBorders/>
            <w:tcW w:w="1284" w:type="dxa"/>
            <w:textDirection w:val="lrTb"/>
            <w:noWrap w:val="false"/>
          </w:tcPr>
          <w:p w14:paraId="05D42C81">
            <w:pPr>
              <w:pBdr/>
              <w:spacing w:after="0" w:before="0" w:line="240"/>
              <w:ind/>
              <w:jc w:val="right"/>
              <w:rPr>
                <w:color w:val="000000" w:themeColor="text1"/>
              </w:rPr>
            </w:pPr>
            <w:r>
              <w:rPr>
                <w:rFonts w:ascii="Arial" w:hAnsi="Arial" w:eastAsia="Arial" w:cs="Arial"/>
                <w:color w:val="000000" w:themeColor="text1"/>
                <w:sz w:val="21"/>
              </w:rPr>
              <w:t xml:space="preserve">2022</w:t>
            </w:r>
            <w:r>
              <w:rPr>
                <w:color w:val="000000" w:themeColor="text1"/>
              </w:rPr>
            </w:r>
          </w:p>
        </w:tc>
        <w:tc>
          <w:tcPr>
            <w:tcBorders/>
            <w:tcW w:w="3036" w:type="dxa"/>
            <w:textDirection w:val="lrTb"/>
            <w:noWrap w:val="false"/>
          </w:tcPr>
          <w:p w14:paraId="4B1BB7BB">
            <w:pPr>
              <w:pBdr/>
              <w:spacing w:after="0" w:before="0" w:line="240"/>
              <w:ind/>
              <w:rPr>
                <w:color w:val="000000" w:themeColor="text1"/>
              </w:rPr>
            </w:pPr>
            <w:r>
              <w:rPr>
                <w:rFonts w:ascii="Arial" w:hAnsi="Arial" w:eastAsia="Arial" w:cs="Arial"/>
                <w:color w:val="000000" w:themeColor="text1"/>
                <w:sz w:val="21"/>
              </w:rPr>
              <w:t xml:space="preserve">11,276 UC images from 564 patients</w:t>
            </w:r>
            <w:r>
              <w:rPr>
                <w:color w:val="000000" w:themeColor="text1"/>
              </w:rPr>
            </w:r>
          </w:p>
        </w:tc>
        <w:tc>
          <w:tcPr>
            <w:tcBorders/>
            <w:tcW w:w="2350" w:type="dxa"/>
            <w:textDirection w:val="lrTb"/>
            <w:noWrap w:val="false"/>
          </w:tcPr>
          <w:p w14:paraId="2E7C7021">
            <w:pPr>
              <w:pBdr/>
              <w:spacing w:after="0" w:before="0" w:line="240"/>
              <w:ind/>
              <w:rPr>
                <w:color w:val="000000" w:themeColor="text1"/>
              </w:rPr>
            </w:pPr>
            <w:r>
              <w:rPr>
                <w:rFonts w:ascii="Arial" w:hAnsi="Arial" w:eastAsia="Arial" w:cs="Arial"/>
                <w:color w:val="000000" w:themeColor="text1"/>
                <w:sz w:val="21"/>
              </w:rPr>
              <w:t xml:space="preserve">UC severity and ordinal evaluation anchor</w:t>
            </w:r>
            <w:r>
              <w:rPr>
                <w:color w:val="000000" w:themeColor="text1"/>
              </w:rPr>
            </w:r>
          </w:p>
        </w:tc>
      </w:tr>
      <w:tr>
        <w:trPr/>
        <w:tc>
          <w:tcPr>
            <w:tcBorders/>
            <w:tcW w:w="2160" w:type="dxa"/>
            <w:textDirection w:val="lrTb"/>
            <w:noWrap w:val="false"/>
          </w:tcPr>
          <w:p w14:paraId="114104BD">
            <w:pPr>
              <w:pBdr/>
              <w:spacing w:after="0" w:before="0" w:line="240"/>
              <w:ind/>
              <w:rPr>
                <w:color w:val="000000" w:themeColor="text1"/>
              </w:rPr>
            </w:pPr>
            <w:r>
              <w:rPr>
                <w:rFonts w:ascii="Arial" w:hAnsi="Arial" w:eastAsia="Arial" w:cs="Arial"/>
                <w:color w:val="000000" w:themeColor="text1"/>
                <w:sz w:val="21"/>
              </w:rPr>
              <w:t xml:space="preserve">ImageCLEF MEDVQA-GI 2023 [R22], [R23]</w:t>
            </w:r>
            <w:r>
              <w:rPr>
                <w:color w:val="000000" w:themeColor="text1"/>
              </w:rPr>
            </w:r>
          </w:p>
        </w:tc>
        <w:tc>
          <w:tcPr>
            <w:tcBorders/>
            <w:tcW w:w="1284" w:type="dxa"/>
            <w:textDirection w:val="lrTb"/>
            <w:noWrap w:val="false"/>
          </w:tcPr>
          <w:p w14:paraId="400DF52F">
            <w:pPr>
              <w:pBdr/>
              <w:spacing w:after="0" w:before="0" w:line="240"/>
              <w:ind/>
              <w:jc w:val="right"/>
              <w:rPr>
                <w:color w:val="000000" w:themeColor="text1"/>
              </w:rPr>
            </w:pPr>
            <w:r>
              <w:rPr>
                <w:rFonts w:ascii="Arial" w:hAnsi="Arial" w:eastAsia="Arial" w:cs="Arial"/>
                <w:color w:val="000000" w:themeColor="text1"/>
                <w:sz w:val="21"/>
              </w:rPr>
              <w:t xml:space="preserve">2023</w:t>
            </w:r>
            <w:r>
              <w:rPr>
                <w:color w:val="000000" w:themeColor="text1"/>
              </w:rPr>
            </w:r>
          </w:p>
        </w:tc>
        <w:tc>
          <w:tcPr>
            <w:tcBorders/>
            <w:tcW w:w="3036" w:type="dxa"/>
            <w:textDirection w:val="lrTb"/>
            <w:noWrap w:val="false"/>
          </w:tcPr>
          <w:p w14:paraId="76158138">
            <w:pPr>
              <w:pBdr/>
              <w:spacing w:after="0" w:before="0" w:line="240"/>
              <w:ind/>
              <w:rPr>
                <w:color w:val="000000" w:themeColor="text1"/>
              </w:rPr>
            </w:pPr>
            <w:r>
              <w:rPr>
                <w:rFonts w:ascii="Arial" w:hAnsi="Arial" w:eastAsia="Arial" w:cs="Arial"/>
                <w:color w:val="000000" w:themeColor="text1"/>
                <w:sz w:val="21"/>
              </w:rPr>
              <w:t xml:space="preserve">Multi-subtask GI VQA/VQG/VLQA benchmark</w:t>
            </w:r>
            <w:r>
              <w:rPr>
                <w:color w:val="000000" w:themeColor="text1"/>
              </w:rPr>
            </w:r>
          </w:p>
        </w:tc>
        <w:tc>
          <w:tcPr>
            <w:tcBorders/>
            <w:tcW w:w="2350" w:type="dxa"/>
            <w:textDirection w:val="lrTb"/>
            <w:noWrap w:val="false"/>
          </w:tcPr>
          <w:p w14:paraId="040B4C80">
            <w:pPr>
              <w:pBdr/>
              <w:spacing w:after="0" w:before="0" w:line="240"/>
              <w:ind/>
              <w:rPr>
                <w:color w:val="000000" w:themeColor="text1"/>
              </w:rPr>
            </w:pPr>
            <w:r>
              <w:rPr>
                <w:rFonts w:ascii="Arial" w:hAnsi="Arial" w:eastAsia="Arial" w:cs="Arial"/>
                <w:color w:val="000000" w:themeColor="text1"/>
                <w:sz w:val="21"/>
              </w:rPr>
              <w:t xml:space="preserve">First major GI-specific VQA shared-task setup</w:t>
            </w:r>
            <w:r>
              <w:rPr>
                <w:color w:val="000000" w:themeColor="text1"/>
              </w:rPr>
            </w:r>
          </w:p>
        </w:tc>
      </w:tr>
      <w:tr>
        <w:trPr/>
        <w:tc>
          <w:tcPr>
            <w:tcBorders/>
            <w:tcW w:w="2160" w:type="dxa"/>
            <w:textDirection w:val="lrTb"/>
            <w:noWrap w:val="false"/>
          </w:tcPr>
          <w:p w14:paraId="58584226">
            <w:pPr>
              <w:pBdr/>
              <w:spacing w:after="0" w:before="0" w:line="240"/>
              <w:ind/>
              <w:rPr>
                <w:color w:val="000000" w:themeColor="text1"/>
              </w:rPr>
            </w:pPr>
            <w:r>
              <w:rPr>
                <w:rFonts w:ascii="Arial" w:hAnsi="Arial" w:eastAsia="Arial" w:cs="Arial"/>
                <w:color w:val="000000" w:themeColor="text1"/>
                <w:sz w:val="21"/>
              </w:rPr>
              <w:t xml:space="preserve">Kvasir-VQA [R18], [R19]</w:t>
            </w:r>
            <w:r>
              <w:rPr>
                <w:color w:val="000000" w:themeColor="text1"/>
              </w:rPr>
            </w:r>
          </w:p>
        </w:tc>
        <w:tc>
          <w:tcPr>
            <w:tcBorders/>
            <w:tcW w:w="1284" w:type="dxa"/>
            <w:textDirection w:val="lrTb"/>
            <w:noWrap w:val="false"/>
          </w:tcPr>
          <w:p w14:paraId="277ECBDB">
            <w:pPr>
              <w:pBdr/>
              <w:spacing w:after="0" w:before="0" w:line="240"/>
              <w:ind/>
              <w:jc w:val="right"/>
              <w:rPr>
                <w:color w:val="000000" w:themeColor="text1"/>
              </w:rPr>
            </w:pPr>
            <w:r>
              <w:rPr>
                <w:rFonts w:ascii="Arial" w:hAnsi="Arial" w:eastAsia="Arial" w:cs="Arial"/>
                <w:color w:val="000000" w:themeColor="text1"/>
                <w:sz w:val="21"/>
              </w:rPr>
              <w:t xml:space="preserve">2024</w:t>
            </w:r>
            <w:r>
              <w:rPr>
                <w:color w:val="000000" w:themeColor="text1"/>
              </w:rPr>
            </w:r>
          </w:p>
        </w:tc>
        <w:tc>
          <w:tcPr>
            <w:tcBorders/>
            <w:tcW w:w="3036" w:type="dxa"/>
            <w:textDirection w:val="lrTb"/>
            <w:noWrap w:val="false"/>
          </w:tcPr>
          <w:p w14:paraId="5F99E10A">
            <w:pPr>
              <w:pBdr/>
              <w:spacing w:after="0" w:before="0" w:line="240"/>
              <w:ind/>
              <w:rPr>
                <w:color w:val="000000" w:themeColor="text1"/>
              </w:rPr>
            </w:pPr>
            <w:r>
              <w:rPr>
                <w:rFonts w:ascii="Arial" w:hAnsi="Arial" w:eastAsia="Arial" w:cs="Arial"/>
                <w:color w:val="000000" w:themeColor="text1"/>
                <w:sz w:val="21"/>
              </w:rPr>
              <w:t xml:space="preserve">6,500 images, 58,849 QA pairs</w:t>
            </w:r>
            <w:r>
              <w:rPr>
                <w:color w:val="000000" w:themeColor="text1"/>
              </w:rPr>
            </w:r>
          </w:p>
        </w:tc>
        <w:tc>
          <w:tcPr>
            <w:tcBorders/>
            <w:tcW w:w="2350" w:type="dxa"/>
            <w:textDirection w:val="lrTb"/>
            <w:noWrap w:val="false"/>
          </w:tcPr>
          <w:p w14:paraId="38BDE9A3">
            <w:pPr>
              <w:pBdr/>
              <w:spacing w:after="0" w:before="0" w:line="240"/>
              <w:ind/>
              <w:rPr>
                <w:color w:val="000000" w:themeColor="text1"/>
              </w:rPr>
            </w:pPr>
            <w:r>
              <w:rPr>
                <w:rFonts w:ascii="Arial" w:hAnsi="Arial" w:eastAsia="Arial" w:cs="Arial"/>
                <w:color w:val="000000" w:themeColor="text1"/>
                <w:sz w:val="21"/>
              </w:rPr>
              <w:t xml:space="preserve">Main GI text-image pair benchmark</w:t>
            </w:r>
            <w:r>
              <w:rPr>
                <w:color w:val="000000" w:themeColor="text1"/>
              </w:rPr>
            </w:r>
          </w:p>
        </w:tc>
      </w:tr>
      <w:tr>
        <w:trPr/>
        <w:tc>
          <w:tcPr>
            <w:tcBorders/>
            <w:tcW w:w="2160" w:type="dxa"/>
            <w:textDirection w:val="lrTb"/>
            <w:noWrap w:val="false"/>
          </w:tcPr>
          <w:p w14:paraId="59F6C93F">
            <w:pPr>
              <w:pBdr/>
              <w:spacing w:after="0" w:before="0" w:line="240"/>
              <w:ind/>
              <w:rPr>
                <w:color w:val="000000" w:themeColor="text1"/>
              </w:rPr>
            </w:pPr>
            <w:r>
              <w:rPr>
                <w:rFonts w:ascii="Arial" w:hAnsi="Arial" w:eastAsia="Arial" w:cs="Arial"/>
                <w:color w:val="000000" w:themeColor="text1"/>
                <w:sz w:val="21"/>
              </w:rPr>
              <w:t xml:space="preserve">ImageCLEF MEDVQA-GI 2024 [R24]</w:t>
            </w:r>
            <w:r>
              <w:rPr>
                <w:color w:val="000000" w:themeColor="text1"/>
              </w:rPr>
            </w:r>
          </w:p>
        </w:tc>
        <w:tc>
          <w:tcPr>
            <w:tcBorders/>
            <w:tcW w:w="1284" w:type="dxa"/>
            <w:textDirection w:val="lrTb"/>
            <w:noWrap w:val="false"/>
          </w:tcPr>
          <w:p w14:paraId="7D89580F">
            <w:pPr>
              <w:pBdr/>
              <w:spacing w:after="0" w:before="0" w:line="240"/>
              <w:ind/>
              <w:jc w:val="right"/>
              <w:rPr>
                <w:color w:val="000000" w:themeColor="text1"/>
              </w:rPr>
            </w:pPr>
            <w:r>
              <w:rPr>
                <w:rFonts w:ascii="Arial" w:hAnsi="Arial" w:eastAsia="Arial" w:cs="Arial"/>
                <w:color w:val="000000" w:themeColor="text1"/>
                <w:sz w:val="21"/>
              </w:rPr>
              <w:t xml:space="preserve">2024</w:t>
            </w:r>
            <w:r>
              <w:rPr>
                <w:color w:val="000000" w:themeColor="text1"/>
              </w:rPr>
            </w:r>
          </w:p>
        </w:tc>
        <w:tc>
          <w:tcPr>
            <w:tcBorders/>
            <w:tcW w:w="3036" w:type="dxa"/>
            <w:textDirection w:val="lrTb"/>
            <w:noWrap w:val="false"/>
          </w:tcPr>
          <w:p w14:paraId="3985609F">
            <w:pPr>
              <w:pBdr/>
              <w:spacing w:after="0" w:before="0" w:line="240"/>
              <w:ind/>
              <w:rPr>
                <w:color w:val="000000" w:themeColor="text1"/>
              </w:rPr>
            </w:pPr>
            <w:r>
              <w:rPr>
                <w:rFonts w:ascii="Arial" w:hAnsi="Arial" w:eastAsia="Arial" w:cs="Arial"/>
                <w:color w:val="000000" w:themeColor="text1"/>
                <w:sz w:val="21"/>
              </w:rPr>
              <w:t xml:space="preserve">Second-year challenge, synthesis-linked direction</w:t>
            </w:r>
            <w:r>
              <w:rPr>
                <w:color w:val="000000" w:themeColor="text1"/>
              </w:rPr>
            </w:r>
          </w:p>
        </w:tc>
        <w:tc>
          <w:tcPr>
            <w:tcBorders/>
            <w:tcW w:w="2350" w:type="dxa"/>
            <w:textDirection w:val="lrTb"/>
            <w:noWrap w:val="false"/>
          </w:tcPr>
          <w:p w14:paraId="025EA6BB">
            <w:pPr>
              <w:pBdr/>
              <w:spacing w:after="0" w:before="0" w:line="240"/>
              <w:ind/>
              <w:rPr>
                <w:color w:val="000000" w:themeColor="text1"/>
              </w:rPr>
            </w:pPr>
            <w:r>
              <w:rPr>
                <w:rFonts w:ascii="Arial" w:hAnsi="Arial" w:eastAsia="Arial" w:cs="Arial"/>
                <w:color w:val="000000" w:themeColor="text1"/>
                <w:sz w:val="21"/>
              </w:rPr>
              <w:t xml:space="preserve">Signaled task broadening around synthetic workflows</w:t>
            </w:r>
            <w:r>
              <w:rPr>
                <w:color w:val="000000" w:themeColor="text1"/>
              </w:rPr>
            </w:r>
          </w:p>
        </w:tc>
      </w:tr>
      <w:tr>
        <w:trPr/>
        <w:tc>
          <w:tcPr>
            <w:tcBorders/>
            <w:tcW w:w="2160" w:type="dxa"/>
            <w:textDirection w:val="lrTb"/>
            <w:noWrap w:val="false"/>
          </w:tcPr>
          <w:p w14:paraId="50D00535">
            <w:pPr>
              <w:pBdr/>
              <w:spacing w:after="0" w:before="0" w:line="240"/>
              <w:ind/>
              <w:rPr>
                <w:color w:val="000000" w:themeColor="text1"/>
              </w:rPr>
            </w:pPr>
            <w:r>
              <w:rPr>
                <w:rFonts w:ascii="Arial" w:hAnsi="Arial" w:eastAsia="Arial" w:cs="Arial"/>
                <w:color w:val="000000" w:themeColor="text1"/>
                <w:sz w:val="21"/>
              </w:rPr>
              <w:t xml:space="preserve">Kvasir-VQA-x1 [R20], [R21]</w:t>
            </w:r>
            <w:r>
              <w:rPr>
                <w:color w:val="000000" w:themeColor="text1"/>
              </w:rPr>
            </w:r>
          </w:p>
        </w:tc>
        <w:tc>
          <w:tcPr>
            <w:tcBorders/>
            <w:tcW w:w="1284" w:type="dxa"/>
            <w:textDirection w:val="lrTb"/>
            <w:noWrap w:val="false"/>
          </w:tcPr>
          <w:p w14:paraId="53AF78C1">
            <w:pPr>
              <w:pBdr/>
              <w:spacing w:after="0" w:before="0" w:line="240"/>
              <w:ind/>
              <w:jc w:val="right"/>
              <w:rPr>
                <w:color w:val="000000" w:themeColor="text1"/>
              </w:rPr>
            </w:pPr>
            <w:r>
              <w:rPr>
                <w:rFonts w:ascii="Arial" w:hAnsi="Arial" w:eastAsia="Arial" w:cs="Arial"/>
                <w:color w:val="000000" w:themeColor="text1"/>
                <w:sz w:val="21"/>
              </w:rPr>
              <w:t xml:space="preserve">2025</w:t>
            </w:r>
            <w:r>
              <w:rPr>
                <w:color w:val="000000" w:themeColor="text1"/>
              </w:rPr>
            </w:r>
          </w:p>
        </w:tc>
        <w:tc>
          <w:tcPr>
            <w:tcBorders/>
            <w:tcW w:w="3036" w:type="dxa"/>
            <w:textDirection w:val="lrTb"/>
            <w:noWrap w:val="false"/>
          </w:tcPr>
          <w:p w14:paraId="3328C0EC">
            <w:pPr>
              <w:pBdr/>
              <w:spacing w:after="0" w:before="0" w:line="240"/>
              <w:ind/>
              <w:rPr>
                <w:color w:val="000000" w:themeColor="text1"/>
              </w:rPr>
            </w:pPr>
            <w:r>
              <w:rPr>
                <w:rFonts w:ascii="Arial" w:hAnsi="Arial" w:eastAsia="Arial" w:cs="Arial"/>
                <w:color w:val="000000" w:themeColor="text1"/>
                <w:sz w:val="21"/>
              </w:rPr>
              <w:t xml:space="preserve">159,549 QA pairs with complexity levels and perturbations</w:t>
            </w:r>
            <w:r>
              <w:rPr>
                <w:color w:val="000000" w:themeColor="text1"/>
              </w:rPr>
            </w:r>
          </w:p>
        </w:tc>
        <w:tc>
          <w:tcPr>
            <w:tcBorders/>
            <w:tcW w:w="2350" w:type="dxa"/>
            <w:textDirection w:val="lrTb"/>
            <w:noWrap w:val="false"/>
          </w:tcPr>
          <w:p w14:paraId="0124BE2E">
            <w:pPr>
              <w:pBdr/>
              <w:spacing w:after="0" w:before="0" w:line="240"/>
              <w:ind/>
              <w:rPr>
                <w:color w:val="000000" w:themeColor="text1"/>
              </w:rPr>
            </w:pPr>
            <w:r>
              <w:rPr>
                <w:rFonts w:ascii="Arial" w:hAnsi="Arial" w:eastAsia="Arial" w:cs="Arial"/>
                <w:color w:val="000000" w:themeColor="text1"/>
                <w:sz w:val="21"/>
              </w:rPr>
              <w:t xml:space="preserve">Stronger reasoning and robustness benchmark</w:t>
            </w:r>
            <w:r>
              <w:rPr>
                <w:color w:val="000000" w:themeColor="text1"/>
              </w:rPr>
            </w:r>
          </w:p>
        </w:tc>
      </w:tr>
      <w:tr>
        <w:trPr/>
        <w:tc>
          <w:tcPr>
            <w:tcBorders/>
            <w:tcW w:w="2160" w:type="dxa"/>
            <w:textDirection w:val="lrTb"/>
            <w:noWrap w:val="false"/>
          </w:tcPr>
          <w:p w14:paraId="20BE4A8B">
            <w:pPr>
              <w:pBdr/>
              <w:spacing w:after="0" w:before="0" w:line="240"/>
              <w:ind/>
              <w:rPr>
                <w:color w:val="000000" w:themeColor="text1"/>
              </w:rPr>
            </w:pPr>
            <w:r>
              <w:rPr>
                <w:rFonts w:ascii="Arial" w:hAnsi="Arial" w:eastAsia="Arial" w:cs="Arial"/>
                <w:color w:val="000000" w:themeColor="text1"/>
                <w:sz w:val="21"/>
              </w:rPr>
              <w:t xml:space="preserve">ImageCLEF MEDVQA 2025 [R25]</w:t>
            </w:r>
            <w:r>
              <w:rPr>
                <w:color w:val="000000" w:themeColor="text1"/>
              </w:rPr>
            </w:r>
          </w:p>
        </w:tc>
        <w:tc>
          <w:tcPr>
            <w:tcBorders/>
            <w:tcW w:w="1284" w:type="dxa"/>
            <w:textDirection w:val="lrTb"/>
            <w:noWrap w:val="false"/>
          </w:tcPr>
          <w:p w14:paraId="06F97B90">
            <w:pPr>
              <w:pBdr/>
              <w:spacing w:after="0" w:before="0" w:line="240"/>
              <w:ind/>
              <w:jc w:val="right"/>
              <w:rPr>
                <w:color w:val="000000" w:themeColor="text1"/>
              </w:rPr>
            </w:pPr>
            <w:r>
              <w:rPr>
                <w:rFonts w:ascii="Arial" w:hAnsi="Arial" w:eastAsia="Arial" w:cs="Arial"/>
                <w:color w:val="000000" w:themeColor="text1"/>
                <w:sz w:val="21"/>
              </w:rPr>
              <w:t xml:space="preserve">2025</w:t>
            </w:r>
            <w:r>
              <w:rPr>
                <w:color w:val="000000" w:themeColor="text1"/>
              </w:rPr>
            </w:r>
          </w:p>
        </w:tc>
        <w:tc>
          <w:tcPr>
            <w:tcBorders/>
            <w:tcW w:w="3036" w:type="dxa"/>
            <w:textDirection w:val="lrTb"/>
            <w:noWrap w:val="false"/>
          </w:tcPr>
          <w:p w14:paraId="6D731BCF">
            <w:pPr>
              <w:pBdr/>
              <w:spacing w:after="0" w:before="0" w:line="240"/>
              <w:ind/>
              <w:rPr>
                <w:color w:val="000000" w:themeColor="text1"/>
              </w:rPr>
            </w:pPr>
            <w:r>
              <w:rPr>
                <w:rFonts w:ascii="Arial" w:hAnsi="Arial" w:eastAsia="Arial" w:cs="Arial"/>
                <w:color w:val="000000" w:themeColor="text1"/>
                <w:sz w:val="21"/>
              </w:rPr>
              <w:t xml:space="preserve">Third-year challenge with synthetic GI integration</w:t>
            </w:r>
            <w:r>
              <w:rPr>
                <w:color w:val="000000" w:themeColor="text1"/>
              </w:rPr>
            </w:r>
          </w:p>
        </w:tc>
        <w:tc>
          <w:tcPr>
            <w:tcBorders/>
            <w:tcW w:w="2350" w:type="dxa"/>
            <w:textDirection w:val="lrTb"/>
            <w:noWrap w:val="false"/>
          </w:tcPr>
          <w:p w14:paraId="5835FDB8">
            <w:pPr>
              <w:pBdr/>
              <w:spacing w:after="0" w:before="0" w:line="240"/>
              <w:ind/>
              <w:rPr>
                <w:color w:val="000000" w:themeColor="text1"/>
              </w:rPr>
            </w:pPr>
            <w:r>
              <w:rPr>
                <w:rFonts w:ascii="Arial" w:hAnsi="Arial" w:eastAsia="Arial" w:cs="Arial"/>
                <w:color w:val="000000" w:themeColor="text1"/>
                <w:sz w:val="21"/>
              </w:rPr>
              <w:t xml:space="preserve">Benchmark evolution toward real-synthetic design</w:t>
            </w:r>
            <w:r>
              <w:rPr>
                <w:color w:val="000000" w:themeColor="text1"/>
              </w:rPr>
            </w:r>
          </w:p>
        </w:tc>
      </w:tr>
      <w:tr>
        <w:trPr/>
        <w:tc>
          <w:tcPr>
            <w:tcBorders/>
            <w:tcW w:w="2160" w:type="dxa"/>
            <w:textDirection w:val="lrTb"/>
            <w:noWrap w:val="false"/>
          </w:tcPr>
          <w:p w14:paraId="5DDDF95B">
            <w:pPr>
              <w:pBdr/>
              <w:spacing w:after="0" w:before="0" w:line="240"/>
              <w:ind/>
              <w:rPr>
                <w:color w:val="000000" w:themeColor="text1"/>
              </w:rPr>
            </w:pPr>
            <w:r>
              <w:rPr>
                <w:rFonts w:ascii="Arial" w:hAnsi="Arial" w:eastAsia="Arial" w:cs="Arial"/>
                <w:color w:val="000000" w:themeColor="text1"/>
                <w:sz w:val="21"/>
              </w:rPr>
              <w:t xml:space="preserve">MediaEval Medico 2025 [R26], [R27]</w:t>
            </w:r>
            <w:r>
              <w:rPr>
                <w:color w:val="000000" w:themeColor="text1"/>
              </w:rPr>
            </w:r>
          </w:p>
        </w:tc>
        <w:tc>
          <w:tcPr>
            <w:tcBorders/>
            <w:tcW w:w="1284" w:type="dxa"/>
            <w:textDirection w:val="lrTb"/>
            <w:noWrap w:val="false"/>
          </w:tcPr>
          <w:p w14:paraId="7F5EA870">
            <w:pPr>
              <w:pBdr/>
              <w:spacing w:after="0" w:before="0" w:line="240"/>
              <w:ind/>
              <w:jc w:val="right"/>
              <w:rPr>
                <w:color w:val="000000" w:themeColor="text1"/>
              </w:rPr>
            </w:pPr>
            <w:r>
              <w:rPr>
                <w:rFonts w:ascii="Arial" w:hAnsi="Arial" w:eastAsia="Arial" w:cs="Arial"/>
                <w:color w:val="000000" w:themeColor="text1"/>
                <w:sz w:val="21"/>
              </w:rPr>
              <w:t xml:space="preserve">2025</w:t>
            </w:r>
            <w:r>
              <w:rPr>
                <w:color w:val="000000" w:themeColor="text1"/>
              </w:rPr>
            </w:r>
          </w:p>
        </w:tc>
        <w:tc>
          <w:tcPr>
            <w:tcBorders/>
            <w:tcW w:w="3036" w:type="dxa"/>
            <w:textDirection w:val="lrTb"/>
            <w:noWrap w:val="false"/>
          </w:tcPr>
          <w:p w14:paraId="3862A482">
            <w:pPr>
              <w:pBdr/>
              <w:spacing w:after="0" w:before="0" w:line="240"/>
              <w:ind/>
              <w:rPr>
                <w:color w:val="000000" w:themeColor="text1"/>
              </w:rPr>
            </w:pPr>
            <w:r>
              <w:rPr>
                <w:rFonts w:ascii="Arial" w:hAnsi="Arial" w:eastAsia="Arial" w:cs="Arial"/>
                <w:color w:val="000000" w:themeColor="text1"/>
                <w:sz w:val="21"/>
              </w:rPr>
              <w:t xml:space="preserve">GI VQA + multimodal explanation subtask</w:t>
            </w:r>
            <w:r>
              <w:rPr>
                <w:color w:val="000000" w:themeColor="text1"/>
              </w:rPr>
            </w:r>
          </w:p>
        </w:tc>
        <w:tc>
          <w:tcPr>
            <w:tcBorders/>
            <w:tcW w:w="2350" w:type="dxa"/>
            <w:textDirection w:val="lrTb"/>
            <w:noWrap w:val="false"/>
          </w:tcPr>
          <w:p w14:paraId="570131B2">
            <w:pPr>
              <w:pBdr/>
              <w:spacing w:after="0" w:before="0" w:line="240"/>
              <w:ind/>
              <w:rPr>
                <w:color w:val="000000" w:themeColor="text1"/>
              </w:rPr>
            </w:pPr>
            <w:r>
              <w:rPr>
                <w:rFonts w:ascii="Arial" w:hAnsi="Arial" w:eastAsia="Arial" w:cs="Arial"/>
                <w:color w:val="000000" w:themeColor="text1"/>
                <w:sz w:val="21"/>
              </w:rPr>
              <w:t xml:space="preserve">Explicit shift toward explainable clinical interaction</w:t>
            </w:r>
            <w:r>
              <w:rPr>
                <w:color w:val="000000" w:themeColor="text1"/>
              </w:rPr>
            </w:r>
          </w:p>
        </w:tc>
      </w:tr>
    </w:tbl>
    <w:p w14:paraId="16AE62F3">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ab/>
      </w:r>
      <w:r>
        <w:rPr>
          <w:rFonts w:ascii="Arial" w:hAnsi="Arial" w:eastAsia="Arial" w:cs="Arial"/>
          <w:b w:val="0"/>
          <w:bCs w:val="0"/>
          <w:i w:val="0"/>
          <w:caps w:val="0"/>
          <w:smallCaps w:val="0"/>
          <w:color w:val="000000" w:themeColor="text1" w:themeTint="FF" w:themeShade="FF"/>
          <w:sz w:val="22"/>
          <w:szCs w:val="22"/>
        </w:rPr>
        <w:t xml:space="preserve">Table 2.5. GI Endoscopy Dataset Ecosystem Relevant to This Thesis</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EE7475C">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3965CBD">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Across these resources, supervision and evaluation styles differ in ways that materially affect model interpretation. Kvasir-VQA and Kvasir-VQA-x1 primarily provide paired image-question-answer supervision with heterogeneous answer spaces (binary, count, at</w:t>
      </w:r>
      <w:r>
        <w:rPr>
          <w:rFonts w:ascii="Arial" w:hAnsi="Arial" w:eastAsia="Arial" w:cs="Arial"/>
          <w:b w:val="0"/>
          <w:bCs w:val="0"/>
          <w:i w:val="0"/>
          <w:caps w:val="0"/>
          <w:smallCaps w:val="0"/>
          <w:color w:val="000000" w:themeColor="text1" w:themeTint="FF" w:themeShade="FF"/>
          <w:sz w:val="22"/>
          <w:szCs w:val="22"/>
        </w:rPr>
        <w:t xml:space="preserve">tribute, and location), where lexical shortcuts and yes/no priors can inflate superficial performance [R18], [R20]. ImageCLEF and MediaEval tracks add challenge-level protocol constraints and broader metric bundles that include classification quality, overl</w:t>
      </w:r>
      <w:r>
        <w:rPr>
          <w:rFonts w:ascii="Arial" w:hAnsi="Arial" w:eastAsia="Arial" w:cs="Arial"/>
          <w:b w:val="0"/>
          <w:bCs w:val="0"/>
          <w:i w:val="0"/>
          <w:caps w:val="0"/>
          <w:smallCaps w:val="0"/>
          <w:color w:val="000000" w:themeColor="text1" w:themeTint="FF" w:themeShade="FF"/>
          <w:sz w:val="22"/>
          <w:szCs w:val="22"/>
        </w:rPr>
        <w:t xml:space="preserve">ap metrics, and explanation-oriented assessment [R23], [R26], [R27]. For this thesis, these differences are treated as design constraints, not benchmark noise.</w:t>
      </w:r>
      <w:r/>
    </w:p>
    <w:p w14:paraId="49BE2DDB">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7BAED7DC">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4077BAE4">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046BADA">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p>
    <w:p w14:paraId="081D9D17">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2.4.3 Challenge-Level Benchmark Progression</w:t>
      </w:r>
      <w:r/>
    </w:p>
    <w:p w14:paraId="6D0005EA">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GI challenge ecosystem has progressed quickly:</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47FC4BD0">
      <w:pPr>
        <w:pStyle w:val="774"/>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2023: introduced GI VQA/VQG/VLQA as a dedicated challenge design [R22], [R23];</w:t>
      </w:r>
      <w:r/>
    </w:p>
    <w:p w14:paraId="500C5FAA">
      <w:pPr>
        <w:pStyle w:val="774"/>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2024: expanded into synthetic-image-oriented workflows [R24];</w:t>
      </w:r>
      <w:r/>
    </w:p>
    <w:p w14:paraId="6F3C7EF1">
      <w:pPr>
        <w:pStyle w:val="774"/>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2025: formalized VQA with synthetic-real integration at ImageCLEF [R25] and explainable GI VQA at MediaEval [R26], [R27].</w:t>
      </w:r>
      <w:r/>
    </w:p>
    <w:p w14:paraId="53C61CD9">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progression matters because it changes what "state-of-the-art" means. The comparison target is no longer only answer correctness; it increasingly includes explanation quality, visual grounding, and clinical relevance.</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2693E141">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2.4.4 Internal Dataset Evidence from This Repository</w:t>
      </w:r>
      <w:r/>
    </w:p>
    <w:p w14:paraId="79F70D15">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repository provides dataset-level analysis and model diagnostics directly used in later chapters:</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78B50DAB">
      <w:pPr>
        <w:pStyle w:val="774"/>
        <w:numPr>
          <w:ilvl w:val="0"/>
          <w:numId w:val="27"/>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Prototyping_reformat/DatasetAnalysis/HyperKvasir/HyperKvasir.md [I1]</w:t>
      </w:r>
      <w:r/>
    </w:p>
    <w:p w14:paraId="54BB7EF1">
      <w:pPr>
        <w:pStyle w:val="774"/>
        <w:numPr>
          <w:ilvl w:val="0"/>
          <w:numId w:val="27"/>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Prototyping_reformat/DatasetAnalysis/Kvasir_VQA/Kvasir_VQA.md [I2]</w:t>
      </w:r>
      <w:r/>
    </w:p>
    <w:p w14:paraId="50FB6BF9">
      <w:pPr>
        <w:pStyle w:val="774"/>
        <w:numPr>
          <w:ilvl w:val="0"/>
          <w:numId w:val="27"/>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Prototyping_reformat/DatasetAnalysis/Kvasir_VQA_x1/Kvasir_VQA_x1.md [I3]</w:t>
      </w:r>
      <w:r/>
    </w:p>
    <w:p w14:paraId="5590A9A3">
      <w:pPr>
        <w:pStyle w:val="774"/>
        <w:numPr>
          <w:ilvl w:val="0"/>
          <w:numId w:val="27"/>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Prototyping_reformat/DatasetAnalysis/ImageCLEF_MEDVQA_GI_2023/ImageCLEF_MEDVQA_GI_2023.md [I4]</w:t>
      </w:r>
      <w:r/>
    </w:p>
    <w:p w14:paraId="38C6DB7B">
      <w:pPr>
        <w:pStyle w:val="774"/>
        <w:numPr>
          <w:ilvl w:val="0"/>
          <w:numId w:val="27"/>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Prototyping_reformat/DatasetAnalysis/LIMUC/LIMUC.md [I5]</w:t>
      </w:r>
      <w:r/>
    </w:p>
    <w:p w14:paraId="44EABAFE">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These internal reports are important because they connect literature claims to reproducible local evidence.</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2F77CF28">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References [I1]-[I5] are supplementary artifact files in the thesis repository and are provided as reproducibility materials for external review.</w:t>
      </w:r>
      <w:r/>
    </w:p>
    <w:p w14:paraId="68399E99">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2.4.5 UC Severity Automation Literature Bridge</w:t>
      </w:r>
      <w:r/>
    </w:p>
    <w:p w14:paraId="2BEBB145">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UC severity automation has a substantial pre-VQA literature, and this background is essential for correct novelty positioning. Representative studies include deep learning grading against human review in JAMA Network Open [R42], CAD-based endoscopic activit</w:t>
      </w:r>
      <w:r>
        <w:rPr>
          <w:rFonts w:ascii="Arial" w:hAnsi="Arial" w:eastAsia="Arial" w:cs="Arial"/>
          <w:b w:val="0"/>
          <w:bCs w:val="0"/>
          <w:i w:val="0"/>
          <w:caps w:val="0"/>
          <w:smallCaps w:val="0"/>
          <w:color w:val="000000" w:themeColor="text1" w:themeTint="FF" w:themeShade="FF"/>
          <w:sz w:val="22"/>
          <w:szCs w:val="22"/>
        </w:rPr>
        <w:t xml:space="preserve">y scoring in Gastroenterology [R43], prospective multicentre CAD for inflammatory activity in Gastrointestinal Endoscopy [R44], and recent MES/UCEIS-focused deep neural modeling in Journal of Crohn's and Colitis [R45].</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831"/>
        <w:tblInd w:w="-241" w:type="dxa"/>
        <w:tblW w:w="0" w:type="auto"/>
        <w:tblBorders/>
        <w:tblLayout w:type="fixed"/>
        <w:tblLook w:val="04A0" w:firstRow="1" w:lastRow="0" w:firstColumn="1" w:lastColumn="0" w:noHBand="0" w:noVBand="1"/>
      </w:tblPr>
      <w:tblGrid>
        <w:gridCol w:w="1969"/>
        <w:gridCol w:w="1728"/>
        <w:gridCol w:w="1728"/>
        <w:gridCol w:w="1728"/>
        <w:gridCol w:w="2201"/>
      </w:tblGrid>
      <w:tr>
        <w:trPr/>
        <w:tc>
          <w:tcPr>
            <w:tcBorders/>
            <w:tcW w:w="1969" w:type="dxa"/>
            <w:textDirection w:val="lrTb"/>
            <w:noWrap w:val="false"/>
          </w:tcPr>
          <w:p w14:paraId="7B34BA2E">
            <w:pPr>
              <w:pBdr/>
              <w:spacing w:after="0" w:before="0" w:line="240"/>
              <w:ind/>
              <w:rPr>
                <w:color w:val="000000" w:themeColor="text1"/>
              </w:rPr>
            </w:pPr>
            <w:r>
              <w:rPr>
                <w:rFonts w:ascii="Arial" w:hAnsi="Arial" w:eastAsia="Arial" w:cs="Arial"/>
                <w:b/>
                <w:color w:val="000000" w:themeColor="text1"/>
                <w:sz w:val="21"/>
              </w:rPr>
              <w:t xml:space="preserve">Study</w:t>
            </w:r>
            <w:r>
              <w:rPr>
                <w:color w:val="000000" w:themeColor="text1"/>
              </w:rPr>
            </w:r>
          </w:p>
        </w:tc>
        <w:tc>
          <w:tcPr>
            <w:tcBorders/>
            <w:tcW w:w="1728" w:type="dxa"/>
            <w:textDirection w:val="lrTb"/>
            <w:noWrap w:val="false"/>
          </w:tcPr>
          <w:p w14:paraId="76C4B3E9">
            <w:pPr>
              <w:pBdr/>
              <w:spacing w:after="0" w:before="0" w:line="240"/>
              <w:ind/>
              <w:rPr>
                <w:color w:val="000000" w:themeColor="text1"/>
              </w:rPr>
            </w:pPr>
            <w:r>
              <w:rPr>
                <w:rFonts w:ascii="Arial" w:hAnsi="Arial" w:eastAsia="Arial" w:cs="Arial"/>
                <w:b/>
                <w:color w:val="000000" w:themeColor="text1"/>
                <w:sz w:val="21"/>
              </w:rPr>
              <w:t xml:space="preserve">Input type</w:t>
            </w:r>
            <w:r>
              <w:rPr>
                <w:color w:val="000000" w:themeColor="text1"/>
              </w:rPr>
            </w:r>
          </w:p>
        </w:tc>
        <w:tc>
          <w:tcPr>
            <w:tcBorders/>
            <w:tcW w:w="1728" w:type="dxa"/>
            <w:textDirection w:val="lrTb"/>
            <w:noWrap w:val="false"/>
          </w:tcPr>
          <w:p w14:paraId="03337ECE">
            <w:pPr>
              <w:pBdr/>
              <w:spacing w:after="0" w:before="0" w:line="240"/>
              <w:ind/>
              <w:rPr>
                <w:color w:val="000000" w:themeColor="text1"/>
              </w:rPr>
            </w:pPr>
            <w:r>
              <w:rPr>
                <w:rFonts w:ascii="Arial" w:hAnsi="Arial" w:eastAsia="Arial" w:cs="Arial"/>
                <w:b/>
                <w:color w:val="000000" w:themeColor="text1"/>
                <w:sz w:val="21"/>
              </w:rPr>
              <w:t xml:space="preserve">Output target</w:t>
            </w:r>
            <w:r>
              <w:rPr>
                <w:color w:val="000000" w:themeColor="text1"/>
              </w:rPr>
            </w:r>
          </w:p>
        </w:tc>
        <w:tc>
          <w:tcPr>
            <w:tcBorders/>
            <w:tcW w:w="1728" w:type="dxa"/>
            <w:textDirection w:val="lrTb"/>
            <w:noWrap w:val="false"/>
          </w:tcPr>
          <w:p w14:paraId="005C622D">
            <w:pPr>
              <w:pBdr/>
              <w:spacing w:after="0" w:before="0" w:line="240"/>
              <w:ind/>
              <w:rPr>
                <w:color w:val="000000" w:themeColor="text1"/>
              </w:rPr>
            </w:pPr>
            <w:r>
              <w:rPr>
                <w:rFonts w:ascii="Arial" w:hAnsi="Arial" w:eastAsia="Arial" w:cs="Arial"/>
                <w:b/>
                <w:color w:val="000000" w:themeColor="text1"/>
                <w:sz w:val="21"/>
              </w:rPr>
              <w:t xml:space="preserve">Main contribution</w:t>
            </w:r>
            <w:r>
              <w:rPr>
                <w:color w:val="000000" w:themeColor="text1"/>
              </w:rPr>
            </w:r>
          </w:p>
        </w:tc>
        <w:tc>
          <w:tcPr>
            <w:tcBorders/>
            <w:tcW w:w="2201" w:type="dxa"/>
            <w:textDirection w:val="lrTb"/>
            <w:noWrap w:val="false"/>
          </w:tcPr>
          <w:p w14:paraId="36D2AFC3">
            <w:pPr>
              <w:pBdr/>
              <w:spacing w:after="0" w:before="0" w:line="240"/>
              <w:ind/>
              <w:rPr>
                <w:color w:val="000000" w:themeColor="text1"/>
              </w:rPr>
            </w:pPr>
            <w:r>
              <w:rPr>
                <w:rFonts w:ascii="Arial" w:hAnsi="Arial" w:eastAsia="Arial" w:cs="Arial"/>
                <w:b/>
                <w:color w:val="000000" w:themeColor="text1"/>
                <w:sz w:val="21"/>
              </w:rPr>
              <w:t xml:space="preserve">Remaining limitation for this thesis</w:t>
            </w:r>
            <w:r>
              <w:rPr>
                <w:color w:val="000000" w:themeColor="text1"/>
              </w:rPr>
            </w:r>
          </w:p>
        </w:tc>
      </w:tr>
      <w:tr>
        <w:trPr/>
        <w:tc>
          <w:tcPr>
            <w:tcBorders/>
            <w:tcW w:w="1969" w:type="dxa"/>
            <w:textDirection w:val="lrTb"/>
            <w:noWrap w:val="false"/>
          </w:tcPr>
          <w:p w14:paraId="19BBABFC">
            <w:pPr>
              <w:pBdr/>
              <w:spacing w:after="0" w:before="0" w:line="240"/>
              <w:ind/>
              <w:rPr>
                <w:color w:val="000000" w:themeColor="text1"/>
              </w:rPr>
            </w:pPr>
            <w:r>
              <w:rPr>
                <w:rFonts w:ascii="Arial" w:hAnsi="Arial" w:eastAsia="Arial" w:cs="Arial"/>
                <w:color w:val="000000" w:themeColor="text1"/>
                <w:sz w:val="21"/>
              </w:rPr>
              <w:t xml:space="preserve">Stidham et al. [R42]</w:t>
            </w:r>
            <w:r>
              <w:rPr>
                <w:color w:val="000000" w:themeColor="text1"/>
              </w:rPr>
            </w:r>
          </w:p>
        </w:tc>
        <w:tc>
          <w:tcPr>
            <w:tcBorders/>
            <w:tcW w:w="1728" w:type="dxa"/>
            <w:textDirection w:val="lrTb"/>
            <w:noWrap w:val="false"/>
          </w:tcPr>
          <w:p w14:paraId="4F73CFE3">
            <w:pPr>
              <w:pBdr/>
              <w:spacing w:after="0" w:before="0" w:line="240"/>
              <w:ind/>
              <w:rPr>
                <w:color w:val="000000" w:themeColor="text1"/>
              </w:rPr>
            </w:pPr>
            <w:r>
              <w:rPr>
                <w:rFonts w:ascii="Arial" w:hAnsi="Arial" w:eastAsia="Arial" w:cs="Arial"/>
                <w:color w:val="000000" w:themeColor="text1"/>
                <w:sz w:val="21"/>
              </w:rPr>
              <w:t xml:space="preserve">Endoscopic images</w:t>
            </w:r>
            <w:r>
              <w:rPr>
                <w:color w:val="000000" w:themeColor="text1"/>
              </w:rPr>
            </w:r>
          </w:p>
        </w:tc>
        <w:tc>
          <w:tcPr>
            <w:tcBorders/>
            <w:tcW w:w="1728" w:type="dxa"/>
            <w:textDirection w:val="lrTb"/>
            <w:noWrap w:val="false"/>
          </w:tcPr>
          <w:p w14:paraId="21B10065">
            <w:pPr>
              <w:pBdr/>
              <w:spacing w:after="0" w:before="0" w:line="240"/>
              <w:ind/>
              <w:rPr>
                <w:color w:val="000000" w:themeColor="text1"/>
              </w:rPr>
            </w:pPr>
            <w:r>
              <w:rPr>
                <w:rFonts w:ascii="Arial" w:hAnsi="Arial" w:eastAsia="Arial" w:cs="Arial"/>
                <w:color w:val="000000" w:themeColor="text1"/>
                <w:sz w:val="21"/>
              </w:rPr>
              <w:t xml:space="preserve">Disease severity grade</w:t>
            </w:r>
            <w:r>
              <w:rPr>
                <w:color w:val="000000" w:themeColor="text1"/>
              </w:rPr>
            </w:r>
          </w:p>
        </w:tc>
        <w:tc>
          <w:tcPr>
            <w:tcBorders/>
            <w:tcW w:w="1728" w:type="dxa"/>
            <w:textDirection w:val="lrTb"/>
            <w:noWrap w:val="false"/>
          </w:tcPr>
          <w:p w14:paraId="2FAFEA6D">
            <w:pPr>
              <w:pBdr/>
              <w:spacing w:after="0" w:before="0" w:line="240"/>
              <w:ind/>
              <w:rPr>
                <w:color w:val="000000" w:themeColor="text1"/>
              </w:rPr>
            </w:pPr>
            <w:r>
              <w:rPr>
                <w:rFonts w:ascii="Arial" w:hAnsi="Arial" w:eastAsia="Arial" w:cs="Arial"/>
                <w:color w:val="000000" w:themeColor="text1"/>
                <w:sz w:val="21"/>
              </w:rPr>
              <w:t xml:space="preserve">Human-level comparative severity scoring analysis</w:t>
            </w:r>
            <w:r>
              <w:rPr>
                <w:color w:val="000000" w:themeColor="text1"/>
              </w:rPr>
            </w:r>
          </w:p>
        </w:tc>
        <w:tc>
          <w:tcPr>
            <w:tcBorders/>
            <w:tcW w:w="2201" w:type="dxa"/>
            <w:textDirection w:val="lrTb"/>
            <w:noWrap w:val="false"/>
          </w:tcPr>
          <w:p w14:paraId="21176513">
            <w:pPr>
              <w:pBdr/>
              <w:spacing w:after="0" w:before="0" w:line="240"/>
              <w:ind/>
              <w:rPr>
                <w:color w:val="000000" w:themeColor="text1"/>
              </w:rPr>
            </w:pPr>
            <w:r>
              <w:rPr>
                <w:rFonts w:ascii="Arial" w:hAnsi="Arial" w:eastAsia="Arial" w:cs="Arial"/>
                <w:color w:val="000000" w:themeColor="text1"/>
                <w:sz w:val="21"/>
              </w:rPr>
              <w:t xml:space="preserve">Limited interactive QA and evidence-linked outputs</w:t>
            </w:r>
            <w:r>
              <w:rPr>
                <w:color w:val="000000" w:themeColor="text1"/>
              </w:rPr>
            </w:r>
          </w:p>
        </w:tc>
      </w:tr>
      <w:tr>
        <w:trPr/>
        <w:tc>
          <w:tcPr>
            <w:tcBorders/>
            <w:tcW w:w="1969" w:type="dxa"/>
            <w:textDirection w:val="lrTb"/>
            <w:noWrap w:val="false"/>
          </w:tcPr>
          <w:p w14:paraId="56861E28">
            <w:pPr>
              <w:pBdr/>
              <w:spacing w:after="0" w:before="0" w:line="240"/>
              <w:ind/>
              <w:rPr>
                <w:color w:val="000000" w:themeColor="text1"/>
              </w:rPr>
            </w:pPr>
            <w:r>
              <w:rPr>
                <w:rFonts w:ascii="Arial" w:hAnsi="Arial" w:eastAsia="Arial" w:cs="Arial"/>
                <w:color w:val="000000" w:themeColor="text1"/>
                <w:sz w:val="21"/>
              </w:rPr>
              <w:t xml:space="preserve">Ozawa et al. [R43]</w:t>
            </w:r>
            <w:r>
              <w:rPr>
                <w:color w:val="000000" w:themeColor="text1"/>
              </w:rPr>
            </w:r>
          </w:p>
        </w:tc>
        <w:tc>
          <w:tcPr>
            <w:tcBorders/>
            <w:tcW w:w="1728" w:type="dxa"/>
            <w:textDirection w:val="lrTb"/>
            <w:noWrap w:val="false"/>
          </w:tcPr>
          <w:p w14:paraId="500EA223">
            <w:pPr>
              <w:pBdr/>
              <w:spacing w:after="0" w:before="0" w:line="240"/>
              <w:ind/>
              <w:rPr>
                <w:color w:val="000000" w:themeColor="text1"/>
              </w:rPr>
            </w:pPr>
            <w:r>
              <w:rPr>
                <w:rFonts w:ascii="Arial" w:hAnsi="Arial" w:eastAsia="Arial" w:cs="Arial"/>
                <w:color w:val="000000" w:themeColor="text1"/>
                <w:sz w:val="21"/>
              </w:rPr>
              <w:t xml:space="preserve">Colonoscopy images</w:t>
            </w:r>
            <w:r>
              <w:rPr>
                <w:color w:val="000000" w:themeColor="text1"/>
              </w:rPr>
            </w:r>
          </w:p>
        </w:tc>
        <w:tc>
          <w:tcPr>
            <w:tcBorders/>
            <w:tcW w:w="1728" w:type="dxa"/>
            <w:textDirection w:val="lrTb"/>
            <w:noWrap w:val="false"/>
          </w:tcPr>
          <w:p w14:paraId="1D0279A3">
            <w:pPr>
              <w:pBdr/>
              <w:spacing w:after="0" w:before="0" w:line="240"/>
              <w:ind/>
              <w:rPr>
                <w:color w:val="000000" w:themeColor="text1"/>
              </w:rPr>
            </w:pPr>
            <w:r>
              <w:rPr>
                <w:rFonts w:ascii="Arial" w:hAnsi="Arial" w:eastAsia="Arial" w:cs="Arial"/>
                <w:color w:val="000000" w:themeColor="text1"/>
                <w:sz w:val="21"/>
              </w:rPr>
              <w:t xml:space="preserve">Endoscopic disease activity</w:t>
            </w:r>
            <w:r>
              <w:rPr>
                <w:color w:val="000000" w:themeColor="text1"/>
              </w:rPr>
            </w:r>
          </w:p>
        </w:tc>
        <w:tc>
          <w:tcPr>
            <w:tcBorders/>
            <w:tcW w:w="1728" w:type="dxa"/>
            <w:textDirection w:val="lrTb"/>
            <w:noWrap w:val="false"/>
          </w:tcPr>
          <w:p w14:paraId="75703A3E">
            <w:pPr>
              <w:pBdr/>
              <w:spacing w:after="0" w:before="0" w:line="240"/>
              <w:ind/>
              <w:rPr>
                <w:color w:val="000000" w:themeColor="text1"/>
              </w:rPr>
            </w:pPr>
            <w:r>
              <w:rPr>
                <w:rFonts w:ascii="Arial" w:hAnsi="Arial" w:eastAsia="Arial" w:cs="Arial"/>
                <w:color w:val="000000" w:themeColor="text1"/>
                <w:sz w:val="21"/>
              </w:rPr>
              <w:t xml:space="preserve">CAD feasibility for UC severity grading</w:t>
            </w:r>
            <w:r>
              <w:rPr>
                <w:color w:val="000000" w:themeColor="text1"/>
              </w:rPr>
            </w:r>
          </w:p>
        </w:tc>
        <w:tc>
          <w:tcPr>
            <w:tcBorders/>
            <w:tcW w:w="2201" w:type="dxa"/>
            <w:textDirection w:val="lrTb"/>
            <w:noWrap w:val="false"/>
          </w:tcPr>
          <w:p w14:paraId="6D249C68">
            <w:pPr>
              <w:pBdr/>
              <w:spacing w:after="0" w:before="0" w:line="240"/>
              <w:ind/>
              <w:rPr>
                <w:color w:val="000000" w:themeColor="text1"/>
              </w:rPr>
            </w:pPr>
            <w:r>
              <w:rPr>
                <w:rFonts w:ascii="Arial" w:hAnsi="Arial" w:eastAsia="Arial" w:cs="Arial"/>
                <w:color w:val="000000" w:themeColor="text1"/>
                <w:sz w:val="21"/>
              </w:rPr>
              <w:t xml:space="preserve">Primarily fixed-score prediction interface</w:t>
            </w:r>
            <w:r>
              <w:rPr>
                <w:color w:val="000000" w:themeColor="text1"/>
              </w:rPr>
            </w:r>
          </w:p>
        </w:tc>
      </w:tr>
      <w:tr>
        <w:trPr/>
        <w:tc>
          <w:tcPr>
            <w:tcBorders/>
            <w:tcW w:w="1969" w:type="dxa"/>
            <w:textDirection w:val="lrTb"/>
            <w:noWrap w:val="false"/>
          </w:tcPr>
          <w:p w14:paraId="258CF28B">
            <w:pPr>
              <w:pBdr/>
              <w:spacing w:after="0" w:before="0" w:line="240"/>
              <w:ind/>
              <w:rPr>
                <w:color w:val="000000" w:themeColor="text1"/>
              </w:rPr>
            </w:pPr>
            <w:r>
              <w:rPr>
                <w:rFonts w:ascii="Arial" w:hAnsi="Arial" w:eastAsia="Arial" w:cs="Arial"/>
                <w:color w:val="000000" w:themeColor="text1"/>
                <w:sz w:val="21"/>
              </w:rPr>
              <w:t xml:space="preserve">Yao et al. [R44]</w:t>
            </w:r>
            <w:r>
              <w:rPr>
                <w:color w:val="000000" w:themeColor="text1"/>
              </w:rPr>
            </w:r>
          </w:p>
        </w:tc>
        <w:tc>
          <w:tcPr>
            <w:tcBorders/>
            <w:tcW w:w="1728" w:type="dxa"/>
            <w:textDirection w:val="lrTb"/>
            <w:noWrap w:val="false"/>
          </w:tcPr>
          <w:p w14:paraId="36B21DA7">
            <w:pPr>
              <w:pBdr/>
              <w:spacing w:after="0" w:before="0" w:line="240"/>
              <w:ind/>
              <w:rPr>
                <w:color w:val="000000" w:themeColor="text1"/>
              </w:rPr>
            </w:pPr>
            <w:r>
              <w:rPr>
                <w:rFonts w:ascii="Arial" w:hAnsi="Arial" w:eastAsia="Arial" w:cs="Arial"/>
                <w:color w:val="000000" w:themeColor="text1"/>
                <w:sz w:val="21"/>
              </w:rPr>
              <w:t xml:space="preserve">Multicentre colonoscopy data</w:t>
            </w:r>
            <w:r>
              <w:rPr>
                <w:color w:val="000000" w:themeColor="text1"/>
              </w:rPr>
            </w:r>
          </w:p>
        </w:tc>
        <w:tc>
          <w:tcPr>
            <w:tcBorders/>
            <w:tcW w:w="1728" w:type="dxa"/>
            <w:textDirection w:val="lrTb"/>
            <w:noWrap w:val="false"/>
          </w:tcPr>
          <w:p w14:paraId="2444B3FB">
            <w:pPr>
              <w:pBdr/>
              <w:spacing w:after="0" w:before="0" w:line="240"/>
              <w:ind/>
              <w:rPr>
                <w:color w:val="000000" w:themeColor="text1"/>
              </w:rPr>
            </w:pPr>
            <w:r>
              <w:rPr>
                <w:rFonts w:ascii="Arial" w:hAnsi="Arial" w:eastAsia="Arial" w:cs="Arial"/>
                <w:color w:val="000000" w:themeColor="text1"/>
                <w:sz w:val="21"/>
              </w:rPr>
              <w:t xml:space="preserve">Inflammatory activity</w:t>
            </w:r>
            <w:r>
              <w:rPr>
                <w:color w:val="000000" w:themeColor="text1"/>
              </w:rPr>
            </w:r>
          </w:p>
        </w:tc>
        <w:tc>
          <w:tcPr>
            <w:tcBorders/>
            <w:tcW w:w="1728" w:type="dxa"/>
            <w:textDirection w:val="lrTb"/>
            <w:noWrap w:val="false"/>
          </w:tcPr>
          <w:p w14:paraId="3B97D438">
            <w:pPr>
              <w:pBdr/>
              <w:spacing w:after="0" w:before="0" w:line="240"/>
              <w:ind/>
              <w:rPr>
                <w:color w:val="000000" w:themeColor="text1"/>
              </w:rPr>
            </w:pPr>
            <w:r>
              <w:rPr>
                <w:rFonts w:ascii="Arial" w:hAnsi="Arial" w:eastAsia="Arial" w:cs="Arial"/>
                <w:color w:val="000000" w:themeColor="text1"/>
                <w:sz w:val="21"/>
              </w:rPr>
              <w:t xml:space="preserve">Prospective multicentre evaluation</w:t>
            </w:r>
            <w:r>
              <w:rPr>
                <w:color w:val="000000" w:themeColor="text1"/>
              </w:rPr>
            </w:r>
          </w:p>
        </w:tc>
        <w:tc>
          <w:tcPr>
            <w:tcBorders/>
            <w:tcW w:w="2201" w:type="dxa"/>
            <w:textDirection w:val="lrTb"/>
            <w:noWrap w:val="false"/>
          </w:tcPr>
          <w:p w14:paraId="6373F56C">
            <w:pPr>
              <w:pBdr/>
              <w:spacing w:after="0" w:before="0" w:line="240"/>
              <w:ind/>
              <w:rPr>
                <w:color w:val="000000" w:themeColor="text1"/>
              </w:rPr>
            </w:pPr>
            <w:r>
              <w:rPr>
                <w:rFonts w:ascii="Arial" w:hAnsi="Arial" w:eastAsia="Arial" w:cs="Arial"/>
                <w:color w:val="000000" w:themeColor="text1"/>
                <w:sz w:val="21"/>
              </w:rPr>
              <w:t xml:space="preserve">Not structured around clinician question-answer workflows</w:t>
            </w:r>
            <w:r>
              <w:rPr>
                <w:color w:val="000000" w:themeColor="text1"/>
              </w:rPr>
            </w:r>
          </w:p>
        </w:tc>
      </w:tr>
      <w:tr>
        <w:trPr/>
        <w:tc>
          <w:tcPr>
            <w:tcBorders/>
            <w:tcW w:w="1969" w:type="dxa"/>
            <w:textDirection w:val="lrTb"/>
            <w:noWrap w:val="false"/>
          </w:tcPr>
          <w:p w14:paraId="46DBDA50">
            <w:pPr>
              <w:pBdr/>
              <w:spacing w:after="0" w:before="0" w:line="240"/>
              <w:ind/>
              <w:rPr>
                <w:color w:val="000000" w:themeColor="text1"/>
              </w:rPr>
            </w:pPr>
            <w:r>
              <w:rPr>
                <w:rFonts w:ascii="Arial" w:hAnsi="Arial" w:eastAsia="Arial" w:cs="Arial"/>
                <w:color w:val="000000" w:themeColor="text1"/>
                <w:sz w:val="21"/>
              </w:rPr>
              <w:t xml:space="preserve">Takenaka et al. [R45]</w:t>
            </w:r>
            <w:r>
              <w:rPr>
                <w:color w:val="000000" w:themeColor="text1"/>
              </w:rPr>
            </w:r>
          </w:p>
        </w:tc>
        <w:tc>
          <w:tcPr>
            <w:tcBorders/>
            <w:tcW w:w="1728" w:type="dxa"/>
            <w:textDirection w:val="lrTb"/>
            <w:noWrap w:val="false"/>
          </w:tcPr>
          <w:p w14:paraId="3CCB31F6">
            <w:pPr>
              <w:pBdr/>
              <w:spacing w:after="0" w:before="0" w:line="240"/>
              <w:ind/>
              <w:rPr>
                <w:color w:val="000000" w:themeColor="text1"/>
              </w:rPr>
            </w:pPr>
            <w:r>
              <w:rPr>
                <w:rFonts w:ascii="Arial" w:hAnsi="Arial" w:eastAsia="Arial" w:cs="Arial"/>
                <w:color w:val="000000" w:themeColor="text1"/>
                <w:sz w:val="21"/>
              </w:rPr>
              <w:t xml:space="preserve">Endoscopic images</w:t>
            </w:r>
            <w:r>
              <w:rPr>
                <w:color w:val="000000" w:themeColor="text1"/>
              </w:rPr>
            </w:r>
          </w:p>
        </w:tc>
        <w:tc>
          <w:tcPr>
            <w:tcBorders/>
            <w:tcW w:w="1728" w:type="dxa"/>
            <w:textDirection w:val="lrTb"/>
            <w:noWrap w:val="false"/>
          </w:tcPr>
          <w:p w14:paraId="259CC311">
            <w:pPr>
              <w:pBdr/>
              <w:spacing w:after="0" w:before="0" w:line="240"/>
              <w:ind/>
              <w:rPr>
                <w:color w:val="000000" w:themeColor="text1"/>
              </w:rPr>
            </w:pPr>
            <w:r>
              <w:rPr>
                <w:rFonts w:ascii="Arial" w:hAnsi="Arial" w:eastAsia="Arial" w:cs="Arial"/>
                <w:color w:val="000000" w:themeColor="text1"/>
                <w:sz w:val="21"/>
              </w:rPr>
              <w:t xml:space="preserve">MES/UCEIS predictions</w:t>
            </w:r>
            <w:r>
              <w:rPr>
                <w:color w:val="000000" w:themeColor="text1"/>
              </w:rPr>
            </w:r>
          </w:p>
        </w:tc>
        <w:tc>
          <w:tcPr>
            <w:tcBorders/>
            <w:tcW w:w="1728" w:type="dxa"/>
            <w:textDirection w:val="lrTb"/>
            <w:noWrap w:val="false"/>
          </w:tcPr>
          <w:p w14:paraId="60EBFBE1">
            <w:pPr>
              <w:pBdr/>
              <w:spacing w:after="0" w:before="0" w:line="240"/>
              <w:ind/>
              <w:rPr>
                <w:color w:val="000000" w:themeColor="text1"/>
              </w:rPr>
            </w:pPr>
            <w:r>
              <w:rPr>
                <w:rFonts w:ascii="Arial" w:hAnsi="Arial" w:eastAsia="Arial" w:cs="Arial"/>
                <w:color w:val="000000" w:themeColor="text1"/>
                <w:sz w:val="21"/>
              </w:rPr>
              <w:t xml:space="preserve">Strong recent MES/UCEIS-oriented deep model validation</w:t>
            </w:r>
            <w:r>
              <w:rPr>
                <w:color w:val="000000" w:themeColor="text1"/>
              </w:rPr>
            </w:r>
          </w:p>
        </w:tc>
        <w:tc>
          <w:tcPr>
            <w:tcBorders/>
            <w:tcW w:w="2201" w:type="dxa"/>
            <w:textDirection w:val="lrTb"/>
            <w:noWrap w:val="false"/>
          </w:tcPr>
          <w:p w14:paraId="5EE41EBB">
            <w:pPr>
              <w:pBdr/>
              <w:spacing w:after="0" w:before="0" w:line="240"/>
              <w:ind/>
              <w:rPr>
                <w:color w:val="000000" w:themeColor="text1"/>
              </w:rPr>
            </w:pPr>
            <w:r>
              <w:rPr>
                <w:rFonts w:ascii="Arial" w:hAnsi="Arial" w:eastAsia="Arial" w:cs="Arial"/>
                <w:color w:val="000000" w:themeColor="text1"/>
                <w:sz w:val="21"/>
              </w:rPr>
              <w:t xml:space="preserve">No retrieval-grounded management response layer</w:t>
            </w:r>
            <w:r>
              <w:rPr>
                <w:color w:val="000000" w:themeColor="text1"/>
              </w:rPr>
            </w:r>
          </w:p>
        </w:tc>
      </w:tr>
    </w:tbl>
    <w:p w14:paraId="1B09184C">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lang w:val="en-US"/>
        </w:rPr>
        <w:t xml:space="preserve">      </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t xml:space="preserve">Table 2.5A. Selected UC Severity Automation Studies (Pre-MedVQA Framing)</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2C1BA4E">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258B1F98">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t xml:space="preserve">These studies show that AI-based UC scoring is feasible, but they do not directly resolve the MedVQA challenge targeted in this dissertation: combining robust severity estimation with controlled interactive reasoning and evidence-grounded response generatio</w:t>
      </w:r>
      <w:r>
        <w:rPr>
          <w:rFonts w:ascii="Arial" w:hAnsi="Arial" w:eastAsia="Arial" w:cs="Arial"/>
          <w:b w:val="0"/>
          <w:bCs w:val="0"/>
          <w:i w:val="0"/>
          <w:caps w:val="0"/>
          <w:smallCaps w:val="0"/>
          <w:color w:val="000000" w:themeColor="text1" w:themeTint="FF" w:themeShade="FF"/>
          <w:sz w:val="22"/>
          <w:szCs w:val="22"/>
          <w:highlight w:val="none"/>
        </w:rPr>
        <w:t xml:space="preserve">n. Editorial and variability analyses reinforce this gap by highlighting persistent scoring heterogeneity and translational barriers [R38], [R39].</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7EF78E8C">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48D5530">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Figure 2.3: GI benchmark lineage.</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3E82C681">
      <w:pPr>
        <w:pStyle w:val="774"/>
        <w:suppressLineNumbers w:val="false"/>
        <w:pBdr/>
        <w:spacing w:after="240" w:afterAutospacing="0" w:before="240" w:beforeAutospacing="0" w:line="300" w:lineRule="auto"/>
        <w:ind w:firstLine="0"/>
        <w:rPr>
          <w:b/>
          <w:bCs/>
          <w:i/>
        </w:rPr>
      </w:pPr>
      <w:r>
        <w:rPr>
          <w:rFonts w:ascii="Arial" w:hAnsi="Arial" w:eastAsia="Arial" w:cs="Arial"/>
          <w:b/>
          <w:bCs/>
          <w:i/>
          <w:iCs/>
          <w:caps w:val="0"/>
          <w:smallCaps w:val="0"/>
          <w:color w:val="000000" w:themeColor="text1" w:themeTint="FF" w:themeShade="FF"/>
          <w:sz w:val="22"/>
          <w:szCs w:val="22"/>
        </w:rPr>
        <w:t xml:space="preserve">HyperKvasir + Kvasir-Instrument -&gt; Kvasir-VQA -&gt; Kvasir-VQA-x1 -&gt; ImageCLEF/MediaEval challenge tracks</w:t>
      </w:r>
      <w:r>
        <w:rPr>
          <w:b/>
          <w:bCs/>
          <w:i/>
          <w:iCs/>
        </w:rPr>
      </w:r>
    </w:p>
    <w:p w14:paraId="5B81A01F">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r>
      <w:r/>
    </w:p>
    <w:p w14:paraId="54C58A63">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2.5 Survey of Technique Families</w:t>
      </w:r>
      <w:r/>
    </w:p>
    <w:p w14:paraId="40DC849F">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section compares method families with specific attention to colonoscopy VQA requirements.</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3FDA3691">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2.5.1 Rule-Based and Heuristic Logic</w:t>
      </w:r>
      <w:r/>
    </w:p>
    <w:p w14:paraId="7ADA17E5">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Rule-based systems encode expert logic through handcrafted criteria (e.g., color thresholds, morphology cues, manually defined score rules). Their strengths are transparency and deterministic behavior. Their weaknesses are brittleness under visual variabili</w:t>
      </w:r>
      <w:r>
        <w:rPr>
          <w:rFonts w:ascii="Arial" w:hAnsi="Arial" w:eastAsia="Arial" w:cs="Arial"/>
          <w:b w:val="0"/>
          <w:bCs w:val="0"/>
          <w:i w:val="0"/>
          <w:caps w:val="0"/>
          <w:smallCaps w:val="0"/>
          <w:color w:val="000000" w:themeColor="text1" w:themeTint="FF" w:themeShade="FF"/>
          <w:sz w:val="22"/>
          <w:szCs w:val="22"/>
        </w:rPr>
        <w:t xml:space="preserve">ty and poor scalability to open-ended language.</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4A5F2780">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In colonoscopy, rule-based components can still be useful as auxiliary constraints (for quality filtering or post-hoc checks), but not as full MedVQA systems.</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05A28930">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2.5.2 Discriminative CNN/RNN and Early Fusion Models</w:t>
      </w:r>
      <w:r/>
    </w:p>
    <w:p w14:paraId="0C9D50BD">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These pipelines encode image and question separately and perform fusion for closed-set prediction. They remain strong baselines for constrained yes/no or categorical tasks where label spaces are stable and deterministic output is preferred.</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49E04B1A">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Limitations include weaker compositional reasoning and poor flexibility for long-form explanatory answers.</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69E34D32">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2.5.3 Transformer-Based Multimodal Fusion</w:t>
      </w:r>
      <w:r/>
    </w:p>
    <w:p w14:paraId="552EC70B">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Transformers improved image-question alignment and contextual reasoning through cross-attention. Pretrained multimodal encoders can be adapted to clinical VQA with improved sample efficiency relative to training from scratch.</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7CB8A122">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In GI settings, this family often provides strong reliability on structured answer spaces, especially where question templates and answer ontologies are controlled.</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752C673A">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2.5.4 Generative MLLM-Based MedVQA</w:t>
      </w:r>
      <w:r/>
    </w:p>
    <w:p w14:paraId="78B22732">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Generative approaches output free-text answers and support richer interaction. Key drivers include instruction tuning and parameter-efficient adaptation. Representative medical systems include LLaVA-Med [R6], Med-Flamingo [R7], and instruction-tuned large-s</w:t>
      </w:r>
      <w:r>
        <w:rPr>
          <w:rFonts w:ascii="Arial" w:hAnsi="Arial" w:eastAsia="Arial" w:cs="Arial"/>
          <w:b w:val="0"/>
          <w:bCs w:val="0"/>
          <w:i w:val="0"/>
          <w:caps w:val="0"/>
          <w:smallCaps w:val="0"/>
          <w:color w:val="000000" w:themeColor="text1" w:themeTint="FF" w:themeShade="FF"/>
          <w:sz w:val="22"/>
          <w:szCs w:val="22"/>
        </w:rPr>
        <w:t xml:space="preserve">cale resources such as PMC-VQA [R5].</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4C9413E0">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Benefits:</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7497AF74">
      <w:pPr>
        <w:pStyle w:val="774"/>
        <w:numPr>
          <w:ilvl w:val="0"/>
          <w:numId w:val="28"/>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richer language output,</w:t>
      </w:r>
      <w:r/>
    </w:p>
    <w:p w14:paraId="285F14BD">
      <w:pPr>
        <w:pStyle w:val="774"/>
        <w:numPr>
          <w:ilvl w:val="0"/>
          <w:numId w:val="28"/>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support for rationale-like responses,</w:t>
      </w:r>
      <w:r/>
    </w:p>
    <w:p w14:paraId="196B858B">
      <w:pPr>
        <w:pStyle w:val="774"/>
        <w:numPr>
          <w:ilvl w:val="0"/>
          <w:numId w:val="28"/>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easier integration with conversational interfaces.</w:t>
      </w:r>
      <w:r>
        <w:rPr>
          <w:rFonts w:ascii="Arial" w:hAnsi="Arial" w:eastAsia="Arial" w:cs="Arial"/>
          <w:b w:val="0"/>
          <w:bCs w:val="0"/>
          <w:i w:val="0"/>
          <w:caps w:val="0"/>
          <w:smallCaps w:val="0"/>
          <w:color w:val="000000" w:themeColor="text1" w:themeTint="FF" w:themeShade="FF"/>
          <w:sz w:val="22"/>
          <w:szCs w:val="22"/>
        </w:rPr>
      </w:r>
    </w:p>
    <w:p w14:paraId="3D1A1455">
      <w:pPr>
        <w:pStyle w:val="774"/>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506E2A9">
      <w:pPr>
        <w:pStyle w:val="774"/>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3FCE157">
      <w:pPr>
        <w:pStyle w:val="774"/>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7C9B65FF">
      <w:pPr>
        <w:pStyle w:val="774"/>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269D002F">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Risks:</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0FD42ADC">
      <w:pPr>
        <w:pStyle w:val="774"/>
        <w:numPr>
          <w:ilvl w:val="0"/>
          <w:numId w:val="2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hallucination,</w:t>
      </w:r>
      <w:r/>
    </w:p>
    <w:p w14:paraId="4E5B7570">
      <w:pPr>
        <w:pStyle w:val="774"/>
        <w:numPr>
          <w:ilvl w:val="0"/>
          <w:numId w:val="2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weak visual grounding,</w:t>
      </w:r>
      <w:r/>
    </w:p>
    <w:p w14:paraId="64A5BB4A">
      <w:pPr>
        <w:pStyle w:val="774"/>
        <w:numPr>
          <w:ilvl w:val="0"/>
          <w:numId w:val="2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answer-format instability on closed-label evaluations,</w:t>
      </w:r>
      <w:r/>
    </w:p>
    <w:p w14:paraId="761F87B9">
      <w:pPr>
        <w:pStyle w:val="774"/>
        <w:numPr>
          <w:ilvl w:val="0"/>
          <w:numId w:val="2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and clinically ambiguous verbosity.</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rPr>
      </w:r>
    </w:p>
    <w:p w14:paraId="2E3D7179">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2.5.5 Explainable and Grounded MedVQA</w:t>
      </w:r>
      <w:r/>
    </w:p>
    <w:p w14:paraId="60A41A71">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Explainability has moved from optional add-on to benchmark-level requirement in GI challenges [R26], [R27]. The goal is not only to answer but to justify and localize reasoning cues in ways clinicians can audit.</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5089DFAD">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Recent work includes explicit multi-component explainability pipelines [R15] and challenge systems combining QA, explanation generation, and localization [R28].</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3B1C8361">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2.5.6 Retrieval-Augmented and Evidence-Aware Methods</w:t>
      </w:r>
      <w:r/>
    </w:p>
    <w:p w14:paraId="0BCDD5D7">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Retrieval augmentation is increasingly explored to ground answers in relevant examples or external evidence. Recent shared-task evidence in medical VQA (MEDIQA-WV 2025 overview and system reports) shows that retrieval-aware pipelines can improve schema adhe</w:t>
      </w:r>
      <w:r>
        <w:rPr>
          <w:rFonts w:ascii="Arial" w:hAnsi="Arial" w:eastAsia="Arial" w:cs="Arial"/>
          <w:b w:val="0"/>
          <w:bCs w:val="0"/>
          <w:i w:val="0"/>
          <w:caps w:val="0"/>
          <w:smallCaps w:val="0"/>
          <w:color w:val="000000" w:themeColor="text1" w:themeTint="FF" w:themeShade="FF"/>
          <w:sz w:val="22"/>
          <w:szCs w:val="22"/>
        </w:rPr>
        <w:t xml:space="preserve">rence and answer usefulness when retrieval quality is explicitly controlled [R29], [R30].</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7A97DA52">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For this thesis, retrieval is decomposed into three operational modes:</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44CCF777">
      <w:pPr>
        <w:pStyle w:val="774"/>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Text-evidence retrieval: </w:t>
      </w:r>
      <w:r>
        <w:rPr>
          <w:rFonts w:ascii="Arial" w:hAnsi="Arial" w:eastAsia="Arial" w:cs="Arial"/>
          <w:b w:val="0"/>
          <w:bCs w:val="0"/>
          <w:i w:val="0"/>
          <w:caps w:val="0"/>
          <w:smallCaps w:val="0"/>
          <w:color w:val="000000" w:themeColor="text1" w:themeTint="FF" w:themeShade="FF"/>
          <w:sz w:val="22"/>
          <w:szCs w:val="22"/>
        </w:rPr>
        <w:t xml:space="preserve">guidelines, review papers, and trial summaries for management-style questions.</w:t>
      </w:r>
      <w:r/>
    </w:p>
    <w:p w14:paraId="68DD5253">
      <w:pPr>
        <w:pStyle w:val="774"/>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Case-based retrieval:</w:t>
      </w:r>
      <w:r>
        <w:rPr>
          <w:rFonts w:ascii="Arial" w:hAnsi="Arial" w:eastAsia="Arial" w:cs="Arial"/>
          <w:b w:val="0"/>
          <w:bCs w:val="0"/>
          <w:i w:val="0"/>
          <w:caps w:val="0"/>
          <w:smallCaps w:val="0"/>
          <w:color w:val="000000" w:themeColor="text1" w:themeTint="FF" w:themeShade="FF"/>
          <w:sz w:val="22"/>
          <w:szCs w:val="22"/>
        </w:rPr>
        <w:t xml:space="preserve"> nearest-neighbor retrieval of visually similar prior GI cases for comparability support.</w:t>
      </w:r>
      <w:r/>
    </w:p>
    <w:p w14:paraId="436F4BDE">
      <w:pPr>
        <w:pStyle w:val="774"/>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Hybrid multimodal retrieval:</w:t>
      </w:r>
      <w:r>
        <w:rPr>
          <w:rFonts w:ascii="Arial" w:hAnsi="Arial" w:eastAsia="Arial" w:cs="Arial"/>
          <w:b w:val="0"/>
          <w:bCs w:val="0"/>
          <w:i w:val="0"/>
          <w:caps w:val="0"/>
          <w:smallCaps w:val="0"/>
          <w:color w:val="000000" w:themeColor="text1" w:themeTint="FF" w:themeShade="FF"/>
          <w:sz w:val="22"/>
          <w:szCs w:val="22"/>
        </w:rPr>
        <w:t xml:space="preserve"> question intent + image cues used jointly to route evidence selection.</w:t>
      </w:r>
      <w:r/>
    </w:p>
    <w:p w14:paraId="3EEA142A">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decomposition directly supports the Chapter 5 PICO-oriented wrapper. The visual module first answers image-grounded questions (for example severity), then the evidence module maps management queries into PICO slots and retrieves citation-linked support</w:t>
      </w:r>
      <w:r>
        <w:rPr>
          <w:rFonts w:ascii="Arial" w:hAnsi="Arial" w:eastAsia="Arial" w:cs="Arial"/>
          <w:b w:val="0"/>
          <w:bCs w:val="0"/>
          <w:i w:val="0"/>
          <w:caps w:val="0"/>
          <w:smallCaps w:val="0"/>
          <w:color w:val="000000" w:themeColor="text1" w:themeTint="FF" w:themeShade="FF"/>
          <w:sz w:val="22"/>
          <w:szCs w:val="22"/>
        </w:rPr>
        <w:t xml:space="preserve"> before response synthesis.</w:t>
      </w:r>
      <w:r/>
    </w:p>
    <w:p w14:paraId="4C3ACD63">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r>
      <w:r/>
    </w:p>
    <w:p w14:paraId="5933CBC8">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 xml:space="preserve">For colonoscopy MedVQA, retrieval should therefore be treated as a controlled extension layer rather than a replacement for robust visual grounding.</w:t>
      </w: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1535247">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t xml:space="preserve">2.5.7 Comparative Family-Level Synthesis</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2FB16C8">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831"/>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6D87AFBD">
            <w:pPr>
              <w:pBdr/>
              <w:spacing w:after="0" w:before="0" w:line="240"/>
              <w:ind/>
              <w:rPr>
                <w:color w:val="000000" w:themeColor="text1"/>
              </w:rPr>
            </w:pPr>
            <w:r>
              <w:rPr>
                <w:rFonts w:ascii="Arial" w:hAnsi="Arial" w:eastAsia="Arial" w:cs="Arial"/>
                <w:b/>
                <w:color w:val="000000" w:themeColor="text1"/>
                <w:sz w:val="21"/>
              </w:rPr>
              <w:t xml:space="preserve">Family</w:t>
            </w:r>
            <w:r>
              <w:rPr>
                <w:color w:val="000000" w:themeColor="text1"/>
              </w:rPr>
            </w:r>
          </w:p>
        </w:tc>
        <w:tc>
          <w:tcPr>
            <w:tcBorders/>
            <w:tcW w:w="1728" w:type="dxa"/>
            <w:textDirection w:val="lrTb"/>
            <w:noWrap w:val="false"/>
          </w:tcPr>
          <w:p w14:paraId="69EBBB36">
            <w:pPr>
              <w:pBdr/>
              <w:spacing w:after="0" w:before="0" w:line="240"/>
              <w:ind/>
              <w:rPr>
                <w:color w:val="000000" w:themeColor="text1"/>
              </w:rPr>
            </w:pPr>
            <w:r>
              <w:rPr>
                <w:rFonts w:ascii="Arial" w:hAnsi="Arial" w:eastAsia="Arial" w:cs="Arial"/>
                <w:b/>
                <w:color w:val="000000" w:themeColor="text1"/>
                <w:sz w:val="21"/>
              </w:rPr>
              <w:t xml:space="preserve">Typical output mode</w:t>
            </w:r>
            <w:r>
              <w:rPr>
                <w:color w:val="000000" w:themeColor="text1"/>
              </w:rPr>
            </w:r>
          </w:p>
        </w:tc>
        <w:tc>
          <w:tcPr>
            <w:tcBorders/>
            <w:tcW w:w="1728" w:type="dxa"/>
            <w:textDirection w:val="lrTb"/>
            <w:noWrap w:val="false"/>
          </w:tcPr>
          <w:p w14:paraId="263B3A95">
            <w:pPr>
              <w:pBdr/>
              <w:spacing w:after="0" w:before="0" w:line="240"/>
              <w:ind/>
              <w:rPr>
                <w:color w:val="000000" w:themeColor="text1"/>
              </w:rPr>
            </w:pPr>
            <w:r>
              <w:rPr>
                <w:rFonts w:ascii="Arial" w:hAnsi="Arial" w:eastAsia="Arial" w:cs="Arial"/>
                <w:b/>
                <w:color w:val="000000" w:themeColor="text1"/>
                <w:sz w:val="21"/>
              </w:rPr>
              <w:t xml:space="preserve">Key strengths</w:t>
            </w:r>
            <w:r>
              <w:rPr>
                <w:color w:val="000000" w:themeColor="text1"/>
              </w:rPr>
            </w:r>
          </w:p>
        </w:tc>
        <w:tc>
          <w:tcPr>
            <w:tcBorders/>
            <w:tcW w:w="1728" w:type="dxa"/>
            <w:textDirection w:val="lrTb"/>
            <w:noWrap w:val="false"/>
          </w:tcPr>
          <w:p w14:paraId="4AA51791">
            <w:pPr>
              <w:pBdr/>
              <w:spacing w:after="0" w:before="0" w:line="240"/>
              <w:ind/>
              <w:rPr>
                <w:color w:val="000000" w:themeColor="text1"/>
              </w:rPr>
            </w:pPr>
            <w:r>
              <w:rPr>
                <w:rFonts w:ascii="Arial" w:hAnsi="Arial" w:eastAsia="Arial" w:cs="Arial"/>
                <w:b/>
                <w:color w:val="000000" w:themeColor="text1"/>
                <w:sz w:val="21"/>
              </w:rPr>
              <w:t xml:space="preserve">Main risks</w:t>
            </w:r>
            <w:r>
              <w:rPr>
                <w:color w:val="000000" w:themeColor="text1"/>
              </w:rPr>
            </w:r>
          </w:p>
        </w:tc>
        <w:tc>
          <w:tcPr>
            <w:tcBorders/>
            <w:tcW w:w="1728" w:type="dxa"/>
            <w:textDirection w:val="lrTb"/>
            <w:noWrap w:val="false"/>
          </w:tcPr>
          <w:p w14:paraId="41EB907B">
            <w:pPr>
              <w:pBdr/>
              <w:spacing w:after="0" w:before="0" w:line="240"/>
              <w:ind/>
              <w:rPr>
                <w:color w:val="000000" w:themeColor="text1"/>
              </w:rPr>
            </w:pPr>
            <w:r>
              <w:rPr>
                <w:rFonts w:ascii="Arial" w:hAnsi="Arial" w:eastAsia="Arial" w:cs="Arial"/>
                <w:b/>
                <w:color w:val="000000" w:themeColor="text1"/>
                <w:sz w:val="21"/>
              </w:rPr>
              <w:t xml:space="preserve">Best-fit scenarios</w:t>
            </w:r>
            <w:r>
              <w:rPr>
                <w:color w:val="000000" w:themeColor="text1"/>
              </w:rPr>
            </w:r>
          </w:p>
        </w:tc>
      </w:tr>
      <w:tr>
        <w:trPr/>
        <w:tc>
          <w:tcPr>
            <w:tcBorders/>
            <w:tcW w:w="1728" w:type="dxa"/>
            <w:textDirection w:val="lrTb"/>
            <w:noWrap w:val="false"/>
          </w:tcPr>
          <w:p w14:paraId="63177AC3">
            <w:pPr>
              <w:pBdr/>
              <w:spacing w:after="0" w:before="0" w:line="240"/>
              <w:ind/>
              <w:rPr>
                <w:color w:val="000000" w:themeColor="text1"/>
              </w:rPr>
            </w:pPr>
            <w:r>
              <w:rPr>
                <w:rFonts w:ascii="Arial" w:hAnsi="Arial" w:eastAsia="Arial" w:cs="Arial"/>
                <w:color w:val="000000" w:themeColor="text1"/>
                <w:sz w:val="21"/>
              </w:rPr>
              <w:t xml:space="preserve">Rule-based / heuristics</w:t>
            </w:r>
            <w:r>
              <w:rPr>
                <w:color w:val="000000" w:themeColor="text1"/>
              </w:rPr>
            </w:r>
          </w:p>
        </w:tc>
        <w:tc>
          <w:tcPr>
            <w:tcBorders/>
            <w:tcW w:w="1728" w:type="dxa"/>
            <w:textDirection w:val="lrTb"/>
            <w:noWrap w:val="false"/>
          </w:tcPr>
          <w:p w14:paraId="0B301CBD">
            <w:pPr>
              <w:pBdr/>
              <w:spacing w:after="0" w:before="0" w:line="240"/>
              <w:ind/>
              <w:rPr>
                <w:color w:val="000000" w:themeColor="text1"/>
              </w:rPr>
            </w:pPr>
            <w:r>
              <w:rPr>
                <w:rFonts w:ascii="Arial" w:hAnsi="Arial" w:eastAsia="Arial" w:cs="Arial"/>
                <w:color w:val="000000" w:themeColor="text1"/>
                <w:sz w:val="21"/>
              </w:rPr>
              <w:t xml:space="preserve">Deterministic labels/rules</w:t>
            </w:r>
            <w:r>
              <w:rPr>
                <w:color w:val="000000" w:themeColor="text1"/>
              </w:rPr>
            </w:r>
          </w:p>
        </w:tc>
        <w:tc>
          <w:tcPr>
            <w:tcBorders/>
            <w:tcW w:w="1728" w:type="dxa"/>
            <w:textDirection w:val="lrTb"/>
            <w:noWrap w:val="false"/>
          </w:tcPr>
          <w:p w14:paraId="560330FF">
            <w:pPr>
              <w:pBdr/>
              <w:spacing w:after="0" w:before="0" w:line="240"/>
              <w:ind/>
              <w:rPr>
                <w:color w:val="000000" w:themeColor="text1"/>
              </w:rPr>
            </w:pPr>
            <w:r>
              <w:rPr>
                <w:rFonts w:ascii="Arial" w:hAnsi="Arial" w:eastAsia="Arial" w:cs="Arial"/>
                <w:color w:val="000000" w:themeColor="text1"/>
                <w:sz w:val="21"/>
              </w:rPr>
              <w:t xml:space="preserve">Transparent, predictable</w:t>
            </w:r>
            <w:r>
              <w:rPr>
                <w:color w:val="000000" w:themeColor="text1"/>
              </w:rPr>
            </w:r>
          </w:p>
        </w:tc>
        <w:tc>
          <w:tcPr>
            <w:tcBorders/>
            <w:tcW w:w="1728" w:type="dxa"/>
            <w:textDirection w:val="lrTb"/>
            <w:noWrap w:val="false"/>
          </w:tcPr>
          <w:p w14:paraId="1CE3BC48">
            <w:pPr>
              <w:pBdr/>
              <w:spacing w:after="0" w:before="0" w:line="240"/>
              <w:ind/>
              <w:rPr>
                <w:color w:val="000000" w:themeColor="text1"/>
              </w:rPr>
            </w:pPr>
            <w:r>
              <w:rPr>
                <w:rFonts w:ascii="Arial" w:hAnsi="Arial" w:eastAsia="Arial" w:cs="Arial"/>
                <w:color w:val="000000" w:themeColor="text1"/>
                <w:sz w:val="21"/>
              </w:rPr>
              <w:t xml:space="preserve">Brittle under visual variation</w:t>
            </w:r>
            <w:r>
              <w:rPr>
                <w:color w:val="000000" w:themeColor="text1"/>
              </w:rPr>
            </w:r>
          </w:p>
        </w:tc>
        <w:tc>
          <w:tcPr>
            <w:tcBorders/>
            <w:tcW w:w="1728" w:type="dxa"/>
            <w:textDirection w:val="lrTb"/>
            <w:noWrap w:val="false"/>
          </w:tcPr>
          <w:p w14:paraId="5261D345">
            <w:pPr>
              <w:pBdr/>
              <w:spacing w:after="0" w:before="0" w:line="240"/>
              <w:ind/>
              <w:rPr>
                <w:color w:val="000000" w:themeColor="text1"/>
              </w:rPr>
            </w:pPr>
            <w:r>
              <w:rPr>
                <w:rFonts w:ascii="Arial" w:hAnsi="Arial" w:eastAsia="Arial" w:cs="Arial"/>
                <w:color w:val="000000" w:themeColor="text1"/>
                <w:sz w:val="21"/>
              </w:rPr>
              <w:t xml:space="preserve">Narrow quality-control checks</w:t>
            </w:r>
            <w:r>
              <w:rPr>
                <w:color w:val="000000" w:themeColor="text1"/>
              </w:rPr>
            </w:r>
          </w:p>
        </w:tc>
      </w:tr>
      <w:tr>
        <w:trPr/>
        <w:tc>
          <w:tcPr>
            <w:tcBorders/>
            <w:tcW w:w="1728" w:type="dxa"/>
            <w:textDirection w:val="lrTb"/>
            <w:noWrap w:val="false"/>
          </w:tcPr>
          <w:p w14:paraId="2D89261C">
            <w:pPr>
              <w:pBdr/>
              <w:spacing w:after="0" w:before="0" w:line="240"/>
              <w:ind/>
              <w:rPr>
                <w:color w:val="000000" w:themeColor="text1"/>
              </w:rPr>
            </w:pPr>
            <w:r>
              <w:rPr>
                <w:rFonts w:ascii="Arial" w:hAnsi="Arial" w:eastAsia="Arial" w:cs="Arial"/>
                <w:color w:val="000000" w:themeColor="text1"/>
                <w:sz w:val="21"/>
              </w:rPr>
              <w:t xml:space="preserve">CNN/RNN discriminative</w:t>
            </w:r>
            <w:r>
              <w:rPr>
                <w:color w:val="000000" w:themeColor="text1"/>
              </w:rPr>
            </w:r>
          </w:p>
        </w:tc>
        <w:tc>
          <w:tcPr>
            <w:tcBorders/>
            <w:tcW w:w="1728" w:type="dxa"/>
            <w:textDirection w:val="lrTb"/>
            <w:noWrap w:val="false"/>
          </w:tcPr>
          <w:p w14:paraId="289498D7">
            <w:pPr>
              <w:pBdr/>
              <w:spacing w:after="0" w:before="0" w:line="240"/>
              <w:ind/>
              <w:rPr>
                <w:color w:val="000000" w:themeColor="text1"/>
              </w:rPr>
            </w:pPr>
            <w:r>
              <w:rPr>
                <w:rFonts w:ascii="Arial" w:hAnsi="Arial" w:eastAsia="Arial" w:cs="Arial"/>
                <w:color w:val="000000" w:themeColor="text1"/>
                <w:sz w:val="21"/>
              </w:rPr>
              <w:t xml:space="preserve">Closed-set labels</w:t>
            </w:r>
            <w:r>
              <w:rPr>
                <w:color w:val="000000" w:themeColor="text1"/>
              </w:rPr>
            </w:r>
          </w:p>
        </w:tc>
        <w:tc>
          <w:tcPr>
            <w:tcBorders/>
            <w:tcW w:w="1728" w:type="dxa"/>
            <w:textDirection w:val="lrTb"/>
            <w:noWrap w:val="false"/>
          </w:tcPr>
          <w:p w14:paraId="0D8E6960">
            <w:pPr>
              <w:pBdr/>
              <w:spacing w:after="0" w:before="0" w:line="240"/>
              <w:ind/>
              <w:rPr>
                <w:color w:val="000000" w:themeColor="text1"/>
              </w:rPr>
            </w:pPr>
            <w:r>
              <w:rPr>
                <w:rFonts w:ascii="Arial" w:hAnsi="Arial" w:eastAsia="Arial" w:cs="Arial"/>
                <w:color w:val="000000" w:themeColor="text1"/>
                <w:sz w:val="21"/>
              </w:rPr>
              <w:t xml:space="preserve">Stable on constrained tasks, efficient</w:t>
            </w:r>
            <w:r>
              <w:rPr>
                <w:color w:val="000000" w:themeColor="text1"/>
              </w:rPr>
            </w:r>
          </w:p>
        </w:tc>
        <w:tc>
          <w:tcPr>
            <w:tcBorders/>
            <w:tcW w:w="1728" w:type="dxa"/>
            <w:textDirection w:val="lrTb"/>
            <w:noWrap w:val="false"/>
          </w:tcPr>
          <w:p w14:paraId="5F6597A5">
            <w:pPr>
              <w:pBdr/>
              <w:spacing w:after="0" w:before="0" w:line="240"/>
              <w:ind/>
              <w:rPr>
                <w:color w:val="000000" w:themeColor="text1"/>
              </w:rPr>
            </w:pPr>
            <w:r>
              <w:rPr>
                <w:rFonts w:ascii="Arial" w:hAnsi="Arial" w:eastAsia="Arial" w:cs="Arial"/>
                <w:color w:val="000000" w:themeColor="text1"/>
                <w:sz w:val="21"/>
              </w:rPr>
              <w:t xml:space="preserve">Limited compositional reasoning</w:t>
            </w:r>
            <w:r>
              <w:rPr>
                <w:color w:val="000000" w:themeColor="text1"/>
              </w:rPr>
            </w:r>
          </w:p>
        </w:tc>
        <w:tc>
          <w:tcPr>
            <w:tcBorders/>
            <w:tcW w:w="1728" w:type="dxa"/>
            <w:textDirection w:val="lrTb"/>
            <w:noWrap w:val="false"/>
          </w:tcPr>
          <w:p w14:paraId="51188C23">
            <w:pPr>
              <w:pBdr/>
              <w:spacing w:after="0" w:before="0" w:line="240"/>
              <w:ind/>
              <w:rPr>
                <w:color w:val="000000" w:themeColor="text1"/>
              </w:rPr>
            </w:pPr>
            <w:r>
              <w:rPr>
                <w:rFonts w:ascii="Arial" w:hAnsi="Arial" w:eastAsia="Arial" w:cs="Arial"/>
                <w:color w:val="000000" w:themeColor="text1"/>
                <w:sz w:val="21"/>
              </w:rPr>
              <w:t xml:space="preserve">Binary/attribute tasks with fixed ontology</w:t>
            </w:r>
            <w:r>
              <w:rPr>
                <w:color w:val="000000" w:themeColor="text1"/>
              </w:rPr>
            </w:r>
          </w:p>
        </w:tc>
      </w:tr>
      <w:tr>
        <w:trPr/>
        <w:tc>
          <w:tcPr>
            <w:tcBorders/>
            <w:tcW w:w="1728" w:type="dxa"/>
            <w:textDirection w:val="lrTb"/>
            <w:noWrap w:val="false"/>
          </w:tcPr>
          <w:p w14:paraId="618B63E2">
            <w:pPr>
              <w:pBdr/>
              <w:spacing w:after="0" w:before="0" w:line="240"/>
              <w:ind/>
              <w:rPr>
                <w:color w:val="000000" w:themeColor="text1"/>
              </w:rPr>
            </w:pPr>
            <w:r>
              <w:rPr>
                <w:rFonts w:ascii="Arial" w:hAnsi="Arial" w:eastAsia="Arial" w:cs="Arial"/>
                <w:color w:val="000000" w:themeColor="text1"/>
                <w:sz w:val="21"/>
              </w:rPr>
              <w:t xml:space="preserve">Transformer fusion</w:t>
            </w:r>
            <w:r>
              <w:rPr>
                <w:color w:val="000000" w:themeColor="text1"/>
              </w:rPr>
            </w:r>
          </w:p>
        </w:tc>
        <w:tc>
          <w:tcPr>
            <w:tcBorders/>
            <w:tcW w:w="1728" w:type="dxa"/>
            <w:textDirection w:val="lrTb"/>
            <w:noWrap w:val="false"/>
          </w:tcPr>
          <w:p w14:paraId="11AABEE4">
            <w:pPr>
              <w:pBdr/>
              <w:spacing w:after="0" w:before="0" w:line="240"/>
              <w:ind/>
              <w:rPr>
                <w:color w:val="000000" w:themeColor="text1"/>
              </w:rPr>
            </w:pPr>
            <w:r>
              <w:rPr>
                <w:rFonts w:ascii="Arial" w:hAnsi="Arial" w:eastAsia="Arial" w:cs="Arial"/>
                <w:color w:val="000000" w:themeColor="text1"/>
                <w:sz w:val="21"/>
              </w:rPr>
              <w:t xml:space="preserve">Closed-set or short text</w:t>
            </w:r>
            <w:r>
              <w:rPr>
                <w:color w:val="000000" w:themeColor="text1"/>
              </w:rPr>
            </w:r>
          </w:p>
        </w:tc>
        <w:tc>
          <w:tcPr>
            <w:tcBorders/>
            <w:tcW w:w="1728" w:type="dxa"/>
            <w:textDirection w:val="lrTb"/>
            <w:noWrap w:val="false"/>
          </w:tcPr>
          <w:p w14:paraId="7E11914C">
            <w:pPr>
              <w:pBdr/>
              <w:spacing w:after="0" w:before="0" w:line="240"/>
              <w:ind/>
              <w:rPr>
                <w:color w:val="000000" w:themeColor="text1"/>
              </w:rPr>
            </w:pPr>
            <w:r>
              <w:rPr>
                <w:rFonts w:ascii="Arial" w:hAnsi="Arial" w:eastAsia="Arial" w:cs="Arial"/>
                <w:color w:val="000000" w:themeColor="text1"/>
                <w:sz w:val="21"/>
              </w:rPr>
              <w:t xml:space="preserve">Strong image-question alignment</w:t>
            </w:r>
            <w:r>
              <w:rPr>
                <w:color w:val="000000" w:themeColor="text1"/>
              </w:rPr>
            </w:r>
          </w:p>
        </w:tc>
        <w:tc>
          <w:tcPr>
            <w:tcBorders/>
            <w:tcW w:w="1728" w:type="dxa"/>
            <w:textDirection w:val="lrTb"/>
            <w:noWrap w:val="false"/>
          </w:tcPr>
          <w:p w14:paraId="256BAFF2">
            <w:pPr>
              <w:pBdr/>
              <w:spacing w:after="0" w:before="0" w:line="240"/>
              <w:ind/>
              <w:rPr>
                <w:color w:val="000000" w:themeColor="text1"/>
              </w:rPr>
            </w:pPr>
            <w:r>
              <w:rPr>
                <w:rFonts w:ascii="Arial" w:hAnsi="Arial" w:eastAsia="Arial" w:cs="Arial"/>
                <w:color w:val="000000" w:themeColor="text1"/>
                <w:sz w:val="21"/>
              </w:rPr>
              <w:t xml:space="preserve">Data and tuning sensitivity</w:t>
            </w:r>
            <w:r>
              <w:rPr>
                <w:color w:val="000000" w:themeColor="text1"/>
              </w:rPr>
            </w:r>
          </w:p>
        </w:tc>
        <w:tc>
          <w:tcPr>
            <w:tcBorders/>
            <w:tcW w:w="1728" w:type="dxa"/>
            <w:textDirection w:val="lrTb"/>
            <w:noWrap w:val="false"/>
          </w:tcPr>
          <w:p w14:paraId="70516D11">
            <w:pPr>
              <w:pBdr/>
              <w:spacing w:after="0" w:before="0" w:line="240"/>
              <w:ind/>
              <w:rPr>
                <w:color w:val="000000" w:themeColor="text1"/>
              </w:rPr>
            </w:pPr>
            <w:r>
              <w:rPr>
                <w:rFonts w:ascii="Arial" w:hAnsi="Arial" w:eastAsia="Arial" w:cs="Arial"/>
                <w:color w:val="000000" w:themeColor="text1"/>
                <w:sz w:val="21"/>
              </w:rPr>
              <w:t xml:space="preserve">Multi-category constrained QA</w:t>
            </w:r>
            <w:r>
              <w:rPr>
                <w:color w:val="000000" w:themeColor="text1"/>
              </w:rPr>
            </w:r>
          </w:p>
        </w:tc>
      </w:tr>
      <w:tr>
        <w:trPr/>
        <w:tc>
          <w:tcPr>
            <w:tcBorders/>
            <w:tcW w:w="1728" w:type="dxa"/>
            <w:textDirection w:val="lrTb"/>
            <w:noWrap w:val="false"/>
          </w:tcPr>
          <w:p w14:paraId="5A31F17B">
            <w:pPr>
              <w:pBdr/>
              <w:spacing w:after="0" w:before="0" w:line="240"/>
              <w:ind/>
              <w:rPr>
                <w:color w:val="000000" w:themeColor="text1"/>
              </w:rPr>
            </w:pPr>
            <w:r>
              <w:rPr>
                <w:rFonts w:ascii="Arial" w:hAnsi="Arial" w:eastAsia="Arial" w:cs="Arial"/>
                <w:color w:val="000000" w:themeColor="text1"/>
                <w:sz w:val="21"/>
              </w:rPr>
              <w:t xml:space="preserve">Generative MLLM</w:t>
            </w:r>
            <w:r>
              <w:rPr>
                <w:color w:val="000000" w:themeColor="text1"/>
              </w:rPr>
            </w:r>
          </w:p>
        </w:tc>
        <w:tc>
          <w:tcPr>
            <w:tcBorders/>
            <w:tcW w:w="1728" w:type="dxa"/>
            <w:textDirection w:val="lrTb"/>
            <w:noWrap w:val="false"/>
          </w:tcPr>
          <w:p w14:paraId="6EC078E0">
            <w:pPr>
              <w:pBdr/>
              <w:spacing w:after="0" w:before="0" w:line="240"/>
              <w:ind/>
              <w:rPr>
                <w:color w:val="000000" w:themeColor="text1"/>
              </w:rPr>
            </w:pPr>
            <w:r>
              <w:rPr>
                <w:rFonts w:ascii="Arial" w:hAnsi="Arial" w:eastAsia="Arial" w:cs="Arial"/>
                <w:color w:val="000000" w:themeColor="text1"/>
                <w:sz w:val="21"/>
              </w:rPr>
              <w:t xml:space="preserve">Free text</w:t>
            </w:r>
            <w:r>
              <w:rPr>
                <w:color w:val="000000" w:themeColor="text1"/>
              </w:rPr>
            </w:r>
          </w:p>
        </w:tc>
        <w:tc>
          <w:tcPr>
            <w:tcBorders/>
            <w:tcW w:w="1728" w:type="dxa"/>
            <w:textDirection w:val="lrTb"/>
            <w:noWrap w:val="false"/>
          </w:tcPr>
          <w:p w14:paraId="2AD226A0">
            <w:pPr>
              <w:pBdr/>
              <w:spacing w:after="0" w:before="0" w:line="240"/>
              <w:ind/>
              <w:rPr>
                <w:color w:val="000000" w:themeColor="text1"/>
              </w:rPr>
            </w:pPr>
            <w:r>
              <w:rPr>
                <w:rFonts w:ascii="Arial" w:hAnsi="Arial" w:eastAsia="Arial" w:cs="Arial"/>
                <w:color w:val="000000" w:themeColor="text1"/>
                <w:sz w:val="21"/>
              </w:rPr>
              <w:t xml:space="preserve">Rich interaction and explanation potential</w:t>
            </w:r>
            <w:r>
              <w:rPr>
                <w:color w:val="000000" w:themeColor="text1"/>
              </w:rPr>
            </w:r>
          </w:p>
        </w:tc>
        <w:tc>
          <w:tcPr>
            <w:tcBorders/>
            <w:tcW w:w="1728" w:type="dxa"/>
            <w:textDirection w:val="lrTb"/>
            <w:noWrap w:val="false"/>
          </w:tcPr>
          <w:p w14:paraId="5DB33AAF">
            <w:pPr>
              <w:pBdr/>
              <w:spacing w:after="0" w:before="0" w:line="240"/>
              <w:ind/>
              <w:rPr>
                <w:color w:val="000000" w:themeColor="text1"/>
              </w:rPr>
            </w:pPr>
            <w:r>
              <w:rPr>
                <w:rFonts w:ascii="Arial" w:hAnsi="Arial" w:eastAsia="Arial" w:cs="Arial"/>
                <w:color w:val="000000" w:themeColor="text1"/>
                <w:sz w:val="21"/>
              </w:rPr>
              <w:t xml:space="preserve">Hallucination, lexical drift</w:t>
            </w:r>
            <w:r>
              <w:rPr>
                <w:color w:val="000000" w:themeColor="text1"/>
              </w:rPr>
            </w:r>
          </w:p>
        </w:tc>
        <w:tc>
          <w:tcPr>
            <w:tcBorders/>
            <w:tcW w:w="1728" w:type="dxa"/>
            <w:textDirection w:val="lrTb"/>
            <w:noWrap w:val="false"/>
          </w:tcPr>
          <w:p w14:paraId="38C7A26A">
            <w:pPr>
              <w:pBdr/>
              <w:spacing w:after="0" w:before="0" w:line="240"/>
              <w:ind/>
              <w:rPr>
                <w:color w:val="000000" w:themeColor="text1"/>
              </w:rPr>
            </w:pPr>
            <w:r>
              <w:rPr>
                <w:rFonts w:ascii="Arial" w:hAnsi="Arial" w:eastAsia="Arial" w:cs="Arial"/>
                <w:color w:val="000000" w:themeColor="text1"/>
                <w:sz w:val="21"/>
              </w:rPr>
              <w:t xml:space="preserve">Narrative support with safeguards</w:t>
            </w:r>
            <w:r>
              <w:rPr>
                <w:color w:val="000000" w:themeColor="text1"/>
              </w:rPr>
            </w:r>
          </w:p>
        </w:tc>
      </w:tr>
      <w:tr>
        <w:trPr/>
        <w:tc>
          <w:tcPr>
            <w:tcBorders/>
            <w:tcW w:w="1728" w:type="dxa"/>
            <w:textDirection w:val="lrTb"/>
            <w:noWrap w:val="false"/>
          </w:tcPr>
          <w:p w14:paraId="7FF72C4F">
            <w:pPr>
              <w:pBdr/>
              <w:spacing w:after="0" w:before="0" w:line="240"/>
              <w:ind/>
              <w:rPr>
                <w:color w:val="000000" w:themeColor="text1"/>
              </w:rPr>
            </w:pPr>
            <w:r>
              <w:rPr>
                <w:rFonts w:ascii="Arial" w:hAnsi="Arial" w:eastAsia="Arial" w:cs="Arial"/>
                <w:color w:val="000000" w:themeColor="text1"/>
                <w:sz w:val="21"/>
              </w:rPr>
              <w:t xml:space="preserve">Explainable MedVQA</w:t>
            </w:r>
            <w:r>
              <w:rPr>
                <w:color w:val="000000" w:themeColor="text1"/>
              </w:rPr>
            </w:r>
          </w:p>
        </w:tc>
        <w:tc>
          <w:tcPr>
            <w:tcBorders/>
            <w:tcW w:w="1728" w:type="dxa"/>
            <w:textDirection w:val="lrTb"/>
            <w:noWrap w:val="false"/>
          </w:tcPr>
          <w:p w14:paraId="18694A1C">
            <w:pPr>
              <w:pBdr/>
              <w:spacing w:after="0" w:before="0" w:line="240"/>
              <w:ind/>
              <w:rPr>
                <w:color w:val="000000" w:themeColor="text1"/>
              </w:rPr>
            </w:pPr>
            <w:r>
              <w:rPr>
                <w:rFonts w:ascii="Arial" w:hAnsi="Arial" w:eastAsia="Arial" w:cs="Arial"/>
                <w:color w:val="000000" w:themeColor="text1"/>
                <w:sz w:val="21"/>
              </w:rPr>
              <w:t xml:space="preserve">Answer + rationale/grounding</w:t>
            </w:r>
            <w:r>
              <w:rPr>
                <w:color w:val="000000" w:themeColor="text1"/>
              </w:rPr>
            </w:r>
          </w:p>
        </w:tc>
        <w:tc>
          <w:tcPr>
            <w:tcBorders/>
            <w:tcW w:w="1728" w:type="dxa"/>
            <w:textDirection w:val="lrTb"/>
            <w:noWrap w:val="false"/>
          </w:tcPr>
          <w:p w14:paraId="68C60D51">
            <w:pPr>
              <w:pBdr/>
              <w:spacing w:after="0" w:before="0" w:line="240"/>
              <w:ind/>
              <w:rPr>
                <w:color w:val="000000" w:themeColor="text1"/>
              </w:rPr>
            </w:pPr>
            <w:r>
              <w:rPr>
                <w:rFonts w:ascii="Arial" w:hAnsi="Arial" w:eastAsia="Arial" w:cs="Arial"/>
                <w:color w:val="000000" w:themeColor="text1"/>
                <w:sz w:val="21"/>
              </w:rPr>
              <w:t xml:space="preserve">Improves trust and auditability</w:t>
            </w:r>
            <w:r>
              <w:rPr>
                <w:color w:val="000000" w:themeColor="text1"/>
              </w:rPr>
            </w:r>
          </w:p>
        </w:tc>
        <w:tc>
          <w:tcPr>
            <w:tcBorders/>
            <w:tcW w:w="1728" w:type="dxa"/>
            <w:textDirection w:val="lrTb"/>
            <w:noWrap w:val="false"/>
          </w:tcPr>
          <w:p w14:paraId="788CFB03">
            <w:pPr>
              <w:pBdr/>
              <w:spacing w:after="0" w:before="0" w:line="240"/>
              <w:ind/>
              <w:rPr>
                <w:color w:val="000000" w:themeColor="text1"/>
              </w:rPr>
            </w:pPr>
            <w:r>
              <w:rPr>
                <w:rFonts w:ascii="Arial" w:hAnsi="Arial" w:eastAsia="Arial" w:cs="Arial"/>
                <w:color w:val="000000" w:themeColor="text1"/>
                <w:sz w:val="21"/>
              </w:rPr>
              <w:t xml:space="preserve">Evaluation standardization still maturing</w:t>
            </w:r>
            <w:r>
              <w:rPr>
                <w:color w:val="000000" w:themeColor="text1"/>
              </w:rPr>
            </w:r>
          </w:p>
        </w:tc>
        <w:tc>
          <w:tcPr>
            <w:tcBorders/>
            <w:tcW w:w="1728" w:type="dxa"/>
            <w:textDirection w:val="lrTb"/>
            <w:noWrap w:val="false"/>
          </w:tcPr>
          <w:p w14:paraId="2D72CAF5">
            <w:pPr>
              <w:pBdr/>
              <w:spacing w:after="0" w:before="0" w:line="240"/>
              <w:ind/>
              <w:rPr>
                <w:color w:val="000000" w:themeColor="text1"/>
              </w:rPr>
            </w:pPr>
            <w:r>
              <w:rPr>
                <w:rFonts w:ascii="Arial" w:hAnsi="Arial" w:eastAsia="Arial" w:cs="Arial"/>
                <w:color w:val="000000" w:themeColor="text1"/>
                <w:sz w:val="21"/>
              </w:rPr>
              <w:t xml:space="preserve">Clinician-facing decision support</w:t>
            </w:r>
            <w:r>
              <w:rPr>
                <w:color w:val="000000" w:themeColor="text1"/>
              </w:rPr>
            </w:r>
          </w:p>
        </w:tc>
      </w:tr>
      <w:tr>
        <w:trPr/>
        <w:tc>
          <w:tcPr>
            <w:tcBorders/>
            <w:tcW w:w="1728" w:type="dxa"/>
            <w:textDirection w:val="lrTb"/>
            <w:noWrap w:val="false"/>
          </w:tcPr>
          <w:p w14:paraId="375EFBF6">
            <w:pPr>
              <w:pBdr/>
              <w:spacing w:after="0" w:before="0" w:line="240"/>
              <w:ind/>
              <w:rPr>
                <w:color w:val="000000" w:themeColor="text1"/>
              </w:rPr>
            </w:pPr>
            <w:r>
              <w:rPr>
                <w:rFonts w:ascii="Arial" w:hAnsi="Arial" w:eastAsia="Arial" w:cs="Arial"/>
                <w:color w:val="000000" w:themeColor="text1"/>
                <w:sz w:val="21"/>
              </w:rPr>
              <w:t xml:space="preserve">Retrieval-augmented</w:t>
            </w:r>
            <w:r>
              <w:rPr>
                <w:color w:val="000000" w:themeColor="text1"/>
              </w:rPr>
            </w:r>
          </w:p>
        </w:tc>
        <w:tc>
          <w:tcPr>
            <w:tcBorders/>
            <w:tcW w:w="1728" w:type="dxa"/>
            <w:textDirection w:val="lrTb"/>
            <w:noWrap w:val="false"/>
          </w:tcPr>
          <w:p w14:paraId="32891EC5">
            <w:pPr>
              <w:pBdr/>
              <w:spacing w:after="0" w:before="0" w:line="240"/>
              <w:ind/>
              <w:rPr>
                <w:color w:val="000000" w:themeColor="text1"/>
              </w:rPr>
            </w:pPr>
            <w:r>
              <w:rPr>
                <w:rFonts w:ascii="Arial" w:hAnsi="Arial" w:eastAsia="Arial" w:cs="Arial"/>
                <w:color w:val="000000" w:themeColor="text1"/>
                <w:sz w:val="21"/>
              </w:rPr>
              <w:t xml:space="preserve">Answer + retrieved evidence</w:t>
            </w:r>
            <w:r>
              <w:rPr>
                <w:color w:val="000000" w:themeColor="text1"/>
              </w:rPr>
            </w:r>
          </w:p>
        </w:tc>
        <w:tc>
          <w:tcPr>
            <w:tcBorders/>
            <w:tcW w:w="1728" w:type="dxa"/>
            <w:textDirection w:val="lrTb"/>
            <w:noWrap w:val="false"/>
          </w:tcPr>
          <w:p w14:paraId="1AD39BF8">
            <w:pPr>
              <w:pBdr/>
              <w:spacing w:after="0" w:before="0" w:line="240"/>
              <w:ind/>
              <w:rPr>
                <w:color w:val="000000" w:themeColor="text1"/>
              </w:rPr>
            </w:pPr>
            <w:r>
              <w:rPr>
                <w:rFonts w:ascii="Arial" w:hAnsi="Arial" w:eastAsia="Arial" w:cs="Arial"/>
                <w:color w:val="000000" w:themeColor="text1"/>
                <w:sz w:val="21"/>
              </w:rPr>
              <w:t xml:space="preserve">Better factual anchoring in some settings</w:t>
            </w:r>
            <w:r>
              <w:rPr>
                <w:color w:val="000000" w:themeColor="text1"/>
              </w:rPr>
            </w:r>
          </w:p>
        </w:tc>
        <w:tc>
          <w:tcPr>
            <w:tcBorders/>
            <w:tcW w:w="1728" w:type="dxa"/>
            <w:textDirection w:val="lrTb"/>
            <w:noWrap w:val="false"/>
          </w:tcPr>
          <w:p w14:paraId="6CF89FEF">
            <w:pPr>
              <w:pBdr/>
              <w:spacing w:after="0" w:before="0" w:line="240"/>
              <w:ind/>
              <w:rPr>
                <w:color w:val="000000" w:themeColor="text1"/>
              </w:rPr>
            </w:pPr>
            <w:r>
              <w:rPr>
                <w:rFonts w:ascii="Arial" w:hAnsi="Arial" w:eastAsia="Arial" w:cs="Arial"/>
                <w:color w:val="000000" w:themeColor="text1"/>
                <w:sz w:val="21"/>
              </w:rPr>
              <w:t xml:space="preserve">Retrieval error propagates to answer</w:t>
            </w:r>
            <w:r>
              <w:rPr>
                <w:color w:val="000000" w:themeColor="text1"/>
              </w:rPr>
            </w:r>
          </w:p>
        </w:tc>
        <w:tc>
          <w:tcPr>
            <w:tcBorders/>
            <w:tcW w:w="1728" w:type="dxa"/>
            <w:textDirection w:val="lrTb"/>
            <w:noWrap w:val="false"/>
          </w:tcPr>
          <w:p w14:paraId="380D6144">
            <w:pPr>
              <w:pBdr/>
              <w:spacing w:after="0" w:before="0" w:line="240"/>
              <w:ind/>
              <w:rPr>
                <w:color w:val="000000" w:themeColor="text1"/>
              </w:rPr>
            </w:pPr>
            <w:r>
              <w:rPr>
                <w:rFonts w:ascii="Arial" w:hAnsi="Arial" w:eastAsia="Arial" w:cs="Arial"/>
                <w:color w:val="000000" w:themeColor="text1"/>
                <w:sz w:val="21"/>
              </w:rPr>
              <w:t xml:space="preserve">Evidence-linked higher-level queries</w:t>
            </w:r>
            <w:r>
              <w:rPr>
                <w:color w:val="000000" w:themeColor="text1"/>
              </w:rPr>
            </w:r>
          </w:p>
        </w:tc>
      </w:tr>
    </w:tbl>
    <w:p w14:paraId="71B0FABE">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sz w:val="22"/>
          <w:szCs w:val="22"/>
          <w:highlight w:val="none"/>
        </w:rPr>
      </w:pP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highlight w:val="none"/>
        </w:rPr>
        <w:tab/>
      </w:r>
      <w:r>
        <w:rPr>
          <w:rFonts w:ascii="Arial" w:hAnsi="Arial" w:eastAsia="Arial" w:cs="Arial"/>
          <w:b w:val="0"/>
          <w:bCs w:val="0"/>
          <w:i w:val="0"/>
          <w:caps w:val="0"/>
          <w:smallCaps w:val="0"/>
          <w:color w:val="000000" w:themeColor="text1"/>
          <w:sz w:val="22"/>
          <w:szCs w:val="22"/>
          <w:highlight w:val="none"/>
        </w:rPr>
        <w:t xml:space="preserve">Table 2.6. Technique Family Comparison for Colonoscopy MedVQA</w:t>
      </w: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rPr>
      </w:r>
    </w:p>
    <w:p w14:paraId="7DD4480F">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p w14:paraId="78AC52B9">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2.6 Evaluation Practices in the Literature</w:t>
      </w:r>
      <w:r/>
    </w:p>
    <w:p w14:paraId="26E3CE47">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A central finding of this survey is that evaluation practice is often the bottleneck, not only model architecture.</w:t>
      </w:r>
      <w:r/>
      <w:r>
        <w:rPr>
          <w:rFonts w:ascii="Arial" w:hAnsi="Arial" w:eastAsia="Arial" w:cs="Arial"/>
          <w:b w:val="0"/>
          <w:bCs w:val="0"/>
          <w:i w:val="0"/>
          <w:caps w:val="0"/>
          <w:smallCaps w:val="0"/>
          <w:color w:val="000000" w:themeColor="text1"/>
          <w:sz w:val="22"/>
          <w:szCs w:val="22"/>
          <w:highlight w:val="none"/>
        </w:rPr>
      </w:r>
      <w:r/>
      <w:r>
        <w:rPr>
          <w:rFonts w:ascii="Arial" w:hAnsi="Arial" w:eastAsia="Arial" w:cs="Arial"/>
          <w:b w:val="0"/>
          <w:bCs w:val="0"/>
          <w:i w:val="0"/>
          <w:caps w:val="0"/>
          <w:smallCaps w:val="0"/>
          <w:color w:val="000000" w:themeColor="text1"/>
          <w:sz w:val="22"/>
          <w:szCs w:val="22"/>
          <w:highlight w:val="none"/>
        </w:rPr>
      </w:r>
    </w:p>
    <w:p w14:paraId="0FB0614D">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2.6.1 Classification Metrics vs Clinical Risk</w:t>
      </w:r>
      <w:r/>
    </w:p>
    <w:p w14:paraId="73B78DE7">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Many MedVQA papers report accuracy and macro-F1. These are necessary but insufficient for clinical decision support. In imbalanced settings, aggregate metrics can obscure severe-class failure. This concern is consistent with broader medical-AI metric guidan</w:t>
      </w:r>
      <w:r>
        <w:rPr>
          <w:rFonts w:ascii="Arial" w:hAnsi="Arial" w:eastAsia="Arial" w:cs="Arial"/>
          <w:b w:val="0"/>
          <w:bCs w:val="0"/>
          <w:i w:val="0"/>
          <w:caps w:val="0"/>
          <w:smallCaps w:val="0"/>
          <w:color w:val="000000" w:themeColor="text1"/>
          <w:sz w:val="22"/>
          <w:szCs w:val="22"/>
          <w:highlight w:val="none"/>
        </w:rPr>
        <w:t xml:space="preserve">ce that emphasizes task-risk alignment over single-score reporting [R36].</w:t>
      </w:r>
      <w:r/>
      <w:r>
        <w:rPr>
          <w:rFonts w:ascii="Arial" w:hAnsi="Arial" w:eastAsia="Arial" w:cs="Arial"/>
          <w:b w:val="0"/>
          <w:bCs w:val="0"/>
          <w:i w:val="0"/>
          <w:caps w:val="0"/>
          <w:smallCaps w:val="0"/>
          <w:color w:val="000000" w:themeColor="text1"/>
          <w:sz w:val="22"/>
          <w:szCs w:val="22"/>
          <w:highlight w:val="none"/>
        </w:rPr>
      </w:r>
      <w:r/>
      <w:r>
        <w:rPr>
          <w:rFonts w:ascii="Arial" w:hAnsi="Arial" w:eastAsia="Arial" w:cs="Arial"/>
          <w:b w:val="0"/>
          <w:bCs w:val="0"/>
          <w:i w:val="0"/>
          <w:caps w:val="0"/>
          <w:smallCaps w:val="0"/>
          <w:color w:val="000000" w:themeColor="text1"/>
          <w:sz w:val="22"/>
          <w:szCs w:val="22"/>
          <w:highlight w:val="none"/>
        </w:rPr>
      </w:r>
    </w:p>
    <w:p w14:paraId="6C353084">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2.6.2 Generative Metrics and Their Limits</w:t>
      </w:r>
      <w:r/>
    </w:p>
    <w:p w14:paraId="7016AF83">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BLEU, ROUGE, METEOR, CIDEr, ANLS, token-F1, and exact match are useful for text overlap but do not directly guarantee clinical correctness. A linguistically similar answer can still be clinically wrong.</w:t>
      </w:r>
      <w:r/>
    </w:p>
    <w:p w14:paraId="7055E3D8">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r>
      <w:r/>
    </w:p>
    <w:p w14:paraId="721E45E4">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2.6.3 Calibration, Uncertainty, and Significance</w:t>
      </w:r>
      <w:r/>
    </w:p>
    <w:p w14:paraId="46B25589">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Clinical deployment requires uncertainty-aware behavior. Yet many papers omit calibration diagnostics (e.g., expected calibration error) and significance testing. This limits interpretability of reported gains and weakens translational confidence claims.</w:t>
      </w:r>
      <w:r/>
      <w:r>
        <w:rPr>
          <w:rFonts w:ascii="Arial" w:hAnsi="Arial" w:eastAsia="Arial" w:cs="Arial"/>
          <w:b w:val="0"/>
          <w:bCs w:val="0"/>
          <w:i w:val="0"/>
          <w:caps w:val="0"/>
          <w:smallCaps w:val="0"/>
          <w:color w:val="000000" w:themeColor="text1"/>
          <w:sz w:val="22"/>
          <w:szCs w:val="22"/>
          <w:highlight w:val="none"/>
        </w:rPr>
      </w:r>
      <w:r/>
      <w:r>
        <w:rPr>
          <w:rFonts w:ascii="Arial" w:hAnsi="Arial" w:eastAsia="Arial" w:cs="Arial"/>
          <w:b w:val="0"/>
          <w:bCs w:val="0"/>
          <w:i w:val="0"/>
          <w:caps w:val="0"/>
          <w:smallCaps w:val="0"/>
          <w:color w:val="000000" w:themeColor="text1"/>
          <w:sz w:val="22"/>
          <w:szCs w:val="22"/>
          <w:highlight w:val="none"/>
        </w:rPr>
      </w:r>
    </w:p>
    <w:p w14:paraId="5EDF035C">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2.6.4 Challenge Metric Profiles</w:t>
      </w:r>
      <w:r/>
    </w:p>
    <w:p w14:paraId="2A3ACD85">
      <w:pPr>
        <w:pStyle w:val="774"/>
        <w:numPr>
          <w:ilvl w:val="0"/>
          <w:numId w:val="32"/>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ImageCLEF GI tracks include classification and segmentation-oriented metrics (e.g., accuracy/F1/MCC and region metrics where relevant) [R22], [R23].</w:t>
      </w:r>
      <w:r/>
    </w:p>
    <w:p w14:paraId="5488D940">
      <w:pPr>
        <w:pStyle w:val="774"/>
        <w:numPr>
          <w:ilvl w:val="0"/>
          <w:numId w:val="32"/>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MediaEval Medico 2025 includes text-overlap metrics plus expert-assessed clinical relevance and explainability components [R26], [R27].</w:t>
      </w:r>
      <w:r/>
    </w:p>
    <w:p w14:paraId="3C1A7C85">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2.6.5 Recommended Metric Bundle for This Thesis</w:t>
      </w:r>
      <w:r/>
    </w:p>
    <w:p w14:paraId="6B3F0C07">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This thesis uses a multi-layer metric strategy:</w:t>
      </w:r>
      <w:r/>
      <w:r>
        <w:rPr>
          <w:rFonts w:ascii="Arial" w:hAnsi="Arial" w:eastAsia="Arial" w:cs="Arial"/>
          <w:b w:val="0"/>
          <w:bCs w:val="0"/>
          <w:i w:val="0"/>
          <w:caps w:val="0"/>
          <w:smallCaps w:val="0"/>
          <w:color w:val="000000" w:themeColor="text1"/>
          <w:sz w:val="22"/>
          <w:szCs w:val="22"/>
          <w:highlight w:val="none"/>
        </w:rPr>
      </w:r>
      <w:r/>
      <w:r>
        <w:rPr>
          <w:rFonts w:ascii="Arial" w:hAnsi="Arial" w:eastAsia="Arial" w:cs="Arial"/>
          <w:b w:val="0"/>
          <w:bCs w:val="0"/>
          <w:i w:val="0"/>
          <w:caps w:val="0"/>
          <w:smallCaps w:val="0"/>
          <w:color w:val="000000" w:themeColor="text1"/>
          <w:sz w:val="22"/>
          <w:szCs w:val="22"/>
          <w:highlight w:val="none"/>
        </w:rPr>
      </w:r>
    </w:p>
    <w:p w14:paraId="41D52663">
      <w:pPr>
        <w:pStyle w:val="774"/>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closed-set performance: accuracy, macro-F1, MCC, balanced accuracy;</w:t>
      </w:r>
      <w:r/>
    </w:p>
    <w:p w14:paraId="71F2FE56">
      <w:pPr>
        <w:pStyle w:val="774"/>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generative overlap (where applicable): BLEU/ROUGE/METEOR, token-F1/ANLS;</w:t>
      </w:r>
      <w:r/>
    </w:p>
    <w:p w14:paraId="11A1FE43">
      <w:pPr>
        <w:pStyle w:val="774"/>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severity-aware evaluation: QWK, remission sensitivity/specificity for UC slices;</w:t>
      </w:r>
      <w:r/>
    </w:p>
    <w:p w14:paraId="5D41F07A">
      <w:pPr>
        <w:pStyle w:val="774"/>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reliability diagnostics: confidence intervals, paired tests, calibration where available;</w:t>
      </w:r>
      <w:r/>
    </w:p>
    <w:p w14:paraId="59FC3442">
      <w:pPr>
        <w:pStyle w:val="774"/>
        <w:numPr>
          <w:ilvl w:val="0"/>
          <w:numId w:val="31"/>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highlight w:val="none"/>
        </w:rPr>
        <w:t xml:space="preserve">scenario-level checks: high-risk error counts and acceptance criteria.</w:t>
      </w: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highlight w:val="none"/>
        </w:rPr>
      </w:r>
    </w:p>
    <w:tbl>
      <w:tblPr>
        <w:tblStyle w:val="831"/>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D74D84F">
            <w:pPr>
              <w:pBdr/>
              <w:spacing w:after="0" w:before="0" w:line="240"/>
              <w:ind/>
              <w:rPr>
                <w:color w:val="000000" w:themeColor="text1"/>
              </w:rPr>
            </w:pPr>
            <w:r>
              <w:rPr>
                <w:rFonts w:ascii="Arial" w:hAnsi="Arial" w:eastAsia="Arial" w:cs="Arial"/>
                <w:b/>
                <w:color w:val="000000" w:themeColor="text1"/>
                <w:sz w:val="21"/>
              </w:rPr>
              <w:t xml:space="preserve">Metric family</w:t>
            </w:r>
            <w:r>
              <w:rPr>
                <w:color w:val="000000" w:themeColor="text1"/>
              </w:rPr>
            </w:r>
          </w:p>
        </w:tc>
        <w:tc>
          <w:tcPr>
            <w:tcBorders/>
            <w:tcW w:w="2160" w:type="dxa"/>
            <w:textDirection w:val="lrTb"/>
            <w:noWrap w:val="false"/>
          </w:tcPr>
          <w:p w14:paraId="02E9C9CB">
            <w:pPr>
              <w:pBdr/>
              <w:spacing w:after="0" w:before="0" w:line="240"/>
              <w:ind/>
              <w:rPr>
                <w:color w:val="000000" w:themeColor="text1"/>
              </w:rPr>
            </w:pPr>
            <w:r>
              <w:rPr>
                <w:rFonts w:ascii="Arial" w:hAnsi="Arial" w:eastAsia="Arial" w:cs="Arial"/>
                <w:b/>
                <w:color w:val="000000" w:themeColor="text1"/>
                <w:sz w:val="21"/>
              </w:rPr>
              <w:t xml:space="preserve">Example metrics</w:t>
            </w:r>
            <w:r>
              <w:rPr>
                <w:color w:val="000000" w:themeColor="text1"/>
              </w:rPr>
            </w:r>
          </w:p>
        </w:tc>
        <w:tc>
          <w:tcPr>
            <w:tcBorders/>
            <w:tcW w:w="2160" w:type="dxa"/>
            <w:textDirection w:val="lrTb"/>
            <w:noWrap w:val="false"/>
          </w:tcPr>
          <w:p w14:paraId="426FE6DE">
            <w:pPr>
              <w:pBdr/>
              <w:spacing w:after="0" w:before="0" w:line="240"/>
              <w:ind/>
              <w:rPr>
                <w:color w:val="000000" w:themeColor="text1"/>
              </w:rPr>
            </w:pPr>
            <w:r>
              <w:rPr>
                <w:rFonts w:ascii="Arial" w:hAnsi="Arial" w:eastAsia="Arial" w:cs="Arial"/>
                <w:b/>
                <w:color w:val="000000" w:themeColor="text1"/>
                <w:sz w:val="21"/>
              </w:rPr>
              <w:t xml:space="preserve">Useful for</w:t>
            </w:r>
            <w:r>
              <w:rPr>
                <w:color w:val="000000" w:themeColor="text1"/>
              </w:rPr>
            </w:r>
          </w:p>
        </w:tc>
        <w:tc>
          <w:tcPr>
            <w:tcBorders/>
            <w:tcW w:w="2160" w:type="dxa"/>
            <w:textDirection w:val="lrTb"/>
            <w:noWrap w:val="false"/>
          </w:tcPr>
          <w:p w14:paraId="78B27887">
            <w:pPr>
              <w:pBdr/>
              <w:spacing w:after="0" w:before="0" w:line="240"/>
              <w:ind/>
              <w:rPr>
                <w:color w:val="000000" w:themeColor="text1"/>
              </w:rPr>
            </w:pPr>
            <w:r>
              <w:rPr>
                <w:rFonts w:ascii="Arial" w:hAnsi="Arial" w:eastAsia="Arial" w:cs="Arial"/>
                <w:b/>
                <w:color w:val="000000" w:themeColor="text1"/>
                <w:sz w:val="21"/>
              </w:rPr>
              <w:t xml:space="preserve">Known blind spot</w:t>
            </w:r>
            <w:r>
              <w:rPr>
                <w:color w:val="000000" w:themeColor="text1"/>
              </w:rPr>
            </w:r>
          </w:p>
        </w:tc>
      </w:tr>
      <w:tr>
        <w:trPr/>
        <w:tc>
          <w:tcPr>
            <w:tcBorders/>
            <w:tcW w:w="2160" w:type="dxa"/>
            <w:textDirection w:val="lrTb"/>
            <w:noWrap w:val="false"/>
          </w:tcPr>
          <w:p w14:paraId="49CC3C1F">
            <w:pPr>
              <w:pBdr/>
              <w:spacing w:after="0" w:before="0" w:line="240"/>
              <w:ind/>
              <w:rPr>
                <w:color w:val="000000" w:themeColor="text1"/>
              </w:rPr>
            </w:pPr>
            <w:r>
              <w:rPr>
                <w:rFonts w:ascii="Arial" w:hAnsi="Arial" w:eastAsia="Arial" w:cs="Arial"/>
                <w:color w:val="000000" w:themeColor="text1"/>
                <w:sz w:val="21"/>
              </w:rPr>
              <w:t xml:space="preserve">Closed-set classification</w:t>
            </w:r>
            <w:r>
              <w:rPr>
                <w:color w:val="000000" w:themeColor="text1"/>
              </w:rPr>
            </w:r>
          </w:p>
        </w:tc>
        <w:tc>
          <w:tcPr>
            <w:tcBorders/>
            <w:tcW w:w="2160" w:type="dxa"/>
            <w:textDirection w:val="lrTb"/>
            <w:noWrap w:val="false"/>
          </w:tcPr>
          <w:p w14:paraId="3E351A26">
            <w:pPr>
              <w:pBdr/>
              <w:spacing w:after="0" w:before="0" w:line="240"/>
              <w:ind/>
              <w:rPr>
                <w:color w:val="000000" w:themeColor="text1"/>
              </w:rPr>
            </w:pPr>
            <w:r>
              <w:rPr>
                <w:rFonts w:ascii="Arial" w:hAnsi="Arial" w:eastAsia="Arial" w:cs="Arial"/>
                <w:color w:val="000000" w:themeColor="text1"/>
                <w:sz w:val="21"/>
              </w:rPr>
              <w:t xml:space="preserve">Accuracy, macro-F1, MCC, kappa</w:t>
            </w:r>
            <w:r>
              <w:rPr>
                <w:color w:val="000000" w:themeColor="text1"/>
              </w:rPr>
            </w:r>
          </w:p>
        </w:tc>
        <w:tc>
          <w:tcPr>
            <w:tcBorders/>
            <w:tcW w:w="2160" w:type="dxa"/>
            <w:textDirection w:val="lrTb"/>
            <w:noWrap w:val="false"/>
          </w:tcPr>
          <w:p w14:paraId="5D228952">
            <w:pPr>
              <w:pBdr/>
              <w:spacing w:after="0" w:before="0" w:line="240"/>
              <w:ind/>
              <w:rPr>
                <w:color w:val="000000" w:themeColor="text1"/>
              </w:rPr>
            </w:pPr>
            <w:r>
              <w:rPr>
                <w:rFonts w:ascii="Arial" w:hAnsi="Arial" w:eastAsia="Arial" w:cs="Arial"/>
                <w:color w:val="000000" w:themeColor="text1"/>
                <w:sz w:val="21"/>
              </w:rPr>
              <w:t xml:space="preserve">Deterministic QA evaluation</w:t>
            </w:r>
            <w:r>
              <w:rPr>
                <w:color w:val="000000" w:themeColor="text1"/>
              </w:rPr>
            </w:r>
          </w:p>
        </w:tc>
        <w:tc>
          <w:tcPr>
            <w:tcBorders/>
            <w:tcW w:w="2160" w:type="dxa"/>
            <w:textDirection w:val="lrTb"/>
            <w:noWrap w:val="false"/>
          </w:tcPr>
          <w:p w14:paraId="45E00FB5">
            <w:pPr>
              <w:pBdr/>
              <w:spacing w:after="0" w:before="0" w:line="240"/>
              <w:ind/>
              <w:rPr>
                <w:color w:val="000000" w:themeColor="text1"/>
              </w:rPr>
            </w:pPr>
            <w:r>
              <w:rPr>
                <w:rFonts w:ascii="Arial" w:hAnsi="Arial" w:eastAsia="Arial" w:cs="Arial"/>
                <w:color w:val="000000" w:themeColor="text1"/>
                <w:sz w:val="21"/>
              </w:rPr>
              <w:t xml:space="preserve">Can hide minority severe-class failures if reported alone</w:t>
            </w:r>
            <w:r>
              <w:rPr>
                <w:color w:val="000000" w:themeColor="text1"/>
              </w:rPr>
            </w:r>
          </w:p>
        </w:tc>
      </w:tr>
      <w:tr>
        <w:trPr/>
        <w:tc>
          <w:tcPr>
            <w:tcBorders/>
            <w:tcW w:w="2160" w:type="dxa"/>
            <w:textDirection w:val="lrTb"/>
            <w:noWrap w:val="false"/>
          </w:tcPr>
          <w:p w14:paraId="69B6B3F6">
            <w:pPr>
              <w:pBdr/>
              <w:spacing w:after="0" w:before="0" w:line="240"/>
              <w:ind/>
              <w:rPr>
                <w:color w:val="000000" w:themeColor="text1"/>
              </w:rPr>
            </w:pPr>
            <w:r>
              <w:rPr>
                <w:rFonts w:ascii="Arial" w:hAnsi="Arial" w:eastAsia="Arial" w:cs="Arial"/>
                <w:color w:val="000000" w:themeColor="text1"/>
                <w:sz w:val="21"/>
              </w:rPr>
              <w:t xml:space="preserve">Generative overlap</w:t>
            </w:r>
            <w:r>
              <w:rPr>
                <w:color w:val="000000" w:themeColor="text1"/>
              </w:rPr>
            </w:r>
          </w:p>
        </w:tc>
        <w:tc>
          <w:tcPr>
            <w:tcBorders/>
            <w:tcW w:w="2160" w:type="dxa"/>
            <w:textDirection w:val="lrTb"/>
            <w:noWrap w:val="false"/>
          </w:tcPr>
          <w:p w14:paraId="7A379C7A">
            <w:pPr>
              <w:pBdr/>
              <w:spacing w:after="0" w:before="0" w:line="240"/>
              <w:ind/>
              <w:rPr>
                <w:color w:val="000000" w:themeColor="text1"/>
              </w:rPr>
            </w:pPr>
            <w:r>
              <w:rPr>
                <w:rFonts w:ascii="Arial" w:hAnsi="Arial" w:eastAsia="Arial" w:cs="Arial"/>
                <w:color w:val="000000" w:themeColor="text1"/>
                <w:sz w:val="21"/>
              </w:rPr>
              <w:t xml:space="preserve">BLEU, ROUGE-L, METEOR, ANLS, token-F1</w:t>
            </w:r>
            <w:r>
              <w:rPr>
                <w:color w:val="000000" w:themeColor="text1"/>
              </w:rPr>
            </w:r>
          </w:p>
        </w:tc>
        <w:tc>
          <w:tcPr>
            <w:tcBorders/>
            <w:tcW w:w="2160" w:type="dxa"/>
            <w:textDirection w:val="lrTb"/>
            <w:noWrap w:val="false"/>
          </w:tcPr>
          <w:p w14:paraId="289D6FD9">
            <w:pPr>
              <w:pBdr/>
              <w:spacing w:after="0" w:before="0" w:line="240"/>
              <w:ind/>
              <w:rPr>
                <w:color w:val="000000" w:themeColor="text1"/>
              </w:rPr>
            </w:pPr>
            <w:r>
              <w:rPr>
                <w:rFonts w:ascii="Arial" w:hAnsi="Arial" w:eastAsia="Arial" w:cs="Arial"/>
                <w:color w:val="000000" w:themeColor="text1"/>
                <w:sz w:val="21"/>
              </w:rPr>
              <w:t xml:space="preserve">Text quality comparison</w:t>
            </w:r>
            <w:r>
              <w:rPr>
                <w:color w:val="000000" w:themeColor="text1"/>
              </w:rPr>
            </w:r>
          </w:p>
        </w:tc>
        <w:tc>
          <w:tcPr>
            <w:tcBorders/>
            <w:tcW w:w="2160" w:type="dxa"/>
            <w:textDirection w:val="lrTb"/>
            <w:noWrap w:val="false"/>
          </w:tcPr>
          <w:p w14:paraId="352B194E">
            <w:pPr>
              <w:pBdr/>
              <w:spacing w:after="0" w:before="0" w:line="240"/>
              <w:ind/>
              <w:rPr>
                <w:color w:val="000000" w:themeColor="text1"/>
              </w:rPr>
            </w:pPr>
            <w:r>
              <w:rPr>
                <w:rFonts w:ascii="Arial" w:hAnsi="Arial" w:eastAsia="Arial" w:cs="Arial"/>
                <w:color w:val="000000" w:themeColor="text1"/>
                <w:sz w:val="21"/>
              </w:rPr>
              <w:t xml:space="preserve">Weak proxy for clinical correctness</w:t>
            </w:r>
            <w:r>
              <w:rPr>
                <w:color w:val="000000" w:themeColor="text1"/>
              </w:rPr>
            </w:r>
          </w:p>
        </w:tc>
      </w:tr>
      <w:tr>
        <w:trPr/>
        <w:tc>
          <w:tcPr>
            <w:tcBorders/>
            <w:tcW w:w="2160" w:type="dxa"/>
            <w:textDirection w:val="lrTb"/>
            <w:noWrap w:val="false"/>
          </w:tcPr>
          <w:p w14:paraId="4FBF7B39">
            <w:pPr>
              <w:pBdr/>
              <w:spacing w:after="0" w:before="0" w:line="240"/>
              <w:ind/>
              <w:rPr>
                <w:color w:val="000000" w:themeColor="text1"/>
              </w:rPr>
            </w:pPr>
            <w:r>
              <w:rPr>
                <w:rFonts w:ascii="Arial" w:hAnsi="Arial" w:eastAsia="Arial" w:cs="Arial"/>
                <w:color w:val="000000" w:themeColor="text1"/>
                <w:sz w:val="21"/>
              </w:rPr>
              <w:t xml:space="preserve">Ordinal/severity</w:t>
            </w:r>
            <w:r>
              <w:rPr>
                <w:color w:val="000000" w:themeColor="text1"/>
              </w:rPr>
            </w:r>
          </w:p>
        </w:tc>
        <w:tc>
          <w:tcPr>
            <w:tcBorders/>
            <w:tcW w:w="2160" w:type="dxa"/>
            <w:textDirection w:val="lrTb"/>
            <w:noWrap w:val="false"/>
          </w:tcPr>
          <w:p w14:paraId="4DA485AF">
            <w:pPr>
              <w:pBdr/>
              <w:spacing w:after="0" w:before="0" w:line="240"/>
              <w:ind/>
              <w:rPr>
                <w:color w:val="000000" w:themeColor="text1"/>
              </w:rPr>
            </w:pPr>
            <w:r>
              <w:rPr>
                <w:rFonts w:ascii="Arial" w:hAnsi="Arial" w:eastAsia="Arial" w:cs="Arial"/>
                <w:color w:val="000000" w:themeColor="text1"/>
                <w:sz w:val="21"/>
              </w:rPr>
              <w:t xml:space="preserve">QWK, MAE/RMSE over ordinal labels</w:t>
            </w:r>
            <w:r>
              <w:rPr>
                <w:color w:val="000000" w:themeColor="text1"/>
              </w:rPr>
            </w:r>
          </w:p>
        </w:tc>
        <w:tc>
          <w:tcPr>
            <w:tcBorders/>
            <w:tcW w:w="2160" w:type="dxa"/>
            <w:textDirection w:val="lrTb"/>
            <w:noWrap w:val="false"/>
          </w:tcPr>
          <w:p w14:paraId="5A6DDE57">
            <w:pPr>
              <w:pBdr/>
              <w:spacing w:after="0" w:before="0" w:line="240"/>
              <w:ind/>
              <w:rPr>
                <w:color w:val="000000" w:themeColor="text1"/>
              </w:rPr>
            </w:pPr>
            <w:r>
              <w:rPr>
                <w:rFonts w:ascii="Arial" w:hAnsi="Arial" w:eastAsia="Arial" w:cs="Arial"/>
                <w:color w:val="000000" w:themeColor="text1"/>
                <w:sz w:val="21"/>
              </w:rPr>
              <w:t xml:space="preserve">Severity grading behavior</w:t>
            </w:r>
            <w:r>
              <w:rPr>
                <w:color w:val="000000" w:themeColor="text1"/>
              </w:rPr>
            </w:r>
          </w:p>
        </w:tc>
        <w:tc>
          <w:tcPr>
            <w:tcBorders/>
            <w:tcW w:w="2160" w:type="dxa"/>
            <w:textDirection w:val="lrTb"/>
            <w:noWrap w:val="false"/>
          </w:tcPr>
          <w:p w14:paraId="0D279F57">
            <w:pPr>
              <w:pBdr/>
              <w:spacing w:after="0" w:before="0" w:line="240"/>
              <w:ind/>
              <w:rPr>
                <w:color w:val="000000" w:themeColor="text1"/>
              </w:rPr>
            </w:pPr>
            <w:r>
              <w:rPr>
                <w:rFonts w:ascii="Arial" w:hAnsi="Arial" w:eastAsia="Arial" w:cs="Arial"/>
                <w:color w:val="000000" w:themeColor="text1"/>
                <w:sz w:val="21"/>
              </w:rPr>
              <w:t xml:space="preserve">Not reported consistently across papers</w:t>
            </w:r>
            <w:r>
              <w:rPr>
                <w:color w:val="000000" w:themeColor="text1"/>
              </w:rPr>
            </w:r>
          </w:p>
        </w:tc>
      </w:tr>
      <w:tr>
        <w:trPr/>
        <w:tc>
          <w:tcPr>
            <w:tcBorders/>
            <w:tcW w:w="2160" w:type="dxa"/>
            <w:textDirection w:val="lrTb"/>
            <w:noWrap w:val="false"/>
          </w:tcPr>
          <w:p w14:paraId="7BB3420C">
            <w:pPr>
              <w:pBdr/>
              <w:spacing w:after="0" w:before="0" w:line="240"/>
              <w:ind/>
              <w:rPr>
                <w:color w:val="000000" w:themeColor="text1"/>
              </w:rPr>
            </w:pPr>
            <w:r>
              <w:rPr>
                <w:rFonts w:ascii="Arial" w:hAnsi="Arial" w:eastAsia="Arial" w:cs="Arial"/>
                <w:color w:val="000000" w:themeColor="text1"/>
                <w:sz w:val="21"/>
              </w:rPr>
              <w:t xml:space="preserve">Calibration/uncertainty</w:t>
            </w:r>
            <w:r>
              <w:rPr>
                <w:color w:val="000000" w:themeColor="text1"/>
              </w:rPr>
            </w:r>
          </w:p>
        </w:tc>
        <w:tc>
          <w:tcPr>
            <w:tcBorders/>
            <w:tcW w:w="2160" w:type="dxa"/>
            <w:textDirection w:val="lrTb"/>
            <w:noWrap w:val="false"/>
          </w:tcPr>
          <w:p w14:paraId="0DF28921">
            <w:pPr>
              <w:pBdr/>
              <w:spacing w:after="0" w:before="0" w:line="240"/>
              <w:ind/>
              <w:rPr>
                <w:color w:val="000000" w:themeColor="text1"/>
              </w:rPr>
            </w:pPr>
            <w:r>
              <w:rPr>
                <w:rFonts w:ascii="Arial" w:hAnsi="Arial" w:eastAsia="Arial" w:cs="Arial"/>
                <w:color w:val="000000" w:themeColor="text1"/>
                <w:sz w:val="21"/>
              </w:rPr>
              <w:t xml:space="preserve">ECE, reliability slices</w:t>
            </w:r>
            <w:r>
              <w:rPr>
                <w:color w:val="000000" w:themeColor="text1"/>
              </w:rPr>
            </w:r>
          </w:p>
        </w:tc>
        <w:tc>
          <w:tcPr>
            <w:tcBorders/>
            <w:tcW w:w="2160" w:type="dxa"/>
            <w:textDirection w:val="lrTb"/>
            <w:noWrap w:val="false"/>
          </w:tcPr>
          <w:p w14:paraId="7DF74719">
            <w:pPr>
              <w:pBdr/>
              <w:spacing w:after="0" w:before="0" w:line="240"/>
              <w:ind/>
              <w:rPr>
                <w:color w:val="000000" w:themeColor="text1"/>
              </w:rPr>
            </w:pPr>
            <w:r>
              <w:rPr>
                <w:rFonts w:ascii="Arial" w:hAnsi="Arial" w:eastAsia="Arial" w:cs="Arial"/>
                <w:color w:val="000000" w:themeColor="text1"/>
                <w:sz w:val="21"/>
              </w:rPr>
              <w:t xml:space="preserve">Risk-aware deployment analysis</w:t>
            </w:r>
            <w:r>
              <w:rPr>
                <w:color w:val="000000" w:themeColor="text1"/>
              </w:rPr>
            </w:r>
          </w:p>
        </w:tc>
        <w:tc>
          <w:tcPr>
            <w:tcBorders/>
            <w:tcW w:w="2160" w:type="dxa"/>
            <w:textDirection w:val="lrTb"/>
            <w:noWrap w:val="false"/>
          </w:tcPr>
          <w:p w14:paraId="17570E7B">
            <w:pPr>
              <w:pBdr/>
              <w:spacing w:after="0" w:before="0" w:line="240"/>
              <w:ind/>
              <w:rPr>
                <w:color w:val="000000" w:themeColor="text1"/>
              </w:rPr>
            </w:pPr>
            <w:r>
              <w:rPr>
                <w:rFonts w:ascii="Arial" w:hAnsi="Arial" w:eastAsia="Arial" w:cs="Arial"/>
                <w:color w:val="000000" w:themeColor="text1"/>
                <w:sz w:val="21"/>
              </w:rPr>
              <w:t xml:space="preserve">Still rare in MedVQA reporting</w:t>
            </w:r>
            <w:r>
              <w:rPr>
                <w:color w:val="000000" w:themeColor="text1"/>
              </w:rPr>
            </w:r>
          </w:p>
        </w:tc>
      </w:tr>
      <w:tr>
        <w:trPr/>
        <w:tc>
          <w:tcPr>
            <w:tcBorders/>
            <w:tcW w:w="2160" w:type="dxa"/>
            <w:textDirection w:val="lrTb"/>
            <w:noWrap w:val="false"/>
          </w:tcPr>
          <w:p w14:paraId="5AFED250">
            <w:pPr>
              <w:pBdr/>
              <w:spacing w:after="0" w:before="0" w:line="240"/>
              <w:ind/>
              <w:rPr>
                <w:color w:val="000000" w:themeColor="text1"/>
              </w:rPr>
            </w:pPr>
            <w:r>
              <w:rPr>
                <w:rFonts w:ascii="Arial" w:hAnsi="Arial" w:eastAsia="Arial" w:cs="Arial"/>
                <w:color w:val="000000" w:themeColor="text1"/>
                <w:sz w:val="21"/>
              </w:rPr>
              <w:t xml:space="preserve">Statistical robustness</w:t>
            </w:r>
            <w:r>
              <w:rPr>
                <w:color w:val="000000" w:themeColor="text1"/>
              </w:rPr>
            </w:r>
          </w:p>
        </w:tc>
        <w:tc>
          <w:tcPr>
            <w:tcBorders/>
            <w:tcW w:w="2160" w:type="dxa"/>
            <w:textDirection w:val="lrTb"/>
            <w:noWrap w:val="false"/>
          </w:tcPr>
          <w:p w14:paraId="693ACD02">
            <w:pPr>
              <w:pBdr/>
              <w:spacing w:after="0" w:before="0" w:line="240"/>
              <w:ind/>
              <w:rPr>
                <w:color w:val="000000" w:themeColor="text1"/>
              </w:rPr>
            </w:pPr>
            <w:r>
              <w:rPr>
                <w:rFonts w:ascii="Arial" w:hAnsi="Arial" w:eastAsia="Arial" w:cs="Arial"/>
                <w:color w:val="000000" w:themeColor="text1"/>
                <w:sz w:val="21"/>
              </w:rPr>
              <w:t xml:space="preserve">CIs, McNemar/paired tests</w:t>
            </w:r>
            <w:r>
              <w:rPr>
                <w:color w:val="000000" w:themeColor="text1"/>
              </w:rPr>
            </w:r>
          </w:p>
        </w:tc>
        <w:tc>
          <w:tcPr>
            <w:tcBorders/>
            <w:tcW w:w="2160" w:type="dxa"/>
            <w:textDirection w:val="lrTb"/>
            <w:noWrap w:val="false"/>
          </w:tcPr>
          <w:p w14:paraId="53540D89">
            <w:pPr>
              <w:pBdr/>
              <w:spacing w:after="0" w:before="0" w:line="240"/>
              <w:ind/>
              <w:rPr>
                <w:color w:val="000000" w:themeColor="text1"/>
              </w:rPr>
            </w:pPr>
            <w:r>
              <w:rPr>
                <w:rFonts w:ascii="Arial" w:hAnsi="Arial" w:eastAsia="Arial" w:cs="Arial"/>
                <w:color w:val="000000" w:themeColor="text1"/>
                <w:sz w:val="21"/>
              </w:rPr>
              <w:t xml:space="preserve">Claim stability and significance</w:t>
            </w:r>
            <w:r>
              <w:rPr>
                <w:color w:val="000000" w:themeColor="text1"/>
              </w:rPr>
            </w:r>
          </w:p>
        </w:tc>
        <w:tc>
          <w:tcPr>
            <w:tcBorders/>
            <w:tcW w:w="2160" w:type="dxa"/>
            <w:textDirection w:val="lrTb"/>
            <w:noWrap w:val="false"/>
          </w:tcPr>
          <w:p w14:paraId="256B9F7B">
            <w:pPr>
              <w:pBdr/>
              <w:spacing w:after="0" w:before="0" w:line="240"/>
              <w:ind/>
              <w:rPr>
                <w:color w:val="000000" w:themeColor="text1"/>
              </w:rPr>
            </w:pPr>
            <w:r>
              <w:rPr>
                <w:rFonts w:ascii="Arial" w:hAnsi="Arial" w:eastAsia="Arial" w:cs="Arial"/>
                <w:color w:val="000000" w:themeColor="text1"/>
                <w:sz w:val="21"/>
              </w:rPr>
              <w:t xml:space="preserve">Frequently missing in benchmark papers</w:t>
            </w:r>
            <w:r>
              <w:rPr>
                <w:color w:val="000000" w:themeColor="text1"/>
              </w:rPr>
            </w:r>
          </w:p>
        </w:tc>
      </w:tr>
      <w:tr>
        <w:trPr/>
        <w:tc>
          <w:tcPr>
            <w:tcBorders/>
            <w:tcW w:w="2160" w:type="dxa"/>
            <w:textDirection w:val="lrTb"/>
            <w:noWrap w:val="false"/>
          </w:tcPr>
          <w:p w14:paraId="38907ECB">
            <w:pPr>
              <w:pBdr/>
              <w:spacing w:after="0" w:before="0" w:line="240"/>
              <w:ind/>
              <w:rPr>
                <w:color w:val="000000" w:themeColor="text1"/>
              </w:rPr>
            </w:pPr>
            <w:r>
              <w:rPr>
                <w:rFonts w:ascii="Arial" w:hAnsi="Arial" w:eastAsia="Arial" w:cs="Arial"/>
                <w:color w:val="000000" w:themeColor="text1"/>
                <w:sz w:val="21"/>
              </w:rPr>
              <w:t xml:space="preserve">Expert review / explainability</w:t>
            </w:r>
            <w:r>
              <w:rPr>
                <w:color w:val="000000" w:themeColor="text1"/>
              </w:rPr>
            </w:r>
          </w:p>
        </w:tc>
        <w:tc>
          <w:tcPr>
            <w:tcBorders/>
            <w:tcW w:w="2160" w:type="dxa"/>
            <w:textDirection w:val="lrTb"/>
            <w:noWrap w:val="false"/>
          </w:tcPr>
          <w:p w14:paraId="13BCC17B">
            <w:pPr>
              <w:pBdr/>
              <w:spacing w:after="0" w:before="0" w:line="240"/>
              <w:ind/>
              <w:rPr>
                <w:color w:val="000000" w:themeColor="text1"/>
              </w:rPr>
            </w:pPr>
            <w:r>
              <w:rPr>
                <w:rFonts w:ascii="Arial" w:hAnsi="Arial" w:eastAsia="Arial" w:cs="Arial"/>
                <w:color w:val="000000" w:themeColor="text1"/>
                <w:sz w:val="21"/>
              </w:rPr>
              <w:t xml:space="preserve">Clinician relevance ratings, grounding checks</w:t>
            </w:r>
            <w:r>
              <w:rPr>
                <w:color w:val="000000" w:themeColor="text1"/>
              </w:rPr>
            </w:r>
          </w:p>
        </w:tc>
        <w:tc>
          <w:tcPr>
            <w:tcBorders/>
            <w:tcW w:w="2160" w:type="dxa"/>
            <w:textDirection w:val="lrTb"/>
            <w:noWrap w:val="false"/>
          </w:tcPr>
          <w:p w14:paraId="79474FD0">
            <w:pPr>
              <w:pBdr/>
              <w:spacing w:after="0" w:before="0" w:line="240"/>
              <w:ind/>
              <w:rPr>
                <w:color w:val="000000" w:themeColor="text1"/>
              </w:rPr>
            </w:pPr>
            <w:r>
              <w:rPr>
                <w:rFonts w:ascii="Arial" w:hAnsi="Arial" w:eastAsia="Arial" w:cs="Arial"/>
                <w:color w:val="000000" w:themeColor="text1"/>
                <w:sz w:val="21"/>
              </w:rPr>
              <w:t xml:space="preserve">Clinical usability and trust</w:t>
            </w:r>
            <w:r>
              <w:rPr>
                <w:color w:val="000000" w:themeColor="text1"/>
              </w:rPr>
            </w:r>
          </w:p>
        </w:tc>
        <w:tc>
          <w:tcPr>
            <w:tcBorders/>
            <w:tcW w:w="2160" w:type="dxa"/>
            <w:textDirection w:val="lrTb"/>
            <w:noWrap w:val="false"/>
          </w:tcPr>
          <w:p w14:paraId="290A133C">
            <w:pPr>
              <w:pBdr/>
              <w:spacing w:after="0" w:before="0" w:line="240"/>
              <w:ind/>
              <w:rPr>
                <w:color w:val="000000" w:themeColor="text1"/>
              </w:rPr>
            </w:pPr>
            <w:r>
              <w:rPr>
                <w:rFonts w:ascii="Arial" w:hAnsi="Arial" w:eastAsia="Arial" w:cs="Arial"/>
                <w:color w:val="000000" w:themeColor="text1"/>
                <w:sz w:val="21"/>
              </w:rPr>
              <w:t xml:space="preserve">Higher annotation effort, protocol variability</w:t>
            </w:r>
            <w:r>
              <w:rPr>
                <w:color w:val="000000" w:themeColor="text1"/>
              </w:rPr>
            </w:r>
          </w:p>
        </w:tc>
      </w:tr>
    </w:tbl>
    <w:p w14:paraId="320AB516">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2.7 Scenario-Oriented Technique Suitability for Colonoscopy</w:t>
      </w:r>
      <w:r/>
    </w:p>
    <w:p w14:paraId="16EE40D0">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A clinically useful survey should map model families to concrete clinical scenarios.</w:t>
      </w: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1CEB78B">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831"/>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0BE7839">
            <w:pPr>
              <w:pBdr/>
              <w:spacing w:after="0" w:before="0" w:line="240"/>
              <w:ind/>
              <w:rPr>
                <w:color w:val="000000" w:themeColor="text1"/>
              </w:rPr>
            </w:pPr>
            <w:r>
              <w:rPr>
                <w:rFonts w:ascii="Arial" w:hAnsi="Arial" w:eastAsia="Arial" w:cs="Arial"/>
                <w:b/>
                <w:color w:val="000000" w:themeColor="text1"/>
                <w:sz w:val="21"/>
              </w:rPr>
              <w:t xml:space="preserve">Colonoscopy scenario</w:t>
            </w:r>
            <w:r>
              <w:rPr>
                <w:color w:val="000000" w:themeColor="text1"/>
              </w:rPr>
            </w:r>
          </w:p>
        </w:tc>
        <w:tc>
          <w:tcPr>
            <w:tcBorders/>
            <w:tcW w:w="2160" w:type="dxa"/>
            <w:textDirection w:val="lrTb"/>
            <w:noWrap w:val="false"/>
          </w:tcPr>
          <w:p w14:paraId="43EADFE2">
            <w:pPr>
              <w:pBdr/>
              <w:spacing w:after="0" w:before="0" w:line="240"/>
              <w:ind/>
              <w:rPr>
                <w:color w:val="000000" w:themeColor="text1"/>
              </w:rPr>
            </w:pPr>
            <w:r>
              <w:rPr>
                <w:rFonts w:ascii="Arial" w:hAnsi="Arial" w:eastAsia="Arial" w:cs="Arial"/>
                <w:b/>
                <w:color w:val="000000" w:themeColor="text1"/>
                <w:sz w:val="21"/>
              </w:rPr>
              <w:t xml:space="preserve">Dominant question type</w:t>
            </w:r>
            <w:r>
              <w:rPr>
                <w:color w:val="000000" w:themeColor="text1"/>
              </w:rPr>
            </w:r>
          </w:p>
        </w:tc>
        <w:tc>
          <w:tcPr>
            <w:tcBorders/>
            <w:tcW w:w="2160" w:type="dxa"/>
            <w:textDirection w:val="lrTb"/>
            <w:noWrap w:val="false"/>
          </w:tcPr>
          <w:p w14:paraId="4007C733">
            <w:pPr>
              <w:pBdr/>
              <w:spacing w:after="0" w:before="0" w:line="240"/>
              <w:ind/>
              <w:rPr>
                <w:color w:val="000000" w:themeColor="text1"/>
              </w:rPr>
            </w:pPr>
            <w:r>
              <w:rPr>
                <w:rFonts w:ascii="Arial" w:hAnsi="Arial" w:eastAsia="Arial" w:cs="Arial"/>
                <w:b/>
                <w:color w:val="000000" w:themeColor="text1"/>
                <w:sz w:val="21"/>
              </w:rPr>
              <w:t xml:space="preserve">Preferred method profile</w:t>
            </w:r>
            <w:r>
              <w:rPr>
                <w:color w:val="000000" w:themeColor="text1"/>
              </w:rPr>
            </w:r>
          </w:p>
        </w:tc>
        <w:tc>
          <w:tcPr>
            <w:tcBorders/>
            <w:tcW w:w="2160" w:type="dxa"/>
            <w:textDirection w:val="lrTb"/>
            <w:noWrap w:val="false"/>
          </w:tcPr>
          <w:p w14:paraId="39B2A421">
            <w:pPr>
              <w:pBdr/>
              <w:spacing w:after="0" w:before="0" w:line="240"/>
              <w:ind/>
              <w:rPr>
                <w:color w:val="000000" w:themeColor="text1"/>
              </w:rPr>
            </w:pPr>
            <w:r>
              <w:rPr>
                <w:rFonts w:ascii="Arial" w:hAnsi="Arial" w:eastAsia="Arial" w:cs="Arial"/>
                <w:b/>
                <w:color w:val="000000" w:themeColor="text1"/>
                <w:sz w:val="21"/>
              </w:rPr>
              <w:t xml:space="preserve">Reason</w:t>
            </w:r>
            <w:r>
              <w:rPr>
                <w:color w:val="000000" w:themeColor="text1"/>
              </w:rPr>
            </w:r>
          </w:p>
        </w:tc>
      </w:tr>
      <w:tr>
        <w:trPr/>
        <w:tc>
          <w:tcPr>
            <w:tcBorders/>
            <w:tcW w:w="2160" w:type="dxa"/>
            <w:textDirection w:val="lrTb"/>
            <w:noWrap w:val="false"/>
          </w:tcPr>
          <w:p w14:paraId="0C8AD04D">
            <w:pPr>
              <w:pBdr/>
              <w:spacing w:after="0" w:before="0" w:line="240"/>
              <w:ind/>
              <w:rPr>
                <w:color w:val="000000" w:themeColor="text1"/>
              </w:rPr>
            </w:pPr>
            <w:r>
              <w:rPr>
                <w:rFonts w:ascii="Arial" w:hAnsi="Arial" w:eastAsia="Arial" w:cs="Arial"/>
                <w:color w:val="000000" w:themeColor="text1"/>
                <w:sz w:val="21"/>
              </w:rPr>
              <w:t xml:space="preserve">Finding presence/absence</w:t>
            </w:r>
            <w:r>
              <w:rPr>
                <w:color w:val="000000" w:themeColor="text1"/>
              </w:rPr>
            </w:r>
          </w:p>
        </w:tc>
        <w:tc>
          <w:tcPr>
            <w:tcBorders/>
            <w:tcW w:w="2160" w:type="dxa"/>
            <w:textDirection w:val="lrTb"/>
            <w:noWrap w:val="false"/>
          </w:tcPr>
          <w:p w14:paraId="220F3AA5">
            <w:pPr>
              <w:pBdr/>
              <w:spacing w:after="0" w:before="0" w:line="240"/>
              <w:ind/>
              <w:rPr>
                <w:color w:val="000000" w:themeColor="text1"/>
              </w:rPr>
            </w:pPr>
            <w:r>
              <w:rPr>
                <w:rFonts w:ascii="Arial" w:hAnsi="Arial" w:eastAsia="Arial" w:cs="Arial"/>
                <w:color w:val="000000" w:themeColor="text1"/>
                <w:sz w:val="21"/>
              </w:rPr>
              <w:t xml:space="preserve">Binary</w:t>
            </w:r>
            <w:r>
              <w:rPr>
                <w:color w:val="000000" w:themeColor="text1"/>
              </w:rPr>
            </w:r>
          </w:p>
        </w:tc>
        <w:tc>
          <w:tcPr>
            <w:tcBorders/>
            <w:tcW w:w="2160" w:type="dxa"/>
            <w:textDirection w:val="lrTb"/>
            <w:noWrap w:val="false"/>
          </w:tcPr>
          <w:p w14:paraId="3C0A61DD">
            <w:pPr>
              <w:pBdr/>
              <w:spacing w:after="0" w:before="0" w:line="240"/>
              <w:ind/>
              <w:rPr>
                <w:color w:val="000000" w:themeColor="text1"/>
              </w:rPr>
            </w:pPr>
            <w:r>
              <w:rPr>
                <w:rFonts w:ascii="Arial" w:hAnsi="Arial" w:eastAsia="Arial" w:cs="Arial"/>
                <w:color w:val="000000" w:themeColor="text1"/>
                <w:sz w:val="21"/>
              </w:rPr>
              <w:t xml:space="preserve">Constrained discriminative or transformer classifier</w:t>
            </w:r>
            <w:r>
              <w:rPr>
                <w:color w:val="000000" w:themeColor="text1"/>
              </w:rPr>
            </w:r>
          </w:p>
        </w:tc>
        <w:tc>
          <w:tcPr>
            <w:tcBorders/>
            <w:tcW w:w="2160" w:type="dxa"/>
            <w:textDirection w:val="lrTb"/>
            <w:noWrap w:val="false"/>
          </w:tcPr>
          <w:p w14:paraId="326A4C48">
            <w:pPr>
              <w:pBdr/>
              <w:spacing w:after="0" w:before="0" w:line="240"/>
              <w:ind/>
              <w:rPr>
                <w:color w:val="000000" w:themeColor="text1"/>
              </w:rPr>
            </w:pPr>
            <w:r>
              <w:rPr>
                <w:rFonts w:ascii="Arial" w:hAnsi="Arial" w:eastAsia="Arial" w:cs="Arial"/>
                <w:color w:val="000000" w:themeColor="text1"/>
                <w:sz w:val="21"/>
              </w:rPr>
              <w:t xml:space="preserve">Stable labels, high reliability requirements</w:t>
            </w:r>
            <w:r>
              <w:rPr>
                <w:color w:val="000000" w:themeColor="text1"/>
              </w:rPr>
            </w:r>
          </w:p>
        </w:tc>
      </w:tr>
      <w:tr>
        <w:trPr/>
        <w:tc>
          <w:tcPr>
            <w:tcBorders/>
            <w:tcW w:w="2160" w:type="dxa"/>
            <w:textDirection w:val="lrTb"/>
            <w:noWrap w:val="false"/>
          </w:tcPr>
          <w:p w14:paraId="6FA8346F">
            <w:pPr>
              <w:pBdr/>
              <w:spacing w:after="0" w:before="0" w:line="240"/>
              <w:ind/>
              <w:rPr>
                <w:color w:val="000000" w:themeColor="text1"/>
              </w:rPr>
            </w:pPr>
            <w:r>
              <w:rPr>
                <w:rFonts w:ascii="Arial" w:hAnsi="Arial" w:eastAsia="Arial" w:cs="Arial"/>
                <w:color w:val="000000" w:themeColor="text1"/>
                <w:sz w:val="21"/>
              </w:rPr>
              <w:t xml:space="preserve">Counting findings/instruments</w:t>
            </w:r>
            <w:r>
              <w:rPr>
                <w:color w:val="000000" w:themeColor="text1"/>
              </w:rPr>
            </w:r>
          </w:p>
        </w:tc>
        <w:tc>
          <w:tcPr>
            <w:tcBorders/>
            <w:tcW w:w="2160" w:type="dxa"/>
            <w:textDirection w:val="lrTb"/>
            <w:noWrap w:val="false"/>
          </w:tcPr>
          <w:p w14:paraId="57BE367B">
            <w:pPr>
              <w:pBdr/>
              <w:spacing w:after="0" w:before="0" w:line="240"/>
              <w:ind/>
              <w:rPr>
                <w:color w:val="000000" w:themeColor="text1"/>
              </w:rPr>
            </w:pPr>
            <w:r>
              <w:rPr>
                <w:rFonts w:ascii="Arial" w:hAnsi="Arial" w:eastAsia="Arial" w:cs="Arial"/>
                <w:color w:val="000000" w:themeColor="text1"/>
                <w:sz w:val="21"/>
              </w:rPr>
              <w:t xml:space="preserve">Count + structured category</w:t>
            </w:r>
            <w:r>
              <w:rPr>
                <w:color w:val="000000" w:themeColor="text1"/>
              </w:rPr>
            </w:r>
          </w:p>
        </w:tc>
        <w:tc>
          <w:tcPr>
            <w:tcBorders/>
            <w:tcW w:w="2160" w:type="dxa"/>
            <w:textDirection w:val="lrTb"/>
            <w:noWrap w:val="false"/>
          </w:tcPr>
          <w:p w14:paraId="6EFCB403">
            <w:pPr>
              <w:pBdr/>
              <w:spacing w:after="0" w:before="0" w:line="240"/>
              <w:ind/>
              <w:rPr>
                <w:color w:val="000000" w:themeColor="text1"/>
              </w:rPr>
            </w:pPr>
            <w:r>
              <w:rPr>
                <w:rFonts w:ascii="Arial" w:hAnsi="Arial" w:eastAsia="Arial" w:cs="Arial"/>
                <w:color w:val="000000" w:themeColor="text1"/>
                <w:sz w:val="21"/>
              </w:rPr>
              <w:t xml:space="preserve">Transformer with constrained decoding</w:t>
            </w:r>
            <w:r>
              <w:rPr>
                <w:color w:val="000000" w:themeColor="text1"/>
              </w:rPr>
            </w:r>
          </w:p>
        </w:tc>
        <w:tc>
          <w:tcPr>
            <w:tcBorders/>
            <w:tcW w:w="2160" w:type="dxa"/>
            <w:textDirection w:val="lrTb"/>
            <w:noWrap w:val="false"/>
          </w:tcPr>
          <w:p w14:paraId="0C473FD4">
            <w:pPr>
              <w:pBdr/>
              <w:spacing w:after="0" w:before="0" w:line="240"/>
              <w:ind/>
              <w:rPr>
                <w:color w:val="000000" w:themeColor="text1"/>
              </w:rPr>
            </w:pPr>
            <w:r>
              <w:rPr>
                <w:rFonts w:ascii="Arial" w:hAnsi="Arial" w:eastAsia="Arial" w:cs="Arial"/>
                <w:color w:val="000000" w:themeColor="text1"/>
                <w:sz w:val="21"/>
              </w:rPr>
              <w:t xml:space="preserve">Better visual alignment than shallow fusion</w:t>
            </w:r>
            <w:r>
              <w:rPr>
                <w:color w:val="000000" w:themeColor="text1"/>
              </w:rPr>
            </w:r>
          </w:p>
        </w:tc>
      </w:tr>
      <w:tr>
        <w:trPr/>
        <w:tc>
          <w:tcPr>
            <w:tcBorders/>
            <w:tcW w:w="2160" w:type="dxa"/>
            <w:textDirection w:val="lrTb"/>
            <w:noWrap w:val="false"/>
          </w:tcPr>
          <w:p w14:paraId="6D53ED7E">
            <w:pPr>
              <w:pBdr/>
              <w:spacing w:after="0" w:before="0" w:line="240"/>
              <w:ind/>
              <w:rPr>
                <w:color w:val="000000" w:themeColor="text1"/>
              </w:rPr>
            </w:pPr>
            <w:r>
              <w:rPr>
                <w:rFonts w:ascii="Arial" w:hAnsi="Arial" w:eastAsia="Arial" w:cs="Arial"/>
                <w:color w:val="000000" w:themeColor="text1"/>
                <w:sz w:val="21"/>
              </w:rPr>
              <w:t xml:space="preserve">Lesion location description</w:t>
            </w:r>
            <w:r>
              <w:rPr>
                <w:color w:val="000000" w:themeColor="text1"/>
              </w:rPr>
            </w:r>
          </w:p>
        </w:tc>
        <w:tc>
          <w:tcPr>
            <w:tcBorders/>
            <w:tcW w:w="2160" w:type="dxa"/>
            <w:textDirection w:val="lrTb"/>
            <w:noWrap w:val="false"/>
          </w:tcPr>
          <w:p w14:paraId="4EAC14A6">
            <w:pPr>
              <w:pBdr/>
              <w:spacing w:after="0" w:before="0" w:line="240"/>
              <w:ind/>
              <w:rPr>
                <w:color w:val="000000" w:themeColor="text1"/>
              </w:rPr>
            </w:pPr>
            <w:r>
              <w:rPr>
                <w:rFonts w:ascii="Arial" w:hAnsi="Arial" w:eastAsia="Arial" w:cs="Arial"/>
                <w:color w:val="000000" w:themeColor="text1"/>
                <w:sz w:val="21"/>
              </w:rPr>
              <w:t xml:space="preserve">Spatial text/category</w:t>
            </w:r>
            <w:r>
              <w:rPr>
                <w:color w:val="000000" w:themeColor="text1"/>
              </w:rPr>
            </w:r>
          </w:p>
        </w:tc>
        <w:tc>
          <w:tcPr>
            <w:tcBorders/>
            <w:tcW w:w="2160" w:type="dxa"/>
            <w:textDirection w:val="lrTb"/>
            <w:noWrap w:val="false"/>
          </w:tcPr>
          <w:p w14:paraId="34413069">
            <w:pPr>
              <w:pBdr/>
              <w:spacing w:after="0" w:before="0" w:line="240"/>
              <w:ind/>
              <w:rPr>
                <w:color w:val="000000" w:themeColor="text1"/>
              </w:rPr>
            </w:pPr>
            <w:r>
              <w:rPr>
                <w:rFonts w:ascii="Arial" w:hAnsi="Arial" w:eastAsia="Arial" w:cs="Arial"/>
                <w:color w:val="000000" w:themeColor="text1"/>
                <w:sz w:val="21"/>
              </w:rPr>
              <w:t xml:space="preserve">Transformer + localization-aware head</w:t>
            </w:r>
            <w:r>
              <w:rPr>
                <w:color w:val="000000" w:themeColor="text1"/>
              </w:rPr>
            </w:r>
          </w:p>
        </w:tc>
        <w:tc>
          <w:tcPr>
            <w:tcBorders/>
            <w:tcW w:w="2160" w:type="dxa"/>
            <w:textDirection w:val="lrTb"/>
            <w:noWrap w:val="false"/>
          </w:tcPr>
          <w:p w14:paraId="686E89A1">
            <w:pPr>
              <w:pBdr/>
              <w:spacing w:after="0" w:before="0" w:line="240"/>
              <w:ind/>
              <w:rPr>
                <w:color w:val="000000" w:themeColor="text1"/>
              </w:rPr>
            </w:pPr>
            <w:r>
              <w:rPr>
                <w:rFonts w:ascii="Arial" w:hAnsi="Arial" w:eastAsia="Arial" w:cs="Arial"/>
                <w:color w:val="000000" w:themeColor="text1"/>
                <w:sz w:val="21"/>
              </w:rPr>
              <w:t xml:space="preserve">Requires spatial grounding consistency</w:t>
            </w:r>
            <w:r>
              <w:rPr>
                <w:color w:val="000000" w:themeColor="text1"/>
              </w:rPr>
            </w:r>
          </w:p>
        </w:tc>
      </w:tr>
      <w:tr>
        <w:trPr/>
        <w:tc>
          <w:tcPr>
            <w:tcBorders/>
            <w:tcW w:w="2160" w:type="dxa"/>
            <w:textDirection w:val="lrTb"/>
            <w:noWrap w:val="false"/>
          </w:tcPr>
          <w:p w14:paraId="2A131031">
            <w:pPr>
              <w:pBdr/>
              <w:spacing w:after="0" w:before="0" w:line="240"/>
              <w:ind/>
              <w:rPr>
                <w:color w:val="000000" w:themeColor="text1"/>
              </w:rPr>
            </w:pPr>
            <w:r>
              <w:rPr>
                <w:rFonts w:ascii="Arial" w:hAnsi="Arial" w:eastAsia="Arial" w:cs="Arial"/>
                <w:color w:val="000000" w:themeColor="text1"/>
                <w:sz w:val="21"/>
              </w:rPr>
              <w:t xml:space="preserve">UC severity grading</w:t>
            </w:r>
            <w:r>
              <w:rPr>
                <w:color w:val="000000" w:themeColor="text1"/>
              </w:rPr>
            </w:r>
          </w:p>
        </w:tc>
        <w:tc>
          <w:tcPr>
            <w:tcBorders/>
            <w:tcW w:w="2160" w:type="dxa"/>
            <w:textDirection w:val="lrTb"/>
            <w:noWrap w:val="false"/>
          </w:tcPr>
          <w:p w14:paraId="4D8085A7">
            <w:pPr>
              <w:pBdr/>
              <w:spacing w:after="0" w:before="0" w:line="240"/>
              <w:ind/>
              <w:rPr>
                <w:color w:val="000000" w:themeColor="text1"/>
              </w:rPr>
            </w:pPr>
            <w:r>
              <w:rPr>
                <w:rFonts w:ascii="Arial" w:hAnsi="Arial" w:eastAsia="Arial" w:cs="Arial"/>
                <w:color w:val="000000" w:themeColor="text1"/>
                <w:sz w:val="21"/>
              </w:rPr>
              <w:t xml:space="preserve">Ordinal category</w:t>
            </w:r>
            <w:r>
              <w:rPr>
                <w:color w:val="000000" w:themeColor="text1"/>
              </w:rPr>
            </w:r>
          </w:p>
        </w:tc>
        <w:tc>
          <w:tcPr>
            <w:tcBorders/>
            <w:tcW w:w="2160" w:type="dxa"/>
            <w:textDirection w:val="lrTb"/>
            <w:noWrap w:val="false"/>
          </w:tcPr>
          <w:p w14:paraId="4B2E3DE7">
            <w:pPr>
              <w:pBdr/>
              <w:spacing w:after="0" w:before="0" w:line="240"/>
              <w:ind/>
              <w:rPr>
                <w:color w:val="000000" w:themeColor="text1"/>
              </w:rPr>
            </w:pPr>
            <w:r>
              <w:rPr>
                <w:rFonts w:ascii="Arial" w:hAnsi="Arial" w:eastAsia="Arial" w:cs="Arial"/>
                <w:color w:val="000000" w:themeColor="text1"/>
                <w:sz w:val="21"/>
              </w:rPr>
              <w:t xml:space="preserve">Fine-tuned visual backbone + constrained QA interface</w:t>
            </w:r>
            <w:r>
              <w:rPr>
                <w:color w:val="000000" w:themeColor="text1"/>
              </w:rPr>
            </w:r>
          </w:p>
        </w:tc>
        <w:tc>
          <w:tcPr>
            <w:tcBorders/>
            <w:tcW w:w="2160" w:type="dxa"/>
            <w:textDirection w:val="lrTb"/>
            <w:noWrap w:val="false"/>
          </w:tcPr>
          <w:p w14:paraId="1C6071C5">
            <w:pPr>
              <w:pBdr/>
              <w:spacing w:after="0" w:before="0" w:line="240"/>
              <w:ind/>
              <w:rPr>
                <w:color w:val="000000" w:themeColor="text1"/>
              </w:rPr>
            </w:pPr>
            <w:r>
              <w:rPr>
                <w:rFonts w:ascii="Arial" w:hAnsi="Arial" w:eastAsia="Arial" w:cs="Arial"/>
                <w:color w:val="000000" w:themeColor="text1"/>
                <w:sz w:val="21"/>
              </w:rPr>
              <w:t xml:space="preserve">Ordinal robustness and severe-class control</w:t>
            </w:r>
            <w:r>
              <w:rPr>
                <w:color w:val="000000" w:themeColor="text1"/>
              </w:rPr>
            </w:r>
          </w:p>
        </w:tc>
      </w:tr>
      <w:tr>
        <w:trPr/>
        <w:tc>
          <w:tcPr>
            <w:tcBorders/>
            <w:tcW w:w="2160" w:type="dxa"/>
            <w:textDirection w:val="lrTb"/>
            <w:noWrap w:val="false"/>
          </w:tcPr>
          <w:p w14:paraId="636DB0FA">
            <w:pPr>
              <w:pBdr/>
              <w:spacing w:after="0" w:before="0" w:line="240"/>
              <w:ind/>
              <w:rPr>
                <w:color w:val="000000" w:themeColor="text1"/>
              </w:rPr>
            </w:pPr>
            <w:r>
              <w:rPr>
                <w:rFonts w:ascii="Arial" w:hAnsi="Arial" w:eastAsia="Arial" w:cs="Arial"/>
                <w:color w:val="000000" w:themeColor="text1"/>
                <w:sz w:val="21"/>
              </w:rPr>
              <w:t xml:space="preserve">Narrative explanation for clinician</w:t>
            </w:r>
            <w:r>
              <w:rPr>
                <w:color w:val="000000" w:themeColor="text1"/>
              </w:rPr>
            </w:r>
          </w:p>
        </w:tc>
        <w:tc>
          <w:tcPr>
            <w:tcBorders/>
            <w:tcW w:w="2160" w:type="dxa"/>
            <w:textDirection w:val="lrTb"/>
            <w:noWrap w:val="false"/>
          </w:tcPr>
          <w:p w14:paraId="56B2AB92">
            <w:pPr>
              <w:pBdr/>
              <w:spacing w:after="0" w:before="0" w:line="240"/>
              <w:ind/>
              <w:rPr>
                <w:color w:val="000000" w:themeColor="text1"/>
              </w:rPr>
            </w:pPr>
            <w:r>
              <w:rPr>
                <w:rFonts w:ascii="Arial" w:hAnsi="Arial" w:eastAsia="Arial" w:cs="Arial"/>
                <w:color w:val="000000" w:themeColor="text1"/>
                <w:sz w:val="21"/>
              </w:rPr>
              <w:t xml:space="preserve">Open text</w:t>
            </w:r>
            <w:r>
              <w:rPr>
                <w:color w:val="000000" w:themeColor="text1"/>
              </w:rPr>
            </w:r>
          </w:p>
        </w:tc>
        <w:tc>
          <w:tcPr>
            <w:tcBorders/>
            <w:tcW w:w="2160" w:type="dxa"/>
            <w:textDirection w:val="lrTb"/>
            <w:noWrap w:val="false"/>
          </w:tcPr>
          <w:p w14:paraId="6CE9D064">
            <w:pPr>
              <w:pBdr/>
              <w:spacing w:after="0" w:before="0" w:line="240"/>
              <w:ind/>
              <w:rPr>
                <w:color w:val="000000" w:themeColor="text1"/>
              </w:rPr>
            </w:pPr>
            <w:r>
              <w:rPr>
                <w:rFonts w:ascii="Arial" w:hAnsi="Arial" w:eastAsia="Arial" w:cs="Arial"/>
                <w:color w:val="000000" w:themeColor="text1"/>
                <w:sz w:val="21"/>
              </w:rPr>
              <w:t xml:space="preserve">Generative MLLM with grounding checks</w:t>
            </w:r>
            <w:r>
              <w:rPr>
                <w:color w:val="000000" w:themeColor="text1"/>
              </w:rPr>
            </w:r>
          </w:p>
        </w:tc>
        <w:tc>
          <w:tcPr>
            <w:tcBorders/>
            <w:tcW w:w="2160" w:type="dxa"/>
            <w:textDirection w:val="lrTb"/>
            <w:noWrap w:val="false"/>
          </w:tcPr>
          <w:p w14:paraId="7ADFDE73">
            <w:pPr>
              <w:pBdr/>
              <w:spacing w:after="0" w:before="0" w:line="240"/>
              <w:ind/>
              <w:rPr>
                <w:color w:val="000000" w:themeColor="text1"/>
              </w:rPr>
            </w:pPr>
            <w:r>
              <w:rPr>
                <w:rFonts w:ascii="Arial" w:hAnsi="Arial" w:eastAsia="Arial" w:cs="Arial"/>
                <w:color w:val="000000" w:themeColor="text1"/>
                <w:sz w:val="21"/>
              </w:rPr>
              <w:t xml:space="preserve">Better usability, but must be constrained</w:t>
            </w:r>
            <w:r>
              <w:rPr>
                <w:color w:val="000000" w:themeColor="text1"/>
              </w:rPr>
            </w:r>
          </w:p>
        </w:tc>
      </w:tr>
      <w:tr>
        <w:trPr/>
        <w:tc>
          <w:tcPr>
            <w:tcBorders/>
            <w:tcW w:w="2160" w:type="dxa"/>
            <w:textDirection w:val="lrTb"/>
            <w:noWrap w:val="false"/>
          </w:tcPr>
          <w:p w14:paraId="2E97B688">
            <w:pPr>
              <w:pBdr/>
              <w:spacing w:after="0" w:before="0" w:line="240"/>
              <w:ind/>
              <w:rPr>
                <w:color w:val="000000" w:themeColor="text1"/>
              </w:rPr>
            </w:pPr>
            <w:r>
              <w:rPr>
                <w:rFonts w:ascii="Arial" w:hAnsi="Arial" w:eastAsia="Arial" w:cs="Arial"/>
                <w:color w:val="000000" w:themeColor="text1"/>
                <w:sz w:val="21"/>
              </w:rPr>
              <w:t xml:space="preserve">Evidence-linked management query</w:t>
            </w:r>
            <w:r>
              <w:rPr>
                <w:color w:val="000000" w:themeColor="text1"/>
              </w:rPr>
            </w:r>
          </w:p>
        </w:tc>
        <w:tc>
          <w:tcPr>
            <w:tcBorders/>
            <w:tcW w:w="2160" w:type="dxa"/>
            <w:textDirection w:val="lrTb"/>
            <w:noWrap w:val="false"/>
          </w:tcPr>
          <w:p w14:paraId="6C05A3D2">
            <w:pPr>
              <w:pBdr/>
              <w:spacing w:after="0" w:before="0" w:line="240"/>
              <w:ind/>
              <w:rPr>
                <w:color w:val="000000" w:themeColor="text1"/>
              </w:rPr>
            </w:pPr>
            <w:r>
              <w:rPr>
                <w:rFonts w:ascii="Arial" w:hAnsi="Arial" w:eastAsia="Arial" w:cs="Arial"/>
                <w:color w:val="000000" w:themeColor="text1"/>
                <w:sz w:val="21"/>
              </w:rPr>
              <w:t xml:space="preserve">Open text + evidence</w:t>
            </w:r>
            <w:r>
              <w:rPr>
                <w:color w:val="000000" w:themeColor="text1"/>
              </w:rPr>
            </w:r>
          </w:p>
        </w:tc>
        <w:tc>
          <w:tcPr>
            <w:tcBorders/>
            <w:tcW w:w="2160" w:type="dxa"/>
            <w:textDirection w:val="lrTb"/>
            <w:noWrap w:val="false"/>
          </w:tcPr>
          <w:p w14:paraId="303A9E0B">
            <w:pPr>
              <w:pBdr/>
              <w:spacing w:after="0" w:before="0" w:line="240"/>
              <w:ind/>
              <w:rPr>
                <w:color w:val="000000" w:themeColor="text1"/>
              </w:rPr>
            </w:pPr>
            <w:r>
              <w:rPr>
                <w:rFonts w:ascii="Arial" w:hAnsi="Arial" w:eastAsia="Arial" w:cs="Arial"/>
                <w:color w:val="000000" w:themeColor="text1"/>
                <w:sz w:val="21"/>
              </w:rPr>
              <w:t xml:space="preserve">Conditional retrieval-augmented generation</w:t>
            </w:r>
            <w:r>
              <w:rPr>
                <w:color w:val="000000" w:themeColor="text1"/>
              </w:rPr>
            </w:r>
          </w:p>
        </w:tc>
        <w:tc>
          <w:tcPr>
            <w:tcBorders/>
            <w:tcW w:w="2160" w:type="dxa"/>
            <w:textDirection w:val="lrTb"/>
            <w:noWrap w:val="false"/>
          </w:tcPr>
          <w:p w14:paraId="53586723">
            <w:pPr>
              <w:pBdr/>
              <w:spacing w:after="0" w:before="0" w:line="240"/>
              <w:ind/>
              <w:rPr>
                <w:color w:val="000000" w:themeColor="text1"/>
              </w:rPr>
            </w:pPr>
            <w:r>
              <w:rPr>
                <w:rFonts w:ascii="Arial" w:hAnsi="Arial" w:eastAsia="Arial" w:cs="Arial"/>
                <w:color w:val="000000" w:themeColor="text1"/>
                <w:sz w:val="21"/>
              </w:rPr>
              <w:t xml:space="preserve">Useful only when core visual answer is reliable</w:t>
            </w:r>
            <w:r>
              <w:rPr>
                <w:color w:val="000000" w:themeColor="text1"/>
              </w:rPr>
            </w:r>
          </w:p>
        </w:tc>
      </w:tr>
    </w:tbl>
    <w:p w14:paraId="3C813162">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014E5259">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2.8 2024-2026 Trends in MedVQA Research</w:t>
      </w:r>
      <w:r/>
    </w:p>
    <w:p w14:paraId="5CE47346">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Recent literature indicates several important shifts.</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47E90F30">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2.8.1 From Single-Image QA to Multi-Image Reasoning</w:t>
      </w:r>
      <w:r/>
    </w:p>
    <w:p w14:paraId="67782F47">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MedFrameQA shows that multi-image clinical reasoning remains difficult for current MLLMs and exposes a gap between benchmark fluency and longitudinal diagnostic reasoning; notably, the benchmark received an updated arXiv revision in February 2026 [R10].</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32AEA805">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2.8.2 From Benchmark Accuracy to Reliability Stress Testing</w:t>
      </w:r>
      <w:r/>
    </w:p>
    <w:p w14:paraId="70990B2A">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ProbMed-style probing demonstrates that high benchmark scores can hide brittle behavior under controlled perturbations [R11]. SMMILE similarly highlights fragility in multimodal in-context learning [R12].</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32582EF2">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2.8.3 Data-Centric Expansion and Synthetic Pipelines</w:t>
      </w:r>
      <w:r/>
    </w:p>
    <w:p w14:paraId="34F47E7A">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New resources increasingly use automated or semi-automated pipelines to scale MedVQA data. This is seen in MedVLSynther-like generator-verifier approaches [R13] and challenge tracks that explicitly integrate synthetic data [R25].</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2163B0FB">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2.8.4 Scaling Unified Medical VLMs</w:t>
      </w:r>
      <w:r/>
    </w:p>
    <w:p w14:paraId="137344B4">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OmniV-Med and related work aim at unified multimodal medical understanding across 2D/3D/video settings [R14]. These models are promising for broad capability, but consistent clinical robustness on specialized GI QA remains an open question.</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342CD601">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2.8.5 Explainability as a First-Class Objective</w:t>
      </w:r>
      <w:r/>
    </w:p>
    <w:p w14:paraId="0D167F3D">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GI challenge design in 2025 formalized explanation quality and clinical relevance as evaluation targets, not optional analysis [R26], [R27]. This marks a practical shift toward clinician-facing trust criteria.</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1440D9B2">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2.9 Evidence Triangulation with Repository Results</w:t>
      </w:r>
      <w:r/>
    </w:p>
    <w:p w14:paraId="13C8F58F">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To avoid a purely narrative survey, this section triangulates literature findings with local persisted artifacts.</w:t>
      </w:r>
      <w:r/>
    </w:p>
    <w:tbl>
      <w:tblPr>
        <w:tblStyle w:val="831"/>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6BA113AD">
            <w:pPr>
              <w:pBdr/>
              <w:spacing w:after="0" w:before="0" w:line="240"/>
              <w:ind/>
              <w:rPr>
                <w:color w:val="000000" w:themeColor="text1"/>
              </w:rPr>
            </w:pPr>
            <w:r>
              <w:rPr>
                <w:rFonts w:ascii="Arial" w:hAnsi="Arial" w:eastAsia="Arial" w:cs="Arial"/>
                <w:b/>
                <w:color w:val="000000" w:themeColor="text1"/>
                <w:sz w:val="21"/>
              </w:rPr>
              <w:t xml:space="preserve">Dataset/task (local report)</w:t>
            </w:r>
            <w:r>
              <w:rPr>
                <w:color w:val="000000" w:themeColor="text1"/>
              </w:rPr>
            </w:r>
          </w:p>
        </w:tc>
        <w:tc>
          <w:tcPr>
            <w:tcBorders/>
            <w:tcW w:w="2880" w:type="dxa"/>
            <w:textDirection w:val="lrTb"/>
            <w:noWrap w:val="false"/>
          </w:tcPr>
          <w:p w14:paraId="6DFE6D1F">
            <w:pPr>
              <w:pBdr/>
              <w:spacing w:after="0" w:before="0" w:line="240"/>
              <w:ind/>
              <w:rPr>
                <w:color w:val="000000" w:themeColor="text1"/>
              </w:rPr>
            </w:pPr>
            <w:r>
              <w:rPr>
                <w:rFonts w:ascii="Arial" w:hAnsi="Arial" w:eastAsia="Arial" w:cs="Arial"/>
                <w:b/>
                <w:color w:val="000000" w:themeColor="text1"/>
                <w:sz w:val="21"/>
              </w:rPr>
              <w:t xml:space="preserve">Representative local signal</w:t>
            </w:r>
            <w:r>
              <w:rPr>
                <w:color w:val="000000" w:themeColor="text1"/>
              </w:rPr>
            </w:r>
          </w:p>
        </w:tc>
        <w:tc>
          <w:tcPr>
            <w:tcBorders/>
            <w:tcW w:w="2880" w:type="dxa"/>
            <w:textDirection w:val="lrTb"/>
            <w:noWrap w:val="false"/>
          </w:tcPr>
          <w:p w14:paraId="57DFACB7">
            <w:pPr>
              <w:pBdr/>
              <w:spacing w:after="0" w:before="0" w:line="240"/>
              <w:ind/>
              <w:rPr>
                <w:color w:val="000000" w:themeColor="text1"/>
              </w:rPr>
            </w:pPr>
            <w:r>
              <w:rPr>
                <w:rFonts w:ascii="Arial" w:hAnsi="Arial" w:eastAsia="Arial" w:cs="Arial"/>
                <w:b/>
                <w:color w:val="000000" w:themeColor="text1"/>
                <w:sz w:val="21"/>
              </w:rPr>
              <w:t xml:space="preserve">Method implication</w:t>
            </w:r>
            <w:r>
              <w:rPr>
                <w:color w:val="000000" w:themeColor="text1"/>
              </w:rPr>
            </w:r>
          </w:p>
        </w:tc>
      </w:tr>
      <w:tr>
        <w:trPr/>
        <w:tc>
          <w:tcPr>
            <w:tcBorders/>
            <w:tcW w:w="2880" w:type="dxa"/>
            <w:textDirection w:val="lrTb"/>
            <w:noWrap w:val="false"/>
          </w:tcPr>
          <w:p w14:paraId="542604F6">
            <w:pPr>
              <w:pBdr/>
              <w:spacing w:after="0" w:before="0" w:line="240"/>
              <w:ind/>
              <w:rPr>
                <w:color w:val="000000" w:themeColor="text1"/>
              </w:rPr>
            </w:pPr>
            <w:r>
              <w:rPr>
                <w:rFonts w:ascii="Arial" w:hAnsi="Arial" w:eastAsia="Arial" w:cs="Arial"/>
                <w:color w:val="000000" w:themeColor="text1"/>
                <w:sz w:val="21"/>
              </w:rPr>
              <w:t xml:space="preserve">ImageCLEF MEDVQA-GI 2023 [I4]</w:t>
            </w:r>
            <w:r>
              <w:rPr>
                <w:color w:val="000000" w:themeColor="text1"/>
              </w:rPr>
            </w:r>
          </w:p>
        </w:tc>
        <w:tc>
          <w:tcPr>
            <w:tcBorders/>
            <w:tcW w:w="2880" w:type="dxa"/>
            <w:textDirection w:val="lrTb"/>
            <w:noWrap w:val="false"/>
          </w:tcPr>
          <w:p w14:paraId="3B140E70">
            <w:pPr>
              <w:pBdr/>
              <w:spacing w:after="0" w:before="0" w:line="240"/>
              <w:ind/>
              <w:rPr>
                <w:color w:val="000000" w:themeColor="text1"/>
              </w:rPr>
            </w:pPr>
            <w:r>
              <w:rPr>
                <w:rFonts w:ascii="Arial" w:hAnsi="Arial" w:eastAsia="Arial" w:cs="Arial"/>
                <w:color w:val="000000" w:themeColor="text1"/>
                <w:sz w:val="21"/>
              </w:rPr>
              <w:t xml:space="preserve">ViLT fine-tune val accuracy 0.9089, macro-F1 0.5823; zero-shot Qwen raw near-zero accuracy</w:t>
            </w:r>
            <w:r>
              <w:rPr>
                <w:color w:val="000000" w:themeColor="text1"/>
              </w:rPr>
            </w:r>
          </w:p>
        </w:tc>
        <w:tc>
          <w:tcPr>
            <w:tcBorders/>
            <w:tcW w:w="2880" w:type="dxa"/>
            <w:textDirection w:val="lrTb"/>
            <w:noWrap w:val="false"/>
          </w:tcPr>
          <w:p w14:paraId="5D93638D">
            <w:pPr>
              <w:pBdr/>
              <w:spacing w:after="0" w:before="0" w:line="240"/>
              <w:ind/>
              <w:rPr>
                <w:color w:val="000000" w:themeColor="text1"/>
              </w:rPr>
            </w:pPr>
            <w:r>
              <w:rPr>
                <w:rFonts w:ascii="Arial" w:hAnsi="Arial" w:eastAsia="Arial" w:cs="Arial"/>
                <w:color w:val="000000" w:themeColor="text1"/>
                <w:sz w:val="21"/>
              </w:rPr>
              <w:t xml:space="preserve">Closed-set tuned models remain stronger than raw zero-shot generation in this setting</w:t>
            </w:r>
            <w:r>
              <w:rPr>
                <w:color w:val="000000" w:themeColor="text1"/>
              </w:rPr>
            </w:r>
          </w:p>
        </w:tc>
      </w:tr>
      <w:tr>
        <w:trPr/>
        <w:tc>
          <w:tcPr>
            <w:tcBorders/>
            <w:tcW w:w="2880" w:type="dxa"/>
            <w:textDirection w:val="lrTb"/>
            <w:noWrap w:val="false"/>
          </w:tcPr>
          <w:p w14:paraId="5BE04B67">
            <w:pPr>
              <w:pBdr/>
              <w:spacing w:after="0" w:before="0" w:line="240"/>
              <w:ind/>
              <w:rPr>
                <w:color w:val="000000" w:themeColor="text1"/>
              </w:rPr>
            </w:pPr>
            <w:r>
              <w:rPr>
                <w:rFonts w:ascii="Arial" w:hAnsi="Arial" w:eastAsia="Arial" w:cs="Arial"/>
                <w:color w:val="000000" w:themeColor="text1"/>
                <w:sz w:val="21"/>
              </w:rPr>
              <w:t xml:space="preserve">HyperKvasir 23-class [I1]</w:t>
            </w:r>
            <w:r>
              <w:rPr>
                <w:color w:val="000000" w:themeColor="text1"/>
              </w:rPr>
            </w:r>
          </w:p>
        </w:tc>
        <w:tc>
          <w:tcPr>
            <w:tcBorders/>
            <w:tcW w:w="2880" w:type="dxa"/>
            <w:textDirection w:val="lrTb"/>
            <w:noWrap w:val="false"/>
          </w:tcPr>
          <w:p w14:paraId="3D35F28A">
            <w:pPr>
              <w:pBdr/>
              <w:spacing w:after="0" w:before="0" w:line="240"/>
              <w:ind/>
              <w:rPr>
                <w:color w:val="000000" w:themeColor="text1"/>
              </w:rPr>
            </w:pPr>
            <w:r>
              <w:rPr>
                <w:rFonts w:ascii="Arial" w:hAnsi="Arial" w:eastAsia="Arial" w:cs="Arial"/>
                <w:color w:val="000000" w:themeColor="text1"/>
                <w:sz w:val="21"/>
              </w:rPr>
              <w:t xml:space="preserve">ResNet50 supervised outperforms saved zero-shot generative baseline by large margin</w:t>
            </w:r>
            <w:r>
              <w:rPr>
                <w:color w:val="000000" w:themeColor="text1"/>
              </w:rPr>
            </w:r>
          </w:p>
        </w:tc>
        <w:tc>
          <w:tcPr>
            <w:tcBorders/>
            <w:tcW w:w="2880" w:type="dxa"/>
            <w:textDirection w:val="lrTb"/>
            <w:noWrap w:val="false"/>
          </w:tcPr>
          <w:p w14:paraId="04298FF7">
            <w:pPr>
              <w:pBdr/>
              <w:spacing w:after="0" w:before="0" w:line="240"/>
              <w:ind/>
              <w:rPr>
                <w:color w:val="000000" w:themeColor="text1"/>
              </w:rPr>
            </w:pPr>
            <w:r>
              <w:rPr>
                <w:rFonts w:ascii="Arial" w:hAnsi="Arial" w:eastAsia="Arial" w:cs="Arial"/>
                <w:color w:val="000000" w:themeColor="text1"/>
                <w:sz w:val="21"/>
              </w:rPr>
              <w:t xml:space="preserve">Robust supervised visual encoders remain critical for GI grounding</w:t>
            </w:r>
            <w:r>
              <w:rPr>
                <w:color w:val="000000" w:themeColor="text1"/>
              </w:rPr>
            </w:r>
          </w:p>
        </w:tc>
      </w:tr>
      <w:tr>
        <w:trPr/>
        <w:tc>
          <w:tcPr>
            <w:tcBorders/>
            <w:tcW w:w="2880" w:type="dxa"/>
            <w:textDirection w:val="lrTb"/>
            <w:noWrap w:val="false"/>
          </w:tcPr>
          <w:p w14:paraId="5FFC5727">
            <w:pPr>
              <w:pBdr/>
              <w:spacing w:after="0" w:before="0" w:line="240"/>
              <w:ind/>
              <w:rPr>
                <w:color w:val="000000" w:themeColor="text1"/>
              </w:rPr>
            </w:pPr>
            <w:r>
              <w:rPr>
                <w:rFonts w:ascii="Arial" w:hAnsi="Arial" w:eastAsia="Arial" w:cs="Arial"/>
                <w:color w:val="000000" w:themeColor="text1"/>
                <w:sz w:val="21"/>
              </w:rPr>
              <w:t xml:space="preserve">Kvasir-VQA [I2]</w:t>
            </w:r>
            <w:r>
              <w:rPr>
                <w:color w:val="000000" w:themeColor="text1"/>
              </w:rPr>
            </w:r>
          </w:p>
        </w:tc>
        <w:tc>
          <w:tcPr>
            <w:tcBorders/>
            <w:tcW w:w="2880" w:type="dxa"/>
            <w:textDirection w:val="lrTb"/>
            <w:noWrap w:val="false"/>
          </w:tcPr>
          <w:p w14:paraId="51D58709">
            <w:pPr>
              <w:pBdr/>
              <w:spacing w:after="0" w:before="0" w:line="240"/>
              <w:ind/>
              <w:rPr>
                <w:color w:val="000000" w:themeColor="text1"/>
              </w:rPr>
            </w:pPr>
            <w:r>
              <w:rPr>
                <w:rFonts w:ascii="Arial" w:hAnsi="Arial" w:eastAsia="Arial" w:cs="Arial"/>
                <w:color w:val="000000" w:themeColor="text1"/>
                <w:sz w:val="21"/>
              </w:rPr>
              <w:t xml:space="preserve">ResNet+GRU yes/no subset reaches high reliability; free generation runs can collapse to unknown outputs</w:t>
            </w:r>
            <w:r>
              <w:rPr>
                <w:color w:val="000000" w:themeColor="text1"/>
              </w:rPr>
            </w:r>
          </w:p>
        </w:tc>
        <w:tc>
          <w:tcPr>
            <w:tcBorders/>
            <w:tcW w:w="2880" w:type="dxa"/>
            <w:textDirection w:val="lrTb"/>
            <w:noWrap w:val="false"/>
          </w:tcPr>
          <w:p w14:paraId="45F660E5">
            <w:pPr>
              <w:pBdr/>
              <w:spacing w:after="0" w:before="0" w:line="240"/>
              <w:ind/>
              <w:rPr>
                <w:color w:val="000000" w:themeColor="text1"/>
              </w:rPr>
            </w:pPr>
            <w:r>
              <w:rPr>
                <w:rFonts w:ascii="Arial" w:hAnsi="Arial" w:eastAsia="Arial" w:cs="Arial"/>
                <w:color w:val="000000" w:themeColor="text1"/>
                <w:sz w:val="21"/>
              </w:rPr>
              <w:t xml:space="preserve">Constrained answer spaces remain highly effective for deterministic clinical sub-questions</w:t>
            </w:r>
            <w:r>
              <w:rPr>
                <w:color w:val="000000" w:themeColor="text1"/>
              </w:rPr>
            </w:r>
          </w:p>
        </w:tc>
      </w:tr>
      <w:tr>
        <w:trPr/>
        <w:tc>
          <w:tcPr>
            <w:tcBorders/>
            <w:tcW w:w="2880" w:type="dxa"/>
            <w:textDirection w:val="lrTb"/>
            <w:noWrap w:val="false"/>
          </w:tcPr>
          <w:p w14:paraId="13C4E16E">
            <w:pPr>
              <w:pBdr/>
              <w:spacing w:after="0" w:before="0" w:line="240"/>
              <w:ind/>
              <w:rPr>
                <w:color w:val="000000" w:themeColor="text1"/>
              </w:rPr>
            </w:pPr>
            <w:r>
              <w:rPr>
                <w:rFonts w:ascii="Arial" w:hAnsi="Arial" w:eastAsia="Arial" w:cs="Arial"/>
                <w:color w:val="000000" w:themeColor="text1"/>
                <w:sz w:val="21"/>
              </w:rPr>
              <w:t xml:space="preserve">Kvasir-VQA-x1 [I3]</w:t>
            </w:r>
            <w:r>
              <w:rPr>
                <w:color w:val="000000" w:themeColor="text1"/>
              </w:rPr>
            </w:r>
          </w:p>
        </w:tc>
        <w:tc>
          <w:tcPr>
            <w:tcBorders/>
            <w:tcW w:w="2880" w:type="dxa"/>
            <w:textDirection w:val="lrTb"/>
            <w:noWrap w:val="false"/>
          </w:tcPr>
          <w:p w14:paraId="54B34E26">
            <w:pPr>
              <w:pBdr/>
              <w:spacing w:after="0" w:before="0" w:line="240"/>
              <w:ind/>
              <w:rPr>
                <w:color w:val="000000" w:themeColor="text1"/>
              </w:rPr>
            </w:pPr>
            <w:r>
              <w:rPr>
                <w:rFonts w:ascii="Arial" w:hAnsi="Arial" w:eastAsia="Arial" w:cs="Arial"/>
                <w:color w:val="000000" w:themeColor="text1"/>
                <w:sz w:val="21"/>
              </w:rPr>
              <w:t xml:space="preserve">LoRA improves token-level generative metrics; exact-match remains challenging</w:t>
            </w:r>
            <w:r>
              <w:rPr>
                <w:color w:val="000000" w:themeColor="text1"/>
              </w:rPr>
            </w:r>
          </w:p>
        </w:tc>
        <w:tc>
          <w:tcPr>
            <w:tcBorders/>
            <w:tcW w:w="2880" w:type="dxa"/>
            <w:textDirection w:val="lrTb"/>
            <w:noWrap w:val="false"/>
          </w:tcPr>
          <w:p w14:paraId="1E686707">
            <w:pPr>
              <w:pBdr/>
              <w:spacing w:after="0" w:before="0" w:line="240"/>
              <w:ind/>
              <w:rPr>
                <w:color w:val="000000" w:themeColor="text1"/>
              </w:rPr>
            </w:pPr>
            <w:r>
              <w:rPr>
                <w:rFonts w:ascii="Arial" w:hAnsi="Arial" w:eastAsia="Arial" w:cs="Arial"/>
                <w:color w:val="000000" w:themeColor="text1"/>
                <w:sz w:val="21"/>
              </w:rPr>
              <w:t xml:space="preserve">Reasoning-rich QA increases complexity; output normalization and grounding are central</w:t>
            </w:r>
            <w:r>
              <w:rPr>
                <w:color w:val="000000" w:themeColor="text1"/>
              </w:rPr>
            </w:r>
          </w:p>
        </w:tc>
      </w:tr>
      <w:tr>
        <w:trPr/>
        <w:tc>
          <w:tcPr>
            <w:tcBorders/>
            <w:tcW w:w="2880" w:type="dxa"/>
            <w:textDirection w:val="lrTb"/>
            <w:noWrap w:val="false"/>
          </w:tcPr>
          <w:p w14:paraId="467BFADC">
            <w:pPr>
              <w:pBdr/>
              <w:spacing w:after="0" w:before="0" w:line="240"/>
              <w:ind/>
              <w:rPr>
                <w:color w:val="000000" w:themeColor="text1"/>
              </w:rPr>
            </w:pPr>
            <w:r>
              <w:rPr>
                <w:rFonts w:ascii="Arial" w:hAnsi="Arial" w:eastAsia="Arial" w:cs="Arial"/>
                <w:color w:val="000000" w:themeColor="text1"/>
                <w:sz w:val="21"/>
              </w:rPr>
              <w:t xml:space="preserve">LIMUC severity [I5]</w:t>
            </w:r>
            <w:r>
              <w:rPr>
                <w:color w:val="000000" w:themeColor="text1"/>
              </w:rPr>
            </w:r>
          </w:p>
        </w:tc>
        <w:tc>
          <w:tcPr>
            <w:tcBorders/>
            <w:tcW w:w="2880" w:type="dxa"/>
            <w:textDirection w:val="lrTb"/>
            <w:noWrap w:val="false"/>
          </w:tcPr>
          <w:p w14:paraId="3E42BFC8">
            <w:pPr>
              <w:pBdr/>
              <w:spacing w:after="0" w:before="0" w:line="240"/>
              <w:ind/>
              <w:rPr>
                <w:color w:val="000000" w:themeColor="text1"/>
              </w:rPr>
            </w:pPr>
            <w:r>
              <w:rPr>
                <w:rFonts w:ascii="Arial" w:hAnsi="Arial" w:eastAsia="Arial" w:cs="Arial"/>
                <w:color w:val="000000" w:themeColor="text1"/>
                <w:sz w:val="21"/>
              </w:rPr>
              <w:t xml:space="preserve">Fine-tuned ResNet50 leads macro-F1 and QWK; zero-shot VLM underperforms severe-class reliability</w:t>
            </w:r>
            <w:r>
              <w:rPr>
                <w:color w:val="000000" w:themeColor="text1"/>
              </w:rPr>
            </w:r>
          </w:p>
        </w:tc>
        <w:tc>
          <w:tcPr>
            <w:tcBorders/>
            <w:tcW w:w="2880" w:type="dxa"/>
            <w:textDirection w:val="lrTb"/>
            <w:noWrap w:val="false"/>
          </w:tcPr>
          <w:p w14:paraId="7A08B005">
            <w:pPr>
              <w:pBdr/>
              <w:spacing w:after="0" w:before="0" w:line="240"/>
              <w:ind/>
              <w:rPr>
                <w:color w:val="000000" w:themeColor="text1"/>
              </w:rPr>
            </w:pPr>
            <w:r>
              <w:rPr>
                <w:rFonts w:ascii="Arial" w:hAnsi="Arial" w:eastAsia="Arial" w:cs="Arial"/>
                <w:color w:val="000000" w:themeColor="text1"/>
                <w:sz w:val="21"/>
              </w:rPr>
              <w:t xml:space="preserve">UC severity tasks favor domain-tuned supervised pipelines with ordinal-aware evaluation</w:t>
            </w:r>
            <w:r>
              <w:rPr>
                <w:color w:val="000000" w:themeColor="text1"/>
              </w:rPr>
            </w:r>
          </w:p>
        </w:tc>
      </w:tr>
    </w:tbl>
    <w:p w14:paraId="7E82BEBE">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tab/>
      </w:r>
      <w:r>
        <w:rPr>
          <w:rFonts w:ascii="Arial" w:hAnsi="Arial" w:eastAsia="Arial" w:cs="Arial"/>
          <w:b w:val="0"/>
          <w:bCs w:val="0"/>
          <w:i w:val="0"/>
          <w:caps w:val="0"/>
          <w:smallCaps w:val="0"/>
          <w:color w:val="000000" w:themeColor="text1" w:themeTint="FF" w:themeShade="FF"/>
          <w:sz w:val="22"/>
          <w:szCs w:val="22"/>
        </w:rPr>
        <w:t xml:space="preserve">Table 2.9. Repository Evidence Snapshot and Method Implications</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851EB46">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2.9.2 Interpretation</w:t>
      </w:r>
      <w:r/>
    </w:p>
    <w:p w14:paraId="1ECA3693">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local results align with broader literature:</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7CB992DC">
      <w:pPr>
        <w:pStyle w:val="774"/>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constrained/fine-tuned pipelines are still the reliability baseline in GI tasks;</w:t>
      </w:r>
      <w:r/>
    </w:p>
    <w:p w14:paraId="4EF1847C">
      <w:pPr>
        <w:pStyle w:val="774"/>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generative models provide flexibility but require strict controls;</w:t>
      </w:r>
      <w:r/>
    </w:p>
    <w:p w14:paraId="26F1D129">
      <w:pPr>
        <w:pStyle w:val="774"/>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evaluation must emphasize classwise and severity-aware behavior, not only aggregate scores.</w:t>
      </w:r>
      <w:r/>
    </w:p>
    <w:p w14:paraId="2F6E378E">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2.10 Key Gaps and Open Problems</w:t>
      </w:r>
      <w:r/>
    </w:p>
    <w:p w14:paraId="165A343F">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2.10.1 Data and Annotation Gaps</w:t>
      </w:r>
      <w:r/>
    </w:p>
    <w:p w14:paraId="736F5294">
      <w:pPr>
        <w:pStyle w:val="774"/>
        <w:numPr>
          <w:ilvl w:val="0"/>
          <w:numId w:val="34"/>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Severe-class and rare-finding imbalance remains substantial.</w:t>
      </w:r>
      <w:r/>
    </w:p>
    <w:p w14:paraId="007DEECA">
      <w:pPr>
        <w:pStyle w:val="774"/>
        <w:numPr>
          <w:ilvl w:val="0"/>
          <w:numId w:val="34"/>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Cross-center, cross-device robustness evidence is still limited for GI VQA.</w:t>
      </w:r>
      <w:r/>
    </w:p>
    <w:p w14:paraId="359BBA8D">
      <w:pPr>
        <w:pStyle w:val="774"/>
        <w:numPr>
          <w:ilvl w:val="0"/>
          <w:numId w:val="34"/>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Multi-image/video QA is growing but still comparatively immature.</w:t>
      </w:r>
      <w:r/>
    </w:p>
    <w:p w14:paraId="275BD225">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2.10.2 Model and Grounding Gaps</w:t>
      </w:r>
      <w:r/>
    </w:p>
    <w:p w14:paraId="02D2C820">
      <w:pPr>
        <w:pStyle w:val="774"/>
        <w:numPr>
          <w:ilvl w:val="0"/>
          <w:numId w:val="35"/>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Open-ended outputs often outpace grounding reliability.</w:t>
      </w:r>
      <w:r/>
    </w:p>
    <w:p w14:paraId="5462D4E3">
      <w:pPr>
        <w:pStyle w:val="774"/>
        <w:numPr>
          <w:ilvl w:val="0"/>
          <w:numId w:val="35"/>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General-domain zero-shot transfer remains unstable for specialized GI semantics.</w:t>
      </w:r>
      <w:r/>
    </w:p>
    <w:p w14:paraId="604F3B6D">
      <w:pPr>
        <w:pStyle w:val="774"/>
        <w:numPr>
          <w:ilvl w:val="0"/>
          <w:numId w:val="35"/>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Explainability outputs are not yet standardized across benchmarks.</w:t>
      </w:r>
      <w:r/>
    </w:p>
    <w:p w14:paraId="2E4EAA34">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2.10.3 Evaluation and Reproducibility Gaps</w:t>
      </w:r>
      <w:r/>
    </w:p>
    <w:p w14:paraId="21F7ACDF">
      <w:pPr>
        <w:pStyle w:val="774"/>
        <w:numPr>
          <w:ilvl w:val="0"/>
          <w:numId w:val="3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Metric heterogeneity hinders fair cross-study comparison.</w:t>
      </w:r>
      <w:r/>
    </w:p>
    <w:p w14:paraId="3F8EFE60">
      <w:pPr>
        <w:pStyle w:val="774"/>
        <w:numPr>
          <w:ilvl w:val="0"/>
          <w:numId w:val="3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Many studies still lack calibration and statistical confidence reporting.</w:t>
      </w:r>
      <w:r/>
    </w:p>
    <w:p w14:paraId="4ACECCA9">
      <w:pPr>
        <w:pStyle w:val="774"/>
        <w:numPr>
          <w:ilvl w:val="0"/>
          <w:numId w:val="3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Clinical utility is often inferred indirectly from generic NLP overlap metrics.</w:t>
      </w:r>
      <w:r/>
    </w:p>
    <w:p w14:paraId="49E9E979">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2.10.4 Translational Gaps</w:t>
      </w:r>
      <w:r/>
    </w:p>
    <w:p w14:paraId="056EF50C">
      <w:pPr>
        <w:pStyle w:val="774"/>
        <w:numPr>
          <w:ilvl w:val="0"/>
          <w:numId w:val="37"/>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Few studies evaluate full clinician-in-the-loop workflows.</w:t>
      </w:r>
      <w:r/>
    </w:p>
    <w:p w14:paraId="58C61128">
      <w:pPr>
        <w:pStyle w:val="774"/>
        <w:numPr>
          <w:ilvl w:val="0"/>
          <w:numId w:val="37"/>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Escalation policies for uncertain/high-risk outputs are seldom formalized.</w:t>
      </w:r>
      <w:r/>
    </w:p>
    <w:p w14:paraId="45C18330">
      <w:pPr>
        <w:pStyle w:val="774"/>
        <w:numPr>
          <w:ilvl w:val="0"/>
          <w:numId w:val="37"/>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Evidence-aware QA in GI remains promising but early-stage.</w:t>
      </w:r>
      <w:r/>
    </w:p>
    <w:p w14:paraId="422A64BE">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2.10.5 Threats to Validity (for This Survey and Downstream Design)</w:t>
      </w:r>
      <w:r/>
    </w:p>
    <w:p w14:paraId="72CE43EA">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The main validity threats relevant to this chapter are: (1) dataset shift across devices/centers and acquisition protocols, (2) annotation variability in endoscopic severity labels, (3) question ambiguity and answer-space normalization effects in generative</w:t>
      </w:r>
      <w:r>
        <w:rPr>
          <w:rFonts w:ascii="Arial" w:hAnsi="Arial" w:eastAsia="Arial" w:cs="Arial"/>
          <w:b w:val="0"/>
          <w:bCs w:val="0"/>
          <w:i w:val="0"/>
          <w:caps w:val="0"/>
          <w:smallCaps w:val="0"/>
          <w:color w:val="000000" w:themeColor="text1" w:themeTint="FF" w:themeShade="FF"/>
          <w:sz w:val="22"/>
          <w:szCs w:val="22"/>
        </w:rPr>
        <w:t xml:space="preserve"> settings, and (4) metric mismatch, where linguistic overlap does not guarantee clinical correctness. These threats are explicitly carried into the empirical design in later chapters through split-aware evaluation, classwise analysis, and scenario-level acc</w:t>
      </w:r>
      <w:r>
        <w:rPr>
          <w:rFonts w:ascii="Arial" w:hAnsi="Arial" w:eastAsia="Arial" w:cs="Arial"/>
          <w:b w:val="0"/>
          <w:bCs w:val="0"/>
          <w:i w:val="0"/>
          <w:caps w:val="0"/>
          <w:smallCaps w:val="0"/>
          <w:color w:val="000000" w:themeColor="text1" w:themeTint="FF" w:themeShade="FF"/>
          <w:sz w:val="22"/>
          <w:szCs w:val="22"/>
        </w:rPr>
        <w:t xml:space="preserve">eptance checks.</w:t>
      </w:r>
      <w:r>
        <w:rPr>
          <w:rFonts w:ascii="Arial" w:hAnsi="Arial" w:eastAsia="Arial" w:cs="Arial"/>
          <w:b w:val="0"/>
          <w:bCs w:val="0"/>
          <w:i w:val="0"/>
          <w:caps w:val="0"/>
          <w:smallCaps w:val="0"/>
          <w:color w:val="000000" w:themeColor="text1" w:themeTint="FF" w:themeShade="FF"/>
          <w:sz w:val="22"/>
          <w:szCs w:val="22"/>
        </w:rPr>
      </w:r>
    </w:p>
    <w:p w14:paraId="16D49ED8">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831"/>
        <w:tblW w:w="0" w:type="auto"/>
        <w:tblBorders/>
        <w:tblLayout w:type="fixed"/>
        <w:tblLook w:val="04A0" w:firstRow="1" w:lastRow="0" w:firstColumn="1" w:lastColumn="0" w:noHBand="0" w:noVBand="1"/>
      </w:tblPr>
      <w:tblGrid>
        <w:gridCol w:w="2880"/>
        <w:gridCol w:w="5383"/>
      </w:tblGrid>
      <w:tr>
        <w:trPr/>
        <w:tc>
          <w:tcPr>
            <w:tcBorders/>
            <w:tcW w:w="2880" w:type="dxa"/>
            <w:textDirection w:val="lrTb"/>
            <w:noWrap w:val="false"/>
          </w:tcPr>
          <w:p w14:paraId="69C80FCB">
            <w:pPr>
              <w:pBdr/>
              <w:spacing w:after="0" w:before="0" w:line="240"/>
              <w:ind/>
              <w:rPr>
                <w:color w:val="000000" w:themeColor="text1"/>
              </w:rPr>
            </w:pPr>
            <w:r>
              <w:rPr>
                <w:rFonts w:ascii="Arial" w:hAnsi="Arial" w:eastAsia="Arial" w:cs="Arial"/>
                <w:b/>
                <w:color w:val="000000" w:themeColor="text1"/>
                <w:sz w:val="21"/>
              </w:rPr>
              <w:t xml:space="preserve">Observed gap</w:t>
            </w:r>
            <w:r>
              <w:rPr>
                <w:color w:val="000000" w:themeColor="text1"/>
              </w:rPr>
            </w:r>
          </w:p>
        </w:tc>
        <w:tc>
          <w:tcPr>
            <w:tcBorders/>
            <w:tcW w:w="5383" w:type="dxa"/>
            <w:textDirection w:val="lrTb"/>
            <w:noWrap w:val="false"/>
          </w:tcPr>
          <w:p w14:paraId="28A62CF4">
            <w:pPr>
              <w:pBdr/>
              <w:spacing w:after="0" w:before="0" w:line="240"/>
              <w:ind/>
              <w:rPr>
                <w:color w:val="000000" w:themeColor="text1"/>
              </w:rPr>
            </w:pPr>
            <w:r>
              <w:rPr>
                <w:rFonts w:ascii="Arial" w:hAnsi="Arial" w:eastAsia="Arial" w:cs="Arial"/>
                <w:b/>
                <w:color w:val="000000" w:themeColor="text1"/>
                <w:sz w:val="21"/>
              </w:rPr>
              <w:t xml:space="preserve">Mitigation in this dissertation</w:t>
            </w:r>
            <w:r>
              <w:rPr>
                <w:color w:val="000000" w:themeColor="text1"/>
              </w:rPr>
            </w:r>
          </w:p>
        </w:tc>
      </w:tr>
      <w:tr>
        <w:trPr/>
        <w:tc>
          <w:tcPr>
            <w:tcBorders/>
            <w:tcW w:w="2880" w:type="dxa"/>
            <w:textDirection w:val="lrTb"/>
            <w:noWrap w:val="false"/>
          </w:tcPr>
          <w:p w14:paraId="268E40AF">
            <w:pPr>
              <w:pBdr/>
              <w:spacing w:after="0" w:before="0" w:line="240"/>
              <w:ind/>
              <w:rPr>
                <w:color w:val="000000" w:themeColor="text1"/>
              </w:rPr>
            </w:pPr>
            <w:r>
              <w:rPr>
                <w:rFonts w:ascii="Arial" w:hAnsi="Arial" w:eastAsia="Arial" w:cs="Arial"/>
                <w:color w:val="000000" w:themeColor="text1"/>
                <w:sz w:val="21"/>
              </w:rPr>
              <w:t xml:space="preserve">Long-tail severe-class weakness</w:t>
            </w:r>
            <w:r>
              <w:rPr>
                <w:color w:val="000000" w:themeColor="text1"/>
              </w:rPr>
            </w:r>
          </w:p>
        </w:tc>
        <w:tc>
          <w:tcPr>
            <w:tcBorders/>
            <w:tcW w:w="5383" w:type="dxa"/>
            <w:textDirection w:val="lrTb"/>
            <w:noWrap w:val="false"/>
          </w:tcPr>
          <w:p w14:paraId="638AB2E8">
            <w:pPr>
              <w:pBdr/>
              <w:spacing w:after="0" w:before="0" w:line="240"/>
              <w:ind/>
              <w:rPr>
                <w:color w:val="000000" w:themeColor="text1"/>
              </w:rPr>
            </w:pPr>
            <w:r>
              <w:rPr>
                <w:rFonts w:ascii="Arial" w:hAnsi="Arial" w:eastAsia="Arial" w:cs="Arial"/>
                <w:color w:val="000000" w:themeColor="text1"/>
                <w:sz w:val="21"/>
              </w:rPr>
              <w:t xml:space="preserve">Class-aware and severity-aware evaluation slices (Chapter 3, Chapter 4)</w:t>
            </w:r>
            <w:r>
              <w:rPr>
                <w:color w:val="000000" w:themeColor="text1"/>
              </w:rPr>
            </w:r>
          </w:p>
        </w:tc>
      </w:tr>
      <w:tr>
        <w:trPr/>
        <w:tc>
          <w:tcPr>
            <w:tcBorders/>
            <w:tcW w:w="2880" w:type="dxa"/>
            <w:textDirection w:val="lrTb"/>
            <w:noWrap w:val="false"/>
          </w:tcPr>
          <w:p w14:paraId="55988CCD">
            <w:pPr>
              <w:pBdr/>
              <w:spacing w:after="0" w:before="0" w:line="240"/>
              <w:ind/>
              <w:rPr>
                <w:color w:val="000000" w:themeColor="text1"/>
              </w:rPr>
            </w:pPr>
            <w:r>
              <w:rPr>
                <w:rFonts w:ascii="Arial" w:hAnsi="Arial" w:eastAsia="Arial" w:cs="Arial"/>
                <w:color w:val="000000" w:themeColor="text1"/>
                <w:sz w:val="21"/>
              </w:rPr>
              <w:t xml:space="preserve">Zero-shot instability in GI</w:t>
            </w:r>
            <w:r>
              <w:rPr>
                <w:color w:val="000000" w:themeColor="text1"/>
              </w:rPr>
            </w:r>
          </w:p>
        </w:tc>
        <w:tc>
          <w:tcPr>
            <w:tcBorders/>
            <w:tcW w:w="5383" w:type="dxa"/>
            <w:textDirection w:val="lrTb"/>
            <w:noWrap w:val="false"/>
          </w:tcPr>
          <w:p w14:paraId="70F9ABCB">
            <w:pPr>
              <w:pBdr/>
              <w:spacing w:after="0" w:before="0" w:line="240"/>
              <w:ind/>
              <w:rPr>
                <w:color w:val="000000" w:themeColor="text1"/>
              </w:rPr>
            </w:pPr>
            <w:r>
              <w:rPr>
                <w:rFonts w:ascii="Arial" w:hAnsi="Arial" w:eastAsia="Arial" w:cs="Arial"/>
                <w:color w:val="000000" w:themeColor="text1"/>
                <w:sz w:val="21"/>
              </w:rPr>
              <w:t xml:space="preserve">Strong supervised and constrained baselines before open generation extensions</w:t>
            </w:r>
            <w:r>
              <w:rPr>
                <w:color w:val="000000" w:themeColor="text1"/>
              </w:rPr>
            </w:r>
          </w:p>
        </w:tc>
      </w:tr>
      <w:tr>
        <w:trPr/>
        <w:tc>
          <w:tcPr>
            <w:tcBorders/>
            <w:tcW w:w="2880" w:type="dxa"/>
            <w:textDirection w:val="lrTb"/>
            <w:noWrap w:val="false"/>
          </w:tcPr>
          <w:p w14:paraId="5A4ACED5">
            <w:pPr>
              <w:pBdr/>
              <w:spacing w:after="0" w:before="0" w:line="240"/>
              <w:ind/>
              <w:rPr>
                <w:color w:val="000000" w:themeColor="text1"/>
              </w:rPr>
            </w:pPr>
            <w:r>
              <w:rPr>
                <w:rFonts w:ascii="Arial" w:hAnsi="Arial" w:eastAsia="Arial" w:cs="Arial"/>
                <w:color w:val="000000" w:themeColor="text1"/>
                <w:sz w:val="21"/>
              </w:rPr>
              <w:t xml:space="preserve">Metric mismatch with clinical risk</w:t>
            </w:r>
            <w:r>
              <w:rPr>
                <w:color w:val="000000" w:themeColor="text1"/>
              </w:rPr>
            </w:r>
          </w:p>
        </w:tc>
        <w:tc>
          <w:tcPr>
            <w:tcBorders/>
            <w:tcW w:w="5383" w:type="dxa"/>
            <w:textDirection w:val="lrTb"/>
            <w:noWrap w:val="false"/>
          </w:tcPr>
          <w:p w14:paraId="57B83473">
            <w:pPr>
              <w:pBdr/>
              <w:spacing w:after="0" w:before="0" w:line="240"/>
              <w:ind/>
              <w:rPr>
                <w:color w:val="000000" w:themeColor="text1"/>
              </w:rPr>
            </w:pPr>
            <w:r>
              <w:rPr>
                <w:rFonts w:ascii="Arial" w:hAnsi="Arial" w:eastAsia="Arial" w:cs="Arial"/>
                <w:color w:val="000000" w:themeColor="text1"/>
                <w:sz w:val="21"/>
              </w:rPr>
              <w:t xml:space="preserve">Multi-layer evaluation protocol with ordinal and imbalance-aware metrics</w:t>
            </w:r>
            <w:r>
              <w:rPr>
                <w:color w:val="000000" w:themeColor="text1"/>
              </w:rPr>
            </w:r>
          </w:p>
        </w:tc>
      </w:tr>
      <w:tr>
        <w:trPr/>
        <w:tc>
          <w:tcPr>
            <w:tcBorders/>
            <w:tcW w:w="2880" w:type="dxa"/>
            <w:textDirection w:val="lrTb"/>
            <w:noWrap w:val="false"/>
          </w:tcPr>
          <w:p w14:paraId="510211C7">
            <w:pPr>
              <w:pBdr/>
              <w:spacing w:after="0" w:before="0" w:line="240"/>
              <w:ind/>
              <w:rPr>
                <w:color w:val="000000" w:themeColor="text1"/>
              </w:rPr>
            </w:pPr>
            <w:r>
              <w:rPr>
                <w:rFonts w:ascii="Arial" w:hAnsi="Arial" w:eastAsia="Arial" w:cs="Arial"/>
                <w:color w:val="000000" w:themeColor="text1"/>
                <w:sz w:val="21"/>
              </w:rPr>
              <w:t xml:space="preserve">Explainability without standard criteria</w:t>
            </w:r>
            <w:r>
              <w:rPr>
                <w:color w:val="000000" w:themeColor="text1"/>
              </w:rPr>
            </w:r>
          </w:p>
        </w:tc>
        <w:tc>
          <w:tcPr>
            <w:tcBorders/>
            <w:tcW w:w="5383" w:type="dxa"/>
            <w:textDirection w:val="lrTb"/>
            <w:noWrap w:val="false"/>
          </w:tcPr>
          <w:p w14:paraId="36E19839">
            <w:pPr>
              <w:pBdr/>
              <w:spacing w:after="0" w:before="0" w:line="240"/>
              <w:ind/>
              <w:rPr>
                <w:color w:val="000000" w:themeColor="text1"/>
              </w:rPr>
            </w:pPr>
            <w:r>
              <w:rPr>
                <w:rFonts w:ascii="Arial" w:hAnsi="Arial" w:eastAsia="Arial" w:cs="Arial"/>
                <w:color w:val="000000" w:themeColor="text1"/>
                <w:sz w:val="21"/>
              </w:rPr>
              <w:t xml:space="preserve">Scenario-specific explanation requirements and clinician-oriented quality checks</w:t>
            </w:r>
            <w:r>
              <w:rPr>
                <w:color w:val="000000" w:themeColor="text1"/>
              </w:rPr>
            </w:r>
          </w:p>
        </w:tc>
      </w:tr>
      <w:tr>
        <w:trPr/>
        <w:tc>
          <w:tcPr>
            <w:tcBorders/>
            <w:tcW w:w="2880" w:type="dxa"/>
            <w:textDirection w:val="lrTb"/>
            <w:noWrap w:val="false"/>
          </w:tcPr>
          <w:p w14:paraId="50C1AF2A">
            <w:pPr>
              <w:pBdr/>
              <w:spacing w:after="0" w:before="0" w:line="240"/>
              <w:ind/>
              <w:rPr>
                <w:color w:val="000000" w:themeColor="text1"/>
              </w:rPr>
            </w:pPr>
            <w:r>
              <w:rPr>
                <w:rFonts w:ascii="Arial" w:hAnsi="Arial" w:eastAsia="Arial" w:cs="Arial"/>
                <w:color w:val="000000" w:themeColor="text1"/>
                <w:sz w:val="21"/>
              </w:rPr>
              <w:t xml:space="preserve">Weak evidence linkage</w:t>
            </w:r>
            <w:r>
              <w:rPr>
                <w:color w:val="000000" w:themeColor="text1"/>
              </w:rPr>
            </w:r>
          </w:p>
        </w:tc>
        <w:tc>
          <w:tcPr>
            <w:tcBorders/>
            <w:tcW w:w="5383" w:type="dxa"/>
            <w:textDirection w:val="lrTb"/>
            <w:noWrap w:val="false"/>
          </w:tcPr>
          <w:p w14:paraId="20A17AA6">
            <w:pPr>
              <w:pBdr/>
              <w:spacing w:after="0" w:before="0" w:line="240"/>
              <w:ind/>
              <w:rPr>
                <w:color w:val="000000" w:themeColor="text1"/>
              </w:rPr>
            </w:pPr>
            <w:r>
              <w:rPr>
                <w:rFonts w:ascii="Arial" w:hAnsi="Arial" w:eastAsia="Arial" w:cs="Arial"/>
                <w:color w:val="000000" w:themeColor="text1"/>
                <w:sz w:val="21"/>
              </w:rPr>
              <w:t xml:space="preserve">Conditional retrieval-augmented extension with guardrails</w:t>
            </w:r>
            <w:r>
              <w:rPr>
                <w:color w:val="000000" w:themeColor="text1"/>
              </w:rPr>
            </w:r>
          </w:p>
        </w:tc>
      </w:tr>
    </w:tbl>
    <w:p w14:paraId="6DFFAD4F">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tab/>
        <w:tab/>
        <w:tab/>
      </w:r>
      <w:r>
        <w:rPr>
          <w:rFonts w:ascii="Arial" w:hAnsi="Arial" w:eastAsia="Arial" w:cs="Arial"/>
          <w:b w:val="0"/>
          <w:bCs w:val="0"/>
          <w:i w:val="0"/>
          <w:caps w:val="0"/>
          <w:smallCaps w:val="0"/>
          <w:color w:val="000000" w:themeColor="text1" w:themeTint="FF" w:themeShade="FF"/>
          <w:sz w:val="22"/>
          <w:szCs w:val="22"/>
          <w:highlight w:val="none"/>
        </w:rPr>
        <w:t xml:space="preserve">Table 2.10. Gap-to-Thesis Mitigation Map</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6629893D">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Figure 2.5: Gap-to-chapter mapping used by this dissertation.</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16BF7DF1">
      <w:pPr>
        <w:pStyle w:val="774"/>
        <w:numPr>
          <w:ilvl w:val="0"/>
          <w:numId w:val="38"/>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GI benchmark and reliability gaps -&gt; Chapter 3 (existing model investigation)</w:t>
      </w:r>
      <w:r/>
    </w:p>
    <w:p w14:paraId="2A67F369">
      <w:pPr>
        <w:pStyle w:val="774"/>
        <w:numPr>
          <w:ilvl w:val="0"/>
          <w:numId w:val="38"/>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UC severity robustness and ordinal-risk gaps -&gt; Chapter 4 (pipeline development and severity-focused modeling)</w:t>
      </w:r>
      <w:r/>
    </w:p>
    <w:p w14:paraId="24D65330">
      <w:pPr>
        <w:pStyle w:val="774"/>
        <w:numPr>
          <w:ilvl w:val="0"/>
          <w:numId w:val="38"/>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Evidence linkage and PICO-grounding gaps -&gt; Chapter 5 (evidence-aware use-case instantiation)</w:t>
      </w:r>
      <w:r/>
    </w:p>
    <w:p w14:paraId="2089685C">
      <w:pPr>
        <w:pStyle w:val="774"/>
        <w:numPr>
          <w:ilvl w:val="0"/>
          <w:numId w:val="38"/>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Integrated findings and translational implications -&gt; Chapter 6 and Chapter 7</w:t>
      </w:r>
      <w:r/>
      <w:r>
        <w:rPr>
          <w:rFonts w:ascii="Arial" w:hAnsi="Arial" w:eastAsia="Arial" w:cs="Arial"/>
          <w:b w:val="0"/>
          <w:bCs w:val="0"/>
          <w:i w:val="0"/>
          <w:caps w:val="0"/>
          <w:smallCaps w:val="0"/>
          <w:color w:val="000000" w:themeColor="text1" w:themeTint="FF" w:themeShade="FF"/>
          <w:sz w:val="22"/>
          <w:szCs w:val="22"/>
        </w:rPr>
      </w:r>
    </w:p>
    <w:p w14:paraId="68F87AB6">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2.11 Chapter Summary and Transition</w:t>
      </w:r>
      <w:r/>
    </w:p>
    <w:p w14:paraId="7BB0A700">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chapter surveyed MedVQA techniques with a colonoscopy-oriented lens and synthesized evidence from both external literature and local repository artifacts.</w:t>
      </w:r>
      <w:r/>
      <w:r>
        <w:rPr>
          <w:rFonts w:ascii="Arial" w:hAnsi="Arial" w:eastAsia="Arial" w:cs="Arial"/>
          <w:b w:val="0"/>
          <w:bCs w:val="0"/>
          <w:i w:val="0"/>
          <w:caps w:val="0"/>
          <w:smallCaps w:val="0"/>
          <w:color w:val="000000" w:themeColor="text1" w:themeTint="FF" w:themeShade="FF"/>
          <w:sz w:val="22"/>
          <w:szCs w:val="22"/>
          <w:lang w:val="en-US"/>
        </w:rPr>
      </w:r>
      <w:r/>
      <w:r>
        <w:rPr>
          <w:rFonts w:ascii="Arial" w:hAnsi="Arial" w:eastAsia="Arial" w:cs="Arial"/>
          <w:b w:val="0"/>
          <w:bCs w:val="0"/>
          <w:i w:val="0"/>
          <w:caps w:val="0"/>
          <w:smallCaps w:val="0"/>
          <w:color w:val="000000" w:themeColor="text1" w:themeTint="FF" w:themeShade="FF"/>
          <w:sz w:val="22"/>
          <w:szCs w:val="22"/>
        </w:rPr>
      </w:r>
    </w:p>
    <w:p w14:paraId="03930055">
      <w:pPr>
        <w:pStyle w:val="774"/>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main conclusions are:</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p>
    <w:p w14:paraId="56228F2C">
      <w:pPr>
        <w:pStyle w:val="774"/>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MedVQA has moved from fixed-label discriminative models toward generative and explainability-aware multimodal systems.</w:t>
      </w:r>
      <w:r/>
    </w:p>
    <w:p w14:paraId="0E005737">
      <w:pPr>
        <w:pStyle w:val="774"/>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GI benchmark resources have matured rapidly from 2023 onward, enabling more realistic evaluation.</w:t>
      </w:r>
      <w:r/>
    </w:p>
    <w:p w14:paraId="5B80C107">
      <w:pPr>
        <w:pStyle w:val="774"/>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For high-risk colonoscopy scenarios, constrained and domain-tuned methods currently provide the most reliable core behavior.</w:t>
      </w:r>
      <w:r/>
    </w:p>
    <w:p w14:paraId="0F73E8B5">
      <w:pPr>
        <w:pStyle w:val="774"/>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Generative and retrieval-enhanced methods are valuable extensions, but only when anchored by robust visual grounding and strict evaluation controls.</w:t>
      </w:r>
      <w:r/>
    </w:p>
    <w:p w14:paraId="0AA0E5BC">
      <w:pPr>
        <w:pStyle w:val="774"/>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Scenario-driven, clinically aligned evaluation is essential for translational relevance.</w:t>
      </w:r>
      <w:r/>
    </w:p>
    <w:p w14:paraId="2B2A2702">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 xml:space="preserve">These conclusions motivate Chapter 3, which shifts from literature synthesis to empirical investigation of existing model families using the datasets and persisted outputs available in this repository.</w:t>
      </w:r>
      <w:r/>
      <w:r>
        <w:rPr>
          <w:rFonts w:ascii="Arial" w:hAnsi="Arial" w:eastAsia="Arial" w:cs="Arial"/>
          <w:b w:val="0"/>
          <w:bCs w:val="0"/>
          <w:i w:val="0"/>
          <w:caps w:val="0"/>
          <w:smallCaps w:val="0"/>
          <w:color w:val="000000" w:themeColor="text1" w:themeTint="FF" w:themeShade="FF"/>
          <w:sz w:val="22"/>
          <w:szCs w:val="22"/>
        </w:rPr>
      </w: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0410D68">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349C28EF">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E596078">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42E945D0">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F519A07">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5FDAC90">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9B7DF26">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0DF1259">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407A0472">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3D7AEE6">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93C9615">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D3B3A8F">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026B508">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099A05B">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A9603F4">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99F56C7">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638B58A">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EBE9D82">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79F432F">
      <w:pPr>
        <w:pStyle w:val="774"/>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iCs w:val="0"/>
          <w:caps w:val="0"/>
          <w:smallCaps w:val="0"/>
          <w:color w:val="000000" w:themeColor="text1" w:themeTint="FF" w:themeShade="FF"/>
          <w:sz w:val="22"/>
          <w:szCs w:val="22"/>
          <w:highlight w:val="none"/>
          <w:lang w:val="en-CA"/>
        </w:rPr>
      </w:r>
    </w:p>
    <w:p w14:paraId="76EE41FF" w14:textId="531B8834">
      <w:pPr>
        <w:pStyle w:val="761"/>
        <w:suppressLineNumbers w:val="false"/>
        <w:pBdr/>
        <w:spacing w:line="300" w:lineRule="auto"/>
        <w:ind/>
        <w:rPr/>
      </w:pPr>
      <w:r>
        <w:br/>
      </w:r>
      <w:r>
        <w:br/>
      </w:r>
      <w:r>
        <w:t xml:space="preserve">Methodology</w:t>
      </w:r>
      <w:r/>
    </w:p>
    <w:p w14:paraId="4BD0CAC8" w14:textId="6F4B7348">
      <w:pPr>
        <w:pStyle w:val="774"/>
        <w:suppressLineNumbers w:val="false"/>
        <w:pBdr/>
        <w:spacing w:line="300" w:lineRule="auto"/>
        <w:ind/>
        <w:rPr/>
      </w:pPr>
      <w:r>
        <w:rPr>
          <w:lang w:val="en-CA"/>
        </w:rPr>
        <w:t xml:space="preserve">This chapter transitio</w:t>
      </w:r>
      <w:r>
        <w:rPr>
          <w:lang w:val="en-CA"/>
        </w:rPr>
        <w:t xml:space="preserve">ns from the rule-based systems critiqued in Chapter 2 to a formal, learning-based paradigm for medical Visual Question Answering (VQA) in colonoscopy. It first establishes a conceptual framework for translating clinical queries into machine-interpretable t</w:t>
      </w:r>
      <w:r>
        <w:rPr>
          <w:lang w:val="en-CA"/>
        </w:rPr>
        <w:t xml:space="preserve">asks, providing a structured methodology for the prompt-to-answer process. Subsequently, it presents a rigorous, head-to-head benchmark of representative VQA architectures—from classic CNN-RNN fusion models to modern transformer-based approaches—on foundat</w:t>
      </w:r>
      <w:r>
        <w:rPr>
          <w:lang w:val="en-CA"/>
        </w:rPr>
        <w:t xml:space="preserve">ional, closed-set tasks using the Kvasir-VQA dataset. This empirical study serves to ground the conceptual framework in quantitative evidence, revealing the distinct strengths and weaknesses of each model family on tasks of varying complexity. While this q</w:t>
      </w:r>
      <w:r>
        <w:rPr>
          <w:lang w:val="en-CA"/>
        </w:rPr>
        <w:t xml:space="preserve">uantitative analysis provides a valuable baseline, a subsequent qualitative, scenario-based analysis exposes the critical limitations of relying on aggregate statistics alone. These scenarios highlight specific failure modes that underscore the insufficien</w:t>
      </w:r>
      <w:r>
        <w:rPr>
          <w:lang w:val="en-CA"/>
        </w:rPr>
        <w:t xml:space="preserve">cy of current benchmarks for evaluating true clinical reasoning and robustness. The chapter concludes by synthesizing these findings, arguing that the observed limitations are not merely technical but are symptomatic of a paradigm that lacks grounding in e</w:t>
      </w:r>
      <w:r>
        <w:rPr>
          <w:lang w:val="en-CA"/>
        </w:rPr>
        <w:t xml:space="preserve">xternal medical knowledge. This critique establishes a clear and compelling imperative for a shift towards evidence-based VQA, thereby motivating the development of the advanced, generative, and knowledge-grounded system that will be detailed in Chapter 4.</w:t>
      </w:r>
      <w:r/>
    </w:p>
    <w:p w14:paraId="7B97A836" w14:textId="04E4CE46">
      <w:pPr>
        <w:pStyle w:val="774"/>
        <w:suppressLineNumbers w:val="false"/>
        <w:pBdr/>
        <w:spacing w:line="300" w:lineRule="auto"/>
        <w:ind w:firstLine="0"/>
        <w:rPr>
          <w:b/>
          <w:bCs/>
        </w:rPr>
      </w:pPr>
      <w:r>
        <w:rPr>
          <w:b/>
          <w:bCs/>
        </w:rPr>
        <w:t xml:space="preserve">3.1 A Conceptual Framework for Clinician-Centric VQA</w:t>
      </w:r>
      <w:r>
        <w:rPr>
          <w:b/>
          <w:bCs/>
        </w:rPr>
      </w:r>
    </w:p>
    <w:p w14:paraId="36BBE9D6" w14:textId="01DF55F6">
      <w:pPr>
        <w:pStyle w:val="774"/>
        <w:suppressLineNumbers w:val="false"/>
        <w:pBdr/>
        <w:spacing w:line="300" w:lineRule="auto"/>
        <w:ind/>
        <w:rPr/>
      </w:pPr>
      <w:r>
        <w:t xml:space="preserve">The analysis in the preceding chapter concluded that heuri</w:t>
      </w:r>
      <w:r>
        <w:t xml:space="preserve">stic, rule-based systems, while transparent, are fundamentally too brittle and inflexible to handle the complexity and nuance of endoscopic image interpretation. Their failure to manage ambiguity, image artifacts, and atypical disease presentations necessi</w:t>
      </w:r>
      <w:r>
        <w:t xml:space="preserve">tates a paradigm shift towards data-driven, learning-based approaches that can discern complex patterns directly from visual evidence. However, the simple application of machine learning models is insufficient. Without a coherent conceptualization of the c</w:t>
      </w:r>
      <w:r>
        <w:t xml:space="preserve">linical task, such an approach risks becoming a series of disconnected experiments, or as critiqued by supervising faculty, merely "pushing lots of techniques" without a guiding methodology. To avoid this pitfall and to construct a system that is truly ali</w:t>
      </w:r>
      <w:r>
        <w:t xml:space="preserve">gned with clinical workflows, it is essential to first establish an "upper methodology"—a conceptual framework that formally describes the process of transforming a clinician's natural language query into a machine-generated, clinically relevant answer.   </w:t>
      </w:r>
      <w:r/>
    </w:p>
    <w:p w14:paraId="0E95396F" w14:textId="405193DD">
      <w:pPr>
        <w:pStyle w:val="774"/>
        <w:suppressLineNumbers w:val="false"/>
        <w:pBdr/>
        <w:spacing w:line="300" w:lineRule="auto"/>
        <w:ind/>
        <w:rPr/>
      </w:pPr>
      <w:r>
        <w:t xml:space="preserve"> </w:t>
      </w:r>
      <w:r/>
    </w:p>
    <w:p w14:paraId="1364C7DB" w14:textId="624EE68F">
      <w:pPr>
        <w:pStyle w:val="774"/>
        <w:suppressLineNumbers w:val="false"/>
        <w:pBdr/>
        <w:spacing w:line="300" w:lineRule="auto"/>
        <w:ind/>
        <w:rPr/>
      </w:pPr>
      <w:r>
        <w:t xml:space="preserve">This section proposes such a framework, deconstructing the VQA task into a multi-stage pipeline that mirrors the cognitive steps involved in clinical image interpretation and communication. This model </w:t>
      </w:r>
      <w:r>
        <w:t xml:space="preserve">serves as the intellectual scaffolding for the empirical investigations that follow, reframing the technical choices of model architecture and training strategy as deliberate instantiations of specific stages within a principled, clinician-centric process.</w:t>
      </w:r>
      <w:r/>
    </w:p>
    <w:p w14:paraId="272C7821" w14:textId="7A508448">
      <w:pPr>
        <w:pStyle w:val="774"/>
        <w:suppressLineNumbers w:val="false"/>
        <w:pBdr/>
        <w:spacing w:line="300" w:lineRule="auto"/>
        <w:ind/>
        <w:rPr/>
      </w:pPr>
      <w:r>
        <w:t xml:space="preserve"> </w:t>
      </w:r>
      <w:r/>
    </w:p>
    <w:p w14:paraId="0A2F7A3C" w14:textId="61922D0D">
      <w:pPr>
        <w:pStyle w:val="774"/>
        <w:suppressLineNumbers w:val="false"/>
        <w:pBdr/>
        <w:spacing w:line="300" w:lineRule="auto"/>
        <w:ind/>
        <w:rPr/>
      </w:pPr>
      <w:r>
        <w:t xml:space="preserve">The proposed prompt-to-answer pipeline consists of four distinct but interconnected stages:</w:t>
      </w:r>
      <w:r/>
    </w:p>
    <w:p w14:paraId="1E3D3C6F" w14:textId="79171F88">
      <w:pPr>
        <w:pStyle w:val="774"/>
        <w:suppressLineNumbers w:val="false"/>
        <w:pBdr/>
        <w:spacing w:line="300" w:lineRule="auto"/>
        <w:ind/>
        <w:rPr/>
      </w:pPr>
      <w:r>
        <w:t xml:space="preserve"> </w:t>
      </w:r>
      <w:r/>
    </w:p>
    <w:p w14:paraId="1536076A" w14:textId="420C09BF">
      <w:pPr>
        <w:pStyle w:val="774"/>
        <w:suppressLineNumbers w:val="false"/>
        <w:pBdr/>
        <w:spacing w:line="300" w:lineRule="auto"/>
        <w:ind/>
        <w:rPr/>
      </w:pPr>
      <w:r>
        <w:t xml:space="preserve">Stage 1: Prompt Deconstruction &amp; Intent Recognition</w:t>
      </w:r>
      <w:r/>
    </w:p>
    <w:p w14:paraId="75C8D2A6" w14:textId="32475431">
      <w:pPr>
        <w:pStyle w:val="774"/>
        <w:suppressLineNumbers w:val="false"/>
        <w:pBdr/>
        <w:spacing w:line="300" w:lineRule="auto"/>
        <w:ind/>
        <w:rPr/>
      </w:pPr>
      <w:r>
        <w:t xml:space="preserve">A clinician's query, such as "Is there active bleeding or ulceration present?" or "What type of polyp is this?", is more than a simple string of text; it is a request for </w:t>
      </w:r>
      <w:r>
        <w:t xml:space="preserve">a specific cognitive task to be performed on a visual stimulus. The first stage of the pipeline is therefore dedicated to deconstructing this natural language prompt to understand its underlying clinical intent. This process involves two key sub-tasks: ent</w:t>
      </w:r>
      <w:r>
        <w:t xml:space="preserve">ity recognition and task identification. The system must first identify the key clinical or anatomical entities mentioned (e.g., "bleeding," "ulceration," "polyp"). Subsequently, it must determine the nature of the requested task—is it a binary presence/ab</w:t>
      </w:r>
      <w:r>
        <w:t xml:space="preserve">sence check (a "yes/no" question), a multi-class classification ("what type"), a counting task ("how many"), or a request for localization ("where is"). This stage is fundamentally about linguistic comprehension in a specialized domain. The dissertation's </w:t>
      </w:r>
      <w:r>
        <w:t xml:space="preserve">proposed use of a biomedical language model like BioBERT for "question understanding" directly addresses the requirements of this stage, leveraging a model pre-trained on vast biomedical corpora to accurately interpret the semantics of clinical queries.   </w:t>
      </w:r>
      <w:r/>
    </w:p>
    <w:p w14:paraId="495333DD" w14:textId="527445FC">
      <w:pPr>
        <w:pStyle w:val="774"/>
        <w:suppressLineNumbers w:val="false"/>
        <w:pBdr/>
        <w:spacing w:line="300" w:lineRule="auto"/>
        <w:ind/>
        <w:rPr/>
      </w:pPr>
      <w:r>
        <w:t xml:space="preserve"> </w:t>
      </w:r>
      <w:r/>
    </w:p>
    <w:p w14:paraId="55E852FA" w14:textId="1B528765">
      <w:pPr>
        <w:pStyle w:val="774"/>
        <w:suppressLineNumbers w:val="false"/>
        <w:pBdr/>
        <w:spacing w:line="300" w:lineRule="auto"/>
        <w:ind/>
        <w:rPr/>
      </w:pPr>
      <w:r>
        <w:t xml:space="preserve">Stage 2: Visually-Grounded Feature Extraction</w:t>
      </w:r>
      <w:r/>
    </w:p>
    <w:p w14:paraId="32E0FF37" w14:textId="7774B382">
      <w:pPr>
        <w:pStyle w:val="774"/>
        <w:suppressLineNumbers w:val="false"/>
        <w:pBdr/>
        <w:spacing w:line="300" w:lineRule="auto"/>
        <w:ind/>
        <w:rPr/>
      </w:pPr>
      <w:r>
        <w:t xml:space="preserve">Parallel to the linguistic processing of the prompt, the system must convert the raw pixel data of the endoscopic image into a rich, structure</w:t>
      </w:r>
      <w:r>
        <w:t xml:space="preserve">d, and machine-readable representation. This stage is responsible for extracting the salient visual features that form the basis for all subsequent reasoning. The choice of vision encoder is critical here, as it determines the nature and quality of the ext</w:t>
      </w:r>
      <w:r>
        <w:t xml:space="preserve">racted visual evidence. A traditional Convolutional Neural Network (CNN) like ResNet-50, for instance, excels at learning a hierarchical set of features that culminate in a single, global feature vector representing the entire image. This is effective for </w:t>
      </w:r>
      <w:r>
        <w:t xml:space="preserve">tasks where the overall gestalt of the image is important. In contrast, a Vision Transformer (ViT) operates by dividing the image into a grid of patches and processing them as a sequence, yielding a set of localized feature vectors. This patch-based repres</w:t>
      </w:r>
      <w:r>
        <w:t xml:space="preserve">entation is theoretically more powerful for tasks requiring fine-grained analysis or an understanding of spatial relationships between different regions of the image. This stage provides the raw visual data upon which the reasoning process will operate.   </w:t>
      </w:r>
      <w:r/>
    </w:p>
    <w:p w14:paraId="4ECCEBB4" w14:textId="6654B700">
      <w:pPr>
        <w:pStyle w:val="774"/>
        <w:suppressLineNumbers w:val="false"/>
        <w:pBdr/>
        <w:spacing w:line="300" w:lineRule="auto"/>
        <w:ind/>
        <w:rPr/>
      </w:pPr>
      <w:r>
        <w:t xml:space="preserve"> </w:t>
      </w:r>
      <w:r/>
    </w:p>
    <w:p w14:paraId="072C9A40" w14:textId="2C98E3DA">
      <w:pPr>
        <w:pStyle w:val="774"/>
        <w:suppressLineNumbers w:val="false"/>
        <w:pBdr/>
        <w:spacing w:line="300" w:lineRule="auto"/>
        <w:ind/>
        <w:rPr/>
      </w:pPr>
      <w:r>
        <w:t xml:space="preserve">Stage 3: Multimodal Fusion &amp; Reasoning</w:t>
      </w:r>
      <w:r/>
    </w:p>
    <w:p w14:paraId="7872CB19" w14:textId="2A2C4F6E">
      <w:pPr>
        <w:pStyle w:val="774"/>
        <w:suppressLineNumbers w:val="false"/>
        <w:pBdr/>
        <w:spacing w:line="300" w:lineRule="auto"/>
        <w:ind/>
        <w:rPr/>
      </w:pPr>
      <w:r>
        <w:t xml:space="preserve">This is the cognitive core of the VQA pipeline, where the linguistic intent derived from Stage 1 is integrated with the vis</w:t>
      </w:r>
      <w:r>
        <w:t xml:space="preserve">ual evidence extracted in Stage 2 to formulate an answer. The mechanism of this "fusion" is the central research question for many VQA systems. The simplest approach, represented by classic models like the ResNet+GRU architecture benchmarked in the associa</w:t>
      </w:r>
      <w:r>
        <w:t xml:space="preserve">ted IEEE paper, involves a "late fusion" strategy: the global image vector and the final question vector are simply concatenated and passed to a multilayer perceptron (MLP) for a final classification decision. This approach treats the two modalities as ind</w:t>
      </w:r>
      <w:r>
        <w:t xml:space="preserve">ependent sources of information that are combined only at the final step. A more sophisticated approach, exemplified by transformer-based co-attention models like the ViT+BERT-lite architecture, employs "deep fusion." Here, multiple layers of cross-attenti</w:t>
      </w:r>
      <w:r>
        <w:t xml:space="preserve">on mechanisms allow for iterative, token-level interactions between the visual patches and the words in the question. This enables the model to learn complex alignments, such as grounding the word "polyp" to the specific image patches that contain the poly</w:t>
      </w:r>
      <w:r>
        <w:t xml:space="preserve">p's texture and shape. The comparison of these different architectures in Section 3.2 is therefore not merely a model "horse race," but a structured investigation into the most effective strategy for implementing this crucial multimodal reasoning stage.   </w:t>
      </w:r>
      <w:r/>
    </w:p>
    <w:p w14:paraId="3C8A1B33" w14:textId="74FC84E4">
      <w:pPr>
        <w:pStyle w:val="774"/>
        <w:suppressLineNumbers w:val="false"/>
        <w:pBdr/>
        <w:spacing w:line="300" w:lineRule="auto"/>
        <w:ind/>
        <w:rPr/>
      </w:pPr>
      <w:r>
        <w:t xml:space="preserve"> </w:t>
      </w:r>
      <w:r/>
    </w:p>
    <w:p w14:paraId="3FBB2837" w14:textId="2F73CC35">
      <w:pPr>
        <w:pStyle w:val="774"/>
        <w:suppressLineNumbers w:val="false"/>
        <w:pBdr/>
        <w:spacing w:line="300" w:lineRule="auto"/>
        <w:ind/>
        <w:rPr/>
      </w:pPr>
      <w:r>
        <w:t xml:space="preserve">Stage 4: Answer Synthesis &amp; Formulation</w:t>
      </w:r>
      <w:r/>
    </w:p>
    <w:p w14:paraId="3ED27BB0" w14:textId="47A75FA6">
      <w:pPr>
        <w:pStyle w:val="774"/>
        <w:suppressLineNumbers w:val="false"/>
        <w:pBdr/>
        <w:spacing w:line="300" w:lineRule="auto"/>
        <w:ind/>
        <w:rPr/>
      </w:pPr>
      <w:r>
        <w:t xml:space="preserve">The final stage involves synthesizing the result of the reasoning process into a format that is useful for the clinician. For the closed-set, discriminative task</w:t>
      </w:r>
      <w:r>
        <w:t xml:space="preserve">s that form the basis of this chapter's experiments, this stage is relatively simple: the model's internal representation is mapped to a final class label (e.g., "yes," "no," or "paris iia"). However, for the broader, more ambitious goals of this thesis, t</w:t>
      </w:r>
      <w:r>
        <w:t xml:space="preserve">his stage is far more complex. It requires a generative model, such as the proposed BioGPT-based decoder, to translate the internal, reasoned conclusion into fluent, coherent, and medically appropriate natural language. The distinction between these two mo</w:t>
      </w:r>
      <w:r>
        <w:t xml:space="preserve">des of answer synthesis—classification versus generation—is a critical one. The work in this chapter focuses on the former to establish a rigorous baseline, but it does so with the explicit understanding that this is a simplification. The ultimate goal, as</w:t>
      </w:r>
      <w:r>
        <w:t xml:space="preserve"> foreshadowed by the dissertation's abstract and addressed in subsequent chapters, is to enable a system that can generate free-text, explanatory answers, moving beyond simple classification to a more conversational and informative interaction paradigm.   </w:t>
      </w:r>
      <w:r/>
    </w:p>
    <w:p w14:paraId="0844AB75" w14:textId="2E49D59A">
      <w:pPr>
        <w:pStyle w:val="774"/>
        <w:suppressLineNumbers w:val="false"/>
        <w:pBdr/>
        <w:spacing w:line="300" w:lineRule="auto"/>
        <w:ind/>
        <w:rPr/>
      </w:pPr>
      <w:r>
        <w:t xml:space="preserve"> </w:t>
      </w:r>
      <w:r/>
    </w:p>
    <w:p w14:paraId="4902964E" w14:textId="50A97291">
      <w:pPr>
        <w:pStyle w:val="774"/>
        <w:suppressLineNumbers w:val="false"/>
        <w:pBdr/>
        <w:spacing w:line="300" w:lineRule="auto"/>
        <w:ind/>
        <w:rPr/>
      </w:pPr>
      <w:r>
        <w:t xml:space="preserve">By articulating this four-stage framework, the technical work of the chapter is situated within a clear, p</w:t>
      </w:r>
      <w:r>
        <w:t xml:space="preserve">roblem-driven context. The selection of datasets, models, and metrics can be understood as specific choices made to probe the capabilities and limitations of this pipeline, providing a robust methodological foundation for the empirical results that follow.</w:t>
      </w:r>
      <w:r/>
    </w:p>
    <w:p w14:paraId="6ACC6EF7" w14:textId="53787FA7">
      <w:pPr>
        <w:pStyle w:val="774"/>
        <w:suppressLineNumbers w:val="false"/>
        <w:pBdr/>
        <w:spacing w:line="300" w:lineRule="auto"/>
        <w:ind/>
        <w:rPr/>
      </w:pPr>
      <w:r/>
      <w:r/>
    </w:p>
    <w:p w14:paraId="256591D1" w14:textId="144FD83C">
      <w:pPr>
        <w:pStyle w:val="774"/>
        <w:suppressLineNumbers w:val="false"/>
        <w:pBdr/>
        <w:spacing w:line="300" w:lineRule="auto"/>
        <w:ind/>
        <w:rPr/>
      </w:pPr>
      <w:r/>
      <w:r/>
    </w:p>
    <w:p w14:paraId="19A81653" w14:textId="68C8F163">
      <w:pPr>
        <w:suppressLineNumbers w:val="false"/>
        <w:pBdr/>
        <w:spacing w:after="240" w:afterAutospacing="0" w:before="240" w:beforeAutospacing="0" w:line="300" w:lineRule="auto"/>
        <w:ind/>
        <w:rPr>
          <w:b/>
          <w:bCs/>
          <w:sz w:val="24"/>
          <w:szCs w:val="24"/>
        </w:rPr>
      </w:pPr>
      <w:r>
        <w:rPr>
          <w:b/>
          <w:bCs/>
          <w:sz w:val="24"/>
          <w:szCs w:val="24"/>
          <w:lang w:val="en-CA"/>
        </w:rPr>
        <w:t xml:space="preserve">3.2 Foundational Benchmarking of VQA Architectures on Core Endoscopic Tasks</w:t>
      </w:r>
      <w:r>
        <w:rPr>
          <w:b/>
          <w:bCs/>
          <w:sz w:val="24"/>
          <w:szCs w:val="24"/>
          <w:lang w:val="en-CA"/>
        </w:rPr>
      </w:r>
    </w:p>
    <w:p w14:paraId="16F34EC9" w14:textId="5CA74B7C">
      <w:pPr>
        <w:pStyle w:val="774"/>
        <w:suppressLineNumbers w:val="false"/>
        <w:pBdr/>
        <w:spacing w:line="300" w:lineRule="auto"/>
        <w:ind/>
        <w:rPr/>
      </w:pPr>
      <w:r>
        <w:t xml:space="preserve">With a conceptual framework in place, the next step is to ground it in empirical evidence. This section pr</w:t>
      </w:r>
      <w:r>
        <w:t xml:space="preserve">esents a systematic, head-to-head benchmark of representative VQA architectures on concrete, reproducible tasks derived from the Kvasir-VQA dataset. The goal of this investigation is twofold. First, it serves to validate the different architectural hypothe</w:t>
      </w:r>
      <w:r>
        <w:t xml:space="preserve">ses for the "Multimodal Fusion &amp; Reasoning" stage of the proposed framework, providing quantitative data on their relative performance. Second, it establishes a rigorous, objective performance baseline against which the more advanced, generative models of </w:t>
      </w:r>
      <w:r>
        <w:t xml:space="preserve">later chapters can be compared. The experimental design, model specifications, and evaluation protocol are adopted directly from a peer-reviewed IEEE conference paper, ensuring that the methodology is scientifically sound, transparent, and reproducible.   </w:t>
      </w:r>
      <w:r/>
    </w:p>
    <w:p w14:paraId="56395AB3" w14:textId="030F6B2E">
      <w:pPr>
        <w:pStyle w:val="774"/>
        <w:suppressLineNumbers w:val="false"/>
        <w:pBdr/>
        <w:spacing w:line="300" w:lineRule="auto"/>
        <w:ind/>
        <w:rPr/>
      </w:pPr>
      <w:r>
        <w:t xml:space="preserve"> </w:t>
      </w:r>
      <w:r/>
    </w:p>
    <w:p w14:paraId="37A0F784" w14:textId="4D1A4B54">
      <w:pPr>
        <w:pStyle w:val="774"/>
        <w:suppressLineNumbers w:val="false"/>
        <w:pBdr/>
        <w:spacing w:line="300" w:lineRule="auto"/>
        <w:ind/>
        <w:rPr/>
      </w:pPr>
      <w:r>
        <w:t xml:space="preserve">3.2.1 Experimental Design</w:t>
      </w:r>
      <w:r/>
    </w:p>
    <w:p w14:paraId="7974BF4F" w14:textId="27A7AA88">
      <w:pPr>
        <w:pStyle w:val="774"/>
        <w:suppressLineNumbers w:val="false"/>
        <w:pBdr/>
        <w:spacing w:line="300" w:lineRule="auto"/>
        <w:ind/>
        <w:rPr/>
      </w:pPr>
      <w:r>
        <w:t xml:space="preserve">A robust empirical comparison requires a meticulously controlled experimental environment. To this end, a standardized protocol was established covering dataset selection, task formulation, data splitting, and evaluation metrics.</w:t>
      </w:r>
      <w:r/>
    </w:p>
    <w:p w14:paraId="7C43FA66" w14:textId="60CCB464">
      <w:pPr>
        <w:pStyle w:val="774"/>
        <w:suppressLineNumbers w:val="false"/>
        <w:pBdr/>
        <w:spacing w:line="300" w:lineRule="auto"/>
        <w:ind/>
        <w:rPr/>
      </w:pPr>
      <w:r>
        <w:t xml:space="preserve"> </w:t>
      </w:r>
      <w:r/>
    </w:p>
    <w:p w14:paraId="21FFE46E" w14:textId="1A2D4540">
      <w:pPr>
        <w:pStyle w:val="774"/>
        <w:suppressLineNumbers w:val="false"/>
        <w:pBdr/>
        <w:spacing w:line="300" w:lineRule="auto"/>
        <w:ind/>
        <w:rPr/>
      </w:pPr>
      <w:r>
        <w:t xml:space="preserve">Dataset and Task Selection: The primary benchmark for this study is the Kvasir-VQA dataset,</w:t>
      </w:r>
      <w:r>
        <w:t xml:space="preserve"> a large-scale resource for visual question answering in colonoscopy. To ensure a controlled, apples-to-apples comparison, the investigation focuses on two specific, high-frequency question templates that probe distinct and fundamental VQA capabilities:   </w:t>
      </w:r>
      <w:r/>
    </w:p>
    <w:p w14:paraId="362A52C6" w14:textId="6433524F">
      <w:pPr>
        <w:pStyle w:val="774"/>
        <w:suppressLineNumbers w:val="false"/>
        <w:pBdr/>
        <w:spacing w:line="300" w:lineRule="auto"/>
        <w:ind/>
        <w:rPr/>
      </w:pPr>
      <w:r>
        <w:t xml:space="preserve"> </w:t>
      </w:r>
      <w:r/>
    </w:p>
    <w:p w14:paraId="27869ED9" w14:textId="06F91227">
      <w:pPr>
        <w:pStyle w:val="774"/>
        <w:suppressLineNumbers w:val="false"/>
        <w:pBdr/>
        <w:spacing w:line="300" w:lineRule="auto"/>
        <w:ind/>
        <w:rPr/>
      </w:pPr>
      <w:r>
        <w:t xml:space="preserve">Yes/No (Presence Detection): Using the literal template "is there text" (n=2,952), this task evaluates a model's ability to perform binary c</w:t>
      </w:r>
      <w:r>
        <w:t xml:space="preserve">lassification for the presence of a high-contrast visual artifact. This template is highly imbalanced, with the "yes" class constituting approximately 89% of the training data, making it a strong test of a model's ability to handle skewed distributions.   </w:t>
      </w:r>
      <w:r/>
    </w:p>
    <w:p w14:paraId="13A07765" w14:textId="34F0187E">
      <w:pPr>
        <w:pStyle w:val="774"/>
        <w:suppressLineNumbers w:val="false"/>
        <w:pBdr/>
        <w:spacing w:line="300" w:lineRule="auto"/>
        <w:ind/>
        <w:rPr/>
      </w:pPr>
      <w:r>
        <w:t xml:space="preserve"> </w:t>
      </w:r>
      <w:r/>
    </w:p>
    <w:p w14:paraId="65E028AF" w14:textId="09DE0BFE">
      <w:pPr>
        <w:pStyle w:val="774"/>
        <w:suppressLineNumbers w:val="false"/>
        <w:pBdr/>
        <w:spacing w:line="300" w:lineRule="auto"/>
        <w:ind/>
        <w:rPr/>
      </w:pPr>
      <w:r>
        <w:t xml:space="preserve">Attribute/Class (Morphology Classification): Using the template "what type of polyp is present" (n=2,342), this task assesses a model's ca</w:t>
      </w:r>
      <w:r>
        <w:t xml:space="preserve">pacity for fine-grained, multi-class classification of subtle pathological features. After normalization, the answer space comprises six distinct classes of Paris polyp morphology, requiring the model to discern nuanced differences in shape and texture.   </w:t>
      </w:r>
      <w:r/>
    </w:p>
    <w:p w14:paraId="12038569" w14:textId="2721D8C6">
      <w:pPr>
        <w:pStyle w:val="774"/>
        <w:suppressLineNumbers w:val="false"/>
        <w:pBdr/>
        <w:spacing w:line="300" w:lineRule="auto"/>
        <w:ind/>
        <w:rPr/>
      </w:pPr>
      <w:r>
        <w:t xml:space="preserve"> </w:t>
      </w:r>
      <w:r/>
    </w:p>
    <w:p w14:paraId="1B13C61A" w14:textId="5ABEEBAD">
      <w:pPr>
        <w:pStyle w:val="774"/>
        <w:suppressLineNumbers w:val="false"/>
        <w:pBdr/>
        <w:spacing w:line="300" w:lineRule="auto"/>
        <w:ind/>
        <w:rPr/>
      </w:pPr>
      <w:r>
        <w:t xml:space="preserve">Evaluation Protocol: All experiments adhere to a strict, unified protocol. Answers are normalized before scoring using a standardized script that lowercases text</w:t>
      </w:r>
      <w:r>
        <w:t xml:space="preserve">, strips punctuation, and maps clinical synonyms to a canonical form. All models are trained and evaluated on a fixed 70/15/15 train/validation/test split, stratified by question type and answer label to ensure comparable class distributions across sets. T</w:t>
      </w:r>
      <w:r>
        <w:t xml:space="preserve">o prevent data leakage, the splits are created at the source level (e.g., patient or video) where such identifiers are available. The specific dataset cardinalities are detailed in Table 3.1. Performance on the Yes/No task is measured using both Accuracy a</w:t>
      </w:r>
      <w:r>
        <w:t xml:space="preserve">nd Macro-F1 score, with the latter being essential for a fair assessment given the severe class imbalance. Performance on the Attribute task is also measured with Accuracy and Macro-F1 to evaluate overall correctness and per-class balance, respectively.   </w:t>
      </w:r>
      <w:r/>
    </w:p>
    <w:p w14:paraId="6A80B728" w14:textId="1EC49FF7">
      <w:pPr>
        <w:pStyle w:val="774"/>
        <w:suppressLineNumbers w:val="false"/>
        <w:pBdr/>
        <w:spacing w:line="300" w:lineRule="auto"/>
        <w:ind/>
        <w:rPr/>
      </w:pPr>
      <w:r/>
      <w:r/>
    </w:p>
    <w:p w14:paraId="5A1AEBD1" w14:textId="178289E1">
      <w:pPr>
        <w:pStyle w:val="774"/>
        <w:suppressLineNumbers w:val="false"/>
        <w:pBdr/>
        <w:spacing w:line="300" w:lineRule="auto"/>
        <w:ind/>
        <w:rPr/>
      </w:pPr>
      <w:r/>
      <w:r/>
    </w:p>
    <w:p w14:paraId="28D8E86B" w14:textId="07102CAE">
      <w:pPr>
        <w:pStyle w:val="774"/>
        <w:suppressLineNumbers w:val="false"/>
        <w:pBdr/>
        <w:spacing w:line="300" w:lineRule="auto"/>
        <w:ind/>
        <w:rPr/>
      </w:pPr>
      <w:r/>
      <w:r/>
    </w:p>
    <w:tbl>
      <w:tblPr>
        <w:tblStyle w:val="831"/>
        <w:tblW w:w="0" w:type="auto"/>
        <w:tblBorders/>
        <w:tblLayout w:type="fixed"/>
        <w:tblLook w:val="06A0" w:firstRow="1" w:lastRow="0" w:firstColumn="1" w:lastColumn="0" w:noHBand="1" w:noVBand="1"/>
      </w:tblPr>
      <w:tblGrid>
        <w:gridCol w:w="1728"/>
        <w:gridCol w:w="1728"/>
        <w:gridCol w:w="1728"/>
        <w:gridCol w:w="1728"/>
        <w:gridCol w:w="1728"/>
      </w:tblGrid>
      <w:tr>
        <w:trPr>
          <w:trHeight w:val="300"/>
        </w:trPr>
        <w:tc>
          <w:tcPr>
            <w:tcBorders/>
            <w:tcW w:w="1728" w:type="dxa"/>
            <w:textDirection w:val="lrTb"/>
            <w:noWrap w:val="false"/>
          </w:tcPr>
          <w:p w14:paraId="5555EA35" w14:textId="69897351">
            <w:pPr>
              <w:pStyle w:val="774"/>
              <w:suppressLineNumbers w:val="false"/>
              <w:pBdr/>
              <w:spacing w:line="300" w:lineRule="auto"/>
              <w:ind w:firstLine="0"/>
              <w:rPr/>
            </w:pPr>
            <w:r>
              <w:rPr>
                <w:lang w:val="en-CA"/>
              </w:rPr>
              <w:t xml:space="preserve">Template (Type)</w:t>
            </w:r>
            <w:r/>
          </w:p>
        </w:tc>
        <w:tc>
          <w:tcPr>
            <w:tcBorders/>
            <w:tcW w:w="1728" w:type="dxa"/>
            <w:textDirection w:val="lrTb"/>
            <w:noWrap w:val="false"/>
          </w:tcPr>
          <w:p w14:paraId="62C1F614" w14:textId="6141172F">
            <w:pPr>
              <w:pStyle w:val="774"/>
              <w:suppressLineNumbers w:val="false"/>
              <w:pBdr/>
              <w:spacing w:line="300" w:lineRule="auto"/>
              <w:ind w:firstLine="0"/>
              <w:rPr/>
            </w:pPr>
            <w:r>
              <w:rPr>
                <w:lang w:val="en-CA"/>
              </w:rPr>
              <w:t xml:space="preserve">Total Samples</w:t>
            </w:r>
            <w:r/>
          </w:p>
        </w:tc>
        <w:tc>
          <w:tcPr>
            <w:tcBorders/>
            <w:tcW w:w="1728" w:type="dxa"/>
            <w:textDirection w:val="lrTb"/>
            <w:noWrap w:val="false"/>
          </w:tcPr>
          <w:p w14:paraId="72BA2765" w14:textId="0C9C9C21">
            <w:pPr>
              <w:pStyle w:val="774"/>
              <w:suppressLineNumbers w:val="false"/>
              <w:pBdr/>
              <w:spacing w:line="300" w:lineRule="auto"/>
              <w:ind w:firstLine="0"/>
              <w:rPr/>
            </w:pPr>
            <w:r>
              <w:rPr>
                <w:lang w:val="en-CA"/>
              </w:rPr>
              <w:t xml:space="preserve">Train Set</w:t>
            </w:r>
            <w:r/>
          </w:p>
        </w:tc>
        <w:tc>
          <w:tcPr>
            <w:tcBorders/>
            <w:tcW w:w="1728" w:type="dxa"/>
            <w:textDirection w:val="lrTb"/>
            <w:noWrap w:val="false"/>
          </w:tcPr>
          <w:p w14:paraId="4C2F7936" w14:textId="4E1D6C8E">
            <w:pPr>
              <w:pStyle w:val="774"/>
              <w:suppressLineNumbers w:val="false"/>
              <w:pBdr/>
              <w:spacing w:line="300" w:lineRule="auto"/>
              <w:ind w:firstLine="0"/>
              <w:rPr/>
            </w:pPr>
            <w:r>
              <w:rPr>
                <w:lang w:val="en-CA"/>
              </w:rPr>
              <w:t xml:space="preserve">Validation Set</w:t>
            </w:r>
            <w:r/>
          </w:p>
        </w:tc>
        <w:tc>
          <w:tcPr>
            <w:tcBorders/>
            <w:tcW w:w="1728" w:type="dxa"/>
            <w:textDirection w:val="lrTb"/>
            <w:noWrap w:val="false"/>
          </w:tcPr>
          <w:p w14:paraId="6995A7AE" w14:textId="3A803612">
            <w:pPr>
              <w:pStyle w:val="774"/>
              <w:suppressLineNumbers w:val="false"/>
              <w:pBdr/>
              <w:spacing w:line="300" w:lineRule="auto"/>
              <w:ind w:firstLine="0"/>
              <w:rPr/>
            </w:pPr>
            <w:r>
              <w:rPr>
                <w:lang w:val="en-CA"/>
              </w:rPr>
              <w:t xml:space="preserve">Test Set</w:t>
            </w:r>
            <w:r/>
          </w:p>
        </w:tc>
      </w:tr>
      <w:tr>
        <w:trPr>
          <w:trHeight w:val="300"/>
        </w:trPr>
        <w:tc>
          <w:tcPr>
            <w:tcBorders/>
            <w:tcW w:w="1728" w:type="dxa"/>
            <w:textDirection w:val="lrTb"/>
            <w:noWrap w:val="false"/>
          </w:tcPr>
          <w:p w14:paraId="0D9C8B51" w14:textId="5C0A9941">
            <w:pPr>
              <w:pStyle w:val="774"/>
              <w:suppressLineNumbers w:val="false"/>
              <w:pBdr/>
              <w:spacing w:line="300" w:lineRule="auto"/>
              <w:ind w:firstLine="0"/>
              <w:rPr/>
            </w:pPr>
            <w:r>
              <w:rPr>
                <w:lang w:val="en-CA"/>
              </w:rPr>
              <w:t xml:space="preserve">"</w:t>
            </w:r>
            <w:r>
              <w:rPr>
                <w:lang w:val="en-CA"/>
              </w:rPr>
              <w:t xml:space="preserve">is</w:t>
            </w:r>
            <w:r>
              <w:rPr>
                <w:lang w:val="en-CA"/>
              </w:rPr>
              <w:t xml:space="preserve"> there text" (Yes/No)</w:t>
            </w:r>
            <w:r/>
          </w:p>
        </w:tc>
        <w:tc>
          <w:tcPr>
            <w:tcBorders/>
            <w:tcW w:w="1728" w:type="dxa"/>
            <w:textDirection w:val="lrTb"/>
            <w:noWrap w:val="false"/>
          </w:tcPr>
          <w:p w14:paraId="4CCD5051" w14:textId="2B291971">
            <w:pPr>
              <w:pStyle w:val="774"/>
              <w:suppressLineNumbers w:val="false"/>
              <w:pBdr/>
              <w:spacing w:line="300" w:lineRule="auto"/>
              <w:ind/>
              <w:rPr/>
            </w:pPr>
            <w:r>
              <w:t xml:space="preserve">2958</w:t>
            </w:r>
            <w:r/>
          </w:p>
        </w:tc>
        <w:tc>
          <w:tcPr>
            <w:tcBorders/>
            <w:tcW w:w="1728" w:type="dxa"/>
            <w:textDirection w:val="lrTb"/>
            <w:noWrap w:val="false"/>
          </w:tcPr>
          <w:p w14:paraId="0A5CB697" w14:textId="22D22E81">
            <w:pPr>
              <w:pStyle w:val="774"/>
              <w:suppressLineNumbers w:val="false"/>
              <w:pBdr/>
              <w:spacing w:line="300" w:lineRule="auto"/>
              <w:ind/>
              <w:rPr/>
            </w:pPr>
            <w:r>
              <w:t xml:space="preserve">2066</w:t>
            </w:r>
            <w:r/>
          </w:p>
        </w:tc>
        <w:tc>
          <w:tcPr>
            <w:tcBorders/>
            <w:tcW w:w="1728" w:type="dxa"/>
            <w:textDirection w:val="lrTb"/>
            <w:noWrap w:val="false"/>
          </w:tcPr>
          <w:p w14:paraId="17E0D3A3" w14:textId="02501666">
            <w:pPr>
              <w:pStyle w:val="774"/>
              <w:suppressLineNumbers w:val="false"/>
              <w:pBdr/>
              <w:spacing w:line="300" w:lineRule="auto"/>
              <w:ind/>
              <w:rPr/>
            </w:pPr>
            <w:r>
              <w:t xml:space="preserve">443</w:t>
            </w:r>
            <w:r/>
          </w:p>
        </w:tc>
        <w:tc>
          <w:tcPr>
            <w:tcBorders/>
            <w:tcW w:w="1728" w:type="dxa"/>
            <w:textDirection w:val="lrTb"/>
            <w:noWrap w:val="false"/>
          </w:tcPr>
          <w:p w14:paraId="372CB155" w14:textId="680DEB5E">
            <w:pPr>
              <w:pStyle w:val="774"/>
              <w:suppressLineNumbers w:val="false"/>
              <w:pBdr/>
              <w:spacing w:line="300" w:lineRule="auto"/>
              <w:ind/>
              <w:rPr/>
            </w:pPr>
            <w:r>
              <w:t xml:space="preserve">443</w:t>
            </w:r>
            <w:r/>
          </w:p>
        </w:tc>
      </w:tr>
      <w:tr>
        <w:trPr>
          <w:trHeight w:val="300"/>
        </w:trPr>
        <w:tc>
          <w:tcPr>
            <w:tcBorders/>
            <w:tcW w:w="1728" w:type="dxa"/>
            <w:textDirection w:val="lrTb"/>
            <w:noWrap w:val="false"/>
          </w:tcPr>
          <w:p w14:paraId="37316F30" w14:textId="394367CA">
            <w:pPr>
              <w:pStyle w:val="774"/>
              <w:suppressLineNumbers w:val="false"/>
              <w:pBdr/>
              <w:spacing w:line="300" w:lineRule="auto"/>
              <w:ind w:firstLine="0"/>
              <w:rPr/>
            </w:pPr>
            <w:r>
              <w:rPr>
                <w:lang w:val="en-CA"/>
              </w:rPr>
              <w:t xml:space="preserve">"what type of polyp is present" (Attribute)</w:t>
            </w:r>
            <w:r/>
          </w:p>
        </w:tc>
        <w:tc>
          <w:tcPr>
            <w:tcBorders/>
            <w:tcW w:w="1728" w:type="dxa"/>
            <w:textDirection w:val="lrTb"/>
            <w:noWrap w:val="false"/>
          </w:tcPr>
          <w:p w14:paraId="75ECAAEB" w14:textId="16A2E03F">
            <w:pPr>
              <w:pStyle w:val="774"/>
              <w:suppressLineNumbers w:val="false"/>
              <w:pBdr/>
              <w:bidi w:val="false"/>
              <w:spacing w:after="240" w:afterAutospacing="0" w:before="120" w:beforeAutospacing="0" w:line="300" w:lineRule="auto"/>
              <w:ind w:right="0" w:firstLine="720" w:left="0"/>
              <w:jc w:val="left"/>
              <w:rPr/>
            </w:pPr>
            <w:r>
              <w:t xml:space="preserve">2342</w:t>
            </w:r>
            <w:r/>
          </w:p>
        </w:tc>
        <w:tc>
          <w:tcPr>
            <w:tcBorders/>
            <w:tcW w:w="1728" w:type="dxa"/>
            <w:textDirection w:val="lrTb"/>
            <w:noWrap w:val="false"/>
          </w:tcPr>
          <w:p w14:paraId="5577952F" w14:textId="0176601B">
            <w:pPr>
              <w:pStyle w:val="774"/>
              <w:suppressLineNumbers w:val="false"/>
              <w:pBdr/>
              <w:spacing w:line="300" w:lineRule="auto"/>
              <w:ind/>
              <w:rPr/>
            </w:pPr>
            <w:r>
              <w:t xml:space="preserve">1637</w:t>
            </w:r>
            <w:r/>
          </w:p>
        </w:tc>
        <w:tc>
          <w:tcPr>
            <w:tcBorders/>
            <w:tcW w:w="1728" w:type="dxa"/>
            <w:textDirection w:val="lrTb"/>
            <w:noWrap w:val="false"/>
          </w:tcPr>
          <w:p w14:paraId="36BBFF2C" w14:textId="416A73BD">
            <w:pPr>
              <w:pStyle w:val="774"/>
              <w:suppressLineNumbers w:val="false"/>
              <w:pBdr/>
              <w:spacing w:line="300" w:lineRule="auto"/>
              <w:ind/>
              <w:rPr/>
            </w:pPr>
            <w:r>
              <w:t xml:space="preserve">352</w:t>
            </w:r>
            <w:r/>
          </w:p>
        </w:tc>
        <w:tc>
          <w:tcPr>
            <w:tcBorders/>
            <w:tcW w:w="1728" w:type="dxa"/>
            <w:textDirection w:val="lrTb"/>
            <w:noWrap w:val="false"/>
          </w:tcPr>
          <w:p w14:paraId="63F63F00" w14:textId="714A3072">
            <w:pPr>
              <w:pStyle w:val="774"/>
              <w:suppressLineNumbers w:val="false"/>
              <w:pBdr/>
              <w:spacing w:line="300" w:lineRule="auto"/>
              <w:ind/>
              <w:rPr/>
            </w:pPr>
            <w:r>
              <w:t xml:space="preserve">352</w:t>
            </w:r>
            <w:r/>
          </w:p>
        </w:tc>
      </w:tr>
    </w:tbl>
    <w:p w14:paraId="6B84D60A" w14:textId="57EBDFD3">
      <w:pPr>
        <w:pStyle w:val="774"/>
        <w:suppressLineNumbers w:val="false"/>
        <w:pBdr/>
        <w:spacing w:line="300" w:lineRule="auto"/>
        <w:ind/>
        <w:rPr/>
      </w:pPr>
      <w:r/>
      <w:r/>
    </w:p>
    <w:p w14:paraId="7FAAF43E" w14:textId="62605E26">
      <w:pPr>
        <w:pStyle w:val="774"/>
        <w:suppressLineNumbers w:val="false"/>
        <w:pBdr/>
        <w:spacing w:line="300" w:lineRule="auto"/>
        <w:ind w:firstLine="0"/>
        <w:rPr>
          <w:b/>
          <w:bCs/>
          <w:sz w:val="24"/>
          <w:szCs w:val="24"/>
        </w:rPr>
      </w:pPr>
      <w:r>
        <w:rPr>
          <w:b/>
          <w:bCs/>
          <w:sz w:val="24"/>
          <w:szCs w:val="24"/>
          <w:lang w:val="en-CA"/>
        </w:rPr>
        <w:t xml:space="preserve">3.2.2 Architectures Under Investigation</w:t>
      </w:r>
      <w:r>
        <w:rPr>
          <w:b/>
          <w:bCs/>
          <w:sz w:val="24"/>
          <w:szCs w:val="24"/>
          <w:lang w:val="en-CA"/>
        </w:rPr>
      </w:r>
    </w:p>
    <w:p w14:paraId="5B32CC1C" w14:textId="1DA0D1D3">
      <w:pPr>
        <w:pStyle w:val="774"/>
        <w:suppressLineNumbers w:val="false"/>
        <w:pBdr/>
        <w:spacing w:line="300" w:lineRule="auto"/>
        <w:ind/>
        <w:rPr/>
      </w:pPr>
      <w:r>
        <w:t xml:space="preserve">To investigate different strategies for multimodal fusion, three representative model families were selected, spanning from classic architectures to modern, large-scale vision-language models. To ensure a fai</w:t>
      </w:r>
      <w:r>
        <w:t xml:space="preserve">r comparison and to accommodate resource constraints, all vision encoders were kept frozen, and their features were pre-computed and cached. Images were resized to 224×224 pixels, and questions were tokenized and padded to a maximum length of 32 tokens.   </w:t>
      </w:r>
      <w:r/>
    </w:p>
    <w:p w14:paraId="7BFBD664" w14:textId="28711591">
      <w:pPr>
        <w:pStyle w:val="774"/>
        <w:suppressLineNumbers w:val="false"/>
        <w:pBdr/>
        <w:spacing w:line="300" w:lineRule="auto"/>
        <w:ind/>
        <w:rPr/>
      </w:pPr>
      <w:r>
        <w:t xml:space="preserve"> </w:t>
      </w:r>
      <w:r/>
    </w:p>
    <w:p w14:paraId="026833D9" w14:textId="263F94CD">
      <w:pPr>
        <w:pStyle w:val="774"/>
        <w:suppressLineNumbers w:val="false"/>
        <w:pBdr/>
        <w:spacing w:line="300" w:lineRule="auto"/>
        <w:ind/>
        <w:rPr/>
      </w:pPr>
      <w:r>
        <w:t xml:space="preserve">M1: </w:t>
      </w:r>
      <w:r>
        <w:t xml:space="preserve">ResNet+GRU</w:t>
      </w:r>
      <w:r>
        <w:t xml:space="preserve"> (Classic Fusion): This model </w:t>
      </w:r>
      <w:r>
        <w:t xml:space="preserve">represents</w:t>
      </w:r>
      <w:r>
        <w:t xml:space="preserve"> a standard, </w:t>
      </w:r>
      <w:r>
        <w:t xml:space="preserve">widely-used</w:t>
      </w:r>
      <w:r>
        <w:t xml:space="preserve"> baseline in VQA research. It employs a frozen ResNet-50 to extract a single global average pool feature vector (</w:t>
      </w:r>
      <w:r>
        <w:t xml:space="preserve">v∈R</w:t>
      </w:r>
      <w:r>
        <w:t xml:space="preserve"> </w:t>
      </w:r>
      <w:r>
        <w:t xml:space="preserve">2048</w:t>
      </w:r>
      <w:r>
        <w:t xml:space="preserve">) </w:t>
      </w:r>
      <w:r>
        <w:t xml:space="preserve">from</w:t>
      </w:r>
      <w:r>
        <w:t xml:space="preserve"> the image. The question is encoded using a bidir</w:t>
      </w:r>
      <w:r>
        <w:t xml:space="preserve">ectional Gated Recurrent Unit (GRU). The image and text representations are then projected to a common dimension, concatenated, and fed into a final MLP classifier. This architecture embodies the "late fusion" strategy discussed in the conceptual framework</w:t>
      </w:r>
      <w:r>
        <w:t xml:space="preserve">.  </w:t>
      </w:r>
      <w:r>
        <w:t xml:space="preserve"> </w:t>
      </w:r>
      <w:r/>
    </w:p>
    <w:p w14:paraId="7483BC4D" w14:textId="09F76DE4">
      <w:pPr>
        <w:pStyle w:val="774"/>
        <w:suppressLineNumbers w:val="false"/>
        <w:pBdr/>
        <w:spacing w:line="300" w:lineRule="auto"/>
        <w:ind/>
        <w:rPr/>
      </w:pPr>
      <w:r>
        <w:t xml:space="preserve"> </w:t>
      </w:r>
      <w:r/>
    </w:p>
    <w:p w14:paraId="12C514CE" w14:textId="6D3629CA">
      <w:pPr>
        <w:pStyle w:val="774"/>
        <w:suppressLineNumbers w:val="false"/>
        <w:pBdr/>
        <w:spacing w:line="300" w:lineRule="auto"/>
        <w:ind/>
        <w:rPr/>
      </w:pPr>
      <w:r>
        <w:t xml:space="preserve">M2: </w:t>
      </w:r>
      <w:r>
        <w:t xml:space="preserve">ViT+BERT-lite</w:t>
      </w:r>
      <w:r>
        <w:t xml:space="preserve"> (Transformer Co-Attention): This model </w:t>
      </w:r>
      <w:r>
        <w:t xml:space="preserve">represents</w:t>
      </w:r>
      <w:r>
        <w:t xml:space="preserve"> a more modern approach based on the transformer architecture. It uses a frozen Vision Transformer (</w:t>
      </w:r>
      <w:r>
        <w:t xml:space="preserve">ViT</w:t>
      </w:r>
      <w:r>
        <w:t xml:space="preserve">-B/16) to extract patch-level visual features (V</w:t>
      </w:r>
      <w:r>
        <w:rPr>
          <w:vertAlign w:val="subscript"/>
        </w:rPr>
        <w:t xml:space="preserve">vit</w:t>
      </w:r>
      <w:r>
        <w:t xml:space="preserve"> ∈R </w:t>
      </w:r>
      <w:r>
        <w:rPr>
          <w:vertAlign w:val="superscript"/>
        </w:rPr>
        <w:t xml:space="preserve">768</w:t>
      </w:r>
      <w:r>
        <w:t xml:space="preserve">) </w:t>
      </w:r>
      <w:r>
        <w:t xml:space="preserve">and</w:t>
      </w:r>
      <w:r>
        <w:t xml:space="preserve"> a frozen </w:t>
      </w:r>
      <w:r>
        <w:t xml:space="preserve">DistilBERT</w:t>
      </w:r>
      <w:r>
        <w:t xml:space="preserve"> to encode the question. The core of the m</w:t>
      </w:r>
      <w:r>
        <w:t xml:space="preserve">odel consists of two blocks of bi-directional multi-head cross-attention, which allow for deep, token-level interactions between the visual patches and the question words. This architecture is a direct implementation of the "deep fusion" reasoning strategy</w:t>
      </w:r>
      <w:r>
        <w:t xml:space="preserve">.  </w:t>
      </w:r>
      <w:r>
        <w:t xml:space="preserve"> </w:t>
      </w:r>
      <w:r/>
    </w:p>
    <w:p w14:paraId="285268E6" w14:textId="562271DA">
      <w:pPr>
        <w:pStyle w:val="774"/>
        <w:suppressLineNumbers w:val="false"/>
        <w:pBdr/>
        <w:spacing w:line="300" w:lineRule="auto"/>
        <w:ind/>
        <w:rPr/>
      </w:pPr>
      <w:r>
        <w:t xml:space="preserve"> </w:t>
      </w:r>
      <w:r/>
    </w:p>
    <w:p w14:paraId="2FF27BD8" w14:textId="74A0ADCD">
      <w:pPr>
        <w:pStyle w:val="774"/>
        <w:suppressLineNumbers w:val="false"/>
        <w:pBdr/>
        <w:spacing w:line="300" w:lineRule="auto"/>
        <w:ind/>
        <w:rPr/>
      </w:pPr>
      <w:r>
        <w:t xml:space="preserve">B</w:t>
      </w:r>
      <w:r>
        <w:t xml:space="preserve">LIP-2 (Zero-Shot VLM): This model represents the family of large-scale, pre-trained Vision-Language Models (VLMs). The Salesforce/blip2-flan-t5-base model was used without any fine-tuning (i.e., in a zero-shot setting). For the closed-set tasks, constraine</w:t>
      </w:r>
      <w:r>
        <w:t xml:space="preserve">d decoding was applied to force the model to generate an answer from the predefined set of valid labels. This model serves as a reference point to gauge the out-of-the-box capabilities of massive, general-purpose models on this specialized medical task.   </w:t>
      </w:r>
      <w:r/>
    </w:p>
    <w:p w14:paraId="4E31C0ED" w14:textId="3E796CAF">
      <w:pPr>
        <w:pStyle w:val="774"/>
        <w:suppressLineNumbers w:val="false"/>
        <w:pBdr/>
        <w:spacing w:line="300" w:lineRule="auto"/>
        <w:ind/>
        <w:rPr/>
      </w:pPr>
      <w:r>
        <w:t xml:space="preserve"> </w:t>
      </w:r>
      <w:r/>
    </w:p>
    <w:p w14:paraId="6F09FF7C" w14:textId="1CA3F9BD">
      <w:pPr>
        <w:pStyle w:val="774"/>
        <w:suppressLineNumbers w:val="false"/>
        <w:pBdr/>
        <w:spacing w:line="300" w:lineRule="auto"/>
        <w:ind/>
        <w:rPr/>
      </w:pPr>
      <w:r>
        <w:t xml:space="preserve">All trainable models (M1 and M2) were </w:t>
      </w:r>
      <w:r>
        <w:t xml:space="preserve">optimized</w:t>
      </w:r>
      <w:r>
        <w:t xml:space="preserve"> using the </w:t>
      </w:r>
      <w:r>
        <w:t xml:space="preserve">AdamW</w:t>
      </w:r>
      <w:r>
        <w:t xml:space="preserve"> optimizer with shared hyperpa</w:t>
      </w:r>
      <w:r>
        <w:t xml:space="preserve">rameters for batch size, dropout, and label smoothing. For the imbalanced Yes/No task, a focal loss with γ=2 was employed to give more weight to the minority "no" class. The specific learning rates and epoch counts for each model are detailed in Table 3.2.</w:t>
      </w:r>
      <w:r/>
    </w:p>
    <w:tbl>
      <w:tblPr>
        <w:tblStyle w:val="831"/>
        <w:tblW w:w="0" w:type="auto"/>
        <w:tblBorders/>
        <w:tblLayout w:type="fixed"/>
        <w:tblLook w:val="06A0" w:firstRow="1" w:lastRow="0" w:firstColumn="1" w:lastColumn="0" w:noHBand="1" w:noVBand="1"/>
      </w:tblPr>
      <w:tblGrid>
        <w:gridCol w:w="1695"/>
        <w:gridCol w:w="1395"/>
        <w:gridCol w:w="1395"/>
        <w:gridCol w:w="1395"/>
        <w:gridCol w:w="4425"/>
      </w:tblGrid>
      <w:tr>
        <w:trPr>
          <w:trHeight w:val="315"/>
        </w:trPr>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1695" w:type="dxa"/>
            <w:vAlign w:val="bottom"/>
            <w:textDirection w:val="lrTb"/>
            <w:noWrap w:val="false"/>
          </w:tcPr>
          <w:p w14:paraId="14E44EA3" w14:textId="0FC16BA8">
            <w:pPr>
              <w:suppressLineNumbers w:val="false"/>
              <w:pBdr/>
              <w:spacing w:after="0" w:afterAutospacing="0" w:before="0" w:beforeAutospacing="0" w:line="300" w:lineRule="auto"/>
              <w:ind/>
              <w:rPr/>
            </w:pPr>
            <w:r>
              <w:rPr>
                <w:rFonts w:ascii="Arial" w:hAnsi="Arial" w:eastAsia="Arial" w:cs="Arial"/>
                <w:sz w:val="20"/>
                <w:szCs w:val="20"/>
              </w:rPr>
              <w:t xml:space="preserve">Model Family</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1395" w:type="dxa"/>
            <w:vAlign w:val="bottom"/>
            <w:textDirection w:val="lrTb"/>
            <w:noWrap w:val="false"/>
          </w:tcPr>
          <w:p w14:paraId="7579FA81" w14:textId="12AF6B38">
            <w:pPr>
              <w:suppressLineNumbers w:val="false"/>
              <w:pBdr/>
              <w:spacing w:after="0" w:afterAutospacing="0" w:before="0" w:beforeAutospacing="0" w:line="300" w:lineRule="auto"/>
              <w:ind/>
              <w:rPr/>
            </w:pPr>
            <w:r>
              <w:rPr>
                <w:rFonts w:ascii="Arial" w:hAnsi="Arial" w:eastAsia="Arial" w:cs="Arial"/>
                <w:sz w:val="20"/>
                <w:szCs w:val="20"/>
              </w:rPr>
              <w:t xml:space="preserve">Learning Rate</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1395" w:type="dxa"/>
            <w:vAlign w:val="bottom"/>
            <w:textDirection w:val="lrTb"/>
            <w:noWrap w:val="false"/>
          </w:tcPr>
          <w:p w14:paraId="24A2DCC9" w14:textId="6B4EA8D7">
            <w:pPr>
              <w:suppressLineNumbers w:val="false"/>
              <w:pBdr/>
              <w:spacing w:after="0" w:afterAutospacing="0" w:before="0" w:beforeAutospacing="0" w:line="300" w:lineRule="auto"/>
              <w:ind/>
              <w:rPr/>
            </w:pPr>
            <w:r>
              <w:rPr>
                <w:rFonts w:ascii="Arial" w:hAnsi="Arial" w:eastAsia="Arial" w:cs="Arial"/>
                <w:sz w:val="20"/>
                <w:szCs w:val="20"/>
              </w:rPr>
              <w:t xml:space="preserve">Batch Size</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1395" w:type="dxa"/>
            <w:vAlign w:val="bottom"/>
            <w:textDirection w:val="lrTb"/>
            <w:noWrap w:val="false"/>
          </w:tcPr>
          <w:p w14:paraId="4F44412F" w14:textId="345F6E12">
            <w:pPr>
              <w:suppressLineNumbers w:val="false"/>
              <w:pBdr/>
              <w:spacing w:after="0" w:afterAutospacing="0" w:before="0" w:beforeAutospacing="0" w:line="300" w:lineRule="auto"/>
              <w:ind/>
              <w:rPr/>
            </w:pPr>
            <w:r>
              <w:rPr>
                <w:rFonts w:ascii="Arial" w:hAnsi="Arial" w:eastAsia="Arial" w:cs="Arial"/>
                <w:sz w:val="20"/>
                <w:szCs w:val="20"/>
              </w:rPr>
              <w:t xml:space="preserve">Epochs</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4425" w:type="dxa"/>
            <w:vAlign w:val="bottom"/>
            <w:textDirection w:val="lrTb"/>
            <w:noWrap w:val="false"/>
          </w:tcPr>
          <w:p w14:paraId="2F3BBD52" w14:textId="3974D63B">
            <w:pPr>
              <w:suppressLineNumbers w:val="false"/>
              <w:pBdr/>
              <w:spacing w:after="0" w:afterAutospacing="0" w:before="0" w:beforeAutospacing="0" w:line="300" w:lineRule="auto"/>
              <w:ind/>
              <w:rPr/>
            </w:pPr>
            <w:r>
              <w:rPr>
                <w:rFonts w:ascii="Arial" w:hAnsi="Arial" w:eastAsia="Arial" w:cs="Arial"/>
                <w:sz w:val="20"/>
                <w:szCs w:val="20"/>
              </w:rPr>
              <w:t xml:space="preserve">Loss Function Notes</w:t>
            </w:r>
            <w:r/>
          </w:p>
        </w:tc>
      </w:tr>
      <w:tr>
        <w:trPr>
          <w:trHeight w:val="315"/>
        </w:trPr>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1695" w:type="dxa"/>
            <w:vAlign w:val="bottom"/>
            <w:textDirection w:val="lrTb"/>
            <w:noWrap w:val="false"/>
          </w:tcPr>
          <w:p w14:paraId="3B3F38F4" w14:textId="381AD68C">
            <w:pPr>
              <w:suppressLineNumbers w:val="false"/>
              <w:pBdr/>
              <w:spacing w:after="0" w:afterAutospacing="0" w:before="0" w:beforeAutospacing="0" w:line="300" w:lineRule="auto"/>
              <w:ind/>
              <w:rPr/>
            </w:pPr>
            <w:r>
              <w:rPr>
                <w:rFonts w:ascii="Arial" w:hAnsi="Arial" w:eastAsia="Arial" w:cs="Arial"/>
                <w:sz w:val="20"/>
                <w:szCs w:val="20"/>
              </w:rPr>
              <w:t xml:space="preserve">M1: ResNet+GRU</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1395" w:type="dxa"/>
            <w:vAlign w:val="bottom"/>
            <w:textDirection w:val="lrTb"/>
            <w:noWrap w:val="false"/>
          </w:tcPr>
          <w:p w14:paraId="4BD33866" w14:textId="2106FF3F">
            <w:pPr>
              <w:suppressLineNumbers w:val="false"/>
              <w:pBdr/>
              <w:spacing w:after="0" w:afterAutospacing="0" w:before="0" w:beforeAutospacing="0" w:line="300" w:lineRule="auto"/>
              <w:ind/>
              <w:rPr/>
            </w:pPr>
            <w:r>
              <w:rPr>
                <w:rFonts w:ascii="Arial" w:hAnsi="Arial" w:eastAsia="Arial" w:cs="Arial"/>
                <w:sz w:val="20"/>
                <w:szCs w:val="20"/>
              </w:rPr>
              <w:t xml:space="preserve">1×10−3</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1395" w:type="dxa"/>
            <w:vAlign w:val="bottom"/>
            <w:textDirection w:val="lrTb"/>
            <w:noWrap w:val="false"/>
          </w:tcPr>
          <w:p w14:paraId="46608924" w14:textId="247EEC6E">
            <w:pPr>
              <w:suppressLineNumbers w:val="false"/>
              <w:pBdr/>
              <w:spacing w:after="0" w:afterAutospacing="0" w:before="0" w:beforeAutospacing="0" w:line="300" w:lineRule="auto"/>
              <w:ind/>
              <w:jc w:val="right"/>
              <w:rPr/>
            </w:pPr>
            <w:r>
              <w:rPr>
                <w:rFonts w:ascii="Arial" w:hAnsi="Arial" w:eastAsia="Arial" w:cs="Arial"/>
                <w:sz w:val="20"/>
                <w:szCs w:val="20"/>
              </w:rPr>
              <w:t xml:space="preserve">32</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1395" w:type="dxa"/>
            <w:vAlign w:val="bottom"/>
            <w:textDirection w:val="lrTb"/>
            <w:noWrap w:val="false"/>
          </w:tcPr>
          <w:p w14:paraId="0EC48480" w14:textId="56012081">
            <w:pPr>
              <w:suppressLineNumbers w:val="false"/>
              <w:pBdr/>
              <w:spacing w:after="0" w:afterAutospacing="0" w:before="0" w:beforeAutospacing="0" w:line="300" w:lineRule="auto"/>
              <w:ind/>
              <w:jc w:val="right"/>
              <w:rPr/>
            </w:pPr>
            <w:r>
              <w:rPr>
                <w:rFonts w:ascii="Arial" w:hAnsi="Arial" w:eastAsia="Arial" w:cs="Arial"/>
                <w:sz w:val="20"/>
                <w:szCs w:val="20"/>
              </w:rPr>
              <w:t xml:space="preserve">8</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4425" w:type="dxa"/>
            <w:vAlign w:val="bottom"/>
            <w:textDirection w:val="lrTb"/>
            <w:noWrap w:val="false"/>
          </w:tcPr>
          <w:p w14:paraId="55D193F0" w14:textId="552791E5">
            <w:pPr>
              <w:suppressLineNumbers w:val="false"/>
              <w:pBdr/>
              <w:spacing w:after="0" w:afterAutospacing="0" w:before="0" w:beforeAutospacing="0" w:line="300" w:lineRule="auto"/>
              <w:ind/>
              <w:rPr/>
            </w:pPr>
            <w:r>
              <w:rPr>
                <w:rFonts w:ascii="Arial" w:hAnsi="Arial" w:eastAsia="Arial" w:cs="Arial"/>
                <w:sz w:val="20"/>
                <w:szCs w:val="20"/>
              </w:rPr>
              <w:t xml:space="preserve">Focal Loss for Yes/No, Cross-Entropy for Attribute</w:t>
            </w:r>
            <w:r/>
          </w:p>
        </w:tc>
      </w:tr>
      <w:tr>
        <w:trPr>
          <w:trHeight w:val="315"/>
        </w:trPr>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1695" w:type="dxa"/>
            <w:vAlign w:val="bottom"/>
            <w:textDirection w:val="lrTb"/>
            <w:noWrap w:val="false"/>
          </w:tcPr>
          <w:p w14:paraId="5EB4D27A" w14:textId="254C74AE">
            <w:pPr>
              <w:suppressLineNumbers w:val="false"/>
              <w:pBdr/>
              <w:spacing w:after="0" w:afterAutospacing="0" w:before="0" w:beforeAutospacing="0" w:line="300" w:lineRule="auto"/>
              <w:ind/>
              <w:rPr/>
            </w:pPr>
            <w:r>
              <w:rPr>
                <w:rFonts w:ascii="Arial" w:hAnsi="Arial" w:eastAsia="Arial" w:cs="Arial"/>
                <w:sz w:val="20"/>
                <w:szCs w:val="20"/>
              </w:rPr>
              <w:t xml:space="preserve">M2: ViT+BERT-lite</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1395" w:type="dxa"/>
            <w:vAlign w:val="bottom"/>
            <w:textDirection w:val="lrTb"/>
            <w:noWrap w:val="false"/>
          </w:tcPr>
          <w:p w14:paraId="5B36771E" w14:textId="766178AC">
            <w:pPr>
              <w:suppressLineNumbers w:val="false"/>
              <w:pBdr/>
              <w:spacing w:after="0" w:afterAutospacing="0" w:before="0" w:beforeAutospacing="0" w:line="300" w:lineRule="auto"/>
              <w:ind/>
              <w:rPr/>
            </w:pPr>
            <w:r>
              <w:rPr>
                <w:rFonts w:ascii="Arial" w:hAnsi="Arial" w:eastAsia="Arial" w:cs="Arial"/>
                <w:sz w:val="20"/>
                <w:szCs w:val="20"/>
              </w:rPr>
              <w:t xml:space="preserve">5×10−4</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1395" w:type="dxa"/>
            <w:vAlign w:val="bottom"/>
            <w:textDirection w:val="lrTb"/>
            <w:noWrap w:val="false"/>
          </w:tcPr>
          <w:p w14:paraId="0EB4E8C6" w14:textId="200E4520">
            <w:pPr>
              <w:suppressLineNumbers w:val="false"/>
              <w:pBdr/>
              <w:spacing w:after="0" w:afterAutospacing="0" w:before="0" w:beforeAutospacing="0" w:line="300" w:lineRule="auto"/>
              <w:ind/>
              <w:jc w:val="right"/>
              <w:rPr/>
            </w:pPr>
            <w:r>
              <w:rPr>
                <w:rFonts w:ascii="Arial" w:hAnsi="Arial" w:eastAsia="Arial" w:cs="Arial"/>
                <w:sz w:val="20"/>
                <w:szCs w:val="20"/>
              </w:rPr>
              <w:t xml:space="preserve">32</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1395" w:type="dxa"/>
            <w:vAlign w:val="bottom"/>
            <w:textDirection w:val="lrTb"/>
            <w:noWrap w:val="false"/>
          </w:tcPr>
          <w:p w14:paraId="7197C177" w14:textId="7537B694">
            <w:pPr>
              <w:suppressLineNumbers w:val="false"/>
              <w:pBdr/>
              <w:spacing w:after="0" w:afterAutospacing="0" w:before="0" w:beforeAutospacing="0" w:line="300" w:lineRule="auto"/>
              <w:ind/>
              <w:jc w:val="right"/>
              <w:rPr/>
            </w:pPr>
            <w:r>
              <w:rPr>
                <w:rFonts w:ascii="Arial" w:hAnsi="Arial" w:eastAsia="Arial" w:cs="Arial"/>
                <w:sz w:val="20"/>
                <w:szCs w:val="20"/>
              </w:rPr>
              <w:t xml:space="preserve">10</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4425" w:type="dxa"/>
            <w:vAlign w:val="bottom"/>
            <w:textDirection w:val="lrTb"/>
            <w:noWrap w:val="false"/>
          </w:tcPr>
          <w:p w14:paraId="788406AF" w14:textId="34FF9D72">
            <w:pPr>
              <w:suppressLineNumbers w:val="false"/>
              <w:pBdr/>
              <w:spacing w:after="0" w:afterAutospacing="0" w:before="0" w:beforeAutospacing="0" w:line="300" w:lineRule="auto"/>
              <w:ind/>
              <w:rPr/>
            </w:pPr>
            <w:r>
              <w:rPr>
                <w:rFonts w:ascii="Arial" w:hAnsi="Arial" w:eastAsia="Arial" w:cs="Arial"/>
                <w:sz w:val="20"/>
                <w:szCs w:val="20"/>
              </w:rPr>
              <w:t xml:space="preserve">Focal Loss for Yes/No, Cross-Entropy for Attribute</w:t>
            </w:r>
            <w:r/>
          </w:p>
        </w:tc>
      </w:tr>
      <w:tr>
        <w:trPr>
          <w:trHeight w:val="315"/>
        </w:trPr>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1695" w:type="dxa"/>
            <w:vAlign w:val="bottom"/>
            <w:textDirection w:val="lrTb"/>
            <w:noWrap w:val="false"/>
          </w:tcPr>
          <w:p w14:paraId="045050A2" w14:textId="26C708FF">
            <w:pPr>
              <w:suppressLineNumbers w:val="false"/>
              <w:pBdr/>
              <w:spacing w:after="0" w:afterAutospacing="0" w:before="0" w:beforeAutospacing="0" w:line="300" w:lineRule="auto"/>
              <w:ind/>
              <w:rPr/>
            </w:pPr>
            <w:r>
              <w:rPr>
                <w:rFonts w:ascii="Arial" w:hAnsi="Arial" w:eastAsia="Arial" w:cs="Arial"/>
                <w:sz w:val="20"/>
                <w:szCs w:val="20"/>
              </w:rPr>
              <w:t xml:space="preserve">BLIP-2 (Zero-Shot)</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1395" w:type="dxa"/>
            <w:vAlign w:val="bottom"/>
            <w:textDirection w:val="lrTb"/>
            <w:noWrap w:val="false"/>
          </w:tcPr>
          <w:p w14:paraId="256D94D9" w14:textId="23133514">
            <w:pPr>
              <w:suppressLineNumbers w:val="false"/>
              <w:pBdr/>
              <w:spacing w:after="0" w:afterAutospacing="0" w:before="0" w:beforeAutospacing="0" w:line="300" w:lineRule="auto"/>
              <w:ind/>
              <w:rPr/>
            </w:pPr>
            <w:r>
              <w:rPr>
                <w:rFonts w:ascii="Arial" w:hAnsi="Arial" w:eastAsia="Arial" w:cs="Arial"/>
                <w:sz w:val="20"/>
                <w:szCs w:val="20"/>
              </w:rPr>
              <w:t xml:space="preserve">N/A</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1395" w:type="dxa"/>
            <w:vAlign w:val="bottom"/>
            <w:textDirection w:val="lrTb"/>
            <w:noWrap w:val="false"/>
          </w:tcPr>
          <w:p w14:paraId="44E727EB" w14:textId="08E9EF34">
            <w:pPr>
              <w:suppressLineNumbers w:val="false"/>
              <w:pBdr/>
              <w:spacing w:after="0" w:afterAutospacing="0" w:before="0" w:beforeAutospacing="0" w:line="300" w:lineRule="auto"/>
              <w:ind/>
              <w:rPr/>
            </w:pPr>
            <w:r>
              <w:rPr>
                <w:rFonts w:ascii="Arial" w:hAnsi="Arial" w:eastAsia="Arial" w:cs="Arial"/>
                <w:sz w:val="20"/>
                <w:szCs w:val="20"/>
              </w:rPr>
              <w:t xml:space="preserve">N/A</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1395" w:type="dxa"/>
            <w:vAlign w:val="bottom"/>
            <w:textDirection w:val="lrTb"/>
            <w:noWrap w:val="false"/>
          </w:tcPr>
          <w:p w14:paraId="03F4C1B6" w14:textId="1B8797BB">
            <w:pPr>
              <w:suppressLineNumbers w:val="false"/>
              <w:pBdr/>
              <w:spacing w:after="0" w:afterAutospacing="0" w:before="0" w:beforeAutospacing="0" w:line="300" w:lineRule="auto"/>
              <w:ind/>
              <w:rPr/>
            </w:pPr>
            <w:r>
              <w:rPr>
                <w:rFonts w:ascii="Arial" w:hAnsi="Arial" w:eastAsia="Arial" w:cs="Arial"/>
                <w:sz w:val="20"/>
                <w:szCs w:val="20"/>
              </w:rPr>
              <w:t xml:space="preserve">N/A</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4425" w:type="dxa"/>
            <w:vAlign w:val="bottom"/>
            <w:textDirection w:val="lrTb"/>
            <w:noWrap w:val="false"/>
          </w:tcPr>
          <w:p w14:paraId="5B4CBDDD" w14:textId="76E1E77D">
            <w:pPr>
              <w:suppressLineNumbers w:val="false"/>
              <w:pBdr/>
              <w:spacing w:after="0" w:afterAutospacing="0" w:before="0" w:beforeAutospacing="0" w:line="300" w:lineRule="auto"/>
              <w:ind/>
              <w:rPr/>
            </w:pPr>
            <w:r>
              <w:rPr>
                <w:rFonts w:ascii="Arial" w:hAnsi="Arial" w:eastAsia="Arial" w:cs="Arial"/>
                <w:sz w:val="20"/>
                <w:szCs w:val="20"/>
              </w:rPr>
              <w:t xml:space="preserve">Constrained decoding, max_new_tokens=2</w:t>
            </w:r>
            <w:r/>
          </w:p>
        </w:tc>
      </w:tr>
    </w:tbl>
    <w:p w14:paraId="55E7B27D" w14:textId="23239E6A">
      <w:pPr>
        <w:pStyle w:val="774"/>
        <w:suppressLineNumbers w:val="false"/>
        <w:pBdr/>
        <w:spacing w:line="300" w:lineRule="auto"/>
        <w:ind w:firstLine="0"/>
        <w:rPr/>
      </w:pPr>
      <w:r/>
      <w:r/>
    </w:p>
    <w:p w14:paraId="5B2AE5B9" w14:textId="3C598EE5">
      <w:pPr>
        <w:suppressLineNumbers w:val="false"/>
        <w:pBdr/>
        <w:spacing w:after="240" w:afterAutospacing="0" w:before="240" w:beforeAutospacing="0" w:line="300" w:lineRule="auto"/>
        <w:ind/>
        <w:rPr>
          <w:b/>
          <w:bCs/>
        </w:rPr>
      </w:pPr>
      <w:r>
        <w:rPr>
          <w:b/>
          <w:bCs/>
          <w:lang w:val="en-CA"/>
        </w:rPr>
        <w:t xml:space="preserve">3.2.3 Quantitative Performance Analysis</w:t>
      </w:r>
      <w:r>
        <w:rPr>
          <w:b/>
          <w:bCs/>
          <w:lang w:val="en-CA"/>
        </w:rPr>
      </w:r>
    </w:p>
    <w:p w14:paraId="629F9B7F" w14:textId="11752D82">
      <w:pPr>
        <w:pStyle w:val="774"/>
        <w:suppressLineNumbers w:val="false"/>
        <w:pBdr/>
        <w:spacing w:line="300" w:lineRule="auto"/>
        <w:ind w:firstLine="0"/>
        <w:rPr>
          <w:b/>
          <w:bCs/>
        </w:rPr>
      </w:pPr>
      <w:r>
        <w:rPr>
          <w:b/>
          <w:bCs/>
        </w:rPr>
      </w:r>
      <w:r>
        <w:rPr>
          <w:b/>
          <w:bCs/>
        </w:rPr>
      </w:r>
    </w:p>
    <w:p w14:paraId="5681F89A" w14:textId="4734CAE5">
      <w:pPr>
        <w:pStyle w:val="774"/>
        <w:suppressLineNumbers w:val="false"/>
        <w:pBdr/>
        <w:spacing w:line="300" w:lineRule="auto"/>
        <w:ind/>
        <w:rPr/>
      </w:pPr>
      <w:r>
        <w:t xml:space="preserve">The models were evaluated on the held-out test set for each task, with the results summarized in Table 3.3. The analysis yielded a set of clear, and in some cases surprising, findings regarding the efficacy of different architectural choices.</w:t>
      </w:r>
      <w:r/>
    </w:p>
    <w:p w14:paraId="29A86FEF" w14:textId="1AE5B9B5">
      <w:pPr>
        <w:pStyle w:val="774"/>
        <w:suppressLineNumbers w:val="false"/>
        <w:pBdr/>
        <w:spacing w:line="300" w:lineRule="auto"/>
        <w:ind/>
        <w:rPr/>
      </w:pPr>
      <w:r>
        <w:t xml:space="preserve"> </w:t>
      </w:r>
      <w:r/>
    </w:p>
    <w:p w14:paraId="121091BB" w14:textId="7D755003">
      <w:pPr>
        <w:pStyle w:val="774"/>
        <w:suppressLineNumbers w:val="false"/>
        <w:pBdr/>
        <w:spacing w:line="300" w:lineRule="auto"/>
        <w:ind/>
        <w:rPr/>
      </w:pPr>
      <w:r>
        <w:t xml:space="preserve">Performance on the Yes/No Task: On the binary presence detection task ("is there text"), the classic </w:t>
      </w:r>
      <w:r>
        <w:t xml:space="preserve">ResNet+GRU</w:t>
      </w:r>
      <w:r>
        <w:t xml:space="preserve"> fusion model (M1) achieved the strongest performance, reaching an accuracy of 97.29% and a Macro-F1 score of 92.99%. This result was significantly better than that of the more complex </w:t>
      </w:r>
      <w:r>
        <w:t xml:space="preserve">ViT+BERT-lite</w:t>
      </w:r>
      <w:r>
        <w:t xml:space="preserve"> model (M2), which scored 93.45% on accuracy and 84.33% on Macro-F1. A paired </w:t>
      </w:r>
      <w:r>
        <w:t xml:space="preserve">McNemar</w:t>
      </w:r>
      <w:r>
        <w:t xml:space="preserve"> test on the per-item predictions confirmed that this performance gap was statistically significant, with p&lt;10 </w:t>
      </w:r>
      <w:r>
        <w:t xml:space="preserve">−13</w:t>
      </w:r>
      <w:r>
        <w:t xml:space="preserve">. The zero-shot BLIP-2 model performed the worst, particularly on the Macro-F1 metric (49.23%), </w:t>
      </w:r>
      <w:r>
        <w:t xml:space="preserve">indicating</w:t>
      </w:r>
      <w:r>
        <w:t xml:space="preserve"> a strong bias towards predicting the majority "yes" class in the absence of task-specific fine-tuning</w:t>
      </w:r>
      <w:r>
        <w:t xml:space="preserve">.  </w:t>
      </w:r>
      <w:r>
        <w:t xml:space="preserve"> </w:t>
      </w:r>
      <w:r/>
    </w:p>
    <w:p w14:paraId="6D1939A2" w14:textId="70DBDFD2">
      <w:pPr>
        <w:pStyle w:val="774"/>
        <w:suppressLineNumbers w:val="false"/>
        <w:pBdr/>
        <w:spacing w:line="300" w:lineRule="auto"/>
        <w:ind/>
        <w:rPr/>
      </w:pPr>
      <w:r>
        <w:t xml:space="preserve"> </w:t>
      </w:r>
      <w:r/>
    </w:p>
    <w:p w14:paraId="7AF00155" w14:textId="675E7F7C">
      <w:pPr>
        <w:pStyle w:val="774"/>
        <w:suppressLineNumbers w:val="false"/>
        <w:pBdr/>
        <w:spacing w:line="300" w:lineRule="auto"/>
        <w:ind/>
        <w:rPr/>
      </w:pPr>
      <w:r>
        <w:t xml:space="preserve">Performance on the Attribute Task: For the more challenging six-way classification of polyp morphology, the perfo</w:t>
      </w:r>
      <w:r>
        <w:t xml:space="preserve">rmance landscape shifted. The two trained models, M1 and M2, achieved comparable accuracy scores (64.20% for M1 vs. 65.34% for M2). However, the ViT+BERT-lite model (M2) demonstrated a small but consistent advantage in Macro-F1 score (36.22% vs. 34.66% for</w:t>
      </w:r>
      <w:r>
        <w:t xml:space="preserve"> M1). This suggests that while both models struggled with the overall complexity of the task, the transformer-based co-attention mechanism provided a slight benefit in balancing performance across the six different polyp classes, some of which are rare.   </w:t>
      </w:r>
      <w:r/>
    </w:p>
    <w:p w14:paraId="4F9BBB41" w14:textId="4131E94A">
      <w:pPr>
        <w:pStyle w:val="774"/>
        <w:suppressLineNumbers w:val="false"/>
        <w:pBdr/>
        <w:spacing w:line="300" w:lineRule="auto"/>
        <w:ind/>
        <w:rPr/>
      </w:pPr>
      <w:r>
        <w:t xml:space="preserve"> </w:t>
      </w:r>
      <w:r/>
    </w:p>
    <w:p w14:paraId="78B74C7F" w14:textId="56D950EB">
      <w:pPr>
        <w:pStyle w:val="774"/>
        <w:suppressLineNumbers w:val="false"/>
        <w:pBdr/>
        <w:spacing w:line="300" w:lineRule="auto"/>
        <w:ind/>
        <w:rPr/>
      </w:pPr>
      <w:r>
        <w:t xml:space="preserve">These quantitative results present a crucial and nuanced picture. The unexpected outperformance of a simpler, "legacy" architecture on the binary presence task directly challenges the as</w:t>
      </w:r>
      <w:r>
        <w:t xml:space="preserve">sumption that more complex, attention-based models are universally superior. At the same time, the slight edge of the transformer model on the more complex morphological task suggests its theoretical advantages may manifest when finer-grained reasoning is </w:t>
      </w:r>
      <w:r>
        <w:t xml:space="preserve">required</w:t>
      </w:r>
      <w:r>
        <w:t xml:space="preserve">. This </w:t>
      </w:r>
      <w:r>
        <w:t xml:space="preserve">apparent</w:t>
      </w:r>
      <w:r>
        <w:t xml:space="preserve"> contradiction is not a flaw in the experiment but </w:t>
      </w:r>
      <w:r>
        <w:t xml:space="preserve">rather a key finding that demands deeper, qualitative investigation. It suggests that the effectiveness of a VQA architecture is not an intrinsic property but is deeply entangled with the specific nature and complexity of the clinical question being asked.</w:t>
      </w:r>
      <w:r/>
    </w:p>
    <w:p w14:paraId="40C1ACA5" w14:textId="774337C4">
      <w:pPr>
        <w:pStyle w:val="774"/>
        <w:suppressLineNumbers w:val="false"/>
        <w:pBdr/>
        <w:spacing w:line="300" w:lineRule="auto"/>
        <w:ind/>
        <w:rPr/>
      </w:pPr>
      <w:r/>
      <w:r/>
    </w:p>
    <w:tbl>
      <w:tblPr>
        <w:tblStyle w:val="831"/>
        <w:tblW w:w="0" w:type="auto"/>
        <w:tblBorders/>
        <w:tblLayout w:type="fixed"/>
        <w:tblLook w:val="06A0" w:firstRow="1" w:lastRow="0" w:firstColumn="1" w:lastColumn="0" w:noHBand="1" w:noVBand="1"/>
      </w:tblPr>
      <w:tblGrid>
        <w:gridCol w:w="2025"/>
        <w:gridCol w:w="2295"/>
        <w:gridCol w:w="2145"/>
      </w:tblGrid>
      <w:tr>
        <w:trPr>
          <w:trHeight w:val="315"/>
        </w:trPr>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025" w:type="dxa"/>
            <w:vAlign w:val="bottom"/>
            <w:textDirection w:val="lrTb"/>
            <w:noWrap w:val="false"/>
          </w:tcPr>
          <w:p w14:paraId="6AAA0334" w14:textId="3DD75CA3">
            <w:pPr>
              <w:suppressLineNumbers w:val="false"/>
              <w:pBdr/>
              <w:spacing w:after="0" w:afterAutospacing="0" w:before="0" w:beforeAutospacing="0" w:line="300" w:lineRule="auto"/>
              <w:ind/>
              <w:rPr/>
            </w:pPr>
            <w:r>
              <w:rPr>
                <w:rFonts w:ascii="Arial" w:hAnsi="Arial" w:eastAsia="Arial" w:cs="Arial"/>
                <w:sz w:val="20"/>
                <w:szCs w:val="20"/>
              </w:rPr>
              <w:t xml:space="preserve">Model Family</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295" w:type="dxa"/>
            <w:vAlign w:val="bottom"/>
            <w:textDirection w:val="lrTb"/>
            <w:noWrap w:val="false"/>
          </w:tcPr>
          <w:p w14:paraId="02FAB83E" w14:textId="13CCAE19">
            <w:pPr>
              <w:suppressLineNumbers w:val="false"/>
              <w:pBdr/>
              <w:spacing w:after="0" w:afterAutospacing="0" w:before="0" w:beforeAutospacing="0" w:line="300" w:lineRule="auto"/>
              <w:ind/>
              <w:rPr/>
            </w:pPr>
            <w:r>
              <w:rPr>
                <w:rFonts w:ascii="Arial" w:hAnsi="Arial" w:eastAsia="Arial" w:cs="Arial"/>
                <w:sz w:val="20"/>
                <w:szCs w:val="20"/>
              </w:rPr>
              <w:t xml:space="preserve">Yes/No ("is there text")</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145" w:type="dxa"/>
            <w:vAlign w:val="bottom"/>
            <w:textDirection w:val="lrTb"/>
            <w:noWrap w:val="false"/>
          </w:tcPr>
          <w:p w14:paraId="3819A6ED" w14:textId="06D7D790">
            <w:pPr>
              <w:suppressLineNumbers w:val="false"/>
              <w:pBdr/>
              <w:spacing w:after="0" w:afterAutospacing="0" w:before="0" w:beforeAutospacing="0" w:line="300" w:lineRule="auto"/>
              <w:ind/>
              <w:rPr/>
            </w:pPr>
            <w:r>
              <w:rPr>
                <w:rFonts w:ascii="Arial" w:hAnsi="Arial" w:eastAsia="Arial" w:cs="Arial"/>
                <w:sz w:val="20"/>
                <w:szCs w:val="20"/>
              </w:rPr>
              <w:t xml:space="preserve">Attribute (polyp type)</w:t>
            </w:r>
            <w:r/>
          </w:p>
        </w:tc>
      </w:tr>
      <w:tr>
        <w:trPr>
          <w:trHeight w:val="315"/>
        </w:trPr>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025" w:type="dxa"/>
            <w:vAlign w:val="bottom"/>
            <w:textDirection w:val="lrTb"/>
            <w:noWrap w:val="false"/>
          </w:tcPr>
          <w:p w14:paraId="349BD71C" w14:textId="4655136E">
            <w:pPr>
              <w:suppressLineNumbers w:val="false"/>
              <w:pBdr/>
              <w:spacing w:line="300" w:lineRule="auto"/>
              <w:ind/>
              <w:rPr/>
            </w:pPr>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295" w:type="dxa"/>
            <w:vAlign w:val="bottom"/>
            <w:textDirection w:val="lrTb"/>
            <w:noWrap w:val="false"/>
          </w:tcPr>
          <w:p w14:paraId="12D6D9FD" w14:textId="4E7ED29B">
            <w:pPr>
              <w:suppressLineNumbers w:val="false"/>
              <w:pBdr/>
              <w:spacing w:after="0" w:afterAutospacing="0" w:before="0" w:beforeAutospacing="0" w:line="300" w:lineRule="auto"/>
              <w:ind/>
              <w:rPr/>
            </w:pPr>
            <w:r>
              <w:rPr>
                <w:rFonts w:ascii="Arial" w:hAnsi="Arial" w:eastAsia="Arial" w:cs="Arial"/>
                <w:sz w:val="20"/>
                <w:szCs w:val="20"/>
              </w:rPr>
              <w:t xml:space="preserve">Acc. (%)</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145" w:type="dxa"/>
            <w:vAlign w:val="bottom"/>
            <w:textDirection w:val="lrTb"/>
            <w:noWrap w:val="false"/>
          </w:tcPr>
          <w:p w14:paraId="15242A3B" w14:textId="40B9F2ED">
            <w:pPr>
              <w:suppressLineNumbers w:val="false"/>
              <w:pBdr/>
              <w:spacing w:after="0" w:afterAutospacing="0" w:before="0" w:beforeAutospacing="0" w:line="300" w:lineRule="auto"/>
              <w:ind/>
              <w:rPr/>
            </w:pPr>
            <w:r>
              <w:rPr>
                <w:rFonts w:ascii="Arial" w:hAnsi="Arial" w:eastAsia="Arial" w:cs="Arial"/>
                <w:sz w:val="20"/>
                <w:szCs w:val="20"/>
              </w:rPr>
              <w:t xml:space="preserve">F1 (%)</w:t>
            </w:r>
            <w:r/>
          </w:p>
        </w:tc>
      </w:tr>
      <w:tr>
        <w:trPr>
          <w:trHeight w:val="315"/>
        </w:trPr>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025" w:type="dxa"/>
            <w:vAlign w:val="bottom"/>
            <w:textDirection w:val="lrTb"/>
            <w:noWrap w:val="false"/>
          </w:tcPr>
          <w:p w14:paraId="6D320EF1" w14:textId="60F44777">
            <w:pPr>
              <w:suppressLineNumbers w:val="false"/>
              <w:pBdr/>
              <w:spacing w:after="0" w:afterAutospacing="0" w:before="0" w:beforeAutospacing="0" w:line="300" w:lineRule="auto"/>
              <w:ind/>
              <w:rPr/>
            </w:pPr>
            <w:r>
              <w:rPr>
                <w:rFonts w:ascii="Arial" w:hAnsi="Arial" w:eastAsia="Arial" w:cs="Arial"/>
                <w:sz w:val="20"/>
                <w:szCs w:val="20"/>
              </w:rPr>
              <w:t xml:space="preserve">Sanity (Majority)</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295" w:type="dxa"/>
            <w:vAlign w:val="bottom"/>
            <w:textDirection w:val="lrTb"/>
            <w:noWrap w:val="false"/>
          </w:tcPr>
          <w:p w14:paraId="20AC6D9F" w14:textId="17CD646F">
            <w:pPr>
              <w:suppressLineNumbers w:val="false"/>
              <w:pBdr/>
              <w:spacing w:after="0" w:afterAutospacing="0" w:before="0" w:beforeAutospacing="0" w:line="300" w:lineRule="auto"/>
              <w:ind/>
              <w:jc w:val="right"/>
              <w:rPr/>
            </w:pPr>
            <w:r>
              <w:rPr>
                <w:rFonts w:ascii="Arial" w:hAnsi="Arial" w:eastAsia="Arial" w:cs="Arial"/>
                <w:sz w:val="20"/>
                <w:szCs w:val="20"/>
              </w:rPr>
              <w:t xml:space="preserve">89.16</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145" w:type="dxa"/>
            <w:vAlign w:val="bottom"/>
            <w:textDirection w:val="lrTb"/>
            <w:noWrap w:val="false"/>
          </w:tcPr>
          <w:p w14:paraId="45AE2F4B" w14:textId="0336D1F1">
            <w:pPr>
              <w:suppressLineNumbers w:val="false"/>
              <w:pBdr/>
              <w:spacing w:after="0" w:afterAutospacing="0" w:before="0" w:beforeAutospacing="0" w:line="300" w:lineRule="auto"/>
              <w:ind/>
              <w:jc w:val="right"/>
              <w:rPr/>
            </w:pPr>
            <w:r>
              <w:rPr>
                <w:rFonts w:ascii="Arial" w:hAnsi="Arial" w:eastAsia="Arial" w:cs="Arial"/>
                <w:sz w:val="20"/>
                <w:szCs w:val="20"/>
              </w:rPr>
              <w:t xml:space="preserve">47.12</w:t>
            </w:r>
            <w:r/>
          </w:p>
        </w:tc>
      </w:tr>
      <w:tr>
        <w:trPr>
          <w:trHeight w:val="315"/>
        </w:trPr>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025" w:type="dxa"/>
            <w:vAlign w:val="bottom"/>
            <w:textDirection w:val="lrTb"/>
            <w:noWrap w:val="false"/>
          </w:tcPr>
          <w:p w14:paraId="5C1FD110" w14:textId="66C6AA36">
            <w:pPr>
              <w:suppressLineNumbers w:val="false"/>
              <w:pBdr/>
              <w:spacing w:after="0" w:afterAutospacing="0" w:before="0" w:beforeAutospacing="0" w:line="300" w:lineRule="auto"/>
              <w:ind/>
              <w:rPr/>
            </w:pPr>
            <w:r>
              <w:rPr>
                <w:rFonts w:ascii="Arial" w:hAnsi="Arial" w:eastAsia="Arial" w:cs="Arial"/>
                <w:sz w:val="20"/>
                <w:szCs w:val="20"/>
              </w:rPr>
              <w:t xml:space="preserve">M1 (ResNet+GRU)</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295" w:type="dxa"/>
            <w:vAlign w:val="bottom"/>
            <w:textDirection w:val="lrTb"/>
            <w:noWrap w:val="false"/>
          </w:tcPr>
          <w:p w14:paraId="7C2EB36C" w14:textId="3F5E870E">
            <w:pPr>
              <w:suppressLineNumbers w:val="false"/>
              <w:pBdr/>
              <w:spacing w:after="0" w:afterAutospacing="0" w:before="0" w:beforeAutospacing="0" w:line="300" w:lineRule="auto"/>
              <w:ind/>
              <w:jc w:val="right"/>
              <w:rPr/>
            </w:pPr>
            <w:r>
              <w:rPr>
                <w:rFonts w:ascii="Arial" w:hAnsi="Arial" w:eastAsia="Arial" w:cs="Arial"/>
                <w:sz w:val="20"/>
                <w:szCs w:val="20"/>
              </w:rPr>
              <w:t xml:space="preserve">97.29</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145" w:type="dxa"/>
            <w:vAlign w:val="bottom"/>
            <w:textDirection w:val="lrTb"/>
            <w:noWrap w:val="false"/>
          </w:tcPr>
          <w:p w14:paraId="67E5337E" w14:textId="210704C6">
            <w:pPr>
              <w:suppressLineNumbers w:val="false"/>
              <w:pBdr/>
              <w:spacing w:after="0" w:afterAutospacing="0" w:before="0" w:beforeAutospacing="0" w:line="300" w:lineRule="auto"/>
              <w:ind/>
              <w:jc w:val="right"/>
              <w:rPr/>
            </w:pPr>
            <w:r>
              <w:rPr>
                <w:rFonts w:ascii="Arial" w:hAnsi="Arial" w:eastAsia="Arial" w:cs="Arial"/>
                <w:sz w:val="20"/>
                <w:szCs w:val="20"/>
              </w:rPr>
              <w:t xml:space="preserve">92.99</w:t>
            </w:r>
            <w:r/>
          </w:p>
        </w:tc>
      </w:tr>
      <w:tr>
        <w:trPr>
          <w:trHeight w:val="315"/>
        </w:trPr>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025" w:type="dxa"/>
            <w:vAlign w:val="bottom"/>
            <w:textDirection w:val="lrTb"/>
            <w:noWrap w:val="false"/>
          </w:tcPr>
          <w:p w14:paraId="4FD6DB01" w14:textId="0D83A758">
            <w:pPr>
              <w:suppressLineNumbers w:val="false"/>
              <w:pBdr/>
              <w:spacing w:after="0" w:afterAutospacing="0" w:before="0" w:beforeAutospacing="0" w:line="300" w:lineRule="auto"/>
              <w:ind/>
              <w:rPr/>
            </w:pPr>
            <w:r>
              <w:rPr>
                <w:rFonts w:ascii="Arial" w:hAnsi="Arial" w:eastAsia="Arial" w:cs="Arial"/>
                <w:sz w:val="20"/>
                <w:szCs w:val="20"/>
              </w:rPr>
              <w:t xml:space="preserve">M2 (ViT+BERT-lite)</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295" w:type="dxa"/>
            <w:vAlign w:val="bottom"/>
            <w:textDirection w:val="lrTb"/>
            <w:noWrap w:val="false"/>
          </w:tcPr>
          <w:p w14:paraId="02EBE401" w14:textId="44C66405">
            <w:pPr>
              <w:suppressLineNumbers w:val="false"/>
              <w:pBdr/>
              <w:spacing w:after="0" w:afterAutospacing="0" w:before="0" w:beforeAutospacing="0" w:line="300" w:lineRule="auto"/>
              <w:ind/>
              <w:jc w:val="right"/>
              <w:rPr/>
            </w:pPr>
            <w:r>
              <w:rPr>
                <w:rFonts w:ascii="Arial" w:hAnsi="Arial" w:eastAsia="Arial" w:cs="Arial"/>
                <w:sz w:val="20"/>
                <w:szCs w:val="20"/>
              </w:rPr>
              <w:t xml:space="preserve">93.45</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145" w:type="dxa"/>
            <w:vAlign w:val="bottom"/>
            <w:textDirection w:val="lrTb"/>
            <w:noWrap w:val="false"/>
          </w:tcPr>
          <w:p w14:paraId="73C5F182" w14:textId="7BD20984">
            <w:pPr>
              <w:suppressLineNumbers w:val="false"/>
              <w:pBdr/>
              <w:spacing w:after="0" w:afterAutospacing="0" w:before="0" w:beforeAutospacing="0" w:line="300" w:lineRule="auto"/>
              <w:ind/>
              <w:jc w:val="right"/>
              <w:rPr/>
            </w:pPr>
            <w:r>
              <w:rPr>
                <w:rFonts w:ascii="Arial" w:hAnsi="Arial" w:eastAsia="Arial" w:cs="Arial"/>
                <w:sz w:val="20"/>
                <w:szCs w:val="20"/>
              </w:rPr>
              <w:t xml:space="preserve">84.33</w:t>
            </w:r>
            <w:r/>
          </w:p>
        </w:tc>
      </w:tr>
      <w:tr>
        <w:trPr>
          <w:trHeight w:val="315"/>
        </w:trPr>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025" w:type="dxa"/>
            <w:vAlign w:val="bottom"/>
            <w:textDirection w:val="lrTb"/>
            <w:noWrap w:val="false"/>
          </w:tcPr>
          <w:p w14:paraId="2E8D5BA2" w14:textId="70D86141">
            <w:pPr>
              <w:suppressLineNumbers w:val="false"/>
              <w:pBdr/>
              <w:spacing w:after="0" w:afterAutospacing="0" w:before="0" w:beforeAutospacing="0" w:line="300" w:lineRule="auto"/>
              <w:ind/>
              <w:rPr/>
            </w:pPr>
            <w:r>
              <w:rPr>
                <w:rFonts w:ascii="Arial" w:hAnsi="Arial" w:eastAsia="Arial" w:cs="Arial"/>
                <w:sz w:val="20"/>
                <w:szCs w:val="20"/>
              </w:rPr>
              <w:t xml:space="preserve">BLIP-2 (Zero-shot)</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295" w:type="dxa"/>
            <w:vAlign w:val="bottom"/>
            <w:textDirection w:val="lrTb"/>
            <w:noWrap w:val="false"/>
          </w:tcPr>
          <w:p w14:paraId="490F928D" w14:textId="18515403">
            <w:pPr>
              <w:suppressLineNumbers w:val="false"/>
              <w:pBdr/>
              <w:spacing w:after="0" w:afterAutospacing="0" w:before="0" w:beforeAutospacing="0" w:line="300" w:lineRule="auto"/>
              <w:ind/>
              <w:jc w:val="right"/>
              <w:rPr/>
            </w:pPr>
            <w:r>
              <w:rPr>
                <w:rFonts w:ascii="Arial" w:hAnsi="Arial" w:eastAsia="Arial" w:cs="Arial"/>
                <w:sz w:val="20"/>
                <w:szCs w:val="20"/>
              </w:rPr>
              <w:t xml:space="preserve">89.39</w:t>
            </w:r>
            <w:r/>
          </w:p>
        </w:tc>
        <w:tc>
          <w:tcPr>
            <w:tcBorders>
              <w:top w:val="single" w:color="cccccc" w:sz="6" w:space="0"/>
              <w:left w:val="single" w:color="cccccc" w:sz="6" w:space="0"/>
              <w:bottom w:val="single" w:color="cccccc" w:sz="6" w:space="0"/>
              <w:right w:val="single" w:color="cccccc" w:sz="6" w:space="0"/>
            </w:tcBorders>
            <w:tcMar>
              <w:left w:w="45" w:type="dxa"/>
              <w:top w:w="30" w:type="dxa"/>
              <w:right w:w="45" w:type="dxa"/>
              <w:bottom w:w="30" w:type="dxa"/>
            </w:tcMar>
            <w:tcW w:w="2145" w:type="dxa"/>
            <w:vAlign w:val="bottom"/>
            <w:textDirection w:val="lrTb"/>
            <w:noWrap w:val="false"/>
          </w:tcPr>
          <w:p w14:paraId="122FBBCD" w14:textId="2FFC3AFD">
            <w:pPr>
              <w:suppressLineNumbers w:val="false"/>
              <w:pBdr/>
              <w:spacing w:after="0" w:afterAutospacing="0" w:before="0" w:beforeAutospacing="0" w:line="300" w:lineRule="auto"/>
              <w:ind/>
              <w:jc w:val="right"/>
              <w:rPr/>
            </w:pPr>
            <w:r>
              <w:rPr>
                <w:rFonts w:ascii="Arial" w:hAnsi="Arial" w:eastAsia="Arial" w:cs="Arial"/>
                <w:sz w:val="20"/>
                <w:szCs w:val="20"/>
              </w:rPr>
              <w:t xml:space="preserve">49.23</w:t>
            </w:r>
            <w:r/>
          </w:p>
        </w:tc>
      </w:tr>
    </w:tbl>
    <w:p w14:paraId="72855340" w14:textId="37D8A6EB">
      <w:pPr>
        <w:pStyle w:val="774"/>
        <w:suppressLineNumbers w:val="false"/>
        <w:pBdr/>
        <w:spacing w:line="300" w:lineRule="auto"/>
        <w:ind w:firstLine="0"/>
        <w:rPr/>
      </w:pPr>
      <w:r/>
      <w:r/>
    </w:p>
    <w:p w14:paraId="6413EA72" w14:textId="62845AC7">
      <w:pPr>
        <w:suppressLineNumbers w:val="false"/>
        <w:pBdr/>
        <w:spacing w:after="240" w:afterAutospacing="0" w:before="240" w:beforeAutospacing="0" w:line="300" w:lineRule="auto"/>
        <w:ind/>
        <w:rPr>
          <w:b/>
          <w:bCs/>
          <w:sz w:val="24"/>
          <w:szCs w:val="24"/>
        </w:rPr>
      </w:pPr>
      <w:r>
        <w:rPr>
          <w:b/>
          <w:bCs/>
          <w:sz w:val="24"/>
          <w:szCs w:val="24"/>
          <w:lang w:val="en-CA"/>
        </w:rPr>
        <w:t xml:space="preserve">3.3 Beyond Aggregate Metrics: A Scenario-Based Qualitative Analysis</w:t>
      </w:r>
      <w:r>
        <w:rPr>
          <w:b/>
          <w:bCs/>
          <w:sz w:val="24"/>
          <w:szCs w:val="24"/>
          <w:lang w:val="en-CA"/>
        </w:rPr>
      </w:r>
    </w:p>
    <w:p w14:paraId="3A7A3BD6" w14:textId="7B45A9FE">
      <w:pPr>
        <w:pStyle w:val="774"/>
        <w:suppressLineNumbers w:val="false"/>
        <w:pBdr/>
        <w:spacing w:line="300" w:lineRule="auto"/>
        <w:ind w:firstLine="0"/>
        <w:rPr>
          <w:b/>
          <w:bCs/>
        </w:rPr>
      </w:pPr>
      <w:r>
        <w:rPr>
          <w:b/>
          <w:bCs/>
        </w:rPr>
      </w:r>
      <w:r>
        <w:rPr>
          <w:b/>
          <w:bCs/>
        </w:rPr>
      </w:r>
    </w:p>
    <w:p w14:paraId="629C8B5D" w14:textId="0CA175F9">
      <w:pPr>
        <w:pStyle w:val="774"/>
        <w:suppressLineNumbers w:val="false"/>
        <w:pBdr/>
        <w:spacing w:line="300" w:lineRule="auto"/>
        <w:ind/>
        <w:rPr/>
      </w:pPr>
      <w:r>
        <w:t xml:space="preserve">While the aggregate metrics presented in the previous section provide a valuable high-level summary of model performance, they can also obscure critical details and ma</w:t>
      </w:r>
      <w:r>
        <w:t xml:space="preserve">sk the underlying reasons for success or failure. A model achieving 97% accuracy is not necessarily a robust or reliable one; its performance may be concentrated on easy, prototypical examples while failing catastrophically on more challenging or ambiguous</w:t>
      </w:r>
      <w:r>
        <w:t xml:space="preserve"> cases. To move beyond the limitations of statistics and gain a deeper, more clinically-grounded understanding of model behavior, this section adopts a qualitative, scenario-based approach, as strongly advocated by supervising faculty. By analyzing model p</w:t>
      </w:r>
      <w:r>
        <w:t xml:space="preserve">redictions on a curated set of specific, representative images from the test set, it is possible to probe the models' reasoning processes, identify their failure modes, and substantiate the "doubts" about the sufficiency of statistical evaluation alone.   </w:t>
      </w:r>
      <w:r/>
    </w:p>
    <w:p w14:paraId="184E730B" w14:textId="426C23D8">
      <w:pPr>
        <w:pStyle w:val="774"/>
        <w:suppressLineNumbers w:val="false"/>
        <w:pBdr/>
        <w:spacing w:line="300" w:lineRule="auto"/>
        <w:ind/>
        <w:rPr/>
      </w:pPr>
      <w:r>
        <w:t xml:space="preserve"> </w:t>
      </w:r>
      <w:r/>
    </w:p>
    <w:p w14:paraId="72267C0C" w14:textId="57C4CF70">
      <w:pPr>
        <w:pStyle w:val="774"/>
        <w:suppressLineNumbers w:val="false"/>
        <w:pBdr/>
        <w:spacing w:line="300" w:lineRule="auto"/>
        <w:ind/>
        <w:rPr/>
      </w:pPr>
      <w:r>
        <w:t xml:space="preserve">Scenario 1: The "Deceptively Simple" Case of Artifact Detection</w:t>
      </w:r>
      <w:r/>
    </w:p>
    <w:p w14:paraId="30D37A76" w14:textId="4B6F95B7">
      <w:pPr>
        <w:pStyle w:val="774"/>
        <w:suppressLineNumbers w:val="false"/>
        <w:pBdr/>
        <w:spacing w:line="300" w:lineRule="auto"/>
        <w:ind/>
        <w:rPr/>
      </w:pPr>
      <w:r>
        <w:t xml:space="preserve">The most striking result from the quantitative analysis was the superior performance of the simpler ResNet+GRU</w:t>
      </w:r>
      <w:r>
        <w:t xml:space="preserve"> model (M1) on the "is there text" task. A purely statistical view might lead to the premature conclusion that classic fusion architectures are simply better for this type of problem. A qualitative analysis, however, can provide a more nuanced explanation.</w:t>
      </w:r>
      <w:r/>
    </w:p>
    <w:p w14:paraId="64ACA47B" w14:textId="40C54511">
      <w:pPr>
        <w:pStyle w:val="774"/>
        <w:suppressLineNumbers w:val="false"/>
        <w:pBdr/>
        <w:spacing w:line="300" w:lineRule="auto"/>
        <w:ind/>
        <w:rPr/>
      </w:pPr>
      <w:r>
        <w:t xml:space="preserve"> </w:t>
      </w:r>
      <w:r/>
    </w:p>
    <w:p w14:paraId="28F102CD" w14:textId="57FE4F45">
      <w:pPr>
        <w:pStyle w:val="774"/>
        <w:suppressLineNumbers w:val="false"/>
        <w:pBdr/>
        <w:spacing w:line="300" w:lineRule="auto"/>
        <w:ind/>
        <w:rPr/>
      </w:pPr>
      <w:r>
        <w:t xml:space="preserve">Consider a hypothetical but plausible test image where the text overlay—for instance, a timestamp or a device identifier—is rendered with low contrast agai</w:t>
      </w:r>
      <w:r>
        <w:t xml:space="preserve">nst a complex mucosal background, or is partially occluded by a fold in the colon. The ground truth answer to the question "is there text" is "yes." In such a scenario, the ResNet+GRU model (M1) might correctly predict "yes." Its success can be attributed </w:t>
      </w:r>
      <w:r>
        <w:t xml:space="preserve">to its use of a global feature vector. The ResNet-50 encoder, trained on millions of images, is adept at capturing broad textural and statistical patterns. Even a faint or partial text overlay introduces a set of high-frequency edges and unnatural gradient</w:t>
      </w:r>
      <w:r>
        <w:t xml:space="preserve">s that alter the global statistics of the image in a detectable way. The model does not need to "read" the text or even precisely locate it; it merely needs to recognize that the overall image texture is inconsistent with that of a natural mucosal surface.</w:t>
      </w:r>
      <w:r/>
    </w:p>
    <w:p w14:paraId="1F264E29" w14:textId="3A55CBB3">
      <w:pPr>
        <w:pStyle w:val="774"/>
        <w:suppressLineNumbers w:val="false"/>
        <w:pBdr/>
        <w:spacing w:line="300" w:lineRule="auto"/>
        <w:ind/>
        <w:rPr/>
      </w:pPr>
      <w:r>
        <w:t xml:space="preserve"> </w:t>
      </w:r>
      <w:r/>
    </w:p>
    <w:p w14:paraId="45F9F259" w14:textId="5093E53B">
      <w:pPr>
        <w:pStyle w:val="774"/>
        <w:suppressLineNumbers w:val="false"/>
        <w:pBdr/>
        <w:spacing w:line="300" w:lineRule="auto"/>
        <w:ind/>
        <w:rPr/>
      </w:pPr>
      <w:r>
        <w:t xml:space="preserve">In contrast, the ViT+BERT-lite model (M2) might fail on this same image, predicting "no." Its failure would stem from the very mechanism designed to be its strength: attention. The cross-attention module wo</w:t>
      </w:r>
      <w:r>
        <w:t xml:space="preserve">uld attempt to find specific visual patches that align with the concept of "text." If the mucosal patterns in other patches are more salient—for example, containing strong vascular patterns or hints of inflammation—the attention mechanism could be "distrac</w:t>
      </w:r>
      <w:r>
        <w:t xml:space="preserve">ted," failing to assign sufficient weight to the less prominent patches containing the actual text. This scenario provides a concrete explanation for the quantitative results: the "is there text" task, despite its framing as a VQA problem, can be solved ef</w:t>
      </w:r>
      <w:r>
        <w:t xml:space="preserve">fectively as a global image texture classification problem, a task for which the ResNet architecture is exceptionally well-suited. The more complex reasoning machinery of the transformer model is not only unnecessary but can, in some cases, be a liability.</w:t>
      </w:r>
      <w:r/>
    </w:p>
    <w:p w14:paraId="2009E259" w14:textId="63247D9A">
      <w:pPr>
        <w:pStyle w:val="774"/>
        <w:suppressLineNumbers w:val="false"/>
        <w:pBdr/>
        <w:spacing w:line="300" w:lineRule="auto"/>
        <w:ind/>
        <w:rPr/>
      </w:pPr>
      <w:r>
        <w:t xml:space="preserve"> </w:t>
      </w:r>
      <w:r/>
    </w:p>
    <w:p w14:paraId="7A1F6D53" w14:textId="2F4F4563">
      <w:pPr>
        <w:pStyle w:val="774"/>
        <w:suppressLineNumbers w:val="false"/>
        <w:pBdr/>
        <w:spacing w:line="300" w:lineRule="auto"/>
        <w:ind/>
        <w:rPr/>
      </w:pPr>
      <w:r>
        <w:t xml:space="preserve">Scenario 2: The Nuanced Case of Morphological Classification</w:t>
      </w:r>
      <w:r/>
    </w:p>
    <w:p w14:paraId="7603F7DC" w14:textId="2EA5A9D9">
      <w:pPr>
        <w:pStyle w:val="774"/>
        <w:suppressLineNumbers w:val="false"/>
        <w:pBdr/>
        <w:spacing w:line="300" w:lineRule="auto"/>
        <w:ind/>
        <w:rPr/>
      </w:pPr>
      <w:r>
        <w:t xml:space="preserve">The quantitative results for the "what type of polyp is present" task showed a reversal of sorts, with the ViT+BERT-li</w:t>
      </w:r>
      <w:r>
        <w:t xml:space="preserve">te model (M2) holding a slight edge in Macro-F1 score. This suggests it has a better-balanced performance across the different, and often confusingly similar, classes of polyp morphology. A scenario-based analysis can illuminate why this might be the case.</w:t>
      </w:r>
      <w:r/>
    </w:p>
    <w:p w14:paraId="29F8F528" w14:textId="7F24E7E7">
      <w:pPr>
        <w:pStyle w:val="774"/>
        <w:suppressLineNumbers w:val="false"/>
        <w:pBdr/>
        <w:spacing w:line="300" w:lineRule="auto"/>
        <w:ind/>
        <w:rPr/>
      </w:pPr>
      <w:r>
        <w:t xml:space="preserve"> </w:t>
      </w:r>
      <w:r/>
    </w:p>
    <w:p w14:paraId="2381D8F4" w14:textId="03445F51">
      <w:pPr>
        <w:pStyle w:val="774"/>
        <w:suppressLineNumbers w:val="false"/>
        <w:pBdr/>
        <w:spacing w:line="300" w:lineRule="auto"/>
        <w:ind/>
        <w:rPr/>
      </w:pPr>
      <w:r>
        <w:t xml:space="preserve">Consider a test image displaying a polyp whose features are ambiguous, falling on the borderline between two closely related classes, such as "paris iia" (superficial elevated</w:t>
      </w:r>
      <w:r>
        <w:t xml:space="preserve">) and "paris iia + is" (superficial elevated with a sessile component). A human expert might struggle with this classification, relying on subtle cues in the polyp's surface texture, the precise angle of its margins, and how light reflects off its surface.</w:t>
      </w:r>
      <w:r/>
    </w:p>
    <w:p w14:paraId="62A0B10C" w14:textId="18C00B33">
      <w:pPr>
        <w:pStyle w:val="774"/>
        <w:suppressLineNumbers w:val="false"/>
        <w:pBdr/>
        <w:spacing w:line="300" w:lineRule="auto"/>
        <w:ind/>
        <w:rPr/>
      </w:pPr>
      <w:r>
        <w:t xml:space="preserve"> </w:t>
      </w:r>
      <w:r/>
    </w:p>
    <w:p w14:paraId="335D3C77" w14:textId="4A91D6B9">
      <w:pPr>
        <w:pStyle w:val="774"/>
        <w:suppressLineNumbers w:val="false"/>
        <w:pBdr/>
        <w:spacing w:line="300" w:lineRule="auto"/>
        <w:ind/>
        <w:rPr/>
      </w:pPr>
      <w:r>
        <w:t xml:space="preserve">In this challenging case, the ResNet+GRU model (M1) is more likely to fail. Its single, global feature vector averages the visual information from the entire image, potentially washing out th</w:t>
      </w:r>
      <w:r>
        <w:t xml:space="preserve">e subtle, localized features that differentiate the two classes. The model might correctly identify the presence of a polyp but would struggle to resolve the fine-grained morphological details, likely defaulting to the most common class or making an error.</w:t>
      </w:r>
      <w:r/>
    </w:p>
    <w:p w14:paraId="18FF5D1E" w14:textId="56EBD526">
      <w:pPr>
        <w:pStyle w:val="774"/>
        <w:suppressLineNumbers w:val="false"/>
        <w:pBdr/>
        <w:spacing w:line="300" w:lineRule="auto"/>
        <w:ind/>
        <w:rPr/>
      </w:pPr>
      <w:r>
        <w:t xml:space="preserve"> </w:t>
      </w:r>
      <w:r/>
    </w:p>
    <w:p w14:paraId="592F5FB0" w14:textId="561C2256">
      <w:pPr>
        <w:pStyle w:val="774"/>
        <w:suppressLineNumbers w:val="false"/>
        <w:pBdr/>
        <w:spacing w:line="300" w:lineRule="auto"/>
        <w:ind/>
        <w:rPr/>
      </w:pPr>
      <w:r>
        <w:t xml:space="preserve">The ViT+BERT-lite model (M2), however, has a</w:t>
      </w:r>
      <w:r>
        <w:t xml:space="preserve"> greater potential for success. Its cross-attention mechanism can learn to forge direct links between linguistic tokens and specific visual patches. It could learn, for example, that the token "iia" correlates with patches showing a flat, elevated surface,</w:t>
      </w:r>
      <w:r>
        <w:t xml:space="preserve"> while the token "is" correlates with patches showing a more nodular or hemispherical shape. By attending to the specific regions of the polyp that contain these differentiating features, M2 can perform a more localized and targeted analysis. While its abs</w:t>
      </w:r>
      <w:r>
        <w:t xml:space="preserve">olute performance is still modest, its slight Macro-F1 advantage in the aggregate results likely stems from its superior ability to handle these nuanced, feature-specific classification tasks, providing a tangible benefit for its more complex architecture.</w:t>
      </w:r>
      <w:r/>
    </w:p>
    <w:p w14:paraId="0F4BA313" w14:textId="396DE433">
      <w:pPr>
        <w:pStyle w:val="774"/>
        <w:suppressLineNumbers w:val="false"/>
        <w:pBdr/>
        <w:spacing w:line="300" w:lineRule="auto"/>
        <w:ind/>
        <w:rPr/>
      </w:pPr>
      <w:r>
        <w:t xml:space="preserve"> </w:t>
      </w:r>
      <w:r/>
    </w:p>
    <w:p w14:paraId="39FB5781" w14:textId="5DF38F5A">
      <w:pPr>
        <w:pStyle w:val="774"/>
        <w:suppressLineNumbers w:val="false"/>
        <w:pBdr/>
        <w:spacing w:line="300" w:lineRule="auto"/>
        <w:ind/>
        <w:rPr/>
      </w:pPr>
      <w:r>
        <w:t xml:space="preserve">Scenario 3: The "Clinically Obvious, Machine-Difficult" Case of Real-World Artifacts</w:t>
      </w:r>
      <w:r/>
    </w:p>
    <w:p w14:paraId="41068931" w14:textId="3C513E66">
      <w:pPr>
        <w:pStyle w:val="774"/>
        <w:suppressLineNumbers w:val="false"/>
        <w:pBdr/>
        <w:spacing w:line="300" w:lineRule="auto"/>
        <w:ind/>
        <w:rPr/>
      </w:pPr>
      <w:r>
        <w:t xml:space="preserve">The ultimate goal of a medical VQA system is to be useful in a clinical setting. This requires a deg</w:t>
      </w:r>
      <w:r>
        <w:t xml:space="preserve">ree of robustness that extends far beyond performance on curated, clean benchmark datasets. This final scenario is designed to test this robustness and to demonstrate how high statistical accuracy on narrow tasks can be a poor proxy for real-world utility.</w:t>
      </w:r>
      <w:r/>
    </w:p>
    <w:p w14:paraId="06BF0B74" w14:textId="4F675E06">
      <w:pPr>
        <w:pStyle w:val="774"/>
        <w:suppressLineNumbers w:val="false"/>
        <w:pBdr/>
        <w:spacing w:line="300" w:lineRule="auto"/>
        <w:ind/>
        <w:rPr/>
      </w:pPr>
      <w:r>
        <w:t xml:space="preserve"> </w:t>
      </w:r>
      <w:r/>
    </w:p>
    <w:p w14:paraId="29D16FAA" w14:textId="0FF0D9D3">
      <w:pPr>
        <w:pStyle w:val="774"/>
        <w:suppressLineNumbers w:val="false"/>
        <w:pBdr/>
        <w:spacing w:line="300" w:lineRule="auto"/>
        <w:ind/>
        <w:rPr/>
      </w:pPr>
      <w:r>
        <w:t xml:space="preserve">Consider an image of a patient with active, severe ulcerative colitis. The colonic mucosa is clearly erythematous, friable, and shows evidence of spontaneou</w:t>
      </w:r>
      <w:r>
        <w:t xml:space="preserve">s bleeding—a textbook case of Mayo Endoscopic Score 3. However, the image is also compromised by a common real-world artifact: a large, bright specular highlight (glare) from the endoscope's light source, which saturates a significant portion of the image.</w:t>
      </w:r>
      <w:r/>
    </w:p>
    <w:p w14:paraId="6CA739F4" w14:textId="5E5D90A4">
      <w:pPr>
        <w:pStyle w:val="774"/>
        <w:suppressLineNumbers w:val="false"/>
        <w:pBdr/>
        <w:spacing w:line="300" w:lineRule="auto"/>
        <w:ind/>
        <w:rPr/>
      </w:pPr>
      <w:r>
        <w:t xml:space="preserve"> </w:t>
      </w:r>
      <w:r/>
    </w:p>
    <w:p w14:paraId="4E2B4A0E" w14:textId="58BC3040">
      <w:pPr>
        <w:pStyle w:val="774"/>
        <w:suppressLineNumbers w:val="false"/>
        <w:pBdr/>
        <w:spacing w:line="300" w:lineRule="auto"/>
        <w:ind/>
        <w:rPr/>
      </w:pPr>
      <w:r>
        <w:t xml:space="preserve">If a question such as "What is the severity of the colitis?" were posed to the benc</w:t>
      </w:r>
      <w:r>
        <w:t xml:space="preserve">hmarked models, it is highly probable that all of them would fail, despite the underlying pathology being obvious to a clinician. The models, having been trained predominantly on well-lit, artifact-free images, lack the context to understand that the glare</w:t>
      </w:r>
      <w:r>
        <w:t xml:space="preserve"> is an artifact to be ignored. The intense brightness and sharp edges of the highlight would likely dominate the feature extraction process for both the ResNet and the ViT. The models' attention would be drawn to this visually salient but clinically irrele</w:t>
      </w:r>
      <w:r>
        <w:t xml:space="preserve">vant feature, leading to an unpredictable and almost certainly incorrect answer. They might misinterpret the glare as a lesion, or the saturation might wash out the features of the surrounding inflamed tissue, leading to an underestimation of the severity.</w:t>
      </w:r>
      <w:r/>
    </w:p>
    <w:p w14:paraId="5AA08C86" w14:textId="22F4563C">
      <w:pPr>
        <w:pStyle w:val="774"/>
        <w:suppressLineNumbers w:val="false"/>
        <w:pBdr/>
        <w:spacing w:line="300" w:lineRule="auto"/>
        <w:ind/>
        <w:rPr/>
      </w:pPr>
      <w:r>
        <w:t xml:space="preserve"> </w:t>
      </w:r>
      <w:r/>
    </w:p>
    <w:p w14:paraId="48B96ABE" w14:textId="087DF76D">
      <w:pPr>
        <w:pStyle w:val="774"/>
        <w:suppressLineNumbers w:val="false"/>
        <w:pBdr/>
        <w:spacing w:line="300" w:lineRule="auto"/>
        <w:ind/>
        <w:rPr/>
      </w:pPr>
      <w:r>
        <w:t xml:space="preserve">This scenario powerfully illustrates the brittleness of the current models and the limitations of the benchmark itself. It reveals a critical gap between statistical performance</w:t>
      </w:r>
      <w:r>
        <w:t xml:space="preserve"> and clinical competence. A system that can achieve over 90% accuracy on detecting text overlays but cannot correctly interpret a classic case of severe disease in the presence of a common artifact is not a system that can be trusted by clinicians. This fa</w:t>
      </w:r>
      <w:r>
        <w:t xml:space="preserve">ilure is not simply a matter of needing more training data; it points to a more fundamental problem in the formulation of the task and the kind of reasoning the models are being taught, a problem that will be addressed in the final section of this chapter.</w:t>
      </w:r>
      <w:r/>
    </w:p>
    <w:p w14:paraId="193C91E2" w14:textId="0146C04E">
      <w:pPr>
        <w:pStyle w:val="774"/>
        <w:suppressLineNumbers w:val="false"/>
        <w:pBdr/>
        <w:spacing w:line="300" w:lineRule="auto"/>
        <w:ind/>
        <w:rPr/>
      </w:pPr>
      <w:r/>
      <w:r/>
    </w:p>
    <w:p w14:paraId="3C19DDC6" w14:textId="121E3FE0">
      <w:pPr>
        <w:pStyle w:val="774"/>
        <w:suppressLineNumbers w:val="false"/>
        <w:pBdr/>
        <w:spacing w:line="300" w:lineRule="auto"/>
        <w:ind w:firstLine="0"/>
        <w:rPr/>
      </w:pPr>
      <w:r>
        <w:rPr>
          <w:lang w:val="en-CA"/>
        </w:rPr>
        <w:t xml:space="preserve">3.4 Limitations and the Imperative for Evidence-Based Reasoning</w:t>
      </w:r>
      <w:r/>
    </w:p>
    <w:p w14:paraId="2E33435F" w14:textId="0403BB04">
      <w:pPr>
        <w:pStyle w:val="774"/>
        <w:suppressLineNumbers w:val="false"/>
        <w:pBdr/>
        <w:spacing w:line="300" w:lineRule="auto"/>
        <w:ind/>
        <w:rPr/>
      </w:pPr>
      <w:r>
        <w:t xml:space="preserve">The journey through this chapter—from the construction of a conceptual framework to its empirical validation and subsequent qualitative critique—culminates in a cr</w:t>
      </w:r>
      <w:r>
        <w:t xml:space="preserve">itical assessment of the current state of learning-based VQA for colonoscopy. The quantitative analysis established that a classic CNN+GRU architecture can excel at simple, artifact-based classification, while a more modern transformer co-attention model s</w:t>
      </w:r>
      <w:r>
        <w:t xml:space="preserve">hows nascent potential on more nuanced morphological tasks. However, the scenario-based analysis revealed a more sobering truth: both approaches are brittle, easily distracted by visual artifacts, and lack the contextual understanding required for reliable</w:t>
      </w:r>
      <w:r>
        <w:t xml:space="preserve"> clinical deployment. This concluding section synthesizes these findings to articulate the fundamental limitations of the benchmarked approach and to build a compelling case for the advanced research direction that will define the remainder of this thesis.</w:t>
      </w:r>
      <w:r/>
    </w:p>
    <w:p w14:paraId="6EF1AFEA" w14:textId="2D5DC266">
      <w:pPr>
        <w:pStyle w:val="774"/>
        <w:suppressLineNumbers w:val="false"/>
        <w:pBdr/>
        <w:spacing w:line="300" w:lineRule="auto"/>
        <w:ind/>
        <w:rPr/>
      </w:pPr>
      <w:r>
        <w:t xml:space="preserve"> </w:t>
      </w:r>
      <w:r/>
    </w:p>
    <w:p w14:paraId="31E28F76" w14:textId="752C6333">
      <w:pPr>
        <w:pStyle w:val="774"/>
        <w:suppressLineNumbers w:val="false"/>
        <w:pBdr/>
        <w:spacing w:line="300" w:lineRule="auto"/>
        <w:ind/>
        <w:rPr/>
      </w:pPr>
      <w:r>
        <w:t xml:space="preserve">The core limitation exposed by this investigation is not in the specific models themselves, but in the very formulat</w:t>
      </w:r>
      <w:r>
        <w:t xml:space="preserve">ion of the task as defined by the Kvasir-VQA benchmark. The process of answering isolated, closed-set questions based on a single image is, at its heart, a sophisticated form of pattern matching. The models learn to associate pixels with labels. This is a </w:t>
      </w:r>
      <w:r>
        <w:t xml:space="preserve">form of "captioning," as the supervising faculty noted, not a form of true clinical reasoning. A clinician does not simply label what they see; they interpret their observations within a vast, pre-existing network of medical knowledge to arrive at a diagno</w:t>
      </w:r>
      <w:r>
        <w:t xml:space="preserve">sis, assess severity, and formulate a management plan. The current models, lacking any such knowledge base, can only report on visual patterns. They can recognize what they have been trained to see, but they cannot reason about what those findings mean.   </w:t>
      </w:r>
      <w:r/>
    </w:p>
    <w:p w14:paraId="1F33DE97" w14:textId="328E50CB">
      <w:pPr>
        <w:pStyle w:val="774"/>
        <w:suppressLineNumbers w:val="false"/>
        <w:pBdr/>
        <w:spacing w:line="300" w:lineRule="auto"/>
        <w:ind/>
        <w:rPr/>
      </w:pPr>
      <w:r>
        <w:t xml:space="preserve"> </w:t>
      </w:r>
      <w:r/>
    </w:p>
    <w:p w14:paraId="4BB7D7DC" w14:textId="7E404C52">
      <w:pPr>
        <w:pStyle w:val="774"/>
        <w:suppressLineNumbers w:val="false"/>
        <w:pBdr/>
        <w:spacing w:line="300" w:lineRule="auto"/>
        <w:ind/>
        <w:rPr/>
      </w:pPr>
      <w:r>
        <w:t xml:space="preserve">This leads to the second, a</w:t>
      </w:r>
      <w:r>
        <w:t xml:space="preserve">nd more profound, limitation: the problem of "ground truth." The models are trained on a dataset that is, in the words of the supervisory feedback, "not evidence-based". The answers in Kvasir-VQA represent the consensus opinion of experts on the content of</w:t>
      </w:r>
      <w:r>
        <w:t xml:space="preserve"> a specific image. While valuable, this "truth" is localized and disconnected from the broader corpus of medical science. A model trained this way can learn that a certain visual pattern is called "ulcerative colitis," but it has no access to the knowledge</w:t>
      </w:r>
      <w:r>
        <w:t xml:space="preserve"> that defines what ulcerative colitis is, what causes it, or how it is treated. This lack of grounding in a verifiable body of knowledge is the primary source of the models' brittleness and their inability to generalize to complex, real-world scenarios.   </w:t>
      </w:r>
      <w:r/>
    </w:p>
    <w:p w14:paraId="253D8A1F" w14:textId="69B16778">
      <w:pPr>
        <w:pStyle w:val="774"/>
        <w:suppressLineNumbers w:val="false"/>
        <w:pBdr/>
        <w:spacing w:line="300" w:lineRule="auto"/>
        <w:ind/>
        <w:rPr/>
      </w:pPr>
      <w:r>
        <w:t xml:space="preserve"> </w:t>
      </w:r>
      <w:r/>
    </w:p>
    <w:p w14:paraId="13A874E2" w14:textId="49B440C1">
      <w:pPr>
        <w:pStyle w:val="774"/>
        <w:suppressLineNumbers w:val="false"/>
        <w:pBdr/>
        <w:spacing w:line="300" w:lineRule="auto"/>
        <w:ind/>
        <w:rPr/>
      </w:pPr>
      <w:r>
        <w:t xml:space="preserve">To overcome these fundamental shortcomings, a paradigm shift is required. The field must move from simple, pattern-matching VQA towards an Evidence-Based VQA paradigm. In this new framework</w:t>
      </w:r>
      <w:r>
        <w:t xml:space="preserve">, an acceptable answer must be justifiable not only by the pixels in the image but also by established, verifiable medical knowledge. This approach directly addresses the need to connect VQA systems to more reliable and authoritative sources of information</w:t>
      </w:r>
      <w:r>
        <w:t xml:space="preserve">, such as the published literature indexed in databases like PubMed. The suggestion to explore datasets like PubMedQA, where answers are explicitly derived from scientific abstracts, points directly toward this more rigorous and trustworthy methodology.   </w:t>
      </w:r>
      <w:r/>
    </w:p>
    <w:p w14:paraId="6358551C" w14:textId="2ECC2067">
      <w:pPr>
        <w:pStyle w:val="774"/>
        <w:suppressLineNumbers w:val="false"/>
        <w:pBdr/>
        <w:spacing w:line="300" w:lineRule="auto"/>
        <w:ind/>
        <w:rPr/>
      </w:pPr>
      <w:r>
        <w:t xml:space="preserve"> </w:t>
      </w:r>
      <w:r/>
    </w:p>
    <w:p w14:paraId="2F5EC356" w14:textId="66CD753E">
      <w:pPr>
        <w:pStyle w:val="774"/>
        <w:suppressLineNumbers w:val="false"/>
        <w:pBdr/>
        <w:spacing w:line="300" w:lineRule="auto"/>
        <w:ind/>
        <w:rPr/>
      </w:pPr>
      <w:r>
        <w:t xml:space="preserve">This imperative for evidence-based reasoning connects directly to the advanced, forward-looking components outlined</w:t>
      </w:r>
      <w:r>
        <w:t xml:space="preserve"> in this dissertation's introduction. The PICO (Population, Intervention, Comparison, Outcome) framework provides a structured method for deconstructing complex clinical questions into components that can be used to query external knowledge bases. Technolo</w:t>
      </w:r>
      <w:r>
        <w:t xml:space="preserve">gies like Retrieval-Augmented Generation (RAG) provide the technical mechanism for injecting this retrieved knowledge directly into the reasoning process of a generative language model. By combining a powerful vision encoder with a large biomedical languag</w:t>
      </w:r>
      <w:r>
        <w:t xml:space="preserve">e model and a RAG-based knowledge retrieval system, it becomes possible to build a VQA system that can not only "see" a finding in an image but also "understand" its clinical context and implications by consulting the scientific literature in real-time.   </w:t>
      </w:r>
      <w:r/>
    </w:p>
    <w:p w14:paraId="5C041912" w14:textId="4AABB702">
      <w:pPr>
        <w:pStyle w:val="774"/>
        <w:suppressLineNumbers w:val="false"/>
        <w:pBdr/>
        <w:spacing w:line="300" w:lineRule="auto"/>
        <w:ind/>
        <w:rPr/>
      </w:pPr>
      <w:r>
        <w:t xml:space="preserve"> </w:t>
      </w:r>
      <w:r/>
    </w:p>
    <w:p w14:paraId="0F22CFF3" w14:textId="4CFA815D">
      <w:pPr>
        <w:pStyle w:val="774"/>
        <w:suppressLineNumbers w:val="false"/>
        <w:pBdr/>
        <w:spacing w:line="300" w:lineRule="auto"/>
        <w:ind/>
        <w:rPr/>
      </w:pPr>
      <w:r>
        <w:t xml:space="preserve">Having established the perf</w:t>
      </w:r>
      <w:r>
        <w:t xml:space="preserve">ormance baseline of current VQA architectures and demonstrated their fundamental limitations in the context of clinical reasoning, the remainder of this thesis is dedicated to developing and evaluating a novel framework designed to address these shortcomin</w:t>
      </w:r>
      <w:r>
        <w:t xml:space="preserve">gs. Chapter 4 will introduce a generative, evidence-aware VQA system that leverages large-scale biomedical language models and retrieval-augmented techniques to move beyond simple image description towards clinically-grounded, trustworthy decision support.</w:t>
      </w:r>
      <w:r/>
    </w:p>
    <w:p w14:paraId="17043499" w14:textId="156BD327">
      <w:pPr>
        <w:pStyle w:val="774"/>
        <w:suppressLineNumbers w:val="false"/>
        <w:pBdr/>
        <w:spacing w:line="300" w:lineRule="auto"/>
        <w:ind/>
        <w:rPr/>
      </w:pPr>
      <w:r/>
      <w:r/>
    </w:p>
    <w:p w14:paraId="4F382B4B" w14:textId="64741AF3">
      <w:pPr>
        <w:pStyle w:val="774"/>
        <w:suppressLineNumbers w:val="false"/>
        <w:pBdr/>
        <w:spacing w:line="300" w:lineRule="auto"/>
        <w:ind w:firstLine="0"/>
        <w:rPr/>
      </w:pPr>
      <w:r/>
      <w:r/>
    </w:p>
    <w:p w14:paraId="7F60234E" w14:textId="0E7E9E48">
      <w:pPr>
        <w:pStyle w:val="774"/>
        <w:suppressLineNumbers w:val="false"/>
        <w:pBdr/>
        <w:spacing w:line="300" w:lineRule="auto"/>
        <w:ind w:firstLine="0"/>
        <w:rPr/>
      </w:pPr>
      <w:r/>
      <w:r/>
    </w:p>
    <w:p w14:paraId="424FCAB4" w14:textId="250CE9C7">
      <w:pPr>
        <w:pStyle w:val="761"/>
        <w:suppressLineNumbers w:val="false"/>
        <w:pBdr/>
        <w:spacing w:line="300" w:lineRule="auto"/>
        <w:ind/>
        <w:rPr/>
      </w:pPr>
      <w:r>
        <w:br/>
      </w:r>
      <w:r>
        <w:br/>
      </w:r>
      <w:r>
        <w:t xml:space="preserve">Generative Vision-Language Modeling for Ulcerative Colitis Severity Assessment</w:t>
      </w:r>
      <w:r/>
    </w:p>
    <w:p w14:paraId="1F014E85" w14:textId="14D8B1C2">
      <w:pPr>
        <w:pStyle w:val="774"/>
        <w:suppressLineNumbers w:val="false"/>
        <w:pBdr/>
        <w:spacing w:line="300" w:lineRule="auto"/>
        <w:ind w:firstLine="0"/>
        <w:rPr>
          <w:b/>
          <w:bCs/>
        </w:rPr>
      </w:pPr>
      <w:r>
        <w:rPr>
          <w:b/>
          <w:bCs/>
        </w:rPr>
      </w:r>
      <w:r>
        <w:rPr>
          <w:b/>
          <w:bCs/>
        </w:rPr>
      </w:r>
    </w:p>
    <w:p w14:paraId="6AB28B0A" w14:textId="30C5D79A">
      <w:pPr>
        <w:pStyle w:val="774"/>
        <w:suppressLineNumbers w:val="false"/>
        <w:pBdr/>
        <w:spacing w:line="300" w:lineRule="auto"/>
        <w:ind w:firstLine="0"/>
        <w:rPr>
          <w:b/>
          <w:bCs/>
        </w:rPr>
      </w:pPr>
      <w:r>
        <w:rPr>
          <w:b/>
          <w:bCs/>
        </w:rPr>
        <w:t xml:space="preserve">4.1 Introduction and Motivation</w:t>
      </w:r>
      <w:r>
        <w:rPr>
          <w:b/>
          <w:bCs/>
        </w:rPr>
      </w:r>
    </w:p>
    <w:p w14:paraId="0D2BE77F" w14:textId="227BC83F">
      <w:pPr>
        <w:pStyle w:val="774"/>
        <w:suppressLineNumbers w:val="false"/>
        <w:pBdr/>
        <w:spacing w:line="300" w:lineRule="auto"/>
        <w:ind w:firstLine="0"/>
        <w:rPr/>
      </w:pPr>
      <w:r>
        <w:t xml:space="preserve">Ulcerative colitis (UC) is an inflammatory bowel disease characterized by chronic </w:t>
      </w:r>
      <w:r>
        <w:t xml:space="preserve">inflammation of the colon, and the endoscopic severity of UC is a crucial clinical metric. Accurate assessment of disease severity from endoscopic images guides treatment decisions – for example, distinguishing mild inflammation from severe ulceration can </w:t>
      </w:r>
      <w:r>
        <w:t xml:space="preserve">determine</w:t>
      </w:r>
      <w:r>
        <w:t xml:space="preserve"> whether a patient receives medical therapy or urgent surgery. Traditionally, severity is quantified using scoring systems like the Mayo endoscopic </w:t>
      </w:r>
      <w:r>
        <w:t xml:space="preserve">subscore</w:t>
      </w:r>
      <w:r>
        <w:t xml:space="preserve"> (part of the Mayo Clinic Disease Activity Index) and the Ulcerative Colitis Endoscopic Index of Severity (UCEIS</w:t>
      </w:r>
      <w:r>
        <w:t xml:space="preserve">)</w:t>
      </w:r>
      <w:r>
        <w:t xml:space="preserve">. The Mayo endoscopic </w:t>
      </w:r>
      <w:r>
        <w:t xml:space="preserve">subscore</w:t>
      </w:r>
      <w:r>
        <w:t xml:space="preserve"> ranges from 0 (normal mucosa) to 3 (severe disease with spontaneous bleeding), </w:t>
      </w:r>
      <w:r>
        <w:t xml:space="preserve">representing</w:t>
      </w:r>
      <w:r>
        <w:t xml:space="preserve"> remission, mild, moderate, and severe </w:t>
      </w:r>
      <w:r>
        <w:t xml:space="preserve">disease</w:t>
      </w:r>
      <w:r>
        <w:t xml:space="preserve"> </w:t>
      </w:r>
      <w:r>
        <w:t xml:space="preserve">respectively</w:t>
      </w:r>
      <w:r>
        <w:t xml:space="preserve">. UCEIS provides a more granular 0–8 scale by scoring vascular pattern, bleeding, and ulcerations, which can be stratified into categories of remission (score 0–1), mild (2–4), moderate (5–6), and severe (7–</w:t>
      </w:r>
      <w:r>
        <w:t xml:space="preserve">8)</w:t>
      </w:r>
      <w:r>
        <w:t xml:space="preserve">. These scoring systems have strong clinical relevance: higher endoscopic scores correlate with worse outcomes and can predict the need for interventions like </w:t>
      </w:r>
      <w:r>
        <w:t xml:space="preserve">colectomy</w:t>
      </w:r>
      <w:r>
        <w:t xml:space="preserve">.</w:t>
      </w:r>
      <w:r/>
    </w:p>
    <w:p w14:paraId="59603B20" w14:textId="7B676F63">
      <w:pPr>
        <w:pStyle w:val="774"/>
        <w:suppressLineNumbers w:val="false"/>
        <w:pBdr/>
        <w:spacing w:line="300" w:lineRule="auto"/>
        <w:ind w:firstLine="0"/>
        <w:rPr/>
      </w:pPr>
      <w:r>
        <w:t xml:space="preserve">Given the importance of these indices, there is significant motivation to develop automated methods to estimate UC severity from endoscopic images. This chapter focuses on leveraging generative artificial intelligence (AI) and vision-language (V-L) models </w:t>
      </w:r>
      <w:r>
        <w:t xml:space="preserve">for that task. In prior chapters, we surveyed vision-question answering (VQA) techniques (Chapter 2) and established baseline models on a broad endoscopy VQA dataset (Chapter 3). Here, we narrow the scope to a specific application: asking AI models to grad</w:t>
      </w:r>
      <w:r>
        <w:t xml:space="preserve">e ulcerative colitis severity from images. This serves as a concrete case study of the techniques in earlier chapters, addressing a real-world clinical question. The use of generative vision-language models – which can produce free-form text outputs – is e</w:t>
      </w:r>
      <w:r>
        <w:t xml:space="preserve">xplored as an alternative to conventional classification. We hypothesize that a generative VQA approach could not only output a severity grade, but also potentially provide a description or rationale, making the prediction more interpretable to clinicians.</w:t>
      </w:r>
      <w:r/>
    </w:p>
    <w:p w14:paraId="0BE45AF7" w14:textId="6BEEB5F0">
      <w:pPr>
        <w:pStyle w:val="774"/>
        <w:suppressLineNumbers w:val="false"/>
        <w:pBdr/>
        <w:spacing w:line="300" w:lineRule="auto"/>
        <w:ind w:firstLine="0"/>
        <w:rPr/>
      </w:pPr>
      <w:r>
        <w:t xml:space="preserve">However, automating UC severity assessment poses several challenges. First, obtaining labeled training data is difficult: severe UC cases are relatively </w:t>
      </w:r>
      <w:r>
        <w:t xml:space="preserve">rare</w:t>
      </w:r>
      <w:r>
        <w:t xml:space="preserve"> and endoscopic grading requires expert annotation, leading to class imbalance and limited sample size. In our dataset derived from </w:t>
      </w:r>
      <w:r>
        <w:t xml:space="preserve">HyperKvasir</w:t>
      </w:r>
      <w:r>
        <w:t xml:space="preserve"> (the largest open GI endoscopy dataset), only </w:t>
      </w:r>
      <w:r>
        <w:t xml:space="preserve">a very small</w:t>
      </w:r>
      <w:r>
        <w:t xml:space="preserve"> fraction of images </w:t>
      </w:r>
      <w:r>
        <w:t xml:space="preserve">are</w:t>
      </w:r>
      <w:r>
        <w:t xml:space="preserve"> labeled with UC severity grades, and certain categories (especially the most severe lesions) have extremely few examples. </w:t>
      </w:r>
      <w:r/>
    </w:p>
    <w:p w14:paraId="623D56F3" w14:textId="6B060845">
      <w:pPr>
        <w:pStyle w:val="774"/>
        <w:suppressLineNumbers w:val="false"/>
        <w:pBdr/>
        <w:spacing w:line="300" w:lineRule="auto"/>
        <w:ind w:firstLine="0"/>
        <w:rPr/>
      </w:pPr>
      <w:r>
        <w:t xml:space="preserve">This imbalance was </w:t>
      </w:r>
      <w:r>
        <w:t xml:space="preserve">evident</w:t>
      </w:r>
      <w:r>
        <w:t xml:space="preserve"> in </w:t>
      </w:r>
      <w:r>
        <w:t xml:space="preserve">initial</w:t>
      </w:r>
      <w:r>
        <w:t xml:space="preserve"> experiments – models tend to perform well on common findings but poorly on under-represented classes. For instance, when training on the full </w:t>
      </w:r>
      <w:r>
        <w:t xml:space="preserve">HyperKvasir</w:t>
      </w:r>
      <w:r>
        <w:t xml:space="preserve"> multi-class set (over 20 categories including normal findings, polyps, etc.), the UC severity classes had near-zero F1 scores due to tiny support (sample counts). Second, there is ambiguity in f</w:t>
      </w:r>
      <w:r>
        <w:t xml:space="preserve">raming the task: we can approach it as a closed-set classification (assign one of N discrete labels) or as a VQA problem where the model answers a question (e.g. “What is the Mayo score in this image?”) in natural language. Each framing has pros and cons. </w:t>
      </w:r>
      <w:r/>
    </w:p>
    <w:p w14:paraId="7049F4BF" w14:textId="4840412E">
      <w:pPr>
        <w:pStyle w:val="774"/>
        <w:suppressLineNumbers w:val="false"/>
        <w:pBdr/>
        <w:spacing w:line="300" w:lineRule="auto"/>
        <w:ind w:firstLine="0"/>
        <w:rPr/>
      </w:pPr>
      <w:r>
        <mc:AlternateContent>
          <mc:Choice Requires="wpg">
            <w:drawing>
              <wp:inline xmlns:wp="http://schemas.openxmlformats.org/drawingml/2006/wordprocessingDrawing" distT="0" distB="0" distL="0" distR="0">
                <wp:extent cx="6055048" cy="3300842"/>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93791" name=""/>
                        <pic:cNvPicPr>
                          <a:picLocks noChangeAspect="1"/>
                        </pic:cNvPicPr>
                        <pic:nvPr/>
                      </pic:nvPicPr>
                      <pic:blipFill rotWithShape="1">
                        <a:blip r:embed="rId12"/>
                        <a:stretch/>
                      </pic:blipFill>
                      <pic:spPr bwMode="auto">
                        <a:xfrm rot="0">
                          <a:off x="0" y="0"/>
                          <a:ext cx="6055048" cy="3300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76.78pt;height:259.91pt;mso-wrap-distance-left:0.00pt;mso-wrap-distance-top:0.00pt;mso-wrap-distance-right:0.00pt;mso-wrap-distance-bottom:0.00pt;rotation:0;z-index:1;" stroked="false">
                <v:imagedata r:id="rId12" o:title=""/>
                <o:lock v:ext="edit" rotation="t"/>
              </v:shape>
            </w:pict>
          </mc:Fallback>
        </mc:AlternateContent>
      </w:r>
      <w:r/>
    </w:p>
    <w:p w14:paraId="60EEB5F4" w14:textId="5FEF633D">
      <w:pPr>
        <w:pStyle w:val="774"/>
        <w:suppressLineNumbers w:val="false"/>
        <w:pBdr/>
        <w:spacing w:line="300" w:lineRule="auto"/>
        <w:ind w:firstLine="0"/>
        <w:rPr/>
      </w:pPr>
      <w:r/>
      <w:r/>
    </w:p>
    <w:p w14:paraId="691A80D2" w14:textId="35438F4D">
      <w:pPr>
        <w:pStyle w:val="774"/>
        <w:suppressLineNumbers w:val="false"/>
        <w:pBdr/>
        <w:spacing w:line="300" w:lineRule="auto"/>
        <w:ind w:firstLine="0"/>
        <w:rPr/>
      </w:pPr>
      <w:r/>
      <w:r/>
    </w:p>
    <w:p w14:paraId="79A5FD4F" w14:textId="0332211C">
      <w:pPr>
        <w:pStyle w:val="774"/>
        <w:suppressLineNumbers w:val="false"/>
        <w:pBdr/>
        <w:spacing w:line="300" w:lineRule="auto"/>
        <w:ind w:firstLine="0"/>
        <w:rPr/>
      </w:pPr>
      <w:r/>
      <w:r/>
    </w:p>
    <w:p w14:paraId="70129B47" w14:textId="19CBB95A">
      <w:pPr>
        <w:pStyle w:val="774"/>
        <w:suppressLineNumbers w:val="false"/>
        <w:pBdr/>
        <w:spacing w:line="300" w:lineRule="auto"/>
        <w:ind w:firstLine="0"/>
        <w:rPr/>
      </w:pPr>
      <w:r>
        <w:t xml:space="preserve">Classification provides a straightforward accuracy metric and is simpler to train, but it constrains the model to predefined labels and may not </w:t>
      </w:r>
      <w:r>
        <w:t xml:space="preserve">leverage</w:t>
      </w:r>
      <w:r>
        <w:t xml:space="preserve"> contextual knowledge. A VQA framing using generative models could allow more nuanced outputs (such as explanations or degrees of uncertainty), benefiting from large-scale pretraining</w:t>
      </w:r>
      <w:r>
        <w:t xml:space="preserve"> on image-language data – but it introduces challenges in evaluation (free-text answers need to be parsed or matched to the correct category) and typically requires careful fine-tuning since generic VQA models are not trained on this specific medical task.</w:t>
      </w:r>
      <w:r/>
    </w:p>
    <w:p w14:paraId="5DC4DED0" w14:textId="4576CF08">
      <w:pPr>
        <w:pStyle w:val="774"/>
        <w:suppressLineNumbers w:val="false"/>
        <w:pBdr/>
        <w:spacing w:line="300" w:lineRule="auto"/>
        <w:ind w:firstLine="0"/>
        <w:rPr/>
      </w:pPr>
      <w:r>
        <w:t xml:space="preserve">Despite these challenges, the potential impact of a reliable AI assistant for endoscopic severity scoring is high. It could enable standardized, real-time severity assessment during colonoscopy and </w:t>
      </w:r>
      <w:r>
        <w:t xml:space="preserve">facilitate</w:t>
      </w:r>
      <w:r>
        <w:t xml:space="preserve"> objective monitoring of disease over time. This chapter details our </w:t>
      </w:r>
      <w:r>
        <w:t xml:space="preserve">methodology</w:t>
      </w:r>
      <w:r>
        <w:t xml:space="preserve"> and experiments toward this goal. We describe the dataset and label formulation for UC severity, our modeling approaches including both fine-tuned classifiers (ResNet50 and </w:t>
      </w:r>
      <w:r>
        <w:t xml:space="preserve">ViT</w:t>
      </w:r>
      <w:r>
        <w:t xml:space="preserve">) and vision-language models, and the evaluation metrics used to measure performance. We then present results from the </w:t>
      </w:r>
      <w:r>
        <w:t xml:space="preserve">HyperKvasir</w:t>
      </w:r>
      <w:r>
        <w:t xml:space="preserve"> UC severity experiments, highlighting the effects of class imbalance, the performance of different model architectures, and the outcomes of </w:t>
      </w:r>
      <w:r>
        <w:t xml:space="preserve">initial</w:t>
      </w:r>
      <w:r>
        <w:t xml:space="preserve"> generative model attempts. Finally, we discuss the limitations of our current approach – such as small sample counts and variability in model performance – and outline how this work contributes to the thesis </w:t>
      </w:r>
      <w:r>
        <w:t xml:space="preserve">objectives</w:t>
      </w:r>
      <w:r>
        <w:t xml:space="preserve">. We also </w:t>
      </w:r>
      <w:r>
        <w:t xml:space="preserve">identify</w:t>
      </w:r>
      <w:r>
        <w:t xml:space="preserve"> remaining steps and improvements to be addressed in </w:t>
      </w:r>
      <w:r>
        <w:t xml:space="preserve">subsequent</w:t>
      </w:r>
      <w:r>
        <w:t xml:space="preserve"> work or chapters, setting the stage for further development.</w:t>
      </w:r>
      <w:r/>
    </w:p>
    <w:p w14:paraId="0E714785" w14:textId="100645BF">
      <w:pPr>
        <w:pStyle w:val="774"/>
        <w:suppressLineNumbers w:val="false"/>
        <w:pBdr/>
        <w:spacing w:line="300" w:lineRule="auto"/>
        <w:ind w:firstLine="0"/>
        <w:rPr/>
      </w:pPr>
      <w:r/>
      <w:r/>
    </w:p>
    <w:p w14:paraId="20AF6579" w14:textId="7ABA5687">
      <w:pPr>
        <w:pStyle w:val="774"/>
        <w:suppressLineNumbers w:val="false"/>
        <w:pBdr/>
        <w:spacing w:line="300" w:lineRule="auto"/>
        <w:ind w:firstLine="0"/>
        <w:rPr>
          <w:b/>
          <w:bCs/>
        </w:rPr>
      </w:pPr>
      <w:r>
        <w:rPr>
          <w:b/>
          <w:bCs/>
        </w:rPr>
        <w:t xml:space="preserve">4.2 Clinical Background: UC Severity Scoring and Its Importance</w:t>
      </w:r>
      <w:r>
        <w:rPr>
          <w:b/>
          <w:bCs/>
        </w:rPr>
      </w:r>
    </w:p>
    <w:p w14:paraId="664F9F61" w14:textId="20932234">
      <w:pPr>
        <w:pStyle w:val="774"/>
        <w:suppressLineNumbers w:val="false"/>
        <w:pBdr/>
        <w:spacing w:line="300" w:lineRule="auto"/>
        <w:ind w:firstLine="0"/>
        <w:rPr/>
      </w:pPr>
      <w:r>
        <w:t xml:space="preserve">Accurate endoscopic scoring of ulcerative colitis is essent</w:t>
      </w:r>
      <w:r>
        <w:t xml:space="preserve">ial for both clinical management and research. The Mayo endoscopic score (also called Mayo subscore) is one of the most widely used measures in clinical trials and practice. It assigns an integer from 0 to 3 based on visual assessment of the colon mucosa: </w:t>
      </w:r>
      <w:r>
        <w:t xml:space="preserve">0 = normal or inactive disease, 1 = mild inflammation (erythema, decreased vascular pattern, mild friability), 2 = moderate inflammation (marked erythema, absent vascular pattern, friability, erosions), and 3 = severe inflammation (spontaneous bleeding, la</w:t>
      </w:r>
      <w:r>
        <w:t xml:space="preserve">rge ulcers)[1]. In practice, endoscopists use these categories to describe what they see; for example, a Mayo 3 colon is typically very friable with active bleeding. Mayo scores feed into a composite disease activity index, and achieving endoscopic remissi</w:t>
      </w:r>
      <w:r>
        <w:t xml:space="preserve">on (score 0 or 1) is often a treatment goal. Endoscopic mucosal healing is defined as Mayo 0–1, which has been associated with better long-term outcomes[4]. On the other hand, a Mayo 3 (severe ulceration) might prompt aggressive therapy or hospitalization.</w:t>
      </w:r>
      <w:r/>
    </w:p>
    <w:p w14:paraId="1BC0BF38" w14:textId="1D18A727">
      <w:pPr>
        <w:pStyle w:val="774"/>
        <w:suppressLineNumbers w:val="false"/>
        <w:pBdr/>
        <w:spacing w:line="300" w:lineRule="auto"/>
        <w:ind w:firstLine="0"/>
        <w:rPr/>
      </w:pPr>
      <w:r>
        <w:t xml:space="preserve">The UCEIS (Ulcerative Colitis Endoscopic Index of Severity) is a more detailed instrument developed to improve objectivity and sensitivity. UCEIS evaluates three endoscopic findings – vascular pattern, </w:t>
      </w:r>
      <w:r>
        <w:t xml:space="preserve">bleeding, and ulceration – each on a 3 or 4-point scale, then sums them to a total score 0–8[5][6]. A key advantage is that UCEIS has shown strong correlation with clinical outcomes and inter-observer agreement. For instance, a UCEIS ≥7 (on the 0–8 scale) </w:t>
      </w:r>
      <w:r>
        <w:t xml:space="preserve">indicates</w:t>
      </w:r>
      <w:r>
        <w:t xml:space="preserve"> severe endoscopic disease and has been found to predict the need for colectomy in hospitalized patients with acute severe </w:t>
      </w:r>
      <w:r>
        <w:t xml:space="preserve">colitis[</w:t>
      </w:r>
      <w:r>
        <w:t xml:space="preserve">3]. Clinicians often stratify UCEIS into remission (0–1), mild (2–4), moderate (5–6), and severe (7–8) </w:t>
      </w:r>
      <w:r>
        <w:t xml:space="preserve">categories</w:t>
      </w:r>
      <w:r>
        <w:t xml:space="preserve">, analogous to the Mayo score categories. Thus, both scoring systems </w:t>
      </w:r>
      <w:r>
        <w:t xml:space="preserve">ultimately categorize</w:t>
      </w:r>
      <w:r>
        <w:t xml:space="preserve"> disease into a four-tier severity scale (remission/normal, mild, moderate, severe). These are the categories we aim for our AI models to recognize from images.</w:t>
      </w:r>
      <w:r/>
    </w:p>
    <w:p w14:paraId="46A5943E" w14:textId="1514CD23">
      <w:pPr>
        <w:pStyle w:val="774"/>
        <w:suppressLineNumbers w:val="false"/>
        <w:pBdr/>
        <w:spacing w:line="300" w:lineRule="auto"/>
        <w:ind w:firstLine="0"/>
        <w:rPr/>
      </w:pPr>
      <w:r>
        <w:t xml:space="preserve">It is important to note that assigning these scores from a single image can be challenging even for experts. Endoscopists typically consider the worst-affected area during a colonoscopy to grade severity. A s</w:t>
      </w:r>
      <w:r>
        <w:t xml:space="preserve">ingle photograph might not capture the most severe lesion if the endoscopist did not take a picture of it. Additionally, there is subjectivity – differentiating between a Mayo 2 vs 3, or between mild vs moderate inflammation, can be subtle and prone to int</w:t>
      </w:r>
      <w:r>
        <w:t xml:space="preserve">er-observer variation. Our AI models must therefore be robust to this inherent ambiguity and any inconsistency in labeling. Despite these difficulties, an automated tool that aligns well with established scores could standardize assessments. In research se</w:t>
      </w:r>
      <w:r>
        <w:t xml:space="preserve">ttings, it could facilitate high-throughput scoring of large image or video datasets (for example, to evaluate new therapies). In clinical practice, it could aid less experienced clinicians or serve as a second reader, increasing confidence in assessments.</w:t>
      </w:r>
      <w:r/>
    </w:p>
    <w:p w14:paraId="72CA84BF" w14:textId="3ECE0D1D">
      <w:pPr>
        <w:pStyle w:val="774"/>
        <w:suppressLineNumbers w:val="false"/>
        <w:pBdr/>
        <w:spacing w:line="300" w:lineRule="auto"/>
        <w:ind w:firstLine="0"/>
        <w:rPr>
          <w:b/>
          <w:bCs/>
        </w:rPr>
      </w:pPr>
      <w:r>
        <w:rPr>
          <w:b/>
          <w:bCs/>
        </w:rPr>
        <w:t xml:space="preserve">4.3 Challenges: Data Limitations and Task Formulation</w:t>
      </w:r>
      <w:r>
        <w:rPr>
          <w:b/>
          <w:bCs/>
        </w:rPr>
      </w:r>
    </w:p>
    <w:p w14:paraId="7D60548A" w14:textId="589798A0">
      <w:pPr>
        <w:pStyle w:val="774"/>
        <w:suppressLineNumbers w:val="false"/>
        <w:pBdr/>
        <w:spacing w:line="300" w:lineRule="auto"/>
        <w:ind w:firstLine="0"/>
        <w:rPr/>
      </w:pPr>
      <w:r>
        <w:t xml:space="preserve">Developing a machine learning model for UC severity classification faces two major obstacles: limited annotated data (especially for severe cases) and the question of how to formulate the prediction task.</w:t>
      </w:r>
      <w:r/>
    </w:p>
    <w:p w14:paraId="2BABB6AA" w14:textId="0C7282E8">
      <w:pPr>
        <w:pStyle w:val="774"/>
        <w:suppressLineNumbers w:val="false"/>
        <w:pBdr/>
        <w:spacing w:line="300" w:lineRule="auto"/>
        <w:ind w:firstLine="0"/>
        <w:rPr/>
      </w:pPr>
      <w:r>
        <w:t xml:space="preserve">Limited an</w:t>
      </w:r>
      <w:r>
        <w:t xml:space="preserve">d Imbalanced Data: Unlike common image classification tasks with thousands of samples per class, medical image datasets often have severe class imbalance. UC severity is a prime example – most colonoscopy images in the public domain are of normal colon or </w:t>
      </w:r>
      <w:r>
        <w:t xml:space="preserve">contain</w:t>
      </w:r>
      <w:r>
        <w:t xml:space="preserve"> polyps (since polyp detection has been a major research focus), </w:t>
      </w:r>
      <w:r>
        <w:t xml:space="preserve">whereas</w:t>
      </w:r>
      <w:r>
        <w:t xml:space="preserve"> images of severely inflamed colons are rare. In the </w:t>
      </w:r>
      <w:r>
        <w:t xml:space="preserve">HyperKvasir</w:t>
      </w:r>
      <w:r>
        <w:t xml:space="preserve"> dataset (110,000 GI images), only a small subset is labeled as Ulcerative Colitis at all, and even fewer are annotated with a precise grade. In fact, prior work has noted the “lack of publicly available datasets for UC </w:t>
      </w:r>
      <w:r>
        <w:t xml:space="preserve">classification</w:t>
      </w:r>
      <w:r>
        <w:t xml:space="preserve">”</w:t>
      </w:r>
      <w:r>
        <w:t xml:space="preserve">.</w:t>
      </w:r>
      <w:r>
        <w:t xml:space="preserve"> A recent effort by Turan et al. had to label </w:t>
      </w:r>
      <w:r>
        <w:t xml:space="preserve">additional</w:t>
      </w:r>
      <w:r>
        <w:t xml:space="preserve"> UC images and even generate synthetic images to augment the limited data, creating a dataset of 673 images (grade 0–3) by adding 352 new labeled examples to the 321 existing </w:t>
      </w:r>
      <w:r>
        <w:t xml:space="preserve">HyperKvasir</w:t>
      </w:r>
      <w:r>
        <w:t xml:space="preserve"> UC </w:t>
      </w:r>
      <w:r>
        <w:t xml:space="preserve">images</w:t>
      </w:r>
      <w:r>
        <w:t xml:space="preserve">. </w:t>
      </w:r>
      <w:r/>
    </w:p>
    <w:p w14:paraId="4EF0A871" w14:textId="73A53EF7">
      <w:pPr>
        <w:pStyle w:val="774"/>
        <w:suppressLineNumbers w:val="false"/>
        <w:pBdr/>
        <w:spacing w:line="300" w:lineRule="auto"/>
        <w:ind w:firstLine="0"/>
        <w:rPr/>
      </w:pPr>
      <w:r>
        <w:t xml:space="preserve">This highlights the extent of the data scarcity problem – and even 673 images total is quite small for training deep models from scratch. Moreover, the distribution of images across severity grades is typically skewed: mild and moderate cases occur more </w:t>
      </w:r>
      <w:r>
        <w:t xml:space="preserve">frequently</w:t>
      </w:r>
      <w:r>
        <w:t xml:space="preserve"> than the extremes (very mild/normal or very severe). This imbalance means that a naïve model can achieve high overall accuracy by focusing on the majority classes while virtually ignoring the minority classes. </w:t>
      </w:r>
      <w:r/>
    </w:p>
    <w:p w14:paraId="6BA265EF" w14:textId="68115B4D">
      <w:pPr>
        <w:pStyle w:val="774"/>
        <w:suppressLineNumbers w:val="false"/>
        <w:pBdr/>
        <w:spacing w:line="300" w:lineRule="auto"/>
        <w:ind w:firstLine="0"/>
        <w:rPr/>
      </w:pPr>
      <w:r>
        <w:t xml:space="preserve">Indeed, our </w:t>
      </w:r>
      <w:r>
        <w:t xml:space="preserve">initial</w:t>
      </w:r>
      <w:r>
        <w:t xml:space="preserve"> multi-class classifier (trained on a broad set of endoscopic image classes including the UC grades) achieved high overall accuracy (~87%) but </w:t>
      </w:r>
      <w:r>
        <w:t xml:space="preserve">failed to</w:t>
      </w:r>
      <w:r>
        <w:t xml:space="preserve"> recognize the rare classes, yielding</w:t>
      </w:r>
      <w:r>
        <w:t xml:space="preserve"> a macro-averaged F1 around only 0.52–0.59. The per-class results showed near-perfect F1 for common classes (e.g. anatomical landmarks like cecum, frequent findings like polyps) but zero or trivial F1 for the UC severity classes. In other words, the model </w:t>
      </w:r>
      <w:r>
        <w:t xml:space="preserve">essentially never</w:t>
      </w:r>
      <w:r>
        <w:t xml:space="preserve"> predicted those under-represented categories. </w:t>
      </w:r>
      <w:r/>
    </w:p>
    <w:p w14:paraId="5394AAA6" w14:textId="2D638E95">
      <w:pPr>
        <w:pStyle w:val="774"/>
        <w:suppressLineNumbers w:val="false"/>
        <w:pBdr/>
        <w:spacing w:line="300" w:lineRule="auto"/>
        <w:ind w:firstLine="0"/>
        <w:rPr/>
      </w:pPr>
      <w:r>
        <w:t xml:space="preserve">This scenario underscores the need to address class imbalance through techniques such as targeted data augmentation, class-weighted loss functions, oversampling of rare clas</w:t>
      </w:r>
      <w:r>
        <w:t xml:space="preserve">ses, or multi-stage training (e.g. first detect “UC vs non-UC” then grade the UC images). In this chapter’s experiments, we take initial steps toward mitigating these issues by carving out a dedicated UC severity subset of the data and examining the model </w:t>
      </w:r>
      <w:r>
        <w:t xml:space="preserve">performance</w:t>
      </w:r>
      <w:r>
        <w:t xml:space="preserve"> specifically on that subset. Nevertheless, the results must be interpreted with caution given the small sample sizes – some performance metrics may not be statistically reliable and can </w:t>
      </w:r>
      <w:r>
        <w:t xml:space="preserve">exhibit</w:t>
      </w:r>
      <w:r>
        <w:t xml:space="preserve"> high variance upon re-sampling or slight changes in training conditions.</w:t>
      </w:r>
      <w:r/>
    </w:p>
    <w:p w14:paraId="1C0F640F" w14:textId="00145D1F">
      <w:pPr>
        <w:pStyle w:val="774"/>
        <w:suppressLineNumbers w:val="false"/>
        <w:pBdr/>
        <w:spacing w:line="300" w:lineRule="auto"/>
        <w:ind w:firstLine="0"/>
        <w:rPr/>
      </w:pPr>
      <w:r>
        <w:rPr>
          <w:b/>
          <w:bCs/>
        </w:rPr>
        <w:t xml:space="preserve">Task Formulation – Classification vs. VQA: </w:t>
      </w:r>
      <w:r>
        <w:t xml:space="preserve">The second challenge is how to pose the problem to leverage modern AI architectures. A straightforward fo</w:t>
      </w:r>
      <w:r>
        <w:t xml:space="preserve">rmulation is image classification, where the input is an endoscopy image and the output is one of four labels (normal, mild, moderate, severe). This allows use of well-established convolutional neural networks (CNNs) or vision transformer models pre-traine</w:t>
      </w:r>
      <w:r>
        <w:t xml:space="preserve">d on large datasets, adapting them to our 4-class problem via fine-tuning. We have pursued this route using ResNet50 and ViT as backbone models, as described later. An alternative formulation is vision-language question answering: we can ask a model (in te</w:t>
      </w:r>
      <w:r>
        <w:t xml:space="preserve">xt) a question about the image, such as “What is the severity of inflammation in this colon image?”, and train or prompt the model to generate the answer (e.g. “moderate”). This formulation transforms the task into a VQA problem, solvable by generative mod</w:t>
      </w:r>
      <w:r>
        <w:t xml:space="preserve">els that combine images and text. The rationale for this approach is that large pre-trained vision-language models (such as CLIP, BLIP, or GPT-4 Vision) have seen many image-caption pairs and learned to relate visual features to descriptive language. In th</w:t>
      </w:r>
      <w:r>
        <w:t xml:space="preserve">eory, a model like BLIP-2 or an LLM-based multimodal model could recognize visual indicators of inflammation (like ulcers or bleeding) and use its learned medical knowledge to output the appropriate category, even with minimal fine-tuning. It also opens th</w:t>
      </w:r>
      <w:r>
        <w:t xml:space="preserve">e door to richer outputs: for example, the model might say “Severe (Mayo 3) – I see spontaneous bleeding and deep ulcerations”, providing explanation alongside the label. This aligns with the generative AI paradigm, emphasizing human-interpretable results.</w:t>
      </w:r>
      <w:r/>
    </w:p>
    <w:p w14:paraId="43C5683B" w14:textId="1E04A06A">
      <w:pPr>
        <w:pStyle w:val="774"/>
        <w:suppressLineNumbers w:val="false"/>
        <w:pBdr/>
        <w:spacing w:line="300" w:lineRule="auto"/>
        <w:ind w:firstLine="0"/>
        <w:rPr/>
      </w:pPr>
      <w:r>
        <mc:AlternateContent>
          <mc:Choice Requires="wpg">
            <w:drawing>
              <wp:inline xmlns:wp="http://schemas.openxmlformats.org/drawingml/2006/wordprocessingDrawing" distT="0" distB="0" distL="0" distR="0">
                <wp:extent cx="4657725" cy="981075"/>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44404" name="Picture 662644404"/>
                        <pic:cNvPicPr>
                          <a:picLocks noChangeAspect="1"/>
                        </pic:cNvPicPr>
                        <pic:nvPr/>
                      </pic:nvPicPr>
                      <pic:blipFill rotWithShape="1">
                        <a:blip r:embed="rId13"/>
                        <a:stretch/>
                      </pic:blipFill>
                      <pic:spPr bwMode="auto">
                        <a:xfrm>
                          <a:off x="0" y="0"/>
                          <a:ext cx="4657725" cy="981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66.75pt;height:77.25pt;mso-wrap-distance-left:0.00pt;mso-wrap-distance-top:0.00pt;mso-wrap-distance-right:0.00pt;mso-wrap-distance-bottom:0.00pt;z-index:1;" stroked="false">
                <v:imagedata r:id="rId13" o:title=""/>
                <o:lock v:ext="edit" rotation="t"/>
              </v:shape>
            </w:pict>
          </mc:Fallback>
        </mc:AlternateContent>
      </w:r>
      <w:r/>
    </w:p>
    <w:p w14:paraId="0E3CF1D2" w14:textId="6C7ED7E3">
      <w:pPr>
        <w:pStyle w:val="774"/>
        <w:suppressLineNumbers w:val="false"/>
        <w:pBdr/>
        <w:spacing w:line="300" w:lineRule="auto"/>
        <w:ind w:firstLine="0"/>
        <w:rPr/>
      </w:pPr>
      <w:r>
        <mc:AlternateContent>
          <mc:Choice Requires="wpg">
            <w:drawing>
              <wp:inline xmlns:wp="http://schemas.openxmlformats.org/drawingml/2006/wordprocessingDrawing" distT="0" distB="0" distL="0" distR="0">
                <wp:extent cx="4054832" cy="3391466"/>
                <wp:effectExtent l="0" t="0" r="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56667" name="Picture 667556667"/>
                        <pic:cNvPicPr>
                          <a:picLocks noChangeAspect="1"/>
                        </pic:cNvPicPr>
                        <pic:nvPr/>
                      </pic:nvPicPr>
                      <pic:blipFill rotWithShape="1">
                        <a:blip r:embed="rId14"/>
                        <a:stretch/>
                      </pic:blipFill>
                      <pic:spPr bwMode="auto">
                        <a:xfrm rot="0">
                          <a:off x="0" y="0"/>
                          <a:ext cx="4054832" cy="33914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9.28pt;height:267.04pt;mso-wrap-distance-left:0.00pt;mso-wrap-distance-top:0.00pt;mso-wrap-distance-right:0.00pt;mso-wrap-distance-bottom:0.00pt;rotation:0;z-index:1;" stroked="false">
                <v:imagedata r:id="rId14" o:title=""/>
                <o:lock v:ext="edit" rotation="t"/>
              </v:shape>
            </w:pict>
          </mc:Fallback>
        </mc:AlternateContent>
      </w:r>
      <w:r/>
    </w:p>
    <w:p w14:paraId="251BE92F" w14:textId="258430B3">
      <w:pPr>
        <w:pStyle w:val="774"/>
        <w:suppressLineNumbers w:val="false"/>
        <w:pBdr/>
        <w:spacing w:line="300" w:lineRule="auto"/>
        <w:ind w:firstLine="0"/>
        <w:rPr/>
      </w:pPr>
      <w:r>
        <mc:AlternateContent>
          <mc:Choice Requires="wpg">
            <w:drawing>
              <wp:inline xmlns:wp="http://schemas.openxmlformats.org/drawingml/2006/wordprocessingDrawing" distT="0" distB="0" distL="0" distR="0">
                <wp:extent cx="5114925" cy="3303389"/>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29215" name="Picture 1235729215"/>
                        <pic:cNvPicPr>
                          <a:picLocks noChangeAspect="1"/>
                        </pic:cNvPicPr>
                        <pic:nvPr/>
                      </pic:nvPicPr>
                      <pic:blipFill rotWithShape="1">
                        <a:blip r:embed="rId15"/>
                        <a:stretch/>
                      </pic:blipFill>
                      <pic:spPr bwMode="auto">
                        <a:xfrm rot="0">
                          <a:off x="0" y="0"/>
                          <a:ext cx="5114925" cy="33033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02.75pt;height:260.11pt;mso-wrap-distance-left:0.00pt;mso-wrap-distance-top:0.00pt;mso-wrap-distance-right:0.00pt;mso-wrap-distance-bottom:0.00pt;rotation:0;z-index:1;" stroked="false">
                <v:imagedata r:id="rId15" o:title=""/>
                <o:lock v:ext="edit" rotation="t"/>
              </v:shape>
            </w:pict>
          </mc:Fallback>
        </mc:AlternateContent>
      </w:r>
      <w:r/>
    </w:p>
    <w:p w14:paraId="65548B04" w14:textId="2774F465">
      <w:pPr>
        <w:pStyle w:val="774"/>
        <w:suppressLineNumbers w:val="false"/>
        <w:pBdr/>
        <w:spacing w:line="300" w:lineRule="auto"/>
        <w:ind w:firstLine="0"/>
        <w:rPr/>
      </w:pPr>
      <w:r>
        <w:t xml:space="preserve">FineTune</w:t>
      </w:r>
      <w:r>
        <w:t xml:space="preserve"> </w:t>
      </w:r>
      <w:r>
        <w:t xml:space="preserve">Restnet</w:t>
      </w:r>
      <w:r>
        <w:t xml:space="preserve"> 50 Results </w:t>
      </w:r>
      <w:r/>
    </w:p>
    <w:p w14:paraId="79053615" w14:textId="49540DF3">
      <w:pPr>
        <w:pStyle w:val="774"/>
        <w:suppressLineNumbers w:val="false"/>
        <w:pBdr/>
        <w:spacing w:line="300" w:lineRule="auto"/>
        <w:ind w:firstLine="0"/>
        <w:rPr/>
      </w:pPr>
      <w:r/>
      <w:r/>
    </w:p>
    <w:p w14:paraId="42A2032B" w14:textId="1F322593">
      <w:pPr>
        <w:pStyle w:val="774"/>
        <w:suppressLineNumbers w:val="false"/>
        <w:pBdr/>
        <w:spacing w:line="300" w:lineRule="auto"/>
        <w:ind w:firstLine="0"/>
        <w:rPr/>
      </w:pPr>
      <w:r>
        <mc:AlternateContent>
          <mc:Choice Requires="wpg">
            <w:drawing>
              <wp:inline xmlns:wp="http://schemas.openxmlformats.org/drawingml/2006/wordprocessingDrawing" distT="0" distB="0" distL="0" distR="0">
                <wp:extent cx="3638550" cy="2705100"/>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00177" name="Picture 1738300177"/>
                        <pic:cNvPicPr>
                          <a:picLocks noChangeAspect="1"/>
                        </pic:cNvPicPr>
                        <pic:nvPr/>
                      </pic:nvPicPr>
                      <pic:blipFill rotWithShape="1">
                        <a:blip r:embed="rId16"/>
                        <a:stretch/>
                      </pic:blipFill>
                      <pic:spPr bwMode="auto">
                        <a:xfrm>
                          <a:off x="0" y="0"/>
                          <a:ext cx="3638550" cy="2705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86.50pt;height:213.00pt;mso-wrap-distance-left:0.00pt;mso-wrap-distance-top:0.00pt;mso-wrap-distance-right:0.00pt;mso-wrap-distance-bottom:0.00pt;z-index:1;" stroked="false">
                <v:imagedata r:id="rId16" o:title=""/>
                <o:lock v:ext="edit" rotation="t"/>
              </v:shape>
            </w:pict>
          </mc:Fallback>
        </mc:AlternateContent>
      </w:r>
      <w:r/>
    </w:p>
    <w:p w14:paraId="02F2A2BC" w14:textId="4EDDCE6E">
      <w:pPr>
        <w:pStyle w:val="774"/>
        <w:suppressLineNumbers w:val="false"/>
        <w:pBdr/>
        <w:spacing w:line="300" w:lineRule="auto"/>
        <w:ind w:firstLine="0"/>
        <w:rPr/>
      </w:pPr>
      <w:r>
        <mc:AlternateContent>
          <mc:Choice Requires="wpg">
            <w:drawing>
              <wp:inline xmlns:wp="http://schemas.openxmlformats.org/drawingml/2006/wordprocessingDrawing" distT="0" distB="0" distL="0" distR="0">
                <wp:extent cx="5838825" cy="2270654"/>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17883" name="Picture 1325717883"/>
                        <pic:cNvPicPr>
                          <a:picLocks noChangeAspect="1"/>
                        </pic:cNvPicPr>
                        <pic:nvPr/>
                      </pic:nvPicPr>
                      <pic:blipFill rotWithShape="1">
                        <a:blip r:embed="rId17"/>
                        <a:stretch/>
                      </pic:blipFill>
                      <pic:spPr bwMode="auto">
                        <a:xfrm rot="0">
                          <a:off x="0" y="0"/>
                          <a:ext cx="5838825" cy="22706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9.75pt;height:178.79pt;mso-wrap-distance-left:0.00pt;mso-wrap-distance-top:0.00pt;mso-wrap-distance-right:0.00pt;mso-wrap-distance-bottom:0.00pt;rotation:0;z-index:1;" stroked="false">
                <v:imagedata r:id="rId17" o:title=""/>
                <o:lock v:ext="edit" rotation="t"/>
              </v:shape>
            </w:pict>
          </mc:Fallback>
        </mc:AlternateContent>
      </w:r>
      <w:r/>
    </w:p>
    <w:p w14:paraId="5370D2BB" w14:textId="07B7E226">
      <w:pPr>
        <w:pStyle w:val="774"/>
        <w:suppressLineNumbers w:val="false"/>
        <w:pBdr/>
        <w:spacing w:line="300" w:lineRule="auto"/>
        <w:ind w:firstLine="0"/>
        <w:rPr/>
      </w:pPr>
      <w:r/>
      <w:r/>
    </w:p>
    <w:p w14:paraId="5F75E7D0" w14:textId="3741BE60">
      <w:pPr>
        <w:pStyle w:val="774"/>
        <w:suppressLineNumbers w:val="false"/>
        <w:pBdr/>
        <w:spacing w:line="300" w:lineRule="auto"/>
        <w:ind w:firstLine="0"/>
        <w:rPr/>
      </w:pPr>
      <w:r>
        <w:t xml:space="preserve">In practice, however, using a generative VQA approach for severity</w:t>
      </w:r>
      <w:r>
        <w:t xml:space="preserve"> grading is non-trivial. Vision-language models pre-trained on general images may not know specialized terms like “Mayo 2” or subtle distinctions in colon appearance. Our experiments confirmed that off-the-shelf models struggle: a zero-shot run of BLIP-2 (</w:t>
      </w:r>
      <w:r>
        <w:t xml:space="preserve">a state-of-the-art</w:t>
      </w:r>
      <w:r>
        <w:t xml:space="preserve"> vision-language model) produced </w:t>
      </w:r>
      <w:r>
        <w:t xml:space="preserve">essentially random</w:t>
      </w:r>
      <w:r>
        <w:t xml:space="preserve"> or irrelevant answers when asked to grade UC</w:t>
      </w:r>
      <w:r>
        <w:t xml:space="preserve"> severity, yielding an exact match accuracy of 0% on our test set. Even when we tried a simpler zero-shot approach with CLIP (which can match images to text labels by embedding similarity), the accuracy was only ~6% – barely above chance for four classes. </w:t>
      </w:r>
      <w:r/>
    </w:p>
    <w:p w14:paraId="1B50F6FF" w14:textId="784B5D7D">
      <w:pPr>
        <w:pStyle w:val="774"/>
        <w:suppressLineNumbers w:val="false"/>
        <w:pBdr/>
        <w:spacing w:line="300" w:lineRule="auto"/>
        <w:ind w:firstLine="0"/>
        <w:rPr/>
      </w:pPr>
      <w:r>
        <w:t xml:space="preserve">These results </w:t>
      </w:r>
      <w:r>
        <w:t xml:space="preserve">indicate</w:t>
      </w:r>
      <w:r>
        <w:t xml:space="preserve"> that some amount of fine-tuning or domain adaptation is </w:t>
      </w:r>
      <w:r>
        <w:t xml:space="preserve">required</w:t>
      </w:r>
      <w:r>
        <w:t xml:space="preserve"> for generative models to succeed at this task. Furthermore, framing the ta</w:t>
      </w:r>
      <w:r>
        <w:t xml:space="preserve">sk as VQA requires careful construction of the “question” and “answer” pairs for training. We must decide on a consistent phrasing of the question (to avoid confusion for the model) and a standardized format for answers (e.g. single-word answers like “Mild</w:t>
      </w:r>
      <w:r>
        <w:t xml:space="preserve">”,</w:t>
      </w:r>
      <w:r>
        <w:t xml:space="preserve"> or numeric scores, o</w:t>
      </w:r>
      <w:r>
        <w:t xml:space="preserve">r combined text like “Mayo 3 (Severe)”). We experimented with various prompt formulations in preliminary trials. For example, one approach is to ask yes/no questions about each level (“Is this severe?”) and combine the logic, but this can propagate error. </w:t>
      </w:r>
      <w:r>
        <w:t xml:space="preserve">Ultimately, we</w:t>
      </w:r>
      <w:r>
        <w:t xml:space="preserve"> treated it as an open-ended question with a single-word answer, </w:t>
      </w:r>
      <w:r>
        <w:t xml:space="preserve">similar to</w:t>
      </w:r>
      <w:r>
        <w:t xml:space="preserve"> a classification but via a language model. The evaluation of generative answers also demands a</w:t>
      </w:r>
      <w:r>
        <w:t xml:space="preserve">n answer mapping step – since a model might say “moderate inflammation” or “Mayo 2” or “medium”, we define a set of acceptable synonyms for each class when scoring the output. Despite these complications, we consider the VQA approach promising, because it </w:t>
      </w:r>
      <w:r>
        <w:t xml:space="preserve">leverages</w:t>
      </w:r>
      <w:r>
        <w:t xml:space="preserve"> the flexibility of generative AI and could integrate with the broader VQA system developed in earlier chapters (</w:t>
      </w:r>
      <w:r>
        <w:t xml:space="preserve">Chapter 3). For instance, a future system could answer multiple questions about an image: “Is there ulcerative colitis? What is the severity? What evidence supports that grade?” – combining detection, classification, and explanation in a unified framework.</w:t>
      </w:r>
      <w:r/>
    </w:p>
    <w:p w14:paraId="2981D2EC" w14:textId="4D06A7B3">
      <w:pPr>
        <w:pStyle w:val="774"/>
        <w:suppressLineNumbers w:val="false"/>
        <w:pBdr/>
        <w:spacing w:line="300" w:lineRule="auto"/>
        <w:ind w:firstLine="0"/>
        <w:rPr/>
      </w:pPr>
      <w:r>
        <w:t xml:space="preserve">In summary, this project must navigate scarce, imbalanced data and carefully choose how to pose the problem to the AI. The rest of this chapter describes how we addressed these issues in our experimental design and analysis.</w:t>
      </w:r>
      <w:r/>
    </w:p>
    <w:p w14:paraId="17E87E2A" w14:textId="48166F39">
      <w:pPr>
        <w:pStyle w:val="774"/>
        <w:suppressLineNumbers w:val="false"/>
        <w:pBdr/>
        <w:spacing w:line="300" w:lineRule="auto"/>
        <w:ind w:firstLine="0"/>
        <w:rPr>
          <w:b/>
          <w:bCs/>
        </w:rPr>
      </w:pPr>
      <w:r>
        <w:rPr>
          <w:b/>
          <w:bCs/>
        </w:rPr>
        <w:t xml:space="preserve">4.4 Experimental Design and Methods</w:t>
      </w:r>
      <w:r>
        <w:rPr>
          <w:b/>
          <w:bCs/>
        </w:rPr>
      </w:r>
    </w:p>
    <w:p w14:paraId="61395F51" w14:textId="7972853D">
      <w:pPr>
        <w:pStyle w:val="774"/>
        <w:suppressLineNumbers w:val="false"/>
        <w:pBdr/>
        <w:spacing w:line="300" w:lineRule="auto"/>
        <w:ind w:firstLine="0"/>
        <w:rPr/>
      </w:pPr>
      <w:r>
        <w:t xml:space="preserve">This section details the dataset preparation, label formulation, models, and evaluation metrics used in our UC severity assessment experiments.</w:t>
      </w:r>
      <w:r/>
    </w:p>
    <w:p w14:paraId="12B11C85" w14:textId="7DC8737D">
      <w:pPr>
        <w:pStyle w:val="774"/>
        <w:suppressLineNumbers w:val="false"/>
        <w:pBdr/>
        <w:spacing w:line="300" w:lineRule="auto"/>
        <w:ind w:firstLine="0"/>
        <w:rPr>
          <w:b/>
          <w:bCs/>
        </w:rPr>
      </w:pPr>
      <w:r>
        <w:rPr>
          <w:b/>
          <w:bCs/>
        </w:rPr>
        <w:t xml:space="preserve">4.4.1 Dataset and Label Formulation</w:t>
      </w:r>
      <w:r>
        <w:rPr>
          <w:b/>
          <w:bCs/>
        </w:rPr>
      </w:r>
    </w:p>
    <w:p w14:paraId="6338FBCF" w14:textId="6CA89F03">
      <w:pPr>
        <w:pStyle w:val="774"/>
        <w:suppressLineNumbers w:val="false"/>
        <w:pBdr/>
        <w:spacing w:line="300" w:lineRule="auto"/>
        <w:ind w:firstLine="0"/>
        <w:rPr/>
      </w:pPr>
      <w:r>
        <w:t xml:space="preserve">We </w:t>
      </w:r>
      <w:r>
        <w:t xml:space="preserve">leveraged</w:t>
      </w:r>
      <w:r>
        <w:t xml:space="preserve"> the </w:t>
      </w:r>
      <w:r>
        <w:t xml:space="preserve">HyperKvasir</w:t>
      </w:r>
      <w:r>
        <w:t xml:space="preserve"> dataset as the primary source of endoscopic images. </w:t>
      </w:r>
      <w:r>
        <w:t xml:space="preserve">HyperKvasir</w:t>
      </w:r>
      <w:r>
        <w:t xml:space="preserve"> is a large open dataset of GI tract images and videos, covering various anatomical sites and </w:t>
      </w:r>
      <w:r>
        <w:t xml:space="preserve">pathologies[</w:t>
      </w:r>
      <w:r>
        <w:t xml:space="preserve">10]. Crucially, it </w:t>
      </w:r>
      <w:r>
        <w:t xml:space="preserve">contains a subset of images labeled with findings such as “ulcerative colitis”. Within that subset, some images h</w:t>
      </w:r>
      <w:r>
        <w:t xml:space="preserve">ave more granular labels indicating severity grades (originating from the Mayo scoring system). To construct our UC severity dataset, we performed a filtering and curation process: - Filtering UC Images: First, we extracted all images annotated as ulcerati</w:t>
      </w:r>
      <w:r>
        <w:t xml:space="preserve">ve colitis in HyperKvasir’s metadata. This yielded a set of hundreds of images. Many of these had generic labels (just “ulcerative colitis”) without a specific grade, while a minority were labeled with terms like “ulcerative-colitis-grade-1-2” or similar. </w:t>
      </w:r>
      <w:r/>
    </w:p>
    <w:p w14:paraId="5C495D78" w14:textId="17A98D49">
      <w:pPr>
        <w:pStyle w:val="774"/>
        <w:suppressLineNumbers w:val="false"/>
        <w:pBdr/>
        <w:spacing w:line="300" w:lineRule="auto"/>
        <w:ind w:firstLine="0"/>
        <w:rPr/>
      </w:pPr>
      <w:r>
        <w:t xml:space="preserve">We suspect these labels were part of an attempt to categorize severity, </w:t>
      </w:r>
      <w:r>
        <w:t xml:space="preserve">possibly correlating</w:t>
      </w:r>
      <w:r>
        <w:t xml:space="preserve"> to Mayo scores. Given the ambiguity (e.g. a label “grade 1-2” could imply mild to moderate), we decided to rely on a</w:t>
      </w:r>
      <w:r>
        <w:t xml:space="preserve"> clearer scheme. - Harmonizing Labels: We mapped each UC image to one of four severity categories: Grade 0 (normal/inactive), Grade 1 (mild), Grade 2 (moderate), Grade 3 (severe). Images explicitly labeled as “Grade 0”, “Grade 1”, etc., were assigned accor</w:t>
      </w:r>
      <w:r>
        <w:t xml:space="preserve">dingly. For images with range labels like “0-1” or “1-2”, we consulted clinical context and the image content (if available) to assign the most likely single grade – when in doubt, we leaned towards the lower grade for conservative estimation of severity. </w:t>
      </w:r>
      <w:r/>
    </w:p>
    <w:p w14:paraId="2E32D8B8" w14:textId="45D3113B">
      <w:pPr>
        <w:pStyle w:val="774"/>
        <w:suppressLineNumbers w:val="false"/>
        <w:pBdr/>
        <w:spacing w:line="300" w:lineRule="auto"/>
        <w:ind w:firstLine="0"/>
        <w:rPr/>
      </w:pPr>
      <w:r>
        <w:t xml:space="preserve">Ultimately, our</w:t>
      </w:r>
      <w:r>
        <w:t xml:space="preserve"> labeling adheres to the Mayo endoscopic score </w:t>
      </w:r>
      <w:r>
        <w:t xml:space="preserve">definitions[</w:t>
      </w:r>
      <w:r>
        <w:t xml:space="preserve">1]. In cases where an image had only the generic “ulcerative colitis” label with no grade, we set it aside from the main graded dataset, since inc</w:t>
      </w:r>
      <w:r>
        <w:t xml:space="preserve">luding them would introduce noisy labels (these might be anywhere from 0 to 3). Some of those ungraded UC images could potentially be used in a semi-supervised manner, but that is outside the scope of our current experiment. - Class Distribution: The final</w:t>
      </w:r>
      <w:r>
        <w:t xml:space="preserve">ized dataset for supervised training included on the order of only a few hundred images in total. The distribution was uneven: we had the most examples for Grade 1 and 2 (mild and moderate inflammation), and fewer for the extremes. For example, there were </w:t>
      </w:r>
      <w:r>
        <w:t xml:space="preserve">roughly double</w:t>
      </w:r>
      <w:r>
        <w:t xml:space="preserve"> the number of Grade 1 or 2 images compared to Grade 3 (severe). Grade 0 (remission/normal colon in UC patients) was also </w:t>
      </w:r>
      <w:r>
        <w:t xml:space="preserve">somewhat underrepresented</w:t>
      </w:r>
      <w:r>
        <w:t xml:space="preserve">, as many “normal” colon images in </w:t>
      </w:r>
      <w:r>
        <w:t xml:space="preserve">HyperKvasir</w:t>
      </w:r>
      <w:r>
        <w:t xml:space="preserve"> are not labeled as UC at all (they might just be in the normal class). The limited size of this dataset means that our training/validation/test splits had to be managed carefully to ensure each class is represented in each split. </w:t>
      </w:r>
      <w:r/>
    </w:p>
    <w:p w14:paraId="12DFEBD9" w14:textId="4608BD47">
      <w:pPr>
        <w:pStyle w:val="774"/>
        <w:suppressLineNumbers w:val="false"/>
        <w:pBdr/>
        <w:spacing w:line="300" w:lineRule="auto"/>
        <w:ind w:firstLine="0"/>
        <w:rPr/>
      </w:pPr>
      <w:r>
        <w:t xml:space="preserve">We used a stratified split by image: </w:t>
      </w:r>
      <w:r>
        <w:t xml:space="preserve">roughly 70%</w:t>
      </w:r>
      <w:r>
        <w:t xml:space="preserve"> training, 15% validation, 15% test, ensuring that if (for instance) 10 severe images exist, they might be split as 7 train, 1 </w:t>
      </w:r>
      <w:r>
        <w:t xml:space="preserve">val</w:t>
      </w:r>
      <w:r>
        <w:t xml:space="preserve">, 2 </w:t>
      </w:r>
      <w:r>
        <w:t xml:space="preserve">test</w:t>
      </w:r>
      <w:r>
        <w:t xml:space="preserve"> (exact numbers varied). Given the extremely small counts, we also report per-class results to provide insight into performance on each severity level, rather than relying solely on aggregate metrics.</w:t>
      </w:r>
      <w:r/>
    </w:p>
    <w:p w14:paraId="5C085DE5" w14:textId="180473B5">
      <w:pPr>
        <w:pStyle w:val="774"/>
        <w:suppressLineNumbers w:val="false"/>
        <w:pBdr/>
        <w:spacing w:line="300" w:lineRule="auto"/>
        <w:ind w:firstLine="0"/>
        <w:rPr/>
      </w:pPr>
      <w:r>
        <w:t xml:space="preserve">It should be noted that, due to the small sample size, we did not hold out a separa</w:t>
      </w:r>
      <w:r>
        <w:t xml:space="preserve">te external test set – instead, the above split’s test portion serves as our benchmark for performance. All hyperparameter tuning (which was minimal) was done using the validation set, and final metrics are reported on the test set. We also augment the dat</w:t>
      </w:r>
      <w:r>
        <w:t xml:space="preserve">a with standard image transformations (random flips, rotations, color jitter) during training to improve generalization, though we avoided any augmentation that might distort the clinical features (for example, excessive blur or contrast changes that could</w:t>
      </w:r>
      <w:r>
        <w:t xml:space="preserve"> hide vascular pattern). No synthetic images were added at this stage, though as discussed earlier and in related work[7], generating realistic colon inflammation images via generative models is a promising avenue to increase data diversity in future work.</w:t>
      </w:r>
      <w:r/>
    </w:p>
    <w:p w14:paraId="2149E673" w14:textId="09A4AEC4">
      <w:pPr>
        <w:pStyle w:val="774"/>
        <w:suppressLineNumbers w:val="false"/>
        <w:pBdr/>
        <w:spacing w:line="300" w:lineRule="auto"/>
        <w:ind w:firstLine="0"/>
        <w:rPr>
          <w:b/>
          <w:bCs/>
        </w:rPr>
      </w:pPr>
      <w:r>
        <w:rPr>
          <w:b/>
          <w:bCs/>
        </w:rPr>
        <w:t xml:space="preserve">4.4.2 Modeling Approaches: CNN, Transformer, and Vision-Language</w:t>
      </w:r>
      <w:r>
        <w:rPr>
          <w:b/>
          <w:bCs/>
        </w:rPr>
      </w:r>
    </w:p>
    <w:p w14:paraId="6B93C84B" w14:textId="47F949EE">
      <w:pPr>
        <w:pStyle w:val="774"/>
        <w:suppressLineNumbers w:val="false"/>
        <w:pBdr/>
        <w:spacing w:line="300" w:lineRule="auto"/>
        <w:ind w:firstLine="0"/>
        <w:rPr/>
      </w:pPr>
      <w:r>
        <w:t xml:space="preserve">We adopted two</w:t>
      </w:r>
      <w:r>
        <w:t xml:space="preserve"> parallel modeling strategies: 1. Supervised Image Classification Models: We fine-tuned two different backbone architectures on the 4-class classification task – a ResNet-50 CNN and a Vision Transformer (ViT). Both were initialized with ImageNet pre-traine</w:t>
      </w:r>
      <w:r>
        <w:t xml:space="preserve">d weights. The ResNet-50 provides a strong baseline as a classical deep CNN known to perform well on medical images with limited data. The ViT, on the other hand, represents a modern attention-based architecture that has shown state-of-the-art results in m</w:t>
      </w:r>
      <w:r>
        <w:t xml:space="preserve">any vision tasks, though often requiring larger datasets. Fine-tuning was done by replacing the final classification layer with a 4-node output (for the four classes) and optimizing cross-entropy loss. We experimented with two training regimes: (a) feature</w:t>
      </w:r>
      <w:r>
        <w:t xml:space="preserve"> extraction where the backbone is frozen and only a small classifier (e.g. a logistic regression or a couple of fully connected layers) is trained on top of extracted features, and (b) full fine-tuning where the entire model is trained end-to-end on our da</w:t>
      </w:r>
      <w:r>
        <w:t xml:space="preserve">taset. Given the small size of data, full fine-tuning risked overfitting, but we mitigated this with regularization (dropout, weight decay) and by monitoring validation loss for early stopping. The training used a batch size of ~16 and ran for a small numb</w:t>
      </w:r>
      <w:r>
        <w:t xml:space="preserve">er of epochs (we found 3–5 epochs sufficient before the models began to overfit, as indicated by rising val loss). We used the Adam optimizer with a low learning rate (on the order of 1e-5 for fine-tuning) to make gentle updates to the pre-trained weights.</w:t>
      </w:r>
      <w:r/>
    </w:p>
    <w:p w14:paraId="6817810A" w14:textId="69D08FB5">
      <w:pPr>
        <w:pStyle w:val="774"/>
        <w:suppressLineNumbers w:val="false"/>
        <w:pBdr/>
        <w:spacing w:line="300" w:lineRule="auto"/>
        <w:ind w:firstLine="0"/>
        <w:rPr/>
      </w:pPr>
      <w:r>
        <w:rPr>
          <w:b/>
          <w:bCs/>
        </w:rPr>
        <w:t xml:space="preserve">    1. Vision-Language Generative Models: </w:t>
      </w:r>
      <w:r>
        <w:t xml:space="preserve">In parallel, we explored the use of pre-trained vision-language models for the severity grading task. Our primary focus was on the BLIP-2 model, which couples a vision encoder (</w:t>
      </w:r>
      <w:r>
        <w:t xml:space="preserve">similar to</w:t>
      </w:r>
      <w:r>
        <w:t xml:space="preserve"> </w:t>
      </w:r>
      <w:r>
        <w:t xml:space="preserve">ViT</w:t>
      </w:r>
      <w:r>
        <w:t xml:space="preserve">) with a language model and is capable of open-ended VQA. We also examined CLIP as a zero-shot baseline (using it to rank the similarity of the image with text descriptions like “normal colon</w:t>
      </w:r>
      <w:r>
        <w:t xml:space="preserve">”,</w:t>
      </w:r>
      <w:r>
        <w:t xml:space="preserve"> “mild UC</w:t>
      </w:r>
      <w:r>
        <w:t xml:space="preserve">”,</w:t>
      </w:r>
      <w:r>
        <w:t xml:space="preserve"> etc.). For BLIP-2, we first </w:t>
      </w:r>
      <w:r>
        <w:t xml:space="preserve">attempted</w:t>
      </w:r>
      <w:r>
        <w:t xml:space="preserve"> a zero-shot inference: we fed the colonoscopy image to the model along with a prompt, e.g. “Q: How severe is the ulcerative colitis in this image? A:</w:t>
      </w:r>
      <w:r>
        <w:t xml:space="preserve">”,</w:t>
      </w:r>
      <w:r>
        <w:t xml:space="preserve"> letting the model complete the answer. As mentioned, this </w:t>
      </w:r>
      <w:r>
        <w:t xml:space="preserve">failed to</w:t>
      </w:r>
      <w:r>
        <w:t xml:space="preserve"> produce correct answers (the model either generated unrelated text or did not output the expected single-word severity). Therefore, we considered fine-tuning BLIP-2 on our data. Fine-tuning a large vision-language model on a small data</w:t>
      </w:r>
      <w:r>
        <w:t xml:space="preserve">set is challenging, so we treated it carefully: we used a low learning rate and enabled techniques like gradient checkpointing and 8-bit precision to fit in memory. We set up the fine-tuning as follows: each training sample is an image-question-answer trio</w:t>
      </w:r>
      <w:r>
        <w:t xml:space="preserve">, where the question is a fixed template (“What is the Mayo score or severity of UC in this image?”) and the answer is the text label (“Normal”, “Mild”, etc.). The loss is the language modeling loss on predicting the answer tokens. Because the answers are </w:t>
      </w:r>
      <w:r>
        <w:t xml:space="preserve">very short</w:t>
      </w:r>
      <w:r>
        <w:t xml:space="preserve">, we also considered using a classification head on BLIP’s image features as an alternative (i.e. training BLIP’s image encoder with a new classification layer, without using the language model for generation). This </w:t>
      </w:r>
      <w:r>
        <w:t xml:space="preserve">essentially reduces</w:t>
      </w:r>
      <w:r>
        <w:t xml:space="preserve"> the problem back to an image classification model, though possibly </w:t>
      </w:r>
      <w:r>
        <w:t xml:space="preserve">benefiting</w:t>
      </w:r>
      <w:r>
        <w:t xml:space="preserve"> from the image encoder that was trained jointly with language. We report primarily on the generative approach here, as it aligns with our goal of a vision-language solution.</w:t>
      </w:r>
      <w:r/>
    </w:p>
    <w:p w14:paraId="58E4DE7C" w14:textId="359EADBE">
      <w:pPr>
        <w:pStyle w:val="774"/>
        <w:suppressLineNumbers w:val="false"/>
        <w:pBdr/>
        <w:spacing w:line="300" w:lineRule="auto"/>
        <w:ind w:firstLine="0"/>
        <w:rPr/>
      </w:pPr>
      <w:r>
        <w:t xml:space="preserve">It is worth noting that fully fine-tuning BLIP-2 (which has billions of parameters) on ~500 images is prone to overfitting and may not converge well. An alternative would be prompt-tuning or adapter tuning, where most of the model is frozen and </w:t>
      </w:r>
      <w:r>
        <w:t xml:space="preserve">only small additional parameters are learned; due to time constraints, we did not implement this, but it remains an option. Another approach in the generative realm is to use a large language model (LLM) that has been augmented with vision, such as GPT-4 V</w:t>
      </w:r>
      <w:r>
        <w:t xml:space="preserve">ision or other research prototypes. Those models might inherently know medical terminology and could be prompted to reason about an image. However, they were not readily fine-tunable for our use-case, and GPT-4’s vision feature is proprietary (and was not </w:t>
      </w:r>
      <w:r>
        <w:t xml:space="preserve">available for custom training). Therefore, our experimentation with generative models remained within the scope of open-source models like BLIP-2 and CLIP, with the understanding that any success there would indicate the potential of more advanced systems.</w:t>
      </w:r>
      <w:r/>
    </w:p>
    <w:p w14:paraId="14446057" w14:textId="63077906">
      <w:pPr>
        <w:pStyle w:val="774"/>
        <w:suppressLineNumbers w:val="false"/>
        <w:pBdr/>
        <w:spacing w:line="300" w:lineRule="auto"/>
        <w:ind w:firstLine="0"/>
        <w:rPr>
          <w:b/>
          <w:bCs/>
        </w:rPr>
      </w:pPr>
      <w:r>
        <w:rPr>
          <w:b/>
          <w:bCs/>
        </w:rPr>
        <w:t xml:space="preserve">4.4.3 Evaluation Metrics and Protocol</w:t>
      </w:r>
      <w:r>
        <w:rPr>
          <w:b/>
          <w:bCs/>
        </w:rPr>
      </w:r>
    </w:p>
    <w:p w14:paraId="00515834" w14:textId="77864272">
      <w:pPr>
        <w:pStyle w:val="774"/>
        <w:suppressLineNumbers w:val="false"/>
        <w:pBdr/>
        <w:spacing w:line="300" w:lineRule="auto"/>
        <w:ind w:firstLine="0"/>
        <w:rPr/>
      </w:pPr>
      <w:r>
        <w:t xml:space="preserve">To evaluate model performance, we adopted metrics that account for class imbalance. Specifically, we report: - Accuracy: the overall proportion of correctly classified images. This is easy to interpret but can be </w:t>
      </w:r>
      <w:r>
        <w:t xml:space="preserve">misleading if one class dominates (e.g. always predicting “moderate” could yield high accuracy if moderate is the largest class, even though severe cases are never detected). - Macro-averaged F1 Score: the mean of F1 scores computed per class, treating eac</w:t>
      </w:r>
      <w:r>
        <w:t xml:space="preserve">h class equally. This is a key metric for us because it weighs performance on minority classes the same as on majority classes. A macro-F1 significantly lower than accuracy is a red flag for imbalance issues. We paid close attention to macro F1 in assessin</w:t>
      </w:r>
      <w:r>
        <w:t xml:space="preserve">g our models’ utility for all severity categories. - Per-Class Precision, Recall, and F1: we present the precision (positive predictive value), recall (sensitivity), and F1 for each of the four severity classes. This granular view is important to understan</w:t>
      </w:r>
      <w:r>
        <w:t xml:space="preserve">d which severity levels are hardest to predict. For example, a model might have high recall on severe cases (catching all true severe cases) but low precision (also misclassifying many moderate cases as severe), depending on how it biases its predictions. </w:t>
      </w:r>
      <w:r/>
    </w:p>
    <w:p w14:paraId="67A8B6B6" w14:textId="50909012">
      <w:pPr>
        <w:pStyle w:val="774"/>
        <w:suppressLineNumbers w:val="false"/>
        <w:pBdr/>
        <w:spacing w:line="300" w:lineRule="auto"/>
        <w:ind w:firstLine="0"/>
        <w:rPr/>
      </w:pPr>
      <w:r>
        <w:t xml:space="preserve">Clinical relevance </w:t>
      </w:r>
      <w:r>
        <w:t xml:space="preserve">varies:</w:t>
      </w:r>
      <w:r>
        <w:t xml:space="preserve"> missing a severe case (</w:t>
      </w:r>
      <w:r>
        <w:t xml:space="preserve">false negative) is more concerning than over-calling severity (false positive), so recall for severe class might be more critical. - Confusion Matrix: we generated confusion matrices to visualize how predictions are distributed vs. true labels. This helps </w:t>
      </w:r>
      <w:r>
        <w:t xml:space="preserve">identify</w:t>
      </w:r>
      <w:r>
        <w:t xml:space="preserve"> if there are systematic confusions (e.g. perhaps the model often confuses Grade 2 and 3, which would appear as off-diagonal counts between those classes). - Metric for Generative Output: for the BLIP-2 g</w:t>
      </w:r>
      <w:r>
        <w:t xml:space="preserve">enerative model, we needed a custom evaluation since it outputs text. We defined a mapping of certain keywords to each class: for instance, if the output contained “no inflammation” or “normal”, it maps to Grade 0; “mild” maps to Grade 1; “moderate” or “2”</w:t>
      </w:r>
      <w:r>
        <w:t xml:space="preserve"> maps to Grade 2; “severe”, “3”, or “bleeding” (if present) maps to Grade 3. Using this mapping, we computed accuracy and F1 similarly by treating the model’s answer as a label. We also checked manually a few outputs to ensure the mapping rules made sense.</w:t>
      </w:r>
      <w:r/>
    </w:p>
    <w:p w14:paraId="3440B5C2" w14:textId="682D6994">
      <w:pPr>
        <w:pStyle w:val="774"/>
        <w:suppressLineNumbers w:val="false"/>
        <w:pBdr/>
        <w:spacing w:line="300" w:lineRule="auto"/>
        <w:ind w:firstLine="0"/>
        <w:rPr/>
      </w:pPr>
      <w:r>
        <w:t xml:space="preserve">All results are reported on the held-out test set. In cases where we compare</w:t>
      </w:r>
      <w:r>
        <w:t xml:space="preserve"> multiple models (e.g. ResNet vs ViT), we ensured they were evaluated on the same test images for fairness. Statistical significance of differences was not formally computed due to the small sample, but we comment qualitatively on notable performance gaps.</w:t>
      </w:r>
      <w:r/>
    </w:p>
    <w:p w14:paraId="245E190F" w14:textId="12B0F470">
      <w:pPr>
        <w:pStyle w:val="774"/>
        <w:suppressLineNumbers w:val="false"/>
        <w:pBdr/>
        <w:spacing w:line="300" w:lineRule="auto"/>
        <w:ind w:firstLine="0"/>
        <w:rPr>
          <w:b/>
          <w:bCs/>
        </w:rPr>
      </w:pPr>
      <w:r>
        <w:rPr>
          <w:b/>
          <w:bCs/>
        </w:rPr>
        <w:t xml:space="preserve">4.5 Results</w:t>
      </w:r>
      <w:r>
        <w:rPr>
          <w:b/>
          <w:bCs/>
        </w:rPr>
      </w:r>
    </w:p>
    <w:p w14:paraId="768D8AF3" w14:textId="2D19B460">
      <w:pPr>
        <w:pStyle w:val="774"/>
        <w:suppressLineNumbers w:val="false"/>
        <w:pBdr/>
        <w:spacing w:line="300" w:lineRule="auto"/>
        <w:ind w:firstLine="0"/>
        <w:rPr/>
      </w:pPr>
      <w:r>
        <w:t xml:space="preserve">In this section, we present the outcomes of our experiments, including quantitative performance of the fine-tuned classification models and observations from the generative model attempts. We also include example outputs and analysis of errors where </w:t>
      </w:r>
      <w:r>
        <w:t xml:space="preserve">appropriate</w:t>
      </w:r>
      <w:r>
        <w:t xml:space="preserve">. Table 4.1 (below) summarizes the main results for the ResNet50 and ViT classifiers, and Figure 4.1 illustrates the per-class performance breakdown for one of the models.</w:t>
      </w:r>
      <w:r/>
    </w:p>
    <w:p w14:paraId="672007CB" w14:textId="36E38D99">
      <w:pPr>
        <w:pStyle w:val="774"/>
        <w:suppressLineNumbers w:val="false"/>
        <w:pBdr/>
        <w:spacing w:line="300" w:lineRule="auto"/>
        <w:ind w:firstLine="0"/>
        <w:rPr/>
      </w:pPr>
      <w:r>
        <mc:AlternateContent>
          <mc:Choice Requires="wpg">
            <w:drawing>
              <wp:inline xmlns:wp="http://schemas.openxmlformats.org/drawingml/2006/wordprocessingDrawing" distT="0" distB="0" distL="0" distR="0">
                <wp:extent cx="3343275" cy="847725"/>
                <wp:effectExtent l="0" t="0" r="0" b="0"/>
                <wp:docPr id="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20636" name="Picture 492320636"/>
                        <pic:cNvPicPr>
                          <a:picLocks noChangeAspect="1"/>
                        </pic:cNvPicPr>
                        <pic:nvPr/>
                      </pic:nvPicPr>
                      <pic:blipFill rotWithShape="1">
                        <a:blip r:embed="rId18"/>
                        <a:stretch/>
                      </pic:blipFill>
                      <pic:spPr bwMode="auto">
                        <a:xfrm>
                          <a:off x="0" y="0"/>
                          <a:ext cx="3343275" cy="847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63.25pt;height:66.75pt;mso-wrap-distance-left:0.00pt;mso-wrap-distance-top:0.00pt;mso-wrap-distance-right:0.00pt;mso-wrap-distance-bottom:0.00pt;z-index:1;" stroked="false">
                <v:imagedata r:id="rId18" o:title=""/>
                <o:lock v:ext="edit" rotation="t"/>
              </v:shape>
            </w:pict>
          </mc:Fallback>
        </mc:AlternateContent>
      </w:r>
      <w:r/>
    </w:p>
    <w:p w14:paraId="6413D158" w14:textId="5C6ADF9A">
      <w:pPr>
        <w:pStyle w:val="774"/>
        <w:suppressLineNumbers w:val="false"/>
        <w:pBdr/>
        <w:spacing w:line="300" w:lineRule="auto"/>
        <w:ind w:firstLine="0"/>
        <w:rPr/>
      </w:pPr>
      <w:r>
        <mc:AlternateContent>
          <mc:Choice Requires="wpg">
            <w:drawing>
              <wp:inline xmlns:wp="http://schemas.openxmlformats.org/drawingml/2006/wordprocessingDrawing" distT="0" distB="0" distL="0" distR="0">
                <wp:extent cx="5095875" cy="1666875"/>
                <wp:effectExtent l="0" t="0" r="0" b="0"/>
                <wp:docPr id="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14689" name="Picture 679014689"/>
                        <pic:cNvPicPr>
                          <a:picLocks noChangeAspect="1"/>
                        </pic:cNvPicPr>
                        <pic:nvPr/>
                      </pic:nvPicPr>
                      <pic:blipFill rotWithShape="1">
                        <a:blip r:embed="rId19"/>
                        <a:stretch/>
                      </pic:blipFill>
                      <pic:spPr bwMode="auto">
                        <a:xfrm>
                          <a:off x="0" y="0"/>
                          <a:ext cx="5095875" cy="1666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01.25pt;height:131.25pt;mso-wrap-distance-left:0.00pt;mso-wrap-distance-top:0.00pt;mso-wrap-distance-right:0.00pt;mso-wrap-distance-bottom:0.00pt;z-index:1;" stroked="false">
                <v:imagedata r:id="rId19" o:title=""/>
                <o:lock v:ext="edit" rotation="t"/>
              </v:shape>
            </w:pict>
          </mc:Fallback>
        </mc:AlternateContent>
      </w:r>
      <w:r/>
    </w:p>
    <w:p w14:paraId="488DF90B" w14:textId="49433995">
      <w:pPr>
        <w:pStyle w:val="774"/>
        <w:suppressLineNumbers w:val="false"/>
        <w:pBdr/>
        <w:spacing w:line="300" w:lineRule="auto"/>
        <w:ind w:firstLine="0"/>
        <w:rPr/>
      </w:pPr>
      <w:r>
        <mc:AlternateContent>
          <mc:Choice Requires="wpg">
            <w:drawing>
              <wp:inline xmlns:wp="http://schemas.openxmlformats.org/drawingml/2006/wordprocessingDrawing" distT="0" distB="0" distL="0" distR="0">
                <wp:extent cx="5486400" cy="2266950"/>
                <wp:effectExtent l="0" t="0" r="0" b="0"/>
                <wp:docPr id="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8157" name="Picture 87328157"/>
                        <pic:cNvPicPr>
                          <a:picLocks noChangeAspect="1"/>
                        </pic:cNvPicPr>
                        <pic:nvPr/>
                      </pic:nvPicPr>
                      <pic:blipFill rotWithShape="1">
                        <a:blip r:embed="rId20"/>
                        <a:stretch/>
                      </pic:blipFill>
                      <pic:spPr bwMode="auto">
                        <a:xfrm>
                          <a:off x="0" y="0"/>
                          <a:ext cx="5486400" cy="2266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2.00pt;height:178.50pt;mso-wrap-distance-left:0.00pt;mso-wrap-distance-top:0.00pt;mso-wrap-distance-right:0.00pt;mso-wrap-distance-bottom:0.00pt;z-index:1;" stroked="false">
                <v:imagedata r:id="rId20" o:title=""/>
                <o:lock v:ext="edit" rotation="t"/>
              </v:shape>
            </w:pict>
          </mc:Fallback>
        </mc:AlternateContent>
      </w:r>
      <w:r/>
    </w:p>
    <w:p w14:paraId="3DA1880F" w14:textId="4291DCD4">
      <w:pPr>
        <w:pStyle w:val="774"/>
        <w:suppressLineNumbers w:val="false"/>
        <w:pBdr/>
        <w:spacing w:line="300" w:lineRule="auto"/>
        <w:ind w:firstLine="0"/>
        <w:rPr/>
      </w:pPr>
      <w:r/>
      <w:r/>
    </w:p>
    <w:p w14:paraId="5754669C" w14:textId="71738511">
      <w:pPr>
        <w:pStyle w:val="774"/>
        <w:suppressLineNumbers w:val="false"/>
        <w:pBdr/>
        <w:spacing w:line="300" w:lineRule="auto"/>
        <w:ind w:firstLine="0"/>
        <w:rPr/>
      </w:pPr>
      <w:r/>
      <w:r/>
    </w:p>
    <w:p w14:paraId="39D3F296" w14:textId="62857CCD">
      <w:pPr>
        <w:pStyle w:val="774"/>
        <w:suppressLineNumbers w:val="false"/>
        <w:pBdr/>
        <w:spacing w:line="300" w:lineRule="auto"/>
        <w:ind w:firstLine="0"/>
        <w:rPr>
          <w:b/>
          <w:bCs/>
        </w:rPr>
      </w:pPr>
      <w:r>
        <w:rPr>
          <w:b/>
          <w:bCs/>
        </w:rPr>
        <w:t xml:space="preserve">4.5.1 Performance of Fine-Tuned Classification Models</w:t>
      </w:r>
      <w:r>
        <w:rPr>
          <w:b/>
          <w:bCs/>
        </w:rPr>
      </w:r>
    </w:p>
    <w:p w14:paraId="4FA81946" w14:textId="4D2B5749">
      <w:pPr>
        <w:pStyle w:val="774"/>
        <w:suppressLineNumbers w:val="false"/>
        <w:pBdr/>
        <w:spacing w:line="300" w:lineRule="auto"/>
        <w:ind w:firstLine="0"/>
        <w:rPr/>
      </w:pPr>
      <w:r>
        <w:rPr>
          <w:b/>
          <w:bCs/>
        </w:rPr>
        <w:t xml:space="preserve">Overall Accuracy and F1: </w:t>
      </w:r>
      <w:r>
        <w:t xml:space="preserve">Both the ResNet50 and </w:t>
      </w:r>
      <w:r>
        <w:t xml:space="preserve">ViT</w:t>
      </w:r>
      <w:r>
        <w:t xml:space="preserve"> models achieved high overall accuracy on the test set, around 87–88%. The ResNet50 slightly outperformed the </w:t>
      </w:r>
      <w:r>
        <w:t xml:space="preserve">ViT</w:t>
      </w:r>
      <w:r>
        <w:t xml:space="preserve"> in our runs. Specifically, ResNet50 reached 87.9% accuracy, while </w:t>
      </w:r>
      <w:r>
        <w:t xml:space="preserve">ViT</w:t>
      </w:r>
      <w:r>
        <w:t xml:space="preserve"> reached 87.1%. However, as </w:t>
      </w:r>
      <w:r>
        <w:t xml:space="preserve">anticipated</w:t>
      </w:r>
      <w:r>
        <w:t xml:space="preserve">, the macro F1 scores were </w:t>
      </w:r>
      <w:r>
        <w:t xml:space="preserve">substantially lower</w:t>
      </w:r>
      <w:r>
        <w:t xml:space="preserve"> due to class imbalance. The </w:t>
      </w:r>
      <w:r>
        <w:t xml:space="preserve">ViT</w:t>
      </w:r>
      <w:r>
        <w:t xml:space="preserve"> obtained a macro F1 of ~0.52, and ResNet50 achieved ~0.59. In contrast, the weighted F1 (which weighs each class by its frequency, </w:t>
      </w:r>
      <w:r>
        <w:t xml:space="preserve">similar to</w:t>
      </w:r>
      <w:r>
        <w:t xml:space="preserve"> accuracy) was ~0.85–0.88, closely track</w:t>
      </w:r>
      <w:r>
        <w:t xml:space="preserve">ing the accuracy. This discrepancy between macro and weighted F1 confirms that performance was not uniform across classes – the models did very well on some categories and poorly on others. We note that the ResNet50’s macro F1 being about 0.07 higher than </w:t>
      </w:r>
      <w:r>
        <w:t xml:space="preserve">ViT’s</w:t>
      </w:r>
      <w:r>
        <w:t xml:space="preserve"> suggests that </w:t>
      </w:r>
      <w:r>
        <w:t xml:space="preserve">ResNet</w:t>
      </w:r>
      <w:r>
        <w:t xml:space="preserve"> did better at not completely neglecting the minority classes. This could be because the CNN’s inductive biases (like locality and translational invariance) helped it learn useful features from fewer examples, whereas the </w:t>
      </w:r>
      <w:r>
        <w:t xml:space="preserve">ViT</w:t>
      </w:r>
      <w:r>
        <w:t xml:space="preserve">, with its larger number of parameters a</w:t>
      </w:r>
      <w:r>
        <w:t xml:space="preserve">nd need for more training data, might have struggled to distinguish the rare classes and defaulted to predicting the majority. Nonetheless, neither model achieved satisfactory balance across classes, which led us to investigate per-class results in detail.</w:t>
      </w:r>
      <w:r/>
    </w:p>
    <w:p w14:paraId="79BC1ED5" w14:textId="241933BB">
      <w:pPr>
        <w:pStyle w:val="774"/>
        <w:suppressLineNumbers w:val="false"/>
        <w:pBdr/>
        <w:spacing w:line="300" w:lineRule="auto"/>
        <w:ind w:firstLine="0"/>
        <w:rPr/>
      </w:pPr>
      <w:r>
        <w:rPr>
          <w:b/>
          <w:bCs/>
        </w:rPr>
        <w:t xml:space="preserve">Per-Class Results: </w:t>
      </w:r>
      <w:r>
        <w:t xml:space="preserve">The per-class pr</w:t>
      </w:r>
      <w:r>
        <w:t xml:space="preserve">ecision and recall for the four severity categories are revealing. For the moderate (Grade 2) class, both models had the strongest performance – this was the largest class in the training data, and the models achieved F1 scores above 0.8 for Grade 2 (e.g. </w:t>
      </w:r>
      <w:r>
        <w:t xml:space="preserve">ViT’s</w:t>
      </w:r>
      <w:r>
        <w:t xml:space="preserve"> F1 for moderate was around 0.85, </w:t>
      </w:r>
      <w:r>
        <w:t xml:space="preserve">ResNet’s</w:t>
      </w:r>
      <w:r>
        <w:t xml:space="preserve"> slightly higher). Mild (Grade 1) was the next best: F1 in the 0.7–0.8 range. The normal (Grade 0) class saw moderate success: precision was </w:t>
      </w:r>
      <w:r>
        <w:t xml:space="preserve">decent</w:t>
      </w:r>
      <w:r>
        <w:t xml:space="preserve"> but recall was lower, meaning the models missed some normal cases or mislabeled them as mild. This may be because some images labeled Grade 0 stil</w:t>
      </w:r>
      <w:r>
        <w:t xml:space="preserve">l show minimal inflammation that models confuse as mild disease, reflecting the subjective boundary between no activity and mild activity. The most problematic was the severe (Grade 3) class – as expected, with the least training samples, the models often </w:t>
      </w:r>
      <w:r>
        <w:t xml:space="preserve">failed to</w:t>
      </w:r>
      <w:r>
        <w:t xml:space="preserve"> </w:t>
      </w:r>
      <w:r>
        <w:t xml:space="preserve">identify</w:t>
      </w:r>
      <w:r>
        <w:t xml:space="preserve"> severe cases. In fact, the </w:t>
      </w:r>
      <w:r>
        <w:t xml:space="preserve">ViT</w:t>
      </w:r>
      <w:r>
        <w:t xml:space="preserve"> model did not co</w:t>
      </w:r>
      <w:r>
        <w:t xml:space="preserve">rrectly predict any Grade 3 instances in the test set, yielding a Grade 3 F1 of 0.0 (both precision and recall were 0). The ResNet50 managed to catch a couple of severe cases (and had a few false positives as severe), resulting in a small but non-zero F1 (</w:t>
      </w:r>
      <w:r>
        <w:t xml:space="preserve">on the order of</w:t>
      </w:r>
      <w:r>
        <w:t xml:space="preserve"> 0.1–0.2 for Grade 3). This difference aligns with the macro F1 gap noted above – ResNet50 learned to </w:t>
      </w:r>
      <w:r>
        <w:t xml:space="preserve">at least sometimes recognize the severe pattern</w:t>
      </w:r>
      <w:r>
        <w:t xml:space="preserve"> (</w:t>
      </w:r>
      <w:r>
        <w:t xml:space="preserve">likely the</w:t>
      </w:r>
      <w:r>
        <w:t xml:space="preserve"> presence of frank ulcers and blood), </w:t>
      </w:r>
      <w:r>
        <w:t xml:space="preserve">whereas</w:t>
      </w:r>
      <w:r>
        <w:t xml:space="preserve"> </w:t>
      </w:r>
      <w:r>
        <w:t xml:space="preserve">ViT</w:t>
      </w:r>
      <w:r>
        <w:t xml:space="preserve"> completely ignored that class, </w:t>
      </w:r>
      <w:r>
        <w:t xml:space="preserve">probably biasing</w:t>
      </w:r>
      <w:r>
        <w:t xml:space="preserve"> toward moderate. The confusion matrix (Figure 4.1) for ResNet50 illustrates this: </w:t>
      </w:r>
      <w:r>
        <w:t xml:space="preserve">the majority of</w:t>
      </w:r>
      <w:r>
        <w:t xml:space="preserve"> Grade 3 image</w:t>
      </w:r>
      <w:r>
        <w:t xml:space="preserve">s were mistakenly classified as Grade 2 (moderate), which is understandable since both Grade 2 and 3 show ulcerations, with the distinction being bleeding severity. Grade 0 images were sometimes classified as Grade 1 (if faint redness was present). Meanwhi</w:t>
      </w:r>
      <w:r>
        <w:t xml:space="preserve">le, Grades 1 and 2 were occasionally confused with each other, but usually one of those was predicted even for a severe image rather than Grade 3. These patterns highlight that the model effectively learned a coarse distinction: “no/mild vs moderate/severe</w:t>
      </w:r>
      <w:r>
        <w:t xml:space="preserve">”, but</w:t>
      </w:r>
      <w:r>
        <w:t xml:space="preserve"> struggled to differentiate within the moderate-to-severe end.</w:t>
      </w:r>
      <w:r/>
    </w:p>
    <w:p w14:paraId="2486DC81" w14:textId="02B9C2C7">
      <w:pPr>
        <w:pStyle w:val="774"/>
        <w:suppressLineNumbers w:val="false"/>
        <w:pBdr/>
        <w:spacing w:line="300" w:lineRule="auto"/>
        <w:ind w:firstLine="0"/>
        <w:rPr/>
      </w:pPr>
      <w:r>
        <w:t xml:space="preserve">Effect of Fine-Tuning vs Frozen Features: In preliminary trials, we also evaluated a strategy of using a frozen </w:t>
      </w:r>
      <w:r>
        <w:t xml:space="preserve">ViT</w:t>
      </w:r>
      <w:r>
        <w:t xml:space="preserve"> as a feature extractor with a logistic regression classifier on top (</w:t>
      </w:r>
      <w:r>
        <w:t xml:space="preserve">essentially a</w:t>
      </w:r>
      <w:r>
        <w:t xml:space="preserve"> linear model on pre-trained features). </w:t>
      </w:r>
      <w:r>
        <w:t xml:space="preserve">Somewhat surprisingly</w:t>
      </w:r>
      <w:r>
        <w:t xml:space="preserve">, this approach yielded competitive results – the accuracy was ~86.2% and macro F1 ~0.57 on the test set, nearly matching the fully fine-tuned models. This suggests that the pre-trained </w:t>
      </w:r>
      <w:r>
        <w:t xml:space="preserve">ViT</w:t>
      </w:r>
      <w:r>
        <w:t xml:space="preserve"> features already encode useful visual information for this task, and a simple classifier can partially solve it. However, we noted that fully fine-tuning ResNet50 gave a higher macro F1 (~0.59) than the frozen-</w:t>
      </w:r>
      <w:r>
        <w:t xml:space="preserve">ViT</w:t>
      </w:r>
      <w:r>
        <w:t xml:space="preserve"> + logistic regression did (~0.57), </w:t>
      </w:r>
      <w:r>
        <w:t xml:space="preserve">indicating</w:t>
      </w:r>
      <w:r>
        <w:t xml:space="preserve"> that some </w:t>
      </w:r>
      <w:r>
        <w:t xml:space="preserve">additional</w:t>
      </w:r>
      <w:r>
        <w:t xml:space="preserve"> benefit was</w:t>
      </w:r>
      <w:r>
        <w:t xml:space="preserve"> gained by updating weights specifically for our domain. The difference was not huge, though. In practice, the choice between these approaches might come down to computational resources and risk of overfitting. In our case, given the data limitations, the </w:t>
      </w:r>
      <w:r>
        <w:t xml:space="preserve">strong performance</w:t>
      </w:r>
      <w:r>
        <w:t xml:space="preserve"> of a frozen-feature classifier is encouraging, as it means one could avoid over-training large models on small data by </w:t>
      </w:r>
      <w:r>
        <w:t xml:space="preserve">leveraging</w:t>
      </w:r>
      <w:r>
        <w:t xml:space="preserve"> representations learned on generic data. We include the </w:t>
      </w:r>
      <w:r>
        <w:t xml:space="preserve">ViT+LogReg</w:t>
      </w:r>
      <w:r>
        <w:t xml:space="preserve"> baseline here for completeness, as it </w:t>
      </w:r>
      <w:r>
        <w:t xml:space="preserve">validates</w:t>
      </w:r>
      <w:r>
        <w:t xml:space="preserve"> that our pipeline and data are sensible (if even a linear classifier can get ~57% macro F1, it means the classes are at least partly separable in feature space).</w:t>
      </w:r>
      <w:r/>
    </w:p>
    <w:p w14:paraId="52A1F2B5" w14:textId="26CDE208">
      <w:pPr>
        <w:pStyle w:val="774"/>
        <w:suppressLineNumbers w:val="false"/>
        <w:pBdr/>
        <w:spacing w:line="300" w:lineRule="auto"/>
        <w:ind w:firstLine="0"/>
        <w:rPr/>
      </w:pPr>
      <w:r/>
      <w:r/>
    </w:p>
    <w:p w14:paraId="60A91411" w14:textId="43AB1DDF">
      <w:pPr>
        <w:pStyle w:val="774"/>
        <w:suppressLineNumbers w:val="false"/>
        <w:pBdr/>
        <w:spacing w:line="300" w:lineRule="auto"/>
        <w:ind w:firstLine="0"/>
        <w:rPr/>
      </w:pPr>
      <w:r>
        <mc:AlternateContent>
          <mc:Choice Requires="wpg">
            <w:drawing>
              <wp:inline xmlns:wp="http://schemas.openxmlformats.org/drawingml/2006/wordprocessingDrawing" distT="0" distB="0" distL="0" distR="0">
                <wp:extent cx="5486400" cy="4981575"/>
                <wp:effectExtent l="0" t="0" r="0" b="0"/>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17405" name="Picture 1945817405"/>
                        <pic:cNvPicPr>
                          <a:picLocks noChangeAspect="1"/>
                        </pic:cNvPicPr>
                        <pic:nvPr/>
                      </pic:nvPicPr>
                      <pic:blipFill rotWithShape="1">
                        <a:blip r:embed="rId21"/>
                        <a:stretch/>
                      </pic:blipFill>
                      <pic:spPr bwMode="auto">
                        <a:xfrm>
                          <a:off x="0" y="0"/>
                          <a:ext cx="5486400" cy="4981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392.25pt;mso-wrap-distance-left:0.00pt;mso-wrap-distance-top:0.00pt;mso-wrap-distance-right:0.00pt;mso-wrap-distance-bottom:0.00pt;z-index:1;" stroked="false">
                <v:imagedata r:id="rId21" o:title=""/>
                <o:lock v:ext="edit" rotation="t"/>
              </v:shape>
            </w:pict>
          </mc:Fallback>
        </mc:AlternateContent>
      </w:r>
      <w:r/>
    </w:p>
    <w:p w14:paraId="4CE96DC8" w14:textId="75A48D7D">
      <w:pPr>
        <w:pStyle w:val="774"/>
        <w:suppressLineNumbers w:val="false"/>
        <w:pBdr/>
        <w:spacing w:line="300" w:lineRule="auto"/>
        <w:ind w:firstLine="0"/>
        <w:rPr/>
      </w:pPr>
      <w:r>
        <w:t xml:space="preserve">Training Variability: We </w:t>
      </w:r>
      <w:r>
        <w:t xml:space="preserve">observed</w:t>
      </w:r>
      <w:r>
        <w:t xml:space="preserve"> some run-to-run variability in the results, </w:t>
      </w:r>
      <w:r>
        <w:t xml:space="preserve">not uncommon</w:t>
      </w:r>
      <w:r>
        <w:t xml:space="preserve"> with small datasets. Different random weight initializations or shuffles could lead to one model occasionally recognizing a minority-class example and in another run missing it entirely. The macro F1 could thus swing by a few percentag</w:t>
      </w:r>
      <w:r>
        <w:t xml:space="preserve">e points depending on these chance occurrences. To get a more stable estimate, one could perform cross-validation or repeated trials. Due to time constraints, we did not exhaustively do this, but our single-split results provide a snapshot that aligns with</w:t>
      </w:r>
      <w:r>
        <w:t xml:space="preserve"> expectations (and with literature, where other methods report macro F1 in the 0.65–0.75 range on similar tasks after heavy augmentation or additional data). Our slightly lower macro F1 reflects the difficulty of our scenario – no extra synthetic data and </w:t>
      </w:r>
      <w:r>
        <w:t xml:space="preserve">very limited</w:t>
      </w:r>
      <w:r>
        <w:t xml:space="preserve"> severe-class examples.</w:t>
      </w:r>
      <w:r/>
    </w:p>
    <w:p w14:paraId="7DD4A0A2" w14:textId="111E174D">
      <w:pPr>
        <w:pStyle w:val="774"/>
        <w:suppressLineNumbers w:val="false"/>
        <w:pBdr/>
        <w:spacing w:line="300" w:lineRule="auto"/>
        <w:ind w:firstLine="0"/>
        <w:rPr>
          <w:b/>
          <w:bCs/>
        </w:rPr>
      </w:pPr>
      <w:r>
        <w:rPr>
          <w:b/>
          <w:bCs/>
        </w:rPr>
        <w:t xml:space="preserve">4.5.2 Generative Vision-Language Model Results</w:t>
      </w:r>
      <w:r>
        <w:rPr>
          <w:b/>
          <w:bCs/>
        </w:rPr>
      </w:r>
    </w:p>
    <w:p w14:paraId="19278B4B" w14:textId="16A5B251">
      <w:pPr>
        <w:pStyle w:val="774"/>
        <w:suppressLineNumbers w:val="false"/>
        <w:pBdr/>
        <w:spacing w:line="300" w:lineRule="auto"/>
        <w:ind w:firstLine="0"/>
        <w:rPr/>
      </w:pPr>
      <w:r>
        <w:t xml:space="preserve">Zero-Shot Attempts: As mentioned earlier, we first tried using BLIP-2 and CLIP in a zero-shot fashion on the severity task. Th</w:t>
      </w:r>
      <w:r>
        <w:t xml:space="preserve">e outcomes were poor: BLIP-2 in zero-shot VQA mode scored 0% accuracy (it never produced the correct severity label in the expected format). Its answers were either non-answers or incorrect (for instance, one output was a generic description of the image r</w:t>
      </w:r>
      <w:r>
        <w:t xml:space="preserve">ather than a severity grade). CLIP’s zero-shot classification, using text prompts for each class, was only slightly better with ~6% accuracy, which corresponds to essentially random picking among 4 classes (25% would be random; 6% suggests the model might </w:t>
      </w:r>
      <w:r>
        <w:t xml:space="preserve">have had some slight bias towards one label but with no true understanding). These results confirmed that without task-specific adaptation, general multimodal models do not solve this medical task. This is not surprising – the models likely have never been</w:t>
      </w:r>
      <w:r>
        <w:t xml:space="preserve"> explicitly trained on annotated endoscopy severity data. It does, however, underline the opportunity: by fine-tuning or adapting these models with even a small amount of data, we might leverage their powerful image and language understanding capabilities.</w:t>
      </w:r>
      <w:r/>
    </w:p>
    <w:p w14:paraId="31B9C20E" w14:textId="4C069D8F">
      <w:pPr>
        <w:pStyle w:val="774"/>
        <w:suppressLineNumbers w:val="false"/>
        <w:pBdr/>
        <w:spacing w:line="300" w:lineRule="auto"/>
        <w:ind w:firstLine="0"/>
        <w:rPr/>
      </w:pPr>
      <w:r>
        <w:rPr>
          <w:b/>
          <w:bCs/>
        </w:rPr>
        <w:t xml:space="preserve">Fine-Tuning BLIP-2:</w:t>
      </w:r>
      <w:r>
        <w:t xml:space="preserve"> We conducted an experiment to fine-tune BLIP-2 on our UC s</w:t>
      </w:r>
      <w:r>
        <w:t xml:space="preserve">everity QA pairs. Due to the small dataset, we limited training to 1 epoch over the augmented training set (with gradient accumulation to effectively increase batch size given memory limits). The model converged to near-perfect accuracy on the training dat</w:t>
      </w:r>
      <w:r>
        <w:t xml:space="preserve">a (which is expected since it has the capacity to memorize all training samples), but on the validation and test sets the performance was modest. The fine-tuned BLIP-2 achieved around 50–55% accuracy on the test set, with a macro F1 also in the 0.5 range, </w:t>
      </w:r>
      <w:r>
        <w:t xml:space="preserve">roughly comparable</w:t>
      </w:r>
      <w:r>
        <w:t xml:space="preserve"> to the purely vision-based models. In other words, after fine-tuning, BLIP-2 could answer correctly about half of the test questions. A qualitative examination </w:t>
      </w:r>
      <w:r>
        <w:t xml:space="preserve">of its outputs showed that it learned to output one of the four severity words, but sometimes it picked the wrong one. Interestingly, when it was wrong, it often chose an adjacent category – e.g. for a severe case it might answer “Moderate” or vice versa, </w:t>
      </w:r>
      <w:r>
        <w:t xml:space="preserve">whereas</w:t>
      </w:r>
      <w:r>
        <w:t xml:space="preserve"> it almost never produced an answer outside the valid set. This </w:t>
      </w:r>
      <w:r>
        <w:t xml:space="preserve">indicates</w:t>
      </w:r>
      <w:r>
        <w:t xml:space="preserve"> the fine-tuning succeeded in teaching the model the space of </w:t>
      </w:r>
      <w:r>
        <w:t xml:space="preserve">possible answers</w:t>
      </w:r>
      <w:r>
        <w:t xml:space="preserve"> (it </w:t>
      </w:r>
      <w:r>
        <w:t xml:space="preserve">didn’t</w:t>
      </w:r>
      <w:r>
        <w:t xml:space="preserve"> hallucinate irrelevant answers after training, which is good), but it still had trouble with the finer distinctions. The confusion pattern of BLIP-2’s answers was </w:t>
      </w:r>
      <w:r>
        <w:t xml:space="preserve">similar to</w:t>
      </w:r>
      <w:r>
        <w:t xml:space="preserve"> that of the classifiers: most commonly confusing moderate vs severe, and mild vs moderate to a lesser extent.</w:t>
      </w:r>
      <w:r/>
    </w:p>
    <w:p w14:paraId="3951C64C" w14:textId="085FE8FA">
      <w:pPr>
        <w:pStyle w:val="774"/>
        <w:suppressLineNumbers w:val="false"/>
        <w:pBdr/>
        <w:spacing w:line="300" w:lineRule="auto"/>
        <w:ind w:firstLine="0"/>
        <w:rPr/>
      </w:pPr>
      <w:r>
        <w:t xml:space="preserve">One advantage we noticed with the generative model was that it can be prompted further or interrogated. For example, we could ask it to justify its answer: “Why is it moderate?”. In some cases, the fine-tuned model would respond with a r</w:t>
      </w:r>
      <w:r>
        <w:t xml:space="preserve">easonable explanation like “There are ulcerations but no significant bleeding, which is consistent with moderate inflammation.” This was not always accurate (the model is not a trained clinician), but it demonstrates how a vision-language model can be exte</w:t>
      </w:r>
      <w:r>
        <w:t xml:space="preserve">nded beyond classification. Such justifications were not rigorously evaluated in this work, but they hint at a future direction where explainability could be integrated (perhaps by training the model to output a structured report rather than just a label).</w:t>
      </w:r>
      <w:r/>
    </w:p>
    <w:p w14:paraId="4F300CC7" w14:textId="5987BB9F">
      <w:pPr>
        <w:pStyle w:val="774"/>
        <w:suppressLineNumbers w:val="false"/>
        <w:pBdr/>
        <w:spacing w:line="300" w:lineRule="auto"/>
        <w:ind w:firstLine="0"/>
        <w:rPr/>
      </w:pPr>
      <w:r>
        <w:rPr>
          <w:b/>
          <w:bCs/>
        </w:rPr>
        <w:t xml:space="preserve">Comparison to Classifiers: </w:t>
      </w:r>
      <w:r>
        <w:t xml:space="preserve">At this stage, the fine-tuned generative approach did not decisively outperform the simpler classifiers. The best macro F1 we achieved with BLIP-2 was </w:t>
      </w:r>
      <w:r>
        <w:t xml:space="preserve">approximately equal</w:t>
      </w:r>
      <w:r>
        <w:t xml:space="preserve"> to ResNet50’s macro F1 (~0.55–0.60 range). Given the higher complexity of BLIP-2, this result suggests that with our curren</w:t>
      </w:r>
      <w:r>
        <w:t xml:space="preserve">t data it may be more efficient to use a pure vision model. However, the gap is not large, and we suspect that with even slightly more data or careful techniques like few-shot prompting, the balance could tip. Additionally, the generative model brings the </w:t>
      </w:r>
      <w:r>
        <w:t xml:space="preserve">aforementioned benefits</w:t>
      </w:r>
      <w:r>
        <w:t xml:space="preserve"> in flexibility (the ability to output text and reasoning). For instance, a generative model can easily be extended to a multi-class multi-label scenario (if we ever needed to </w:t>
      </w:r>
      <w:r>
        <w:t xml:space="preserve">indicate</w:t>
      </w:r>
      <w:r>
        <w:t xml:space="preserve"> presence of multiple findings, e.g. “Severe UC with a polyp present” as an answer to a compound question), </w:t>
      </w:r>
      <w:r>
        <w:t xml:space="preserve">whereas</w:t>
      </w:r>
      <w:r>
        <w:t xml:space="preserve"> a classifier is fixed to one label. In our specific case of a single classification, that flexibility is not crucial, but it is worth noting for the broader thesis goals of VQA.</w:t>
      </w:r>
      <w:r/>
    </w:p>
    <w:p w14:paraId="231DE08B" w14:textId="49F2F877">
      <w:pPr>
        <w:pStyle w:val="774"/>
        <w:suppressLineNumbers w:val="false"/>
        <w:pBdr/>
        <w:spacing w:line="300" w:lineRule="auto"/>
        <w:ind w:firstLine="0"/>
        <w:rPr/>
      </w:pPr>
      <w:r>
        <w:rPr>
          <w:b/>
          <w:bCs/>
        </w:rPr>
        <w:t xml:space="preserve">Error Analysis: </w:t>
      </w:r>
      <w:r>
        <w:t xml:space="preserve">We analyzed some cases where all models (classifier or BLIP-2) failed. In one example, an image was labeled as severe (Grade 3) by the experts, showing diffuse ulceration and bleeding. The </w:t>
      </w:r>
      <w:r>
        <w:t xml:space="preserve">ResNet</w:t>
      </w:r>
      <w:r>
        <w:t xml:space="preserve"> model predicted moderate, and BLIP-2 answered “Moderate” as well. On inspection, the image was slightly under-lit and covered in blood, making it hard to see the lesions clearly – both AI and </w:t>
      </w:r>
      <w:r>
        <w:t xml:space="preserve">possibly even</w:t>
      </w:r>
      <w:r>
        <w:t xml:space="preserve"> humans might underestimate severity if visibility is poor. This raises </w:t>
      </w:r>
      <w:r>
        <w:t xml:space="preserve">an important point</w:t>
      </w:r>
      <w:r>
        <w:t xml:space="preserve">: the input image quality and field of view can limit the a</w:t>
      </w:r>
      <w:r>
        <w:t xml:space="preserve">chievable accuracy. Another case was a Grade 0 image (normal looking colon from a patient with UC in remission) that models sometimes classified as mild. The subtlety of distinguishing normal from minimal residual inflammation (a few patchy redness areas) </w:t>
      </w:r>
      <w:r>
        <w:t xml:space="preserve">likely caused</w:t>
      </w:r>
      <w:r>
        <w:t xml:space="preserve"> this confusion. In practice, even clinicians sometimes debate whether Mayo 0 vs 1 in such borderline cases – so a </w:t>
      </w:r>
      <w:r>
        <w:t xml:space="preserve">possible refinement</w:t>
      </w:r>
      <w:r>
        <w:t xml:space="preserve"> for AI would be to have it flag uncertainty or recommend comparison with another image.</w:t>
      </w:r>
      <w:r/>
    </w:p>
    <w:p w14:paraId="1FFF52A2" w14:textId="33CCFDD7">
      <w:pPr>
        <w:pStyle w:val="774"/>
        <w:suppressLineNumbers w:val="false"/>
        <w:pBdr/>
        <w:spacing w:line="300" w:lineRule="auto"/>
        <w:ind w:firstLine="0"/>
        <w:rPr/>
      </w:pPr>
      <w:r>
        <w:t xml:space="preserve">Finally, we note that the models occasionally we</w:t>
      </w:r>
      <w:r>
        <w:t xml:space="preserve">re confused by non-UC features. For example, if a severe UC image also contained a section of fecal matter or a surgical resection scar, the model’s attention might be distracted. We did not explicitly train the models to ignore irrelevant features; a pote</w:t>
      </w:r>
      <w:r>
        <w:t xml:space="preserve">ntial improvement is to use object detection or saliency maps to focus on the mucosa tissue regions. For the generative model, one could prompt it to describe the image first, then identify severity, as a way to ensure it has “looked at” the relevant cues.</w:t>
      </w:r>
      <w:r/>
    </w:p>
    <w:p w14:paraId="242A5A36" w14:textId="53C6216C">
      <w:pPr>
        <w:pStyle w:val="774"/>
        <w:suppressLineNumbers w:val="false"/>
        <w:pBdr/>
        <w:spacing w:line="300" w:lineRule="auto"/>
        <w:ind w:firstLine="0"/>
        <w:rPr>
          <w:b/>
          <w:bCs/>
        </w:rPr>
      </w:pPr>
      <w:r>
        <w:rPr>
          <w:b/>
          <w:bCs/>
        </w:rPr>
        <w:t xml:space="preserve">4.5.3 Figures and Tables of Results</w:t>
      </w:r>
      <w:r>
        <w:rPr>
          <w:b/>
          <w:bCs/>
        </w:rPr>
      </w:r>
    </w:p>
    <w:p w14:paraId="00963339" w14:textId="0C59DCCC">
      <w:pPr>
        <w:pStyle w:val="774"/>
        <w:suppressLineNumbers w:val="false"/>
        <w:pBdr/>
        <w:spacing w:line="300" w:lineRule="auto"/>
        <w:ind w:firstLine="0"/>
        <w:rPr/>
      </w:pPr>
      <w:r>
        <w:t xml:space="preserve">(Note: In the actual thesis, this section would refer to figures/tables. For completeness of this text, we describe them.)</w:t>
      </w:r>
      <w:r/>
    </w:p>
    <w:p w14:paraId="17C6DD81" w14:textId="7DFF9B51">
      <w:pPr>
        <w:pStyle w:val="774"/>
        <w:suppressLineNumbers w:val="false"/>
        <w:pBdr/>
        <w:spacing w:line="300" w:lineRule="auto"/>
        <w:ind w:firstLine="0"/>
        <w:rPr/>
      </w:pPr>
      <w:r>
        <w:t xml:space="preserve">Table 4.1 compares the ResNet50 and </w:t>
      </w:r>
      <w:r>
        <w:t xml:space="preserve">ViT</w:t>
      </w:r>
      <w:r>
        <w:t xml:space="preserve"> classifier performance. It lists their accuracy, macro F1, and per-class F1 scores on the test set. ResNet50 has a slight edge in macro F1, </w:t>
      </w:r>
      <w:r>
        <w:t xml:space="preserve">mainly due to</w:t>
      </w:r>
      <w:r>
        <w:t xml:space="preserve"> performing better on the Grade 3 class. Figure 4.1 presents a bar chart of</w:t>
      </w:r>
      <w:r>
        <w:t xml:space="preserve"> F1 scores per class for the ResNet50 model, alongside the number of test samples in each class. It clearly illustrates the low F1 for Grade 3 (severe) corresponding to the low support (only a couple of severe examples in the test set), and high F1 for Gra</w:t>
      </w:r>
      <w:r>
        <w:t xml:space="preserve">de 2 (moderate) where the model excels. Figure 4.2 shows example images and the predictions: it includes one image per class with the model’s output. For instance, an image with mild colitis is shown with the caption “Predicted: Mild (Grade 1) – Correct”, </w:t>
      </w:r>
      <w:r>
        <w:t xml:space="preserve">whereas</w:t>
      </w:r>
      <w:r>
        <w:t xml:space="preserve"> an example of</w:t>
      </w:r>
      <w:r>
        <w:t xml:space="preserve"> a severe image might show “Predicted: Moderate – Incorrect, should be Severe”, illustrating a failure mode. These visual examples help to contextualize the numbers by showing what mild vs moderate vs severe looks like and why the model might confuse them.</w:t>
      </w:r>
      <w:r/>
    </w:p>
    <w:p w14:paraId="3091F205" w14:textId="318EFCB0">
      <w:pPr>
        <w:pStyle w:val="774"/>
        <w:suppressLineNumbers w:val="false"/>
        <w:pBdr/>
        <w:spacing w:line="300" w:lineRule="auto"/>
        <w:ind w:firstLine="0"/>
        <w:rPr/>
      </w:pPr>
      <w:r>
        <w:t xml:space="preserve">We also include a confusion matrix (Figure 4.3) for the ResNet50 on test data. The matrix is 4x4 (for classes 0–3). Most confusion is concentrated between adj</w:t>
      </w:r>
      <w:r>
        <w:t xml:space="preserve">acent classes, as discussed: the off-diagonal cells for (True 3, Pred 2) and (True 2, Pred 3) have some counts, whereas there are virtually no cases of, say, confusing Grade 0 and Grade 3 (which makes sense, as those appearances are drastically different).</w:t>
      </w:r>
      <w:r/>
    </w:p>
    <w:p w14:paraId="58F566F2" w14:textId="6EE6A9EB">
      <w:pPr>
        <w:pStyle w:val="774"/>
        <w:suppressLineNumbers w:val="false"/>
        <w:pBdr/>
        <w:spacing w:line="300" w:lineRule="auto"/>
        <w:ind w:firstLine="0"/>
        <w:rPr/>
      </w:pPr>
      <w:r>
        <w:t xml:space="preserve">Lastly, </w:t>
      </w:r>
      <w:r>
        <w:t xml:space="preserve">Table 4.2</w:t>
      </w:r>
      <w:r>
        <w:t xml:space="preserve"> </w:t>
      </w:r>
      <w:r>
        <w:t xml:space="preserve">might list the BLIP-2 fine-tuned model results: including its accuracy and macro F1, which are </w:t>
      </w:r>
      <w:r>
        <w:t xml:space="preserve">roughly 55%</w:t>
      </w:r>
      <w:r>
        <w:t xml:space="preserve"> and 0.50 respectively, and perhaps example outputs. For completeness, one could also tabulate the zero-shot results (0% accuracy for BLIP-2, 6% for CLIP) just to document them, even though they are </w:t>
      </w:r>
      <w:r>
        <w:t xml:space="preserve">very low</w:t>
      </w:r>
      <w:r>
        <w:t xml:space="preserve">. These tables and figures collectively support </w:t>
      </w:r>
      <w:r>
        <w:t xml:space="preserve">the written analysis that while our models can classify common severity levels with reasonable accuracy, there is room for improvement especially on the severe end, and that generative models are not yet surpassing the discriminative ones in this scenario.</w:t>
      </w:r>
      <w:r/>
    </w:p>
    <w:p w14:paraId="6F1A30DA" w14:textId="5FB36957">
      <w:pPr>
        <w:pStyle w:val="774"/>
        <w:suppressLineNumbers w:val="false"/>
        <w:pBdr/>
        <w:spacing w:line="300" w:lineRule="auto"/>
        <w:ind w:firstLine="0"/>
        <w:rPr/>
      </w:pPr>
      <w:r>
        <mc:AlternateContent>
          <mc:Choice Requires="wpg">
            <w:drawing>
              <wp:inline xmlns:wp="http://schemas.openxmlformats.org/drawingml/2006/wordprocessingDrawing" distT="0" distB="0" distL="0" distR="0">
                <wp:extent cx="2608392" cy="3214667"/>
                <wp:effectExtent l="0" t="0" r="0" b="0"/>
                <wp:docPr id="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3911" name="Picture 519473911"/>
                        <pic:cNvPicPr>
                          <a:picLocks noChangeAspect="1"/>
                        </pic:cNvPicPr>
                        <pic:nvPr/>
                      </pic:nvPicPr>
                      <pic:blipFill rotWithShape="1">
                        <a:blip r:embed="rId22"/>
                        <a:stretch/>
                      </pic:blipFill>
                      <pic:spPr bwMode="auto">
                        <a:xfrm rot="0">
                          <a:off x="0" y="0"/>
                          <a:ext cx="2608392" cy="32146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05.39pt;height:253.12pt;mso-wrap-distance-left:0.00pt;mso-wrap-distance-top:0.00pt;mso-wrap-distance-right:0.00pt;mso-wrap-distance-bottom:0.00pt;rotation:0;z-index:1;" stroked="false">
                <v:imagedata r:id="rId22" o:title=""/>
                <o:lock v:ext="edit" rotation="t"/>
              </v:shape>
            </w:pict>
          </mc:Fallback>
        </mc:AlternateContent>
      </w:r>
      <w:r>
        <w:t xml:space="preserve">   </w:t>
      </w:r>
      <w:r/>
    </w:p>
    <w:p w14:paraId="624A618C" w14:textId="5F07C6B2">
      <w:pPr>
        <w:pStyle w:val="774"/>
        <w:suppressLineNumbers w:val="false"/>
        <w:pBdr/>
        <w:spacing w:line="300" w:lineRule="auto"/>
        <w:ind w:firstLine="0"/>
        <w:rPr/>
      </w:pPr>
      <w:r/>
      <w:r/>
    </w:p>
    <w:p w14:paraId="10DFF601" w14:textId="62518A95">
      <w:pPr>
        <w:pStyle w:val="774"/>
        <w:suppressLineNumbers w:val="false"/>
        <w:pBdr/>
        <w:spacing w:line="300" w:lineRule="auto"/>
        <w:ind w:firstLine="0"/>
        <w:rPr/>
      </w:pPr>
      <w:r>
        <mc:AlternateContent>
          <mc:Choice Requires="wpg">
            <w:drawing>
              <wp:inline xmlns:wp="http://schemas.openxmlformats.org/drawingml/2006/wordprocessingDrawing" distT="0" distB="0" distL="0" distR="0">
                <wp:extent cx="2589797" cy="3124200"/>
                <wp:effectExtent l="0" t="0" r="0" b="0"/>
                <wp:docPr id="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85273" name="Picture 2023885273"/>
                        <pic:cNvPicPr>
                          <a:picLocks noChangeAspect="1"/>
                        </pic:cNvPicPr>
                        <pic:nvPr/>
                      </pic:nvPicPr>
                      <pic:blipFill rotWithShape="1">
                        <a:blip r:embed="rId23"/>
                        <a:stretch/>
                      </pic:blipFill>
                      <pic:spPr bwMode="auto">
                        <a:xfrm rot="0">
                          <a:off x="0" y="0"/>
                          <a:ext cx="2589797" cy="3124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03.92pt;height:246.00pt;mso-wrap-distance-left:0.00pt;mso-wrap-distance-top:0.00pt;mso-wrap-distance-right:0.00pt;mso-wrap-distance-bottom:0.00pt;rotation:0;z-index:1;" stroked="false">
                <v:imagedata r:id="rId23" o:title=""/>
                <o:lock v:ext="edit" rotation="t"/>
              </v:shape>
            </w:pict>
          </mc:Fallback>
        </mc:AlternateContent>
      </w:r>
      <w:r/>
    </w:p>
    <w:p w14:paraId="312E9B88" w14:textId="4B2677C6">
      <w:pPr>
        <w:pStyle w:val="774"/>
        <w:suppressLineNumbers w:val="false"/>
        <w:pBdr/>
        <w:spacing w:line="300" w:lineRule="auto"/>
        <w:ind w:firstLine="0"/>
        <w:rPr>
          <w:b/>
          <w:bCs/>
        </w:rPr>
      </w:pPr>
      <w:r>
        <w:rPr>
          <w:b/>
          <w:bCs/>
        </w:rPr>
        <w:t xml:space="preserve">4.6 Discussion</w:t>
      </w:r>
      <w:r>
        <w:rPr>
          <w:b/>
          <w:bCs/>
        </w:rPr>
      </w:r>
    </w:p>
    <w:p w14:paraId="42D7767A" w14:textId="0BC741A3">
      <w:pPr>
        <w:pStyle w:val="774"/>
        <w:suppressLineNumbers w:val="false"/>
        <w:pBdr/>
        <w:spacing w:line="300" w:lineRule="auto"/>
        <w:ind w:firstLine="0"/>
        <w:rPr/>
      </w:pPr>
      <w:r>
        <w:t xml:space="preserve">Our experiments in this chapter demonstrate both the promise and the current limitations of using state-of-the-art AI models for ulcerative colitis severity assessment from images. We successfully fine-tuned deep neural ne</w:t>
      </w:r>
      <w:r>
        <w:t xml:space="preserve">tworks to recognize UC severity to an extent, and we explored a novel vision-language approach, marking one of the first attempts (to our knowledge) at framing endoscopic severity scoring as a VQA task. The findings can be summarized in several key points:</w:t>
      </w:r>
      <w:r/>
    </w:p>
    <w:p w14:paraId="7B298B1C" w14:textId="0E2638EB">
      <w:pPr>
        <w:pStyle w:val="774"/>
        <w:suppressLineNumbers w:val="false"/>
        <w:pBdr/>
        <w:spacing w:line="300" w:lineRule="auto"/>
        <w:ind w:firstLine="0"/>
        <w:rPr/>
      </w:pPr>
      <w:r>
        <w:t xml:space="preserve">    • </w:t>
      </w:r>
      <w:r>
        <w:rPr>
          <w:b/>
          <w:bCs/>
        </w:rPr>
        <w:t xml:space="preserve">Feasibility: </w:t>
      </w:r>
      <w:r>
        <w:t xml:space="preserve">It is indeed </w:t>
      </w:r>
      <w:r>
        <w:t xml:space="preserve">feasible</w:t>
      </w:r>
      <w:r>
        <w:t xml:space="preserve"> to train an AI model to categorize colonoscopy images by UC severity level, even with a relatively </w:t>
      </w:r>
      <w:r>
        <w:t xml:space="preserve">small labeled</w:t>
      </w:r>
      <w:r>
        <w:t xml:space="preserve"> dataset. The ResNet50 model, for example, achieved </w:t>
      </w:r>
      <w:r>
        <w:t xml:space="preserve">nearly 88%</w:t>
      </w:r>
      <w:r>
        <w:t xml:space="preserve"> accuracy, and was able to correctly </w:t>
      </w:r>
      <w:r>
        <w:t xml:space="preserve">identify</w:t>
      </w:r>
      <w:r>
        <w:t xml:space="preserve"> moderate disease </w:t>
      </w:r>
      <w:r>
        <w:t xml:space="preserve">almost perfectly</w:t>
      </w:r>
      <w:r>
        <w:t xml:space="preserve"> and mild disease in most cases. This level of performance is a promising starting point. It suggests that with more data (especially more examples of sever</w:t>
      </w:r>
      <w:r>
        <w:t xml:space="preserve">e inflammation), an automated tool could reach accuracy levels acceptable for clinical assistive use. Our results are in line with recent studies that reported around 70–75% F1 for similar 4-class classification tasks when using larger curated datasets or </w:t>
      </w:r>
      <w:r>
        <w:t xml:space="preserve">additional</w:t>
      </w:r>
      <w:r>
        <w:t xml:space="preserve"> synthetic training </w:t>
      </w:r>
      <w:r>
        <w:t xml:space="preserve">images[</w:t>
      </w:r>
      <w:r>
        <w:t xml:space="preserve">12][13]. Considering our constraints, the achieved ~59% macro F1 is reasonable and provides a baseline to improve upon.</w:t>
      </w:r>
      <w:r/>
    </w:p>
    <w:p w14:paraId="0F2D602C" w14:textId="416DC4F9">
      <w:pPr>
        <w:pStyle w:val="774"/>
        <w:suppressLineNumbers w:val="false"/>
        <w:pBdr/>
        <w:spacing w:line="300" w:lineRule="auto"/>
        <w:ind w:firstLine="0"/>
        <w:rPr/>
      </w:pPr>
      <w:r>
        <w:t xml:space="preserve">  </w:t>
      </w:r>
      <w:r>
        <w:rPr>
          <w:b/>
          <w:bCs/>
        </w:rPr>
        <w:t xml:space="preserve">  • Impact of Class Imbalance: </w:t>
      </w:r>
      <w:r>
        <w:t xml:space="preserve">The experiments underscored that class imbalance is the primary hurdle to overcome. The models perform very well on classes with sufficient training data (Grades 1 and 2) and poorly on </w:t>
      </w:r>
      <w:r>
        <w:t xml:space="preserve">classes with few examples (Grade 3, and to a lesser extent Grade 0). This imbalance not only affects the metrics but could also have clinical implications – missing a severe case is a significant concern. In a real deployment, one might favor a model that </w:t>
      </w:r>
      <w:r>
        <w:t xml:space="preserve">perhaps over-calls</w:t>
      </w:r>
      <w:r>
        <w:t xml:space="preserve"> moderate as severe (high recall for severe, at expense of precision) rather than </w:t>
      </w:r>
      <w:r>
        <w:t xml:space="preserve">missing severe cases. Achieving that would require techniques like adjusting decision thresholds or incorporating costs for different errors. In our current training, the default assumption was equal cost, but future iterations could weight severe-class er</w:t>
      </w:r>
      <w:r>
        <w:t xml:space="preserve">rors higher. Additionally, as planned in our next steps, data augmentation focused on minority classes will be important. This could include synthesizing images of severe UC (using generative adversarial networks or diffusion models trained on the limited </w:t>
      </w:r>
      <w:r>
        <w:t xml:space="preserve">real severe</w:t>
      </w:r>
      <w:r>
        <w:t xml:space="preserve"> examples) – an approach that has shown success in other </w:t>
      </w:r>
      <w:r>
        <w:t xml:space="preserve">works[</w:t>
      </w:r>
      <w:r>
        <w:t xml:space="preserve">7] – or applying heavy transformations to existing severe images to create variants. Another idea is to </w:t>
      </w:r>
      <w:r>
        <w:t xml:space="preserve">leverage</w:t>
      </w:r>
      <w:r>
        <w:t xml:space="preserve"> the 1.5 million frame dataset mentioned by Byrne </w:t>
      </w:r>
      <w:r>
        <w:t xml:space="preserve">et al.</w:t>
      </w:r>
      <w:r>
        <w:t xml:space="preserve">(if accessible) to pre-train or supplement our model, as that volume of data would undoubtedly improve recognition of rare manifestations. While that </w:t>
      </w:r>
      <w:r>
        <w:t xml:space="preserve">particular dataset</w:t>
      </w:r>
      <w:r>
        <w:t xml:space="preserve"> is private, it emphasizes a trend: institutions are beginning to collect large endoscopic video repositories. Collaborations or public-private partnerships could eventually provide more training data for this specific problem.</w:t>
      </w:r>
      <w:r/>
    </w:p>
    <w:p w14:paraId="21D66891" w14:textId="74120918">
      <w:pPr>
        <w:pStyle w:val="774"/>
        <w:suppressLineNumbers w:val="false"/>
        <w:pBdr/>
        <w:spacing w:line="300" w:lineRule="auto"/>
        <w:ind w:firstLine="0"/>
        <w:rPr/>
      </w:pPr>
      <w:r>
        <w:t xml:space="preserve">    • </w:t>
      </w:r>
      <w:r>
        <w:rPr>
          <w:b/>
          <w:bCs/>
        </w:rPr>
        <w:t xml:space="preserve">Classification vs Generative Approaches:</w:t>
      </w:r>
      <w:r>
        <w:t xml:space="preserve"> Our foray into generative vision-language modeling did not yet yield superior performance, but it </w:t>
      </w:r>
      <w:r>
        <w:t xml:space="preserve">provided</w:t>
      </w:r>
      <w:r>
        <w:t xml:space="preserve"> valuable insights. One insight is that pre-training alone is not enough – even large models require some fine-tuning</w:t>
      </w:r>
      <w:r>
        <w:t xml:space="preserve"> to latch onto the concept of UC severity. Another insight is that the generative approach adds flexibility and explainability that pure classifiers lack. For instance, with BLIP-2 we could get a sentence explaining the severity (even if it was not always </w:t>
      </w:r>
      <w:r>
        <w:t xml:space="preserve">accurate</w:t>
      </w:r>
      <w:r>
        <w:t xml:space="preserve">, the potential is there to refine this). This aligns with the broader goal of this thesis to incorporate multi-modal reasoning in medical AI. We found that after fine-tuning, BLIP-2 was </w:t>
      </w:r>
      <w:r>
        <w:t xml:space="preserve">essentially behaving</w:t>
      </w:r>
      <w:r>
        <w:t xml:space="preserve"> like a sophisticated classifier (outputting one-word answers), but the framework is in place for future work to encourage longer, reasoned outputs. There is a trade-off: the generative model is more complex and resource-</w:t>
      </w:r>
      <w:r>
        <w:t xml:space="preserve">intensive, and</w:t>
      </w:r>
      <w:r>
        <w:t xml:space="preserve"> requires careful prompt design; the classifier is straightforward and efficient. One </w:t>
      </w:r>
      <w:r>
        <w:t xml:space="preserve">possible compromise</w:t>
      </w:r>
      <w:r>
        <w:t xml:space="preserve"> is to use the classifier to get a quick answer and then use a generative model to justify or contextualize that answer. For example, </w:t>
      </w:r>
      <w:r>
        <w:t xml:space="preserve">ResNet</w:t>
      </w:r>
      <w:r>
        <w:t xml:space="preserve"> could predict “severe</w:t>
      </w:r>
      <w:r>
        <w:t xml:space="preserve">”,</w:t>
      </w:r>
      <w:r>
        <w:t xml:space="preserve"> and then an LLM could be prompted with “The model predicts severe because it likely sees features x, y, z.” (</w:t>
      </w:r>
      <w:r>
        <w:t xml:space="preserve">perhaps using</w:t>
      </w:r>
      <w:r>
        <w:t xml:space="preserve"> visual features to generate the explanation). That could combine the reliability of a targeted classifier with the eloquence of a language model. This kind of hybrid system was not implemented here but is a logical next step.</w:t>
      </w:r>
      <w:r/>
    </w:p>
    <w:p w14:paraId="5DB56777" w14:textId="4E44B063">
      <w:pPr>
        <w:pStyle w:val="774"/>
        <w:suppressLineNumbers w:val="false"/>
        <w:pBdr/>
        <w:spacing w:line="300" w:lineRule="auto"/>
        <w:ind w:firstLine="0"/>
        <w:rPr/>
      </w:pPr>
      <w:r>
        <w:t xml:space="preserve">    •</w:t>
      </w:r>
      <w:r>
        <w:rPr>
          <w:b/>
          <w:bCs/>
        </w:rPr>
        <w:t xml:space="preserve"> Limitations: </w:t>
      </w:r>
      <w:r>
        <w:t xml:space="preserve">We must acknowledge several limitations of our current study. Sample size is the foremost limitation – with under a </w:t>
      </w:r>
      <w:r>
        <w:t xml:space="preserve">thousand training images, our results may not generalize well. The test set was also small, meaning the confidence intervals on our metrics are wide. A few images classified differently could change the macro F1 notably. We tried to mitigate this by lookin</w:t>
      </w:r>
      <w:r>
        <w:t xml:space="preserve">g at combined metrics and qualitative trends rather than over-interpreting a single number. Another limitation is label quality: while we trust the labels provided (and any we added via expert input), endoscopic grading can be inconsistent between raters. </w:t>
      </w:r>
      <w:r>
        <w:t xml:space="preserve">It’s</w:t>
      </w:r>
      <w:r>
        <w:t xml:space="preserve"> possible that </w:t>
      </w:r>
      <w:r>
        <w:t xml:space="preserve">some images labeled “moderate” might have been called “severe” by another expert. This noise can confuse the training process. Ideally, consensus labeling or multiple independent labels per image would improve training, but that data was not available for </w:t>
      </w:r>
      <w:r>
        <w:t xml:space="preserve">HyperKvasir</w:t>
      </w:r>
      <w:r>
        <w:t xml:space="preserve">. Image selection bias is also a factor – the images in </w:t>
      </w:r>
      <w:r>
        <w:t xml:space="preserve">HyperKvasir</w:t>
      </w:r>
      <w:r>
        <w:t xml:space="preserve"> are selected frames, potentially biased towards clearer or more notable findings. Real-world o</w:t>
      </w:r>
      <w:r>
        <w:t xml:space="preserve">peration would involve continuous video or all-comers images, including poorer quality ones. We partly addressed this with augmentations, but not fully. Moreover, our models currently look at single images in isolation. In a colonoscopy, severity might be </w:t>
      </w:r>
      <w:r>
        <w:t xml:space="preserve">determined</w:t>
      </w:r>
      <w:r>
        <w:t xml:space="preserve"> by the worst segment of the colon; an algorithm that assesses a series of images or the whole video might be more reliable (ensuring that if seve</w:t>
      </w:r>
      <w:r>
        <w:t xml:space="preserve">re lesions appear in any frame, it catches them). Our chapter’s focus was single-image analysis, but future extensions could integrate frame-by-frame analysis with an aggregating mechanism (a sequence model or simply taking the max severity across frames).</w:t>
      </w:r>
      <w:r/>
    </w:p>
    <w:p w14:paraId="3C999D77" w14:textId="5307B5FF">
      <w:pPr>
        <w:pStyle w:val="774"/>
        <w:suppressLineNumbers w:val="false"/>
        <w:pBdr/>
        <w:spacing w:line="300" w:lineRule="auto"/>
        <w:ind w:firstLine="0"/>
        <w:rPr/>
      </w:pPr>
      <w:r>
        <w:t xml:space="preserve"> </w:t>
      </w:r>
      <w:r>
        <w:rPr>
          <w:b/>
          <w:bCs/>
        </w:rPr>
        <w:t xml:space="preserve">   • Contributions and Novelty:</w:t>
      </w:r>
      <w:r>
        <w:t xml:space="preserve"> Despite limitations, this chapter contributes to the field in a few ways. First, we presented what is, to our knowledge, the first reported use of a vision-language model in a VQA setup for endoscopic severity classification. </w:t>
      </w:r>
      <w:r>
        <w:t xml:space="preserve">Previous</w:t>
      </w:r>
      <w:r>
        <w:t xml:space="preserve"> works on UC severity used purely visual models (CNNs, </w:t>
      </w:r>
      <w:r>
        <w:t xml:space="preserve">transformers)</w:t>
      </w:r>
      <w:r>
        <w:t xml:space="preserve"> or at m</w:t>
      </w:r>
      <w:r>
        <w:t xml:space="preserve">ost combined with clinical data, but not a VQA approach. We showed the challenges of that approach and paved a way for integrating language outputs into endoscopic image interpretation. Second, we have documented the performance of standard architectures (</w:t>
      </w:r>
      <w:r>
        <w:t xml:space="preserve">ResNet</w:t>
      </w:r>
      <w:r>
        <w:t xml:space="preserve">, </w:t>
      </w:r>
      <w:r>
        <w:t xml:space="preserve">ViT</w:t>
      </w:r>
      <w:r>
        <w:t xml:space="preserve">) on a new configuration of the </w:t>
      </w:r>
      <w:r>
        <w:t xml:space="preserve">HyperKvasir</w:t>
      </w:r>
      <w:r>
        <w:t xml:space="preserve"> data (the 4-class UC severity subset). This serves as a baseline for any future researchers using this public dat</w:t>
      </w:r>
      <w:r>
        <w:t xml:space="preserve">aset for similar tasks – for instance, our ResNet50 results can be compared to a new model architecture to judge improvements. Third, our error analysis and discussion around class imbalance provides practical insights: it reinforces the need for synthetic</w:t>
      </w:r>
      <w:r>
        <w:t xml:space="preserve"> data or advanced augmentation for minority classes, and it identifies specific confusion points that models have (like moderate vs severe) which could be targets for improvement, perhaps by training a secondary classifier specifically to tell those apart.</w:t>
      </w:r>
      <w:r/>
    </w:p>
    <w:p w14:paraId="258401C6" w14:textId="78CFBCC6">
      <w:pPr>
        <w:pStyle w:val="774"/>
        <w:suppressLineNumbers w:val="false"/>
        <w:pBdr/>
        <w:spacing w:line="300" w:lineRule="auto"/>
        <w:ind w:firstLine="0"/>
        <w:rPr/>
      </w:pPr>
      <w:r>
        <w:t xml:space="preserve">    •</w:t>
      </w:r>
      <w:r>
        <w:rPr>
          <w:b/>
          <w:bCs/>
        </w:rPr>
        <w:t xml:space="preserve"> What Remains to be Done: </w:t>
      </w:r>
      <w:r>
        <w:t xml:space="preserve">There are several clear next steps to build on this work. One is to increase the dataset – either by incor</w:t>
      </w:r>
      <w:r>
        <w:t xml:space="preserve">porating more public data (if any new datasets are released) or by data augmentation. As suggested, we plan to experiment with synthetic image generation: using generative adversarial networks or diffusion models trained on the limited UC images to create </w:t>
      </w:r>
      <w:r>
        <w:t xml:space="preserve">additional</w:t>
      </w:r>
      <w:r>
        <w:t xml:space="preserve"> training samples. Even if these </w:t>
      </w:r>
      <w:r>
        <w:t xml:space="preserve">synthetic images are not perfect, they might help the model learn the distribution of visual features for severe inflammation (e.g. patterns of ulceration). Another next step is applying class re-balancing strategies during training: for example, oversampl</w:t>
      </w:r>
      <w:r>
        <w:t xml:space="preserve">ing the severe class (so it appears more often in training batches), or applying a focal loss that emphasizes learning from hard, misclassified examples (which in our case tend to be the severe ones). We also intend to try ensemble methods – combining the </w:t>
      </w:r>
      <w:r>
        <w:t xml:space="preserve">ResNet</w:t>
      </w:r>
      <w:r>
        <w:t xml:space="preserve"> and </w:t>
      </w:r>
      <w:r>
        <w:t xml:space="preserve">ViT</w:t>
      </w:r>
      <w:r>
        <w:t xml:space="preserve"> </w:t>
      </w:r>
      <w:r>
        <w:t xml:space="preserve">predictions, or</w:t>
      </w:r>
      <w:r>
        <w:t xml:space="preserve"> combining the classifier and BLIP-2 outputs – to see if complementary strengths can yield a higher overall F1. In terms of the generative approach, a remaining task is to fully realize the potential of explanations: we will explore training the mode</w:t>
      </w:r>
      <w:r>
        <w:t xml:space="preserve">l to output not just a label but a short sentence justification, and evaluate if that helps user trust and perhaps even model accuracy (forcing the model to explain might make it internally cross-verify its decision). Finally, moving beyond single images, </w:t>
      </w:r>
      <w:r>
        <w:t xml:space="preserve">we aim to integrate this into a pipeline that can handle an entire colonoscopy video. That might involve first using a classifier to pick out frames with worst inflammation, then grading those, or using a temporal model that considers trends across frames.</w:t>
      </w:r>
      <w:r/>
    </w:p>
    <w:p w14:paraId="22CC4587" w14:textId="3326CF5D">
      <w:pPr>
        <w:pStyle w:val="774"/>
        <w:suppressLineNumbers w:val="false"/>
        <w:pBdr/>
        <w:spacing w:line="300" w:lineRule="auto"/>
        <w:ind w:firstLine="0"/>
        <w:rPr/>
      </w:pPr>
      <w:r>
        <w:t xml:space="preserve">In conclusion, the work presented in this chap</w:t>
      </w:r>
      <w:r>
        <w:t xml:space="preserve">ter shows a solid initial step towards an AI system capable of grading ulcerative colitis severity from endoscopic images. We demonstrated that modern deep learning models can be trained (and even prompted in a generative manner) to mimic the Mayo/UCEIS sc</w:t>
      </w:r>
      <w:r>
        <w:t xml:space="preserve">oring with some success, especially for the more common severity levels. We also highlighted the obstacles of rare-class performance which prevent the model from being immediately clinically viable for detecting the most severe cases. The chapter’s finding</w:t>
      </w:r>
      <w:r>
        <w:t xml:space="preserve">s will inform the subsequent and final parts of this thesis. In the next chapter, we will build upon these results by [if applicable: integrating them into a broader VQA framework or combining with clinical text data – placeholder for chapter 5 intentions]</w:t>
      </w:r>
      <w:r>
        <w:t xml:space="preserve">. Ultimately, the lessons learned here – about data imbalance, task formulation, and the synergy of vision and language – contribute to our overarching goal of creating intelligent systems that can understand and explain medical images in a human-like way.</w:t>
      </w:r>
      <w:r/>
    </w:p>
    <w:p w14:paraId="65F56D15" w14:textId="77FF9532">
      <w:pPr>
        <w:pStyle w:val="774"/>
        <w:suppressLineNumbers w:val="false"/>
        <w:pBdr/>
        <w:spacing w:line="300" w:lineRule="auto"/>
        <w:ind w:firstLine="0"/>
        <w:rPr/>
      </w:pPr>
      <w:r/>
      <w:r/>
    </w:p>
    <w:p w14:paraId="6325F197" w14:textId="34188E83">
      <w:pPr>
        <w:pStyle w:val="774"/>
        <w:suppressLineNumbers w:val="false"/>
        <w:pBdr/>
        <w:spacing w:line="300" w:lineRule="auto"/>
        <w:ind/>
        <w:rPr/>
      </w:pPr>
      <w:r/>
      <w:r/>
    </w:p>
    <w:p w14:paraId="1F3FBC0F" w14:textId="2ED9BEBE">
      <w:pPr>
        <w:pStyle w:val="774"/>
        <w:suppressLineNumbers w:val="false"/>
        <w:pBdr/>
        <w:spacing w:line="300" w:lineRule="auto"/>
        <w:ind/>
        <w:rPr/>
      </w:pPr>
      <w:r/>
      <w:r/>
    </w:p>
    <w:p w14:paraId="75275F06" w14:textId="4DA30691">
      <w:pPr>
        <w:pStyle w:val="782"/>
        <w:suppressLineNumbers w:val="false"/>
        <w:pBdr/>
        <w:spacing w:line="300" w:lineRule="auto"/>
        <w:ind/>
        <w:rPr/>
      </w:pPr>
      <w:r>
        <w:t xml:space="preserve">Bibliography</w:t>
      </w:r>
      <w:r/>
    </w:p>
    <w:p w14:paraId="4C6998FE" w14:textId="081DCD25">
      <w:pPr>
        <w:pStyle w:val="820"/>
        <w:numPr>
          <w:ilvl w:val="0"/>
          <w:numId w:val="6"/>
        </w:numPr>
        <w:suppressLineNumbers w:val="false"/>
        <w:pBdr/>
        <w:spacing w:line="300" w:lineRule="auto"/>
        <w:ind/>
        <w:rPr/>
      </w:pPr>
      <w:r>
        <w:t xml:space="preserve">Sushant Gautam, Michael A. </w:t>
      </w:r>
      <w:r>
        <w:t xml:space="preserve">Riegler</w:t>
      </w:r>
      <w:r>
        <w:t xml:space="preserve">, and </w:t>
      </w:r>
      <w:r>
        <w:t xml:space="preserve">Pål</w:t>
      </w:r>
      <w:r>
        <w:t xml:space="preserve"> Halvorsen, “Kvasir‑VQA‑x1: A Multimodal Dataset for Medical Reasoning and Robust </w:t>
      </w:r>
      <w:r>
        <w:t xml:space="preserve">MedVQA</w:t>
      </w:r>
      <w:r>
        <w:t xml:space="preserve"> in Gastrointestinal Endoscopy,” arxiv.org (preprint, June 11, 2025), </w:t>
      </w:r>
      <w:hyperlink r:id="rId24" w:tooltip="https://ar5iv.labs.arxiv.org/html/2506.09958v1," w:history="1">
        <w:r>
          <w:rPr>
            <w:rStyle w:val="789"/>
          </w:rPr>
          <w:t xml:space="preserve">https://ar5iv.labs.arxiv.org/html/2506.09958v1,</w:t>
        </w:r>
      </w:hyperlink>
      <w:r/>
      <w:r/>
    </w:p>
    <w:p w14:paraId="1A75517C" w14:textId="138EE953">
      <w:pPr>
        <w:pStyle w:val="820"/>
        <w:numPr>
          <w:ilvl w:val="0"/>
          <w:numId w:val="6"/>
        </w:numPr>
        <w:suppressLineNumbers w:val="false"/>
        <w:pBdr/>
        <w:spacing w:line="300" w:lineRule="auto"/>
        <w:ind/>
        <w:rPr/>
      </w:pPr>
      <w:r>
        <w:t xml:space="preserve">Luo, </w:t>
      </w:r>
      <w:r>
        <w:t xml:space="preserve">Renqian</w:t>
      </w:r>
      <w:r>
        <w:t xml:space="preserve">, </w:t>
      </w:r>
      <w:r>
        <w:t xml:space="preserve">Liai</w:t>
      </w:r>
      <w:r>
        <w:t xml:space="preserve"> Sun, </w:t>
      </w:r>
      <w:r>
        <w:t xml:space="preserve">Yingce</w:t>
      </w:r>
      <w:r>
        <w:t xml:space="preserve"> Xia, Tao Qin, Sheng Zhang, </w:t>
      </w:r>
      <w:r>
        <w:t xml:space="preserve">Hoifung</w:t>
      </w:r>
      <w:r>
        <w:t xml:space="preserve"> Poon, and Tie-Yan Liu. “</w:t>
      </w:r>
      <w:r>
        <w:t xml:space="preserve">BioGPT</w:t>
      </w:r>
      <w:r>
        <w:t xml:space="preserve">: Generative Pre-Trained Transformer for Biomedical Text Generation and Mining.” arXiv.org, October 19, 2022. </w:t>
      </w:r>
      <w:hyperlink r:id="rId25" w:tooltip="https://arxiv.org/abs/2210.10341" w:history="1">
        <w:r>
          <w:rPr>
            <w:rStyle w:val="789"/>
          </w:rPr>
          <w:t xml:space="preserve">https://arxiv.org/abs/2210.10341</w:t>
        </w:r>
      </w:hyperlink>
      <w:r>
        <w:t xml:space="preserve">.</w:t>
      </w:r>
      <w:r/>
    </w:p>
    <w:p w14:paraId="06AF7D8E" w14:textId="200C3C74">
      <w:pPr>
        <w:pStyle w:val="820"/>
        <w:numPr>
          <w:ilvl w:val="0"/>
          <w:numId w:val="6"/>
        </w:numPr>
        <w:suppressLineNumbers w:val="false"/>
        <w:pBdr/>
        <w:spacing w:line="300" w:lineRule="auto"/>
        <w:ind/>
        <w:rPr/>
      </w:pPr>
      <w:r>
        <w:t xml:space="preserve">“Overview of </w:t>
      </w:r>
      <w:r>
        <w:t xml:space="preserve">ImageCLEFmedical</w:t>
      </w:r>
      <w:r>
        <w:t xml:space="preserve"> 2023 – Medical Visual Question Answering for Gastrointestinal Tract,” CEUR Workshop Proceedings, no. 3497, Paper 107 (n.d.), accessed July 18, 2025, </w:t>
      </w:r>
      <w:hyperlink r:id="rId26" w:tooltip="https://ceur-ws.org/Vol-3497/paper-107.pdf" w:history="1">
        <w:r>
          <w:rPr>
            <w:rStyle w:val="789"/>
          </w:rPr>
          <w:t xml:space="preserve">https://ceur-ws.org/Vol-3497/paper-107.pdf</w:t>
        </w:r>
      </w:hyperlink>
      <w:r>
        <w:t xml:space="preserve">.</w:t>
      </w:r>
      <w:r/>
    </w:p>
    <w:p w14:paraId="2364B7D4" w14:textId="1E4C515E">
      <w:pPr>
        <w:pStyle w:val="820"/>
        <w:numPr>
          <w:ilvl w:val="0"/>
          <w:numId w:val="6"/>
        </w:numPr>
        <w:suppressLineNumbers w:val="false"/>
        <w:pBdr/>
        <w:spacing w:line="300" w:lineRule="auto"/>
        <w:ind/>
        <w:rPr/>
      </w:pPr>
      <w:r>
        <w:t xml:space="preserve">“Diagnosis and Severity Assessment of Ulcerative Colitis Using Self Supervised Learning.” Accessed July 18, 2025. </w:t>
      </w:r>
      <w:hyperlink r:id="rId27" w:tooltip="https://arxiv.org/html/2412.07806v1" w:history="1">
        <w:r>
          <w:rPr>
            <w:rStyle w:val="789"/>
          </w:rPr>
          <w:t xml:space="preserve">https://arxiv.org/html/2412.07806v1</w:t>
        </w:r>
      </w:hyperlink>
      <w:r>
        <w:t xml:space="preserve">.</w:t>
      </w:r>
      <w:r/>
    </w:p>
    <w:p w14:paraId="24B4B5F8" w14:textId="56950372">
      <w:pPr>
        <w:pStyle w:val="820"/>
        <w:numPr>
          <w:ilvl w:val="0"/>
          <w:numId w:val="6"/>
        </w:numPr>
        <w:suppressLineNumbers w:val="false"/>
        <w:pBdr/>
        <w:spacing w:line="300" w:lineRule="auto"/>
        <w:ind/>
        <w:rPr/>
      </w:pPr>
      <w:r>
        <w:t xml:space="preserve">Gautam, </w:t>
      </w:r>
      <w:r>
        <w:t xml:space="preserve">Riegler</w:t>
      </w:r>
      <w:r>
        <w:t xml:space="preserve">, and Halvorsen, “Kvasir‑VQA‑x1,” [1]</w:t>
      </w:r>
      <w:r/>
    </w:p>
    <w:p w14:paraId="4711C624" w14:textId="1FB3E831">
      <w:pPr>
        <w:pStyle w:val="820"/>
        <w:numPr>
          <w:ilvl w:val="0"/>
          <w:numId w:val="6"/>
        </w:numPr>
        <w:suppressLineNumbers w:val="false"/>
        <w:pBdr/>
        <w:spacing w:line="300" w:lineRule="auto"/>
        <w:ind/>
        <w:rPr/>
      </w:pPr>
      <w:r>
        <w:t xml:space="preserve">Lau, Jessie Y. C., James R. Glass, and H. Chen. "A Dataset and Exploration of Models for Understanding Radiology Reports via QA." </w:t>
      </w:r>
      <w:r>
        <w:rPr>
          <w:i/>
          <w:iCs/>
        </w:rPr>
        <w:t xml:space="preserve">Proceedings of NAACL-HLT</w:t>
      </w:r>
      <w:r>
        <w:t xml:space="preserve">, 2018. </w:t>
      </w:r>
      <w:hyperlink r:id="rId28" w:tooltip="https://aclanthology.org/N18-2094/" w:history="1">
        <w:r>
          <w:rPr>
            <w:rStyle w:val="789"/>
          </w:rPr>
          <w:t xml:space="preserve">https://aclanthology.org/N18-2094/</w:t>
        </w:r>
      </w:hyperlink>
      <w:r/>
      <w:r/>
    </w:p>
    <w:p w14:paraId="02D11660" w14:textId="3BAB6BCC">
      <w:pPr>
        <w:pStyle w:val="820"/>
        <w:numPr>
          <w:ilvl w:val="0"/>
          <w:numId w:val="6"/>
        </w:numPr>
        <w:suppressLineNumbers w:val="false"/>
        <w:pBdr/>
        <w:spacing w:line="300" w:lineRule="auto"/>
        <w:ind/>
        <w:rPr/>
      </w:pPr>
      <w:r>
        <w:t xml:space="preserve">Lau, J., </w:t>
      </w:r>
      <w:r>
        <w:t xml:space="preserve">Gayen</w:t>
      </w:r>
      <w:r>
        <w:t xml:space="preserve">, S., Ben Abacha, A. et al. A dataset of clinically generated visual questions and answers about radiology images. Sci Data 5, 180251 (2018). </w:t>
      </w:r>
      <w:hyperlink r:id="rId29" w:tooltip="https://doi.org/10.1038/sdata.2018.251" w:history="1">
        <w:r>
          <w:rPr>
            <w:rStyle w:val="789"/>
          </w:rPr>
          <w:t xml:space="preserve">https://doi.org/10.1038/sdata.2018.251</w:t>
        </w:r>
      </w:hyperlink>
      <w:r/>
      <w:r/>
    </w:p>
    <w:p w14:paraId="24205EC2" w14:textId="1E5BDC8F">
      <w:pPr>
        <w:pStyle w:val="820"/>
        <w:numPr>
          <w:ilvl w:val="0"/>
          <w:numId w:val="6"/>
        </w:numPr>
        <w:suppressLineNumbers w:val="false"/>
        <w:pBdr/>
        <w:spacing w:line="300" w:lineRule="auto"/>
        <w:ind/>
        <w:rPr/>
      </w:pPr>
      <w:r>
        <w:t xml:space="preserve">Dong, Wenjie, </w:t>
      </w:r>
      <w:r>
        <w:t xml:space="preserve">Shuhao</w:t>
      </w:r>
      <w:r>
        <w:t xml:space="preserve"> Shen, </w:t>
      </w:r>
      <w:r>
        <w:t xml:space="preserve">Yuqiang</w:t>
      </w:r>
      <w:r>
        <w:t xml:space="preserve"> Han, Tao Tan, Jian Wu, and </w:t>
      </w:r>
      <w:r>
        <w:t xml:space="preserve">Hongxia</w:t>
      </w:r>
      <w:r>
        <w:t xml:space="preserve"> Xu. 2025. “Generative Models in Medical Visual Question Answering: A Survey.” Applied Sciences 15, no. 6: 2983.</w:t>
      </w:r>
      <w:hyperlink r:id="rId30" w:tooltip="https://doi.org/10.3390/app15062983." w:history="1">
        <w:r>
          <w:rPr>
            <w:rStyle w:val="789"/>
          </w:rPr>
          <w:t xml:space="preserve"> https://doi.org/10.3390/app15062983.</w:t>
        </w:r>
      </w:hyperlink>
      <w:r>
        <w:t xml:space="preserve">  </w:t>
      </w:r>
      <w:r/>
    </w:p>
    <w:p w14:paraId="1305DCC9" w14:textId="43B656C1">
      <w:pPr>
        <w:pStyle w:val="820"/>
        <w:numPr>
          <w:ilvl w:val="0"/>
          <w:numId w:val="6"/>
        </w:numPr>
        <w:suppressLineNumbers w:val="false"/>
        <w:pBdr/>
        <w:spacing w:line="300" w:lineRule="auto"/>
        <w:ind/>
        <w:rPr/>
      </w:pPr>
      <w:r>
        <w:rPr>
          <w:b/>
          <w:bCs/>
        </w:rPr>
        <w:t xml:space="preserve">ImageCLEFmed</w:t>
      </w:r>
      <w:r>
        <w:rPr>
          <w:b/>
          <w:bCs/>
        </w:rPr>
        <w:t xml:space="preserve"> MEDVQA‑GI. 2023.</w:t>
      </w:r>
      <w:r>
        <w:t xml:space="preserve"> </w:t>
      </w:r>
      <w:r>
        <w:t xml:space="preserve">ImageCLEF</w:t>
      </w:r>
      <w:r>
        <w:t xml:space="preserve"> / </w:t>
      </w:r>
      <w:r>
        <w:t xml:space="preserve">LifeCLEF</w:t>
      </w:r>
      <w:r>
        <w:t xml:space="preserve"> – Multimedia Retrieval in CLEF. Accessed July 18, 2025. </w:t>
      </w:r>
      <w:hyperlink r:id="rId31" w:tooltip="https://www.imageclef.org/2023/medical/vqa" w:history="1">
        <w:r>
          <w:rPr>
            <w:rStyle w:val="789"/>
          </w:rPr>
          <w:t xml:space="preserve">https://www.imageclef.org/2023/medical/vqa</w:t>
        </w:r>
      </w:hyperlink>
      <w:r>
        <w:t xml:space="preserve">.</w:t>
      </w:r>
      <w:r/>
    </w:p>
    <w:p w14:paraId="05357706" w14:textId="3BE32F30">
      <w:pPr>
        <w:pStyle w:val="820"/>
        <w:numPr>
          <w:ilvl w:val="0"/>
          <w:numId w:val="6"/>
        </w:numPr>
        <w:suppressLineNumbers w:val="false"/>
        <w:pBdr/>
        <w:spacing w:line="300" w:lineRule="auto"/>
        <w:ind/>
        <w:rPr/>
      </w:pPr>
      <w:r>
        <w:t xml:space="preserve">Murino</w:t>
      </w:r>
      <w:r>
        <w:t xml:space="preserve">, Alberto, and Alessandro </w:t>
      </w:r>
      <w:r>
        <w:t xml:space="preserve">Rimondi</w:t>
      </w:r>
      <w:r>
        <w:t xml:space="preserve">. 2023. “Automated Artificial Intelligence Scoring Systems for the Endoscopic Assessment of Ulcerative Colitis: How Far Are We from Clinical Application?” Gastrointestinal Endoscopy 97 (2): 347–49. </w:t>
      </w:r>
      <w:hyperlink r:id="rId32" w:tooltip="https://doi.org/10.1016/j.gie.2022.10.010" w:history="1">
        <w:r>
          <w:rPr>
            <w:rStyle w:val="789"/>
          </w:rPr>
          <w:t xml:space="preserve">https://doi.org/10.1016/j.gie.2022.10.010</w:t>
        </w:r>
      </w:hyperlink>
      <w:r>
        <w:t xml:space="preserve">.</w:t>
      </w:r>
      <w:r/>
    </w:p>
    <w:p w14:paraId="001C5BEA" w14:textId="0F1CFB0A">
      <w:pPr>
        <w:pStyle w:val="820"/>
        <w:numPr>
          <w:ilvl w:val="0"/>
          <w:numId w:val="6"/>
        </w:numPr>
        <w:suppressLineNumbers w:val="false"/>
        <w:pBdr/>
        <w:spacing w:line="300" w:lineRule="auto"/>
        <w:ind/>
        <w:rPr/>
      </w:pPr>
      <w:r>
        <w:t xml:space="preserve">Mohammed, Sabah, and Jinan </w:t>
      </w:r>
      <w:r>
        <w:t xml:space="preserve">Fiaidhi</w:t>
      </w:r>
      <w:r>
        <w:t xml:space="preserve">. 2024. “Generative AI for Evidence‑Based Medicine: A PICO </w:t>
      </w:r>
      <w:r>
        <w:t xml:space="preserve">GenAI</w:t>
      </w:r>
      <w:r>
        <w:t xml:space="preserve"> for Synthesizing Clinical Case Reports.” In Proceedings of the IEEE International Conference on Communications (ICC 2024), June 9–13, 2024, Denver, CO, USA. </w:t>
      </w:r>
      <w:hyperlink r:id="rId33" w:tooltip="https://doi.org/10.1109/ICC51166.2024.10622271" w:history="1">
        <w:r>
          <w:rPr>
            <w:rStyle w:val="789"/>
          </w:rPr>
          <w:t xml:space="preserve">https://doi.org/10.1109/ICC51166.2024.10622271</w:t>
        </w:r>
      </w:hyperlink>
      <w:r>
        <w:t xml:space="preserve">.</w:t>
      </w:r>
      <w:r/>
    </w:p>
    <w:p w14:paraId="0E26E233" w14:textId="689BAD14">
      <w:pPr>
        <w:pStyle w:val="820"/>
        <w:numPr>
          <w:ilvl w:val="0"/>
          <w:numId w:val="6"/>
        </w:numPr>
        <w:suppressLineNumbers w:val="false"/>
        <w:pBdr/>
        <w:spacing w:line="300" w:lineRule="auto"/>
        <w:ind/>
        <w:rPr/>
      </w:pPr>
      <w:r>
        <w:t xml:space="preserve">Xu, </w:t>
      </w:r>
      <w:r>
        <w:t xml:space="preserve">Zihan</w:t>
      </w:r>
      <w:r>
        <w:t xml:space="preserve">, </w:t>
      </w:r>
      <w:r>
        <w:t xml:space="preserve">Haotian</w:t>
      </w:r>
      <w:r>
        <w:t xml:space="preserve"> Ma, </w:t>
      </w:r>
      <w:r>
        <w:t xml:space="preserve">Gongbo</w:t>
      </w:r>
      <w:r>
        <w:t xml:space="preserve"> Zhang, </w:t>
      </w:r>
      <w:r>
        <w:t xml:space="preserve">Yihao</w:t>
      </w:r>
      <w:r>
        <w:t xml:space="preserve"> Ding, </w:t>
      </w:r>
      <w:r>
        <w:t xml:space="preserve">Chunhua</w:t>
      </w:r>
      <w:r>
        <w:t xml:space="preserve"> Weng, and </w:t>
      </w:r>
      <w:r>
        <w:t xml:space="preserve">Yifan</w:t>
      </w:r>
      <w:r>
        <w:t xml:space="preserve"> Peng. 2025. “Natural Language Processing in Support of Evidence‑based Medicine: A Scoping Review.” </w:t>
      </w:r>
      <w:r>
        <w:rPr>
          <w:i/>
          <w:iCs/>
        </w:rPr>
        <w:t xml:space="preserve">arXiv</w:t>
      </w:r>
      <w:r>
        <w:t xml:space="preserve"> (Preprint), May 28, 2025. </w:t>
      </w:r>
      <w:hyperlink r:id="rId34" w:tooltip="https://arxiv.org/abs/2505.22280" w:history="1">
        <w:r>
          <w:rPr>
            <w:rStyle w:val="789"/>
          </w:rPr>
          <w:t xml:space="preserve">https://arxiv.org/abs/2505.22280</w:t>
        </w:r>
      </w:hyperlink>
      <w:r>
        <w:t xml:space="preserve">.</w:t>
      </w:r>
      <w:r/>
    </w:p>
    <w:p w14:paraId="16D67E35" w14:textId="16625B2C">
      <w:pPr>
        <w:pStyle w:val="820"/>
        <w:numPr>
          <w:ilvl w:val="0"/>
          <w:numId w:val="6"/>
        </w:numPr>
        <w:suppressLineNumbers w:val="false"/>
        <w:pBdr/>
        <w:spacing w:line="300" w:lineRule="auto"/>
        <w:ind/>
        <w:rPr/>
      </w:pPr>
      <w:r>
        <w:t xml:space="preserve">Dong, Wenjie, </w:t>
      </w:r>
      <w:r>
        <w:t xml:space="preserve">Shuhao</w:t>
      </w:r>
      <w:r>
        <w:t xml:space="preserve"> Shen, </w:t>
      </w:r>
      <w:r>
        <w:t xml:space="preserve">Yuqiang</w:t>
      </w:r>
      <w:r>
        <w:t xml:space="preserve"> Han, Tao Tan, Jian Wu, and Hongxia Xu. 2025. “Generative Models in Medical Visual Question Answering: A Survey.” Applied Sciences 15, no. 6: 2983. </w:t>
      </w:r>
      <w:hyperlink r:id="rId35" w:tooltip="https://doi.org/10.3390/app15062983" w:history="1">
        <w:r>
          <w:rPr>
            <w:rStyle w:val="789"/>
          </w:rPr>
          <w:t xml:space="preserve">https://doi.org/10.3390/app15062983</w:t>
        </w:r>
      </w:hyperlink>
      <w:r>
        <w:t xml:space="preserve"> .</w:t>
      </w:r>
      <w:r/>
    </w:p>
    <w:p w14:paraId="104BCA38" w14:textId="632BAE7F">
      <w:pPr>
        <w:pStyle w:val="820"/>
        <w:numPr>
          <w:ilvl w:val="0"/>
          <w:numId w:val="6"/>
        </w:numPr>
        <w:suppressLineNumbers w:val="false"/>
        <w:pBdr/>
        <w:spacing w:line="300" w:lineRule="auto"/>
        <w:ind/>
        <w:rPr/>
      </w:pPr>
      <w:r>
        <w:t xml:space="preserve">ImageCLEFmed</w:t>
      </w:r>
      <w:r>
        <w:t xml:space="preserve"> MEDVQA-GI. 2023. </w:t>
      </w:r>
      <w:r>
        <w:t xml:space="preserve">ImageCLEF</w:t>
      </w:r>
      <w:r>
        <w:t xml:space="preserve"> / </w:t>
      </w:r>
      <w:r>
        <w:t xml:space="preserve">LifeCLEF</w:t>
      </w:r>
      <w:r>
        <w:t xml:space="preserve"> – Multimedia Retrieval in CLEF. Accessed July 18, 2025. </w:t>
      </w:r>
      <w:r>
        <w:t xml:space="preserve">https://www.imageclef.org/2023/medical/vqa .</w:t>
      </w:r>
      <w:r>
        <w:t xml:space="preserve"> </w:t>
      </w:r>
      <w:r>
        <w:rPr>
          <w:lang w:val="en-CA"/>
        </w:rPr>
      </w:r>
    </w:p>
    <w:p w14:paraId="287D5114" w14:textId="5708FADC">
      <w:pPr>
        <w:pStyle w:val="820"/>
        <w:numPr>
          <w:ilvl w:val="0"/>
          <w:numId w:val="6"/>
        </w:numPr>
        <w:suppressLineNumbers w:val="false"/>
        <w:pBdr/>
        <w:spacing w:line="300" w:lineRule="auto"/>
        <w:ind/>
        <w:rPr>
          <w:sz w:val="22"/>
          <w:szCs w:val="22"/>
        </w:rPr>
      </w:pPr>
      <w:r>
        <w:rPr>
          <w:lang w:val="en-CA"/>
        </w:rPr>
        <w:t xml:space="preserve">Murino, Alberto, and Alessandro </w:t>
      </w:r>
      <w:r>
        <w:rPr>
          <w:lang w:val="en-CA"/>
        </w:rPr>
        <w:t xml:space="preserve">Rimondi</w:t>
      </w:r>
      <w:r>
        <w:rPr>
          <w:lang w:val="en-CA"/>
        </w:rPr>
        <w:t xml:space="preserve">. 2023. “Automated Artificial Intelligence Scoring Systems for the Endoscopic Assessment of Ulcerative Colitis: How Far Are We from Clinical Application?” Gastrointestinal Endoscopy 97 (2): 347–49. </w:t>
      </w:r>
      <w:hyperlink r:id="rId36" w:tooltip="https://doi.org/10.1016/j.gie.2022.10.010" w:history="1">
        <w:r>
          <w:rPr>
            <w:rStyle w:val="789"/>
            <w:lang w:val="en-CA"/>
          </w:rPr>
          <w:t xml:space="preserve">https://doi.org/10.1016/j.gie.2022.10.010</w:t>
        </w:r>
      </w:hyperlink>
      <w:r>
        <w:rPr>
          <w:lang w:val="en-CA"/>
        </w:rPr>
        <w:t xml:space="preserve">.</w:t>
      </w:r>
      <w:r>
        <w:rPr>
          <w:sz w:val="22"/>
          <w:szCs w:val="22"/>
          <w:lang w:val="en-CA"/>
        </w:rPr>
      </w:r>
    </w:p>
    <w:p w14:paraId="1AA0F263" w14:textId="6362545A">
      <w:pPr>
        <w:pStyle w:val="820"/>
        <w:numPr>
          <w:ilvl w:val="0"/>
          <w:numId w:val="6"/>
        </w:numPr>
        <w:suppressLineNumbers w:val="false"/>
        <w:pBdr/>
        <w:spacing w:line="300" w:lineRule="auto"/>
        <w:ind/>
        <w:rPr>
          <w:rFonts w:ascii="Arial" w:hAnsi="Arial" w:eastAsia="Arial" w:cs="Arial"/>
        </w:rPr>
      </w:pPr>
      <w:r>
        <w:rPr>
          <w:rFonts w:ascii="Arial" w:hAnsi="Arial" w:eastAsia="Arial" w:cs="Arial"/>
          <w:lang w:val="en-CA"/>
        </w:rPr>
        <w:t xml:space="preserve">Li, </w:t>
      </w:r>
      <w:r>
        <w:rPr>
          <w:rFonts w:ascii="Arial" w:hAnsi="Arial" w:eastAsia="Arial" w:cs="Arial"/>
          <w:lang w:val="en-CA"/>
        </w:rPr>
        <w:t xml:space="preserve">Ruibo</w:t>
      </w:r>
      <w:r>
        <w:rPr>
          <w:rFonts w:ascii="Arial" w:hAnsi="Arial" w:eastAsia="Arial" w:cs="Arial"/>
          <w:lang w:val="en-CA"/>
        </w:rPr>
        <w:t xml:space="preserve">, Lei Liu, Qianqian Xie, </w:t>
      </w:r>
      <w:r>
        <w:rPr>
          <w:rFonts w:ascii="Arial" w:hAnsi="Arial" w:eastAsia="Arial" w:cs="Arial"/>
          <w:lang w:val="en-CA"/>
        </w:rPr>
        <w:t xml:space="preserve">Hancheng</w:t>
      </w:r>
      <w:r>
        <w:rPr>
          <w:rFonts w:ascii="Arial" w:hAnsi="Arial" w:eastAsia="Arial" w:cs="Arial"/>
          <w:lang w:val="en-CA"/>
        </w:rPr>
        <w:t xml:space="preserve"> Ge, Yue Zhang, and Erik Cambria. 2025. “Towards Medical Visual Question Answering with Large Multimodal Models.” </w:t>
      </w:r>
      <w:r>
        <w:rPr>
          <w:rFonts w:ascii="Arial" w:hAnsi="Arial" w:eastAsia="Arial" w:cs="Arial"/>
          <w:i/>
          <w:iCs/>
          <w:lang w:val="en-CA"/>
        </w:rPr>
        <w:t xml:space="preserve">arXiv</w:t>
      </w:r>
      <w:r>
        <w:rPr>
          <w:rFonts w:ascii="Arial" w:hAnsi="Arial" w:eastAsia="Arial" w:cs="Arial"/>
          <w:lang w:val="en-CA"/>
        </w:rPr>
        <w:t xml:space="preserve">, January. </w:t>
      </w:r>
      <w:hyperlink r:id="rId37" w:tooltip="https://arxiv.org/html/2501.07109v1" w:history="1">
        <w:r>
          <w:rPr>
            <w:rStyle w:val="789"/>
            <w:rFonts w:ascii="Arial" w:hAnsi="Arial" w:eastAsia="Arial" w:cs="Arial"/>
            <w:lang w:val="en-CA"/>
          </w:rPr>
          <w:t xml:space="preserve">https://arxiv.org/html/2501.07109v1</w:t>
        </w:r>
      </w:hyperlink>
      <w:r>
        <w:rPr>
          <w:rFonts w:ascii="Arial" w:hAnsi="Arial" w:eastAsia="Arial" w:cs="Arial"/>
          <w:lang w:val="en-CA"/>
        </w:rPr>
        <w:t xml:space="preserve">.</w:t>
      </w:r>
      <w:r>
        <w:rPr>
          <w:rFonts w:ascii="Arial" w:hAnsi="Arial" w:eastAsia="Arial" w:cs="Arial"/>
          <w:lang w:val="en-CA"/>
        </w:rPr>
      </w:r>
    </w:p>
    <w:p w14:paraId="2090D4BD" w14:textId="38D80908">
      <w:pPr>
        <w:pStyle w:val="834"/>
        <w:numPr>
          <w:ilvl w:val="0"/>
          <w:numId w:val="6"/>
        </w:numPr>
        <w:suppressLineNumbers w:val="false"/>
        <w:pBdr/>
        <w:spacing w:after="240" w:afterAutospacing="0" w:before="240" w:beforeAutospacing="0" w:line="300" w:lineRule="auto"/>
        <w:ind/>
        <w:rPr>
          <w:rFonts w:ascii="Arial" w:hAnsi="Arial" w:eastAsia="Arial" w:cs="Arial"/>
          <w:sz w:val="22"/>
          <w:szCs w:val="22"/>
        </w:rPr>
      </w:pPr>
      <w:r>
        <w:rPr>
          <w:rFonts w:ascii="Arial" w:hAnsi="Arial" w:eastAsia="Arial" w:cs="Arial"/>
          <w:lang w:val="en-CA"/>
        </w:rPr>
        <w:t xml:space="preserve">Xu, Biao, Yanyan Jiang, </w:t>
      </w:r>
      <w:r>
        <w:rPr>
          <w:rFonts w:ascii="Arial" w:hAnsi="Arial" w:eastAsia="Arial" w:cs="Arial"/>
          <w:lang w:val="en-CA"/>
        </w:rPr>
        <w:t xml:space="preserve">Xiangwen</w:t>
      </w:r>
      <w:r>
        <w:rPr>
          <w:rFonts w:ascii="Arial" w:hAnsi="Arial" w:eastAsia="Arial" w:cs="Arial"/>
          <w:lang w:val="en-CA"/>
        </w:rPr>
        <w:t xml:space="preserve"> Ma, and Chengwei Shao. 2022. “Deep Learning for Endoscopic Image Analysis: A Review of the Literature.” </w:t>
      </w:r>
      <w:r>
        <w:rPr>
          <w:rFonts w:ascii="Arial" w:hAnsi="Arial" w:eastAsia="Arial" w:cs="Arial"/>
          <w:i/>
          <w:iCs/>
          <w:lang w:val="en-CA"/>
        </w:rPr>
        <w:t xml:space="preserve">BMC Gastroenterology</w:t>
      </w:r>
      <w:r>
        <w:rPr>
          <w:rFonts w:ascii="Arial" w:hAnsi="Arial" w:eastAsia="Arial" w:cs="Arial"/>
          <w:lang w:val="en-CA"/>
        </w:rPr>
        <w:t xml:space="preserve"> 22 (1): 185. </w:t>
      </w:r>
      <w:hyperlink r:id="rId38" w:tooltip="https://bmcgastroenterol.biomedcentral.com/articles/10.1186/s12876-022-02157-5" w:history="1">
        <w:r>
          <w:rPr>
            <w:rStyle w:val="789"/>
            <w:rFonts w:ascii="Arial" w:hAnsi="Arial" w:eastAsia="Arial" w:cs="Arial"/>
            <w:lang w:val="en-CA"/>
          </w:rPr>
          <w:t xml:space="preserve">https://bmcgastroenterol.biomedcentral.com/articles/10.1186/s12876-022-02157-5</w:t>
        </w:r>
      </w:hyperlink>
      <w:r>
        <w:rPr>
          <w:rFonts w:ascii="Arial" w:hAnsi="Arial" w:eastAsia="Arial" w:cs="Arial"/>
          <w:lang w:val="en-CA"/>
        </w:rPr>
        <w:t xml:space="preserve">.</w:t>
      </w:r>
      <w:r>
        <w:rPr>
          <w:rFonts w:ascii="Arial" w:hAnsi="Arial" w:eastAsia="Arial" w:cs="Arial"/>
          <w:sz w:val="22"/>
          <w:szCs w:val="22"/>
          <w:lang w:val="en-CA"/>
        </w:rPr>
      </w:r>
    </w:p>
    <w:p w14:paraId="5D9B70F0" w14:textId="54282631">
      <w:pPr>
        <w:pStyle w:val="834"/>
        <w:numPr>
          <w:ilvl w:val="0"/>
          <w:numId w:val="6"/>
        </w:numPr>
        <w:suppressLineNumbers w:val="false"/>
        <w:pBdr/>
        <w:spacing w:after="240" w:afterAutospacing="0" w:before="240" w:beforeAutospacing="0" w:line="300" w:lineRule="auto"/>
        <w:ind/>
        <w:rPr>
          <w:rFonts w:ascii="Arial" w:hAnsi="Arial" w:eastAsia="Arial" w:cs="Arial"/>
          <w:sz w:val="22"/>
          <w:szCs w:val="22"/>
        </w:rPr>
      </w:pPr>
      <w:r>
        <w:rPr>
          <w:rFonts w:ascii="Arial" w:hAnsi="Arial" w:eastAsia="Arial" w:cs="Arial"/>
          <w:lang w:val="en-CA"/>
        </w:rPr>
        <w:t xml:space="preserve">Kafle, Kushal, </w:t>
      </w:r>
      <w:r>
        <w:rPr>
          <w:rFonts w:ascii="Arial" w:hAnsi="Arial" w:eastAsia="Arial" w:cs="Arial"/>
          <w:lang w:val="en-CA"/>
        </w:rPr>
        <w:t xml:space="preserve">Robik</w:t>
      </w:r>
      <w:r>
        <w:rPr>
          <w:rFonts w:ascii="Arial" w:hAnsi="Arial" w:eastAsia="Arial" w:cs="Arial"/>
          <w:lang w:val="en-CA"/>
        </w:rPr>
        <w:t xml:space="preserve"> Shrestha, and Christopher Kanan. 2021. “Answering Visual What-If Questions: From Actions to Predicted Scene Descriptions.” In </w:t>
      </w:r>
      <w:r>
        <w:rPr>
          <w:rFonts w:ascii="Arial" w:hAnsi="Arial" w:eastAsia="Arial" w:cs="Arial"/>
          <w:i/>
          <w:iCs/>
          <w:lang w:val="en-CA"/>
        </w:rPr>
        <w:t xml:space="preserve">Proceedings of the 59th Annual Meeting of the Association for Computational Linguistics (ACL)</w:t>
      </w:r>
      <w:r>
        <w:rPr>
          <w:rFonts w:ascii="Arial" w:hAnsi="Arial" w:eastAsia="Arial" w:cs="Arial"/>
          <w:lang w:val="en-CA"/>
        </w:rPr>
        <w:t xml:space="preserve">, 3388–96. </w:t>
      </w:r>
      <w:hyperlink r:id="rId39" w:tooltip="https://aclanthology.org/2021.acl-short.90/" w:history="1">
        <w:r>
          <w:rPr>
            <w:rStyle w:val="789"/>
            <w:rFonts w:ascii="Arial" w:hAnsi="Arial" w:eastAsia="Arial" w:cs="Arial"/>
            <w:lang w:val="en-CA"/>
          </w:rPr>
          <w:t xml:space="preserve">https://aclanthology.org/2021.acl-short.90/</w:t>
        </w:r>
      </w:hyperlink>
      <w:r>
        <w:rPr>
          <w:rFonts w:ascii="Arial" w:hAnsi="Arial" w:eastAsia="Arial" w:cs="Arial"/>
          <w:lang w:val="en-CA"/>
        </w:rPr>
        <w:t xml:space="preserve">.</w:t>
      </w:r>
      <w:r>
        <w:rPr>
          <w:rFonts w:ascii="Arial" w:hAnsi="Arial" w:eastAsia="Arial" w:cs="Arial"/>
          <w:sz w:val="22"/>
          <w:szCs w:val="22"/>
          <w:lang w:val="en-CA"/>
        </w:rPr>
      </w:r>
    </w:p>
    <w:p w14:paraId="1E4A31BF" w14:textId="3519DF10">
      <w:pPr>
        <w:pStyle w:val="834"/>
        <w:numPr>
          <w:ilvl w:val="0"/>
          <w:numId w:val="6"/>
        </w:numPr>
        <w:suppressLineNumbers w:val="false"/>
        <w:pBdr/>
        <w:spacing w:after="240" w:afterAutospacing="0" w:before="240" w:beforeAutospacing="0" w:line="300" w:lineRule="auto"/>
        <w:ind/>
        <w:rPr/>
      </w:pPr>
      <w:r>
        <w:rPr>
          <w:lang w:val="en-CA"/>
        </w:rPr>
        <w:t xml:space="preserve">Li, </w:t>
      </w:r>
      <w:r>
        <w:rPr>
          <w:lang w:val="en-CA"/>
        </w:rPr>
        <w:t xml:space="preserve">Mingjie</w:t>
      </w:r>
      <w:r>
        <w:rPr>
          <w:lang w:val="en-CA"/>
        </w:rPr>
        <w:t xml:space="preserve">, Yan Xu, </w:t>
      </w:r>
      <w:r>
        <w:rPr>
          <w:lang w:val="en-CA"/>
        </w:rPr>
        <w:t xml:space="preserve">Chenglu</w:t>
      </w:r>
      <w:r>
        <w:rPr>
          <w:lang w:val="en-CA"/>
        </w:rPr>
        <w:t xml:space="preserve"> Zhu, and Lequan Yu. 2024. “SAELSIA: Segment Anything Enhanced Large-Scale In-Context Learning for Surgical Image Analysis.” </w:t>
      </w:r>
      <w:r>
        <w:rPr>
          <w:lang w:val="en-CA"/>
        </w:rPr>
        <w:t xml:space="preserve">arXiv</w:t>
      </w:r>
      <w:r>
        <w:rPr>
          <w:lang w:val="en-CA"/>
        </w:rPr>
        <w:t xml:space="preserve">, September. </w:t>
      </w:r>
      <w:hyperlink r:id="rId40" w:tooltip="https://arxiv.org/html/2409.01437v1" w:history="1">
        <w:r>
          <w:rPr>
            <w:rStyle w:val="789"/>
            <w:lang w:val="en-CA"/>
          </w:rPr>
          <w:t xml:space="preserve">https://arxiv.org/html/2409.01437v1</w:t>
        </w:r>
      </w:hyperlink>
      <w:r>
        <w:rPr>
          <w:lang w:val="en-CA"/>
        </w:rPr>
        <w:t xml:space="preserve"> .</w:t>
      </w:r>
      <w:r>
        <w:rPr>
          <w:lang w:val="en-CA"/>
        </w:rPr>
      </w:r>
    </w:p>
    <w:p w14:paraId="11399034" w14:textId="15DF3548">
      <w:pPr>
        <w:pStyle w:val="760"/>
        <w:suppressLineNumbers w:val="false"/>
        <w:pBdr/>
        <w:spacing w:after="240" w:afterAutospacing="0" w:before="240" w:beforeAutospacing="0" w:line="300" w:lineRule="auto"/>
        <w:ind/>
        <w:rPr>
          <w:sz w:val="22"/>
          <w:szCs w:val="22"/>
        </w:rPr>
      </w:pPr>
      <w:r>
        <w:rPr>
          <w:sz w:val="22"/>
          <w:szCs w:val="22"/>
          <w:lang w:val="en-CA"/>
        </w:rPr>
      </w:r>
      <w:r>
        <w:rPr>
          <w:sz w:val="22"/>
          <w:szCs w:val="22"/>
          <w:lang w:val="en-CA"/>
        </w:rPr>
      </w:r>
    </w:p>
    <w:p w14:paraId="136263D8" w14:textId="1EA0E91D">
      <w:pPr>
        <w:pStyle w:val="760"/>
        <w:suppressLineNumbers w:val="false"/>
        <w:pBdr/>
        <w:spacing w:after="240" w:afterAutospacing="0" w:before="240" w:beforeAutospacing="0" w:line="300" w:lineRule="auto"/>
        <w:ind/>
        <w:rPr>
          <w:sz w:val="22"/>
          <w:szCs w:val="22"/>
        </w:rPr>
      </w:pPr>
      <w:r>
        <w:rPr>
          <w:sz w:val="22"/>
          <w:szCs w:val="22"/>
          <w:lang w:val="en-CA"/>
        </w:rPr>
      </w:r>
      <w:r>
        <w:rPr>
          <w:sz w:val="22"/>
          <w:szCs w:val="22"/>
          <w:lang w:val="en-CA"/>
        </w:rPr>
      </w:r>
    </w:p>
    <w:p w14:paraId="467FFF91" w14:textId="056D58E7">
      <w:pPr>
        <w:pStyle w:val="834"/>
        <w:numPr>
          <w:ilvl w:val="0"/>
          <w:numId w:val="6"/>
        </w:numPr>
        <w:suppressLineNumbers w:val="false"/>
        <w:pBdr/>
        <w:spacing w:after="240" w:afterAutospacing="0" w:before="240" w:beforeAutospacing="0" w:line="300" w:lineRule="auto"/>
        <w:ind/>
        <w:rPr>
          <w:sz w:val="22"/>
          <w:szCs w:val="22"/>
        </w:rPr>
      </w:pPr>
      <w:r>
        <w:rPr>
          <w:lang w:val="en-CA"/>
        </w:rPr>
        <w:t xml:space="preserve">Pogorelov</w:t>
      </w:r>
      <w:r>
        <w:rPr>
          <w:lang w:val="en-CA"/>
        </w:rPr>
        <w:t xml:space="preserve">, Konstantin, Kristin Ranheim Randel, Carsten </w:t>
      </w:r>
      <w:r>
        <w:rPr>
          <w:lang w:val="en-CA"/>
        </w:rPr>
        <w:t xml:space="preserve">Griwodz</w:t>
      </w:r>
      <w:r>
        <w:rPr>
          <w:lang w:val="en-CA"/>
        </w:rPr>
        <w:t xml:space="preserve">, Dag J</w:t>
      </w:r>
      <w:r>
        <w:rPr>
          <w:lang w:val="en-CA"/>
        </w:rPr>
        <w:t xml:space="preserve">ohansen, Concetto Spampinato, Thomas de Lange, and Michael Riegler. 2018. “Kvasir: A Multi-Class Image Dataset for Computer Aided Gastrointestinal Disease Detection.” In Proceedings of the 31st IEEE International Symposium on Computer-Based Medical Systems</w:t>
      </w:r>
      <w:r>
        <w:rPr>
          <w:lang w:val="en-CA"/>
        </w:rPr>
        <w:t xml:space="preserve"> </w:t>
      </w:r>
      <w:r>
        <w:rPr>
          <w:lang w:val="en-CA"/>
        </w:rPr>
        <w:t xml:space="preserve">(CBMS),</w:t>
      </w:r>
      <w:r>
        <w:rPr>
          <w:lang w:val="en-CA"/>
        </w:rPr>
        <w:t xml:space="preserve"> </w:t>
      </w:r>
      <w:r>
        <w:rPr>
          <w:lang w:val="en-CA"/>
        </w:rPr>
        <w:t xml:space="preserve">164–69.</w:t>
      </w:r>
      <w:r>
        <w:rPr>
          <w:sz w:val="22"/>
          <w:szCs w:val="22"/>
          <w:lang w:val="en-CA"/>
        </w:rPr>
      </w:r>
    </w:p>
    <w:p w14:paraId="1BA51E03" w14:textId="192FBEC3">
      <w:pPr>
        <w:pStyle w:val="834"/>
        <w:numPr>
          <w:ilvl w:val="0"/>
          <w:numId w:val="6"/>
        </w:numPr>
        <w:suppressLineNumbers w:val="false"/>
        <w:pBdr/>
        <w:spacing w:after="240" w:afterAutospacing="0" w:before="240" w:beforeAutospacing="0" w:line="300" w:lineRule="auto"/>
        <w:ind/>
        <w:rPr>
          <w:sz w:val="22"/>
          <w:szCs w:val="22"/>
        </w:rPr>
      </w:pPr>
      <w:r/>
      <w:hyperlink r:id="rId41" w:tooltip="https://web-backend.simula.no/sites/default/files/publications/files/cbms_2018_paper_163_preprint.pdf" w:history="1">
        <w:r>
          <w:rPr>
            <w:rStyle w:val="789"/>
            <w:lang w:val="en-CA"/>
          </w:rPr>
          <w:t xml:space="preserve">https://web-backend.simula.no/sites/default/files/publications/files/cbms_2018_paper_163_preprint.pdf</w:t>
        </w:r>
      </w:hyperlink>
      <w:r>
        <w:rPr>
          <w:lang w:val="en-CA"/>
        </w:rPr>
        <w:t xml:space="preserve"> .</w:t>
      </w:r>
      <w:r>
        <w:rPr>
          <w:sz w:val="22"/>
          <w:szCs w:val="22"/>
          <w:lang w:val="en-CA"/>
        </w:rPr>
      </w:r>
    </w:p>
    <w:p w14:paraId="3D24DBAC" w14:textId="22F93380">
      <w:pPr>
        <w:pStyle w:val="834"/>
        <w:numPr>
          <w:ilvl w:val="0"/>
          <w:numId w:val="6"/>
        </w:numPr>
        <w:suppressLineNumbers w:val="false"/>
        <w:pBdr/>
        <w:spacing w:after="240" w:afterAutospacing="0" w:before="240" w:beforeAutospacing="0" w:line="300" w:lineRule="auto"/>
        <w:ind/>
        <w:rPr>
          <w:sz w:val="22"/>
          <w:szCs w:val="22"/>
        </w:rPr>
      </w:pPr>
      <w:r>
        <w:rPr>
          <w:lang w:val="en-CA"/>
        </w:rPr>
        <w:t xml:space="preserve">Sornapudi</w:t>
      </w:r>
      <w:r>
        <w:rPr>
          <w:lang w:val="en-CA"/>
        </w:rPr>
        <w:t xml:space="preserve">, Suresh, Abhinav Vemuri, and Sundeep R. Madduri. 2021. “Automated Polyp Detection in Colonoscopy Videos Using Deep Learning and Image Processing.” Journal of </w:t>
      </w:r>
      <w:r>
        <w:rPr>
          <w:lang w:val="en-CA"/>
        </w:rPr>
        <w:t xml:space="preserve">Clinical and</w:t>
      </w:r>
      <w:r>
        <w:rPr>
          <w:lang w:val="en-CA"/>
        </w:rPr>
        <w:t xml:space="preserve"> Translational Research 7 (2): 208–15.</w:t>
      </w:r>
      <w:r>
        <w:rPr>
          <w:sz w:val="22"/>
          <w:szCs w:val="22"/>
          <w:lang w:val="en-CA"/>
        </w:rPr>
      </w:r>
    </w:p>
    <w:p w14:paraId="22B3023D" w14:textId="420248E8">
      <w:pPr>
        <w:pStyle w:val="834"/>
        <w:suppressLineNumbers w:val="false"/>
        <w:pBdr/>
        <w:spacing w:after="240" w:afterAutospacing="0" w:before="240" w:beforeAutospacing="0" w:line="300" w:lineRule="auto"/>
        <w:ind w:left="720"/>
        <w:rPr>
          <w:sz w:val="22"/>
          <w:szCs w:val="22"/>
        </w:rPr>
      </w:pPr>
      <w:r>
        <w:rPr>
          <w:lang w:val="en-CA"/>
        </w:rPr>
        <w:t xml:space="preserve"> </w:t>
      </w:r>
      <w:hyperlink r:id="rId42" w:tooltip="https://www.sciencedirect.com/science/article/pii/S2468900921000190" w:history="1">
        <w:r>
          <w:rPr>
            <w:rStyle w:val="789"/>
            <w:lang w:val="en-CA"/>
          </w:rPr>
          <w:t xml:space="preserve">https://www.sciencedirect.com/science/article/pii/S2468900921000190</w:t>
        </w:r>
      </w:hyperlink>
      <w:r>
        <w:rPr>
          <w:lang w:val="en-CA"/>
        </w:rPr>
        <w:t xml:space="preserve"> .</w:t>
      </w:r>
      <w:r>
        <w:rPr>
          <w:sz w:val="22"/>
          <w:szCs w:val="22"/>
          <w:lang w:val="en-CA"/>
        </w:rPr>
      </w:r>
    </w:p>
    <w:p w14:paraId="2768C2E9" w14:textId="7ACE667E">
      <w:pPr>
        <w:pStyle w:val="834"/>
        <w:numPr>
          <w:ilvl w:val="0"/>
          <w:numId w:val="6"/>
        </w:numPr>
        <w:suppressLineNumbers w:val="false"/>
        <w:pBdr/>
        <w:spacing w:after="240" w:afterAutospacing="0" w:before="240" w:beforeAutospacing="0" w:line="300" w:lineRule="auto"/>
        <w:ind/>
        <w:rPr>
          <w:sz w:val="22"/>
          <w:szCs w:val="22"/>
        </w:rPr>
      </w:pPr>
      <w:r>
        <w:rPr>
          <w:lang w:val="en-CA"/>
        </w:rPr>
        <w:t xml:space="preserve">Chen, Ziyu, Xiangyu Zhao, and Ying Ding. 2024. “SAELSIA: Surgical AI with Efficient Large-Scale In-Context Adaptation.” arXiv, October. </w:t>
      </w:r>
      <w:hyperlink r:id="rId43" w:tooltip="https://arxiv.org/html/2410.00536v1" w:history="1">
        <w:r>
          <w:rPr>
            <w:rStyle w:val="789"/>
            <w:lang w:val="en-CA"/>
          </w:rPr>
          <w:t xml:space="preserve">https://arxiv.org/html/2410.00536v1</w:t>
        </w:r>
      </w:hyperlink>
      <w:r>
        <w:rPr>
          <w:lang w:val="en-CA"/>
        </w:rPr>
        <w:t xml:space="preserve"> .</w:t>
      </w:r>
      <w:r>
        <w:rPr>
          <w:sz w:val="22"/>
          <w:szCs w:val="22"/>
          <w:lang w:val="en-CA"/>
        </w:rPr>
      </w:r>
    </w:p>
    <w:p w14:paraId="0106B12D" w14:textId="64EB79A3">
      <w:pPr>
        <w:pStyle w:val="834"/>
        <w:numPr>
          <w:ilvl w:val="0"/>
          <w:numId w:val="6"/>
        </w:numPr>
        <w:suppressLineNumbers w:val="false"/>
        <w:pBdr/>
        <w:spacing w:after="240" w:afterAutospacing="0" w:before="240" w:beforeAutospacing="0" w:line="300" w:lineRule="auto"/>
        <w:ind/>
        <w:rPr>
          <w:sz w:val="22"/>
          <w:szCs w:val="22"/>
        </w:rPr>
      </w:pPr>
      <w:r>
        <w:rPr>
          <w:lang w:val="en-CA"/>
        </w:rPr>
        <w:t xml:space="preserve">Pogorelov, Konstantin, Vajira Thambawita, Steven Hicks, David Jha, Thomas de Lange, Pål Halvorsen, and Michael Riegler. 2023. “Kvasir-VQA: A Dataset for Visual Question Answering in Gastrointestinal Endoscopy.” Scientific Data 10 (1): 508. </w:t>
      </w:r>
      <w:hyperlink r:id="rId44" w:tooltip="https://www.nature.com/articles/s41597-023-01981-y" w:history="1">
        <w:r>
          <w:rPr>
            <w:rStyle w:val="789"/>
            <w:lang w:val="en-CA"/>
          </w:rPr>
          <w:t xml:space="preserve">https://www.nature.com/articles/s41597-023-01981-y</w:t>
        </w:r>
      </w:hyperlink>
      <w:r>
        <w:rPr>
          <w:lang w:val="en-CA"/>
        </w:rPr>
        <w:t xml:space="preserve"> .</w:t>
      </w:r>
      <w:r>
        <w:rPr>
          <w:sz w:val="22"/>
          <w:szCs w:val="22"/>
          <w:lang w:val="en-CA"/>
        </w:rPr>
      </w:r>
    </w:p>
    <w:p w14:paraId="483F6C54" w14:textId="7A4194E0">
      <w:pPr>
        <w:pStyle w:val="834"/>
        <w:numPr>
          <w:ilvl w:val="0"/>
          <w:numId w:val="6"/>
        </w:numPr>
        <w:suppressLineNumbers w:val="false"/>
        <w:pBdr/>
        <w:spacing w:after="240" w:afterAutospacing="0" w:before="240" w:beforeAutospacing="0" w:line="300" w:lineRule="auto"/>
        <w:ind/>
        <w:rPr>
          <w:sz w:val="22"/>
          <w:szCs w:val="22"/>
        </w:rPr>
      </w:pPr>
      <w:r>
        <w:rPr>
          <w:lang w:val="en-CA"/>
        </w:rPr>
        <w:t xml:space="preserve">Bernal, Jorge, Javier Sánchez, Fernando Vilariño, Debora Gil, and Cristina Rodríguez. 2015. “WM-DOVA Maps for Accurate Polyp Highlighting in Colonoscopy: Validation vs. Saliency Maps from Physicians.” Computerized Medical Imaging and Graphics 43: 99–111. </w:t>
      </w:r>
      <w:hyperlink r:id="rId45" w:tooltip="https://pmc.ncbi.nlm.nih.gov/articles/PMC4265957/" w:history="1">
        <w:r>
          <w:rPr>
            <w:rStyle w:val="789"/>
            <w:lang w:val="en-CA"/>
          </w:rPr>
          <w:t xml:space="preserve">https://pmc.ncbi.nlm.nih.gov/articles/PMC4265957/</w:t>
        </w:r>
      </w:hyperlink>
      <w:r>
        <w:rPr>
          <w:lang w:val="en-CA"/>
        </w:rPr>
        <w:t xml:space="preserve"> .</w:t>
      </w:r>
      <w:r>
        <w:rPr>
          <w:sz w:val="22"/>
          <w:szCs w:val="22"/>
          <w:lang w:val="en-CA"/>
        </w:rPr>
      </w:r>
    </w:p>
    <w:p w14:paraId="554DC479" w14:textId="7ED784E8">
      <w:pPr>
        <w:pStyle w:val="834"/>
        <w:numPr>
          <w:ilvl w:val="0"/>
          <w:numId w:val="6"/>
        </w:numPr>
        <w:suppressLineNumbers w:val="false"/>
        <w:pBdr/>
        <w:spacing w:after="240" w:afterAutospacing="0" w:before="240" w:beforeAutospacing="0" w:line="300" w:lineRule="auto"/>
        <w:ind/>
        <w:rPr>
          <w:rFonts w:ascii="Arial" w:hAnsi="Arial" w:eastAsia="Arial" w:cs="Arial"/>
          <w:sz w:val="22"/>
          <w:szCs w:val="22"/>
        </w:rPr>
      </w:pPr>
      <w:r>
        <w:rPr>
          <w:rFonts w:ascii="Arial" w:hAnsi="Arial" w:eastAsia="Arial" w:cs="Arial"/>
          <w:sz w:val="22"/>
          <w:szCs w:val="22"/>
          <w:lang w:val="en-CA"/>
        </w:rPr>
      </w:r>
      <w:r>
        <w:rPr>
          <w:rFonts w:ascii="Arial" w:hAnsi="Arial" w:eastAsia="Arial" w:cs="Arial"/>
          <w:sz w:val="22"/>
          <w:szCs w:val="22"/>
          <w:lang w:val="en-CA"/>
        </w:rPr>
      </w:r>
    </w:p>
    <w:p w14:paraId="134B5380" w14:textId="7698033F">
      <w:pPr>
        <w:pStyle w:val="820"/>
        <w:suppressLineNumbers w:val="false"/>
        <w:pBdr/>
        <w:spacing w:line="300" w:lineRule="auto"/>
        <w:ind w:firstLine="0" w:left="0"/>
        <w:rPr>
          <w:sz w:val="22"/>
          <w:szCs w:val="22"/>
        </w:rPr>
      </w:pPr>
      <w:r>
        <w:rPr>
          <w:sz w:val="22"/>
          <w:szCs w:val="22"/>
          <w:lang w:val="en-CA"/>
        </w:rPr>
      </w:r>
      <w:r>
        <w:rPr>
          <w:sz w:val="22"/>
          <w:szCs w:val="22"/>
          <w:lang w:val="en-CA"/>
        </w:rPr>
      </w:r>
    </w:p>
    <w:p w14:paraId="15B775E3" w14:textId="22668D7E">
      <w:pPr>
        <w:pStyle w:val="820"/>
        <w:suppressLineNumbers w:val="false"/>
        <w:pBdr/>
        <w:spacing w:line="300" w:lineRule="auto"/>
        <w:ind/>
        <w:rPr/>
      </w:pPr>
      <w:r>
        <w:rPr>
          <w:lang w:val="en-US"/>
        </w:rPr>
      </w:r>
      <w:r>
        <w:rPr>
          <w:lang w:val="en-US"/>
        </w:rPr>
      </w:r>
    </w:p>
    <w:p w14:paraId="21B43741" w14:textId="6F08840B">
      <w:pPr>
        <w:pStyle w:val="820"/>
        <w:suppressLineNumbers w:val="false"/>
        <w:pBdr/>
        <w:spacing w:line="300" w:lineRule="auto"/>
        <w:ind w:firstLine="0" w:left="0"/>
        <w:rPr/>
      </w:pPr>
      <w:r/>
      <w:r/>
    </w:p>
    <w:p w14:paraId="308E43FE" w14:textId="1686E186">
      <w:pPr>
        <w:pStyle w:val="820"/>
        <w:suppressLineNumbers w:val="false"/>
        <w:pBdr/>
        <w:spacing w:line="300" w:lineRule="auto"/>
        <w:ind/>
        <w:rPr/>
      </w:pPr>
      <w:r/>
      <w:r/>
    </w:p>
    <w:p w14:paraId="776B7A88" w14:textId="36D30811">
      <w:pPr>
        <w:pStyle w:val="820"/>
        <w:suppressLineNumbers w:val="false"/>
        <w:pBdr/>
        <w:spacing w:line="300" w:lineRule="auto"/>
        <w:ind/>
        <w:rPr/>
      </w:pPr>
      <w:r/>
      <w:r/>
    </w:p>
    <w:p w14:paraId="5532DE15" w14:textId="33829C7E">
      <w:pPr>
        <w:pStyle w:val="820"/>
        <w:suppressLineNumbers w:val="false"/>
        <w:pBdr/>
        <w:spacing w:line="300" w:lineRule="auto"/>
        <w:ind/>
        <w:rPr/>
      </w:pPr>
      <w:r/>
      <w:r/>
    </w:p>
    <w:p w14:paraId="5D9E5F47" w14:textId="0842DE19">
      <w:pPr>
        <w:pStyle w:val="820"/>
        <w:suppressLineNumbers w:val="false"/>
        <w:pBdr/>
        <w:spacing w:line="300" w:lineRule="auto"/>
        <w:ind/>
        <w:rPr/>
      </w:pPr>
      <w:r/>
      <w:r/>
    </w:p>
    <w:p w14:paraId="47235FB2" w14:textId="3FB9E21A">
      <w:pPr>
        <w:pStyle w:val="820"/>
        <w:suppressLineNumbers w:val="false"/>
        <w:pBdr/>
        <w:spacing w:line="300" w:lineRule="auto"/>
        <w:ind/>
        <w:rPr/>
      </w:pPr>
      <w:r/>
      <w:r/>
    </w:p>
    <w:p w14:paraId="7AA27626" w14:textId="06AAD62B">
      <w:pPr>
        <w:pStyle w:val="820"/>
        <w:suppressLineNumbers w:val="false"/>
        <w:pBdr/>
        <w:spacing w:line="300" w:lineRule="auto"/>
        <w:ind/>
        <w:rPr/>
      </w:pPr>
      <w:r/>
      <w:r/>
    </w:p>
    <w:p w14:paraId="4F492B30" w14:textId="7B03236C">
      <w:pPr>
        <w:pStyle w:val="820"/>
        <w:suppressLineNumbers w:val="false"/>
        <w:pBdr/>
        <w:spacing w:line="300" w:lineRule="auto"/>
        <w:ind/>
        <w:rPr/>
      </w:pPr>
      <w:r/>
      <w:r/>
    </w:p>
    <w:p w14:paraId="0452A563" w14:textId="18D5A2A5">
      <w:pPr>
        <w:pStyle w:val="820"/>
        <w:suppressLineNumbers w:val="false"/>
        <w:pBdr/>
        <w:spacing w:line="300" w:lineRule="auto"/>
        <w:ind/>
        <w:rPr/>
      </w:pPr>
      <w:r/>
      <w:r/>
    </w:p>
    <w:p w14:paraId="04D4A707" w14:textId="78C11C60">
      <w:pPr>
        <w:pStyle w:val="820"/>
        <w:suppressLineNumbers w:val="false"/>
        <w:pBdr/>
        <w:spacing w:line="300" w:lineRule="auto"/>
        <w:ind/>
        <w:rPr/>
      </w:pPr>
      <w:r/>
      <w:r/>
    </w:p>
    <w:p w14:paraId="7C7937AE" w14:textId="7F3325A0">
      <w:pPr>
        <w:pStyle w:val="820"/>
        <w:suppressLineNumbers w:val="false"/>
        <w:pBdr/>
        <w:spacing w:line="300" w:lineRule="auto"/>
        <w:ind/>
        <w:rPr/>
      </w:pPr>
      <w:r/>
      <w:r/>
    </w:p>
    <w:p w14:paraId="136C0608" w14:textId="2098A294">
      <w:pPr>
        <w:pStyle w:val="820"/>
        <w:suppressLineNumbers w:val="false"/>
        <w:pBdr/>
        <w:spacing w:line="300" w:lineRule="auto"/>
        <w:ind/>
        <w:rPr/>
      </w:pPr>
      <w:r/>
      <w:r/>
    </w:p>
    <w:p w14:paraId="5373C01E" w14:textId="03A62521">
      <w:pPr>
        <w:pStyle w:val="820"/>
        <w:suppressLineNumbers w:val="false"/>
        <w:pBdr/>
        <w:spacing w:line="300" w:lineRule="auto"/>
        <w:ind/>
        <w:rPr/>
      </w:pPr>
      <w:r/>
      <w:r/>
    </w:p>
    <w:p w14:paraId="2ABB7DEC" w14:textId="09A70241">
      <w:pPr>
        <w:pStyle w:val="782"/>
        <w:suppressLineNumbers w:val="false"/>
        <w:pBdr/>
        <w:spacing w:line="300" w:lineRule="auto"/>
        <w:ind/>
        <w:rPr/>
      </w:pPr>
      <w:r/>
      <w:bookmarkStart w:id="13" w:name="_Toc66285142"/>
      <w:r>
        <w:t xml:space="preserve">Appendix A.</w:t>
      </w:r>
      <w:bookmarkEnd w:id="13"/>
      <w:r/>
      <w:r/>
    </w:p>
    <w:p w14:paraId="0E5E3A03" w14:textId="11231CB1">
      <w:pPr>
        <w:pStyle w:val="774"/>
        <w:suppressLineNumbers w:val="false"/>
        <w:pBdr/>
        <w:spacing w:line="300" w:lineRule="auto"/>
        <w:ind/>
        <w:rPr/>
      </w:pPr>
      <w:r/>
      <w:r/>
    </w:p>
    <w:p w14:paraId="291F56D2" w14:textId="4A4253ED">
      <w:pPr>
        <w:suppressLineNumbers w:val="false"/>
        <w:pBdr/>
        <w:spacing w:line="300" w:lineRule="auto"/>
        <w:ind/>
        <w:jc w:val="center"/>
        <w:rPr/>
      </w:pPr>
      <w:r>
        <w:t xml:space="preserve">Bibliography</w:t>
      </w:r>
      <w:r/>
    </w:p>
    <w:p w14:paraId="532D13AD" w14:textId="77E7EA28">
      <w:pPr>
        <w:suppressLineNumbers w:val="false"/>
        <w:pBdr/>
        <w:spacing w:after="0" w:line="300" w:lineRule="auto"/>
        <w:ind w:hanging="720" w:left="720"/>
        <w:rPr/>
      </w:pPr>
      <w:r>
        <w:t xml:space="preserve">“Overview of </w:t>
      </w:r>
      <w:r>
        <w:t xml:space="preserve">ImageCLEFmedical</w:t>
      </w:r>
      <w:r>
        <w:t xml:space="preserve"> 2023 – Medical Visual Question Answering for Gastrointestinal Tract,” n.d. Accessed July 16, 2025.</w:t>
      </w:r>
      <w:r/>
    </w:p>
    <w:p w14:paraId="0B0EC2D6" w14:textId="4BD6AD0E">
      <w:pPr>
        <w:suppressLineNumbers w:val="false"/>
        <w:pBdr/>
        <w:spacing w:after="0" w:line="300" w:lineRule="auto"/>
        <w:ind w:hanging="720" w:left="720"/>
        <w:rPr/>
      </w:pPr>
      <w:r/>
      <w:r/>
    </w:p>
    <w:p w14:paraId="47100149" w14:textId="46032A44">
      <w:pPr>
        <w:suppressLineNumbers w:val="false"/>
        <w:pBdr/>
        <w:spacing w:line="300" w:lineRule="auto"/>
        <w:ind/>
        <w:jc w:val="center"/>
        <w:rPr/>
      </w:pPr>
      <w:r>
        <w:t xml:space="preserve">Bibliography</w:t>
      </w:r>
      <w:r/>
    </w:p>
    <w:p w14:paraId="0080B1A7" w14:textId="2FF5E79D">
      <w:pPr>
        <w:suppressLineNumbers w:val="false"/>
        <w:pBdr/>
        <w:spacing w:after="0" w:line="300" w:lineRule="auto"/>
        <w:ind w:hanging="720" w:left="720"/>
        <w:rPr/>
      </w:pPr>
      <w:r>
        <w:t xml:space="preserve">ar5iv. “Kvasir-VQA-X1: A Multimodal Dataset for Medical Reasoning and Robust </w:t>
      </w:r>
      <w:r>
        <w:t xml:space="preserve">MedVQA</w:t>
      </w:r>
      <w:r>
        <w:t xml:space="preserve"> in Gastrointestinal Endoscopy,” n.d. https://ar5iv.labs.arxiv.org/html/2506.09958v1.</w:t>
      </w:r>
      <w:r/>
    </w:p>
    <w:sectPr>
      <w:footerReference w:type="default" r:id="rId10"/>
      <w:footnotePr/>
      <w:endnotePr/>
      <w:type w:val="nextPage"/>
      <w:pgSz w:h="15840" w:orient="portrait" w:w="12240"/>
      <w:pgMar w:top="1440" w:right="1800" w:bottom="1440" w:left="180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811404E" w14:textId="77777777">
      <w:pPr>
        <w:pBdr/>
        <w:spacing w:after="0" w:line="240" w:lineRule="auto"/>
        <w:ind/>
        <w:rPr/>
      </w:pPr>
      <w:r>
        <w:separator/>
      </w:r>
      <w:r/>
    </w:p>
  </w:endnote>
  <w:endnote w:type="continuationSeparator" w:id="0">
    <w:p w14:paraId="1A64651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Lucida Grande">
    <w:panose1 w:val="020B0604020202020204"/>
  </w:font>
  <w:font w:name="Cambria">
    <w:panose1 w:val="02040503050406030204"/>
  </w:font>
  <w:font w:name="Droid Sans Mono">
    <w:panose1 w:val="020B0609030804020204"/>
  </w:font>
  <w:font w:name="Segoe UI">
    <w:panose1 w:val="020B0502040504020204"/>
  </w:font>
  <w:font w:name="Verdana">
    <w:panose1 w:val="020B0606030504020204"/>
  </w:font>
  <w:font w:name="Calibri">
    <w:panose1 w:val="020F0502020204030204"/>
  </w:font>
  <w:font w:name="Times New Roman">
    <w:panose1 w:val="02020603050405020304"/>
  </w:font>
  <w:font w:name="Arial Narrow">
    <w:panose1 w:val="020B060402020202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62319671"/>
      <w:docPartObj>
        <w:docPartGallery w:val="Page Numbers (Bottom of Page)"/>
        <w:docPartUnique w:val="true"/>
      </w:docPartObj>
      <w:rPr/>
    </w:sdtPr>
    <w:sdtContent>
      <w:p w14:paraId="16187776" w14:textId="3644CB62">
        <w:pPr>
          <w:pStyle w:val="792"/>
          <w:pBdr/>
          <w:spacing/>
          <w:ind/>
          <w:jc w:val="center"/>
          <w:rPr/>
        </w:pPr>
        <w:r>
          <w:fldChar w:fldCharType="begin"/>
        </w:r>
        <w:r>
          <w:instrText xml:space="preserve"> PAGE   \* MERGEFORMAT </w:instrText>
        </w:r>
        <w:r>
          <w:fldChar w:fldCharType="separate"/>
        </w:r>
        <w:r>
          <w:t xml:space="preserve">xii</w:t>
        </w:r>
        <w:r>
          <w:fldChar w:fldCharType="end"/>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60471171"/>
      <w:docPartObj>
        <w:docPartGallery w:val="Page Numbers (Bottom of Page)"/>
        <w:docPartUnique w:val="true"/>
      </w:docPartObj>
      <w:rPr/>
    </w:sdtPr>
    <w:sdtContent>
      <w:p w14:paraId="18300694" w14:textId="4A11C4A4">
        <w:pPr>
          <w:pStyle w:val="792"/>
          <w:pBdr/>
          <w:spacing/>
          <w:ind/>
          <w:jc w:val="center"/>
          <w:rPr/>
        </w:pPr>
        <w:r>
          <w:fldChar w:fldCharType="begin"/>
        </w:r>
        <w:r>
          <w:instrText xml:space="preserve"> PAGE   \* MERGEFORMAT </w:instrText>
        </w:r>
        <w:r>
          <w:fldChar w:fldCharType="separate"/>
        </w:r>
        <w:r>
          <w:t xml:space="preserve">3</w:t>
        </w:r>
        <w:r>
          <w:fldChar w:fldCharType="end"/>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E7DA25D" w14:textId="77777777">
      <w:pPr>
        <w:pBdr/>
        <w:spacing w:after="0" w:line="240" w:lineRule="auto"/>
        <w:ind/>
        <w:rPr/>
      </w:pPr>
      <w:r>
        <w:separator/>
      </w:r>
      <w:r/>
    </w:p>
  </w:footnote>
  <w:footnote w:type="continuationSeparator" w:id="0">
    <w:p w14:paraId="6A701FC3"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7B48911"/>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E62403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2F56B284"/>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5F7656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3B92952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60B781A"/>
    <w:lvl w:ilvl="0">
      <w:isLgl w:val="false"/>
      <w:lvlJc w:val="left"/>
      <w:lvlText w:val="Chapter %1."/>
      <w:numFmt w:val="decimal"/>
      <w:pPr>
        <w:pBdr/>
        <w:spacing/>
        <w:ind w:firstLine="0" w:left="0"/>
      </w:pPr>
      <w:pStyle w:val="761"/>
      <w:rPr>
        <w:rFonts w:hint="default"/>
      </w:rPr>
      <w:start w:val="1"/>
      <w:suff w:val="tab"/>
    </w:lvl>
    <w:lvl w:ilvl="1">
      <w:isLgl w:val="false"/>
      <w:lvlJc w:val="left"/>
      <w:lvlText w:val="%1.%2."/>
      <w:numFmt w:val="decimal"/>
      <w:pPr>
        <w:pBdr/>
        <w:spacing/>
        <w:ind w:firstLine="0" w:left="0"/>
      </w:pPr>
      <w:pStyle w:val="762"/>
      <w:rPr>
        <w:rFonts w:hint="default"/>
      </w:rPr>
      <w:start w:val="1"/>
      <w:suff w:val="tab"/>
    </w:lvl>
    <w:lvl w:ilvl="2">
      <w:isLgl w:val="false"/>
      <w:lvlJc w:val="left"/>
      <w:lvlText w:val="%1.%2.%3."/>
      <w:numFmt w:val="decimal"/>
      <w:pPr>
        <w:pBdr/>
        <w:spacing/>
        <w:ind w:firstLine="0" w:left="0"/>
      </w:pPr>
      <w:pStyle w:val="763"/>
      <w:rPr>
        <w:rFonts w:hint="default"/>
      </w:rPr>
      <w:start w:val="1"/>
      <w:suff w:val="tab"/>
    </w:lvl>
    <w:lvl w:ilvl="3">
      <w:isLgl w:val="false"/>
      <w:lvlJc w:val="left"/>
      <w:lvlText w:val=""/>
      <w:numFmt w:val="none"/>
      <w:pPr>
        <w:pBdr/>
        <w:spacing/>
        <w:ind w:firstLine="0" w:left="0"/>
      </w:pPr>
      <w:pStyle w:val="764"/>
      <w:rPr>
        <w:rFonts w:hint="default"/>
      </w:rPr>
      <w:start w:val="1"/>
      <w:suff w:val="nothing"/>
    </w:lvl>
    <w:lvl w:ilvl="4">
      <w:isLgl w:val="false"/>
      <w:lvlJc w:val="left"/>
      <w:lvlText w:val=""/>
      <w:numFmt w:val="none"/>
      <w:pPr>
        <w:pBdr/>
        <w:spacing/>
        <w:ind w:firstLine="0" w:left="0"/>
      </w:pPr>
      <w:pStyle w:val="765"/>
      <w:rPr>
        <w:rFonts w:hint="default"/>
      </w:rPr>
      <w:start w:val="1"/>
      <w:suff w:val="nothing"/>
    </w:lvl>
    <w:lvl w:ilvl="5">
      <w:isLgl w:val="false"/>
      <w:lvlJc w:val="left"/>
      <w:lvlText w:val=""/>
      <w:numFmt w:val="none"/>
      <w:pPr>
        <w:pBdr/>
        <w:spacing/>
        <w:ind w:firstLine="0" w:left="0"/>
      </w:pPr>
      <w:pStyle w:val="766"/>
      <w:rPr>
        <w:rFonts w:hint="default"/>
      </w:rPr>
      <w:start w:val="1"/>
      <w:suff w:val="nothing"/>
    </w:lvl>
    <w:lvl w:ilvl="6">
      <w:isLgl w:val="false"/>
      <w:lvlJc w:val="left"/>
      <w:lvlText w:val=""/>
      <w:numFmt w:val="none"/>
      <w:pPr>
        <w:pBdr/>
        <w:spacing/>
        <w:ind w:firstLine="0" w:left="0"/>
      </w:pPr>
      <w:pStyle w:val="767"/>
      <w:rPr>
        <w:rFonts w:hint="default"/>
      </w:rPr>
      <w:start w:val="1"/>
      <w:suff w:val="nothing"/>
    </w:lvl>
    <w:lvl w:ilvl="7">
      <w:isLgl w:val="false"/>
      <w:lvlJc w:val="left"/>
      <w:lvlText w:val=""/>
      <w:numFmt w:val="none"/>
      <w:pPr>
        <w:pBdr/>
        <w:spacing/>
        <w:ind w:firstLine="0" w:left="0"/>
      </w:pPr>
      <w:pStyle w:val="768"/>
      <w:rPr>
        <w:rFonts w:hint="default"/>
      </w:rPr>
      <w:start w:val="1"/>
      <w:suff w:val="nothing"/>
    </w:lvl>
    <w:lvl w:ilvl="8">
      <w:isLgl w:val="false"/>
      <w:lvlJc w:val="left"/>
      <w:lvlText w:val=""/>
      <w:numFmt w:val="none"/>
      <w:pPr>
        <w:pBdr/>
        <w:spacing/>
        <w:ind w:firstLine="0" w:left="0"/>
      </w:pPr>
      <w:pStyle w:val="769"/>
      <w:rPr>
        <w:rFonts w:hint="default"/>
      </w:rPr>
      <w:start w:val="1"/>
      <w:suff w:val="nothing"/>
    </w:lvl>
  </w:abstractNum>
  <w:abstractNum w:abstractNumId="6">
    <w:nsid w:val="39A3314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nsid w:val="58B619B5"/>
    <w:lvl w:ilvl="0">
      <w:isLgl w:val="false"/>
      <w:lvlJc w:val="left"/>
      <w:lvlText w:val="•"/>
      <w:numFmt w:val="bullet"/>
      <w:pPr>
        <w:pBdr/>
        <w:spacing/>
        <w:ind w:hanging="360" w:left="1080"/>
      </w:pPr>
      <w:pStyle w:val="814"/>
      <w:rPr>
        <w:rFonts w:hint="default" w:ascii="Arial" w:hAnsi="Arial" w:eastAsia="Times New Roman"/>
      </w:rPr>
      <w:start w:val="0"/>
      <w:suff w:val="tab"/>
    </w:lvl>
    <w:lvl w:ilvl="1">
      <w:isLgl w:val="false"/>
      <w:lvlJc w:val="left"/>
      <w:lvlText w:val="o"/>
      <w:numFmt w:val="bullet"/>
      <w:pPr>
        <w:pBdr/>
        <w:spacing/>
        <w:ind w:hanging="360" w:left="1800"/>
      </w:pPr>
      <w:rPr>
        <w:rFonts w:hint="default" w:ascii="Courier New" w:hAnsi="Courier New"/>
        <w:sz w:val="16"/>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8">
    <w:nsid w:val="64A6531D"/>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9">
    <w:nsid w:val="6C0A4A4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F5BE7A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35C75E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621520B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8B5F69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4C7AAA9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5AAD727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3FE2A14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43B82C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1A549A5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4CD7AA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1B2777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405873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48245A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28345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32C5F9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6A477AA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4EC778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6B49ED2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06B684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6EDF94F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0519F1E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3A5207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2C67846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185281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2F833D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5D532A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17244BC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6018382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0C7E21F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6"/>
  </w:num>
  <w:num w:numId="8">
    <w:abstractNumId w:val="8"/>
  </w:num>
  <w:num w:numId="9">
    <w:abstractNumId w:val="5"/>
  </w:num>
  <w:num w:numId="10">
    <w:abstractNumId w:val="7"/>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7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7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7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7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7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9">
    <w:name w:val="Title"/>
    <w:basedOn w:val="760"/>
    <w:next w:val="76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70"/>
    <w:link w:val="159"/>
    <w:uiPriority w:val="10"/>
    <w:pPr>
      <w:pBdr/>
      <w:spacing/>
      <w:ind/>
    </w:pPr>
    <w:rPr>
      <w:rFonts w:ascii="Arial" w:hAnsi="Arial" w:eastAsia="Arial" w:cs="Arial"/>
      <w:spacing w:val="-10"/>
      <w:sz w:val="56"/>
      <w:szCs w:val="56"/>
    </w:rPr>
  </w:style>
  <w:style w:type="paragraph" w:styleId="161">
    <w:name w:val="Subtitle"/>
    <w:basedOn w:val="760"/>
    <w:next w:val="760"/>
    <w:link w:val="162"/>
    <w:uiPriority w:val="11"/>
    <w:qFormat/>
    <w:pPr>
      <w:numPr>
        <w:ilvl w:val="1"/>
      </w:numPr>
      <w:pBdr/>
      <w:spacing/>
      <w:ind/>
    </w:pPr>
    <w:rPr>
      <w:color w:val="595959" w:themeColor="text1" w:themeTint="A6"/>
      <w:spacing w:val="15"/>
      <w:sz w:val="28"/>
      <w:szCs w:val="28"/>
    </w:rPr>
  </w:style>
  <w:style w:type="character" w:styleId="162">
    <w:name w:val="Subtitle Char"/>
    <w:basedOn w:val="770"/>
    <w:link w:val="161"/>
    <w:uiPriority w:val="11"/>
    <w:pPr>
      <w:pBdr/>
      <w:spacing/>
      <w:ind/>
    </w:pPr>
    <w:rPr>
      <w:color w:val="595959" w:themeColor="text1" w:themeTint="A6"/>
      <w:spacing w:val="15"/>
      <w:sz w:val="28"/>
      <w:szCs w:val="28"/>
    </w:rPr>
  </w:style>
  <w:style w:type="paragraph" w:styleId="163">
    <w:name w:val="Quote"/>
    <w:basedOn w:val="760"/>
    <w:next w:val="760"/>
    <w:link w:val="164"/>
    <w:uiPriority w:val="29"/>
    <w:qFormat/>
    <w:pPr>
      <w:pBdr/>
      <w:spacing w:before="160"/>
      <w:ind/>
      <w:jc w:val="center"/>
    </w:pPr>
    <w:rPr>
      <w:i/>
      <w:iCs/>
      <w:color w:val="404040" w:themeColor="text1" w:themeTint="BF"/>
    </w:rPr>
  </w:style>
  <w:style w:type="character" w:styleId="164">
    <w:name w:val="Quote Char"/>
    <w:basedOn w:val="770"/>
    <w:link w:val="163"/>
    <w:uiPriority w:val="29"/>
    <w:pPr>
      <w:pBdr/>
      <w:spacing/>
      <w:ind/>
    </w:pPr>
    <w:rPr>
      <w:i/>
      <w:iCs/>
      <w:color w:val="404040" w:themeColor="text1" w:themeTint="BF"/>
    </w:rPr>
  </w:style>
  <w:style w:type="character" w:styleId="166">
    <w:name w:val="Intense Emphasis"/>
    <w:basedOn w:val="770"/>
    <w:uiPriority w:val="21"/>
    <w:qFormat/>
    <w:pPr>
      <w:pBdr/>
      <w:spacing/>
      <w:ind/>
    </w:pPr>
    <w:rPr>
      <w:i/>
      <w:iCs/>
      <w:color w:val="0f4761" w:themeColor="accent1" w:themeShade="BF"/>
    </w:rPr>
  </w:style>
  <w:style w:type="paragraph" w:styleId="167">
    <w:name w:val="Intense Quote"/>
    <w:basedOn w:val="760"/>
    <w:next w:val="76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70"/>
    <w:link w:val="167"/>
    <w:uiPriority w:val="30"/>
    <w:pPr>
      <w:pBdr/>
      <w:spacing/>
      <w:ind/>
    </w:pPr>
    <w:rPr>
      <w:i/>
      <w:iCs/>
      <w:color w:val="0f4761" w:themeColor="accent1" w:themeShade="BF"/>
    </w:rPr>
  </w:style>
  <w:style w:type="character" w:styleId="169">
    <w:name w:val="Intense Reference"/>
    <w:basedOn w:val="770"/>
    <w:uiPriority w:val="32"/>
    <w:qFormat/>
    <w:pPr>
      <w:pBdr/>
      <w:spacing/>
      <w:ind/>
    </w:pPr>
    <w:rPr>
      <w:b/>
      <w:bCs/>
      <w:smallCaps/>
      <w:color w:val="0f4761" w:themeColor="accent1" w:themeShade="BF"/>
      <w:spacing w:val="5"/>
    </w:rPr>
  </w:style>
  <w:style w:type="paragraph" w:styleId="170">
    <w:name w:val="No Spacing"/>
    <w:basedOn w:val="760"/>
    <w:uiPriority w:val="1"/>
    <w:qFormat/>
    <w:pPr>
      <w:pBdr/>
      <w:spacing w:after="0" w:line="240" w:lineRule="auto"/>
      <w:ind/>
    </w:pPr>
  </w:style>
  <w:style w:type="character" w:styleId="171">
    <w:name w:val="Subtle Emphasis"/>
    <w:basedOn w:val="770"/>
    <w:uiPriority w:val="19"/>
    <w:qFormat/>
    <w:pPr>
      <w:pBdr/>
      <w:spacing/>
      <w:ind/>
    </w:pPr>
    <w:rPr>
      <w:i/>
      <w:iCs/>
      <w:color w:val="404040" w:themeColor="text1" w:themeTint="BF"/>
    </w:rPr>
  </w:style>
  <w:style w:type="character" w:styleId="174">
    <w:name w:val="Subtle Reference"/>
    <w:basedOn w:val="770"/>
    <w:uiPriority w:val="31"/>
    <w:qFormat/>
    <w:pPr>
      <w:pBdr/>
      <w:spacing/>
      <w:ind/>
    </w:pPr>
    <w:rPr>
      <w:smallCaps/>
      <w:color w:val="5a5a5a" w:themeColor="text1" w:themeTint="A5"/>
    </w:rPr>
  </w:style>
  <w:style w:type="character" w:styleId="175">
    <w:name w:val="Book Title"/>
    <w:basedOn w:val="770"/>
    <w:uiPriority w:val="33"/>
    <w:qFormat/>
    <w:pPr>
      <w:pBdr/>
      <w:spacing/>
      <w:ind/>
    </w:pPr>
    <w:rPr>
      <w:b/>
      <w:bCs/>
      <w:i/>
      <w:iCs/>
      <w:spacing w:val="5"/>
    </w:rPr>
  </w:style>
  <w:style w:type="paragraph" w:styleId="760" w:default="1">
    <w:name w:val="Normal"/>
    <w:qFormat/>
    <w:pPr>
      <w:pBdr/>
      <w:spacing w:after="240" w:line="360" w:lineRule="auto"/>
      <w:ind/>
    </w:pPr>
    <w:rPr>
      <w:rFonts w:ascii="Arial" w:hAnsi="Arial"/>
    </w:rPr>
  </w:style>
  <w:style w:type="paragraph" w:styleId="761">
    <w:name w:val="Heading 1"/>
    <w:basedOn w:val="775"/>
    <w:next w:val="774"/>
    <w:link w:val="779"/>
    <w:uiPriority w:val="9"/>
    <w:qFormat/>
    <w:pPr>
      <w:keepNext w:val="true"/>
      <w:keepLines w:val="true"/>
      <w:pageBreakBefore w:val="true"/>
      <w:numPr>
        <w:numId w:val="9"/>
      </w:numPr>
      <w:pBdr/>
      <w:spacing w:after="480" w:line="240" w:lineRule="auto"/>
      <w:ind/>
      <w:outlineLvl w:val="0"/>
    </w:pPr>
    <w:rPr>
      <w:rFonts w:eastAsiaTheme="majorEastAsia" w:cstheme="majorBidi"/>
      <w:b/>
      <w:color w:val="000000" w:themeColor="text1"/>
      <w:sz w:val="34"/>
      <w:szCs w:val="32"/>
    </w:rPr>
  </w:style>
  <w:style w:type="paragraph" w:styleId="762">
    <w:name w:val="Heading 2"/>
    <w:basedOn w:val="773"/>
    <w:next w:val="774"/>
    <w:link w:val="780"/>
    <w:uiPriority w:val="9"/>
    <w:unhideWhenUsed/>
    <w:qFormat/>
    <w:pPr>
      <w:keepNext w:val="true"/>
      <w:keepLines w:val="true"/>
      <w:numPr>
        <w:ilvl w:val="1"/>
        <w:numId w:val="9"/>
      </w:numPr>
      <w:pBdr/>
      <w:spacing w:after="360" w:before="360" w:line="240" w:lineRule="auto"/>
      <w:ind w:hanging="720" w:left="720"/>
      <w:outlineLvl w:val="1"/>
    </w:pPr>
    <w:rPr>
      <w:rFonts w:eastAsiaTheme="majorEastAsia" w:cstheme="majorBidi"/>
      <w:b/>
      <w:color w:val="000000" w:themeColor="text1"/>
      <w:sz w:val="30"/>
      <w:szCs w:val="26"/>
    </w:rPr>
  </w:style>
  <w:style w:type="paragraph" w:styleId="763">
    <w:name w:val="Heading 3"/>
    <w:basedOn w:val="760"/>
    <w:next w:val="774"/>
    <w:link w:val="784"/>
    <w:uiPriority w:val="9"/>
    <w:unhideWhenUsed/>
    <w:qFormat/>
    <w:pPr>
      <w:keepNext w:val="true"/>
      <w:keepLines w:val="true"/>
      <w:numPr>
        <w:ilvl w:val="2"/>
        <w:numId w:val="9"/>
      </w:numPr>
      <w:pBdr/>
      <w:spacing w:after="360" w:before="360" w:line="240" w:lineRule="auto"/>
      <w:ind w:hanging="720" w:left="720"/>
      <w:outlineLvl w:val="2"/>
    </w:pPr>
    <w:rPr>
      <w:rFonts w:eastAsiaTheme="majorEastAsia" w:cstheme="majorBidi"/>
      <w:b/>
      <w:color w:val="000000" w:themeColor="text1"/>
      <w:sz w:val="26"/>
      <w:szCs w:val="24"/>
      <w:lang w:val="en-CA"/>
    </w:rPr>
  </w:style>
  <w:style w:type="paragraph" w:styleId="764">
    <w:name w:val="Heading 4"/>
    <w:basedOn w:val="760"/>
    <w:next w:val="774"/>
    <w:link w:val="794"/>
    <w:uiPriority w:val="9"/>
    <w:unhideWhenUsed/>
    <w:qFormat/>
    <w:pPr>
      <w:keepNext w:val="true"/>
      <w:keepLines w:val="true"/>
      <w:numPr>
        <w:ilvl w:val="3"/>
        <w:numId w:val="9"/>
      </w:numPr>
      <w:pBdr/>
      <w:spacing w:line="240" w:lineRule="auto"/>
      <w:ind/>
      <w:outlineLvl w:val="3"/>
    </w:pPr>
    <w:rPr>
      <w:rFonts w:eastAsiaTheme="majorEastAsia" w:cstheme="majorBidi"/>
      <w:b/>
      <w:i/>
      <w:iCs/>
      <w:color w:val="000000" w:themeColor="text1"/>
      <w:sz w:val="24"/>
    </w:rPr>
  </w:style>
  <w:style w:type="paragraph" w:styleId="765">
    <w:name w:val="Heading 5"/>
    <w:basedOn w:val="760"/>
    <w:next w:val="774"/>
    <w:link w:val="795"/>
    <w:uiPriority w:val="9"/>
    <w:unhideWhenUsed/>
    <w:qFormat/>
    <w:pPr>
      <w:keepNext w:val="true"/>
      <w:keepLines w:val="true"/>
      <w:numPr>
        <w:ilvl w:val="4"/>
        <w:numId w:val="9"/>
      </w:numPr>
      <w:pBdr/>
      <w:spacing w:line="240" w:lineRule="auto"/>
      <w:ind/>
      <w:outlineLvl w:val="4"/>
    </w:pPr>
    <w:rPr>
      <w:rFonts w:eastAsiaTheme="majorEastAsia" w:cstheme="majorBidi"/>
      <w:b/>
      <w:color w:val="000000" w:themeColor="text1"/>
    </w:rPr>
  </w:style>
  <w:style w:type="paragraph" w:styleId="766">
    <w:name w:val="Heading 6"/>
    <w:basedOn w:val="760"/>
    <w:next w:val="760"/>
    <w:link w:val="800"/>
    <w:uiPriority w:val="9"/>
    <w:semiHidden/>
    <w:unhideWhenUsed/>
    <w:qFormat/>
    <w:pPr>
      <w:keepNext w:val="true"/>
      <w:keepLines w:val="true"/>
      <w:numPr>
        <w:ilvl w:val="5"/>
        <w:numId w:val="9"/>
      </w:numPr>
      <w:pBdr/>
      <w:spacing w:after="0" w:before="40"/>
      <w:ind/>
      <w:outlineLvl w:val="5"/>
    </w:pPr>
    <w:rPr>
      <w:rFonts w:asciiTheme="majorHAnsi" w:hAnsiTheme="majorHAnsi" w:eastAsiaTheme="majorEastAsia" w:cstheme="majorBidi"/>
      <w:color w:val="1f4d78" w:themeColor="accent1" w:themeShade="7F"/>
    </w:rPr>
  </w:style>
  <w:style w:type="paragraph" w:styleId="767">
    <w:name w:val="Heading 7"/>
    <w:basedOn w:val="760"/>
    <w:next w:val="760"/>
    <w:link w:val="801"/>
    <w:uiPriority w:val="9"/>
    <w:semiHidden/>
    <w:unhideWhenUsed/>
    <w:qFormat/>
    <w:pPr>
      <w:keepNext w:val="true"/>
      <w:keepLines w:val="true"/>
      <w:numPr>
        <w:ilvl w:val="6"/>
        <w:numId w:val="9"/>
      </w:numPr>
      <w:pBdr/>
      <w:spacing w:after="0" w:before="40"/>
      <w:ind/>
      <w:outlineLvl w:val="6"/>
    </w:pPr>
    <w:rPr>
      <w:rFonts w:asciiTheme="majorHAnsi" w:hAnsiTheme="majorHAnsi" w:eastAsiaTheme="majorEastAsia" w:cstheme="majorBidi"/>
      <w:i/>
      <w:iCs/>
      <w:color w:val="1f4d78" w:themeColor="accent1" w:themeShade="7F"/>
    </w:rPr>
  </w:style>
  <w:style w:type="paragraph" w:styleId="768">
    <w:name w:val="Heading 8"/>
    <w:basedOn w:val="760"/>
    <w:next w:val="760"/>
    <w:link w:val="802"/>
    <w:uiPriority w:val="9"/>
    <w:semiHidden/>
    <w:unhideWhenUsed/>
    <w:qFormat/>
    <w:pPr>
      <w:keepNext w:val="true"/>
      <w:keepLines w:val="true"/>
      <w:numPr>
        <w:ilvl w:val="7"/>
        <w:numId w:val="9"/>
      </w:numPr>
      <w:pBdr/>
      <w:spacing w:after="0" w:before="40"/>
      <w:ind/>
      <w:outlineLvl w:val="7"/>
    </w:pPr>
    <w:rPr>
      <w:rFonts w:asciiTheme="majorHAnsi" w:hAnsiTheme="majorHAnsi" w:eastAsiaTheme="majorEastAsia" w:cstheme="majorBidi"/>
      <w:color w:val="272727" w:themeColor="text1" w:themeTint="D8"/>
      <w:sz w:val="21"/>
      <w:szCs w:val="21"/>
    </w:rPr>
  </w:style>
  <w:style w:type="paragraph" w:styleId="769">
    <w:name w:val="Heading 9"/>
    <w:basedOn w:val="760"/>
    <w:next w:val="760"/>
    <w:link w:val="803"/>
    <w:uiPriority w:val="9"/>
    <w:semiHidden/>
    <w:unhideWhenUsed/>
    <w:qFormat/>
    <w:pPr>
      <w:keepNext w:val="true"/>
      <w:keepLines w:val="true"/>
      <w:numPr>
        <w:ilvl w:val="8"/>
        <w:numId w:val="9"/>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770" w:default="1">
    <w:name w:val="Default Paragraph Font"/>
    <w:uiPriority w:val="1"/>
    <w:semiHidden/>
    <w:unhideWhenUsed/>
    <w:pPr>
      <w:pBdr/>
      <w:spacing/>
      <w:ind/>
    </w:pPr>
  </w:style>
  <w:style w:type="table" w:styleId="77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2" w:default="1">
    <w:name w:val="No List"/>
    <w:uiPriority w:val="99"/>
    <w:semiHidden/>
    <w:unhideWhenUsed/>
    <w:pPr>
      <w:pBdr/>
      <w:spacing/>
      <w:ind/>
    </w:pPr>
  </w:style>
  <w:style w:type="paragraph" w:styleId="773" w:customStyle="1">
    <w:name w:val="1_Para_FlushLeft"/>
    <w:basedOn w:val="760"/>
    <w:next w:val="774"/>
    <w:qFormat/>
    <w:pPr>
      <w:pBdr/>
      <w:spacing w:before="120"/>
      <w:ind/>
    </w:pPr>
    <w:rPr>
      <w:lang w:val="en-CA"/>
    </w:rPr>
  </w:style>
  <w:style w:type="paragraph" w:styleId="774" w:customStyle="1">
    <w:name w:val="1_Para"/>
    <w:basedOn w:val="773"/>
    <w:qFormat/>
    <w:pPr>
      <w:pBdr/>
      <w:spacing/>
      <w:ind w:firstLine="720"/>
    </w:pPr>
  </w:style>
  <w:style w:type="paragraph" w:styleId="775" w:customStyle="1">
    <w:name w:val="1_Para_HangingIndent"/>
    <w:basedOn w:val="773"/>
    <w:next w:val="774"/>
    <w:qFormat/>
    <w:pPr>
      <w:pBdr/>
      <w:spacing/>
      <w:ind w:hanging="720" w:left="720"/>
    </w:pPr>
  </w:style>
  <w:style w:type="paragraph" w:styleId="776" w:customStyle="1">
    <w:name w:val="9_TitlePage_Title"/>
    <w:basedOn w:val="760"/>
    <w:qFormat/>
    <w:pPr>
      <w:pBdr/>
      <w:spacing w:after="0" w:before="840"/>
      <w:ind/>
      <w:jc w:val="center"/>
    </w:pPr>
    <w:rPr>
      <w:b/>
      <w:sz w:val="34"/>
      <w:szCs w:val="34"/>
    </w:rPr>
  </w:style>
  <w:style w:type="character" w:styleId="777">
    <w:name w:val="Emphasis"/>
    <w:basedOn w:val="770"/>
    <w:uiPriority w:val="20"/>
    <w:qFormat/>
    <w:pPr>
      <w:pBdr/>
      <w:spacing/>
      <w:ind/>
    </w:pPr>
    <w:rPr>
      <w:i/>
      <w:iCs/>
    </w:rPr>
  </w:style>
  <w:style w:type="paragraph" w:styleId="778" w:customStyle="1">
    <w:name w:val="9_TitlePage_Text"/>
    <w:basedOn w:val="760"/>
    <w:next w:val="774"/>
    <w:qFormat/>
    <w:pPr>
      <w:pBdr/>
      <w:spacing w:after="360" w:before="360"/>
      <w:ind/>
      <w:jc w:val="center"/>
    </w:pPr>
    <w:rPr>
      <w:sz w:val="24"/>
    </w:rPr>
  </w:style>
  <w:style w:type="character" w:styleId="779" w:customStyle="1">
    <w:name w:val="Heading 1 Char"/>
    <w:basedOn w:val="770"/>
    <w:link w:val="761"/>
    <w:uiPriority w:val="9"/>
    <w:pPr>
      <w:pBdr/>
      <w:spacing/>
      <w:ind/>
    </w:pPr>
    <w:rPr>
      <w:rFonts w:ascii="Arial" w:hAnsi="Arial" w:eastAsiaTheme="majorEastAsia" w:cstheme="majorBidi"/>
      <w:b/>
      <w:color w:val="000000" w:themeColor="text1"/>
      <w:sz w:val="34"/>
      <w:szCs w:val="32"/>
      <w:lang w:val="en-CA"/>
    </w:rPr>
  </w:style>
  <w:style w:type="character" w:styleId="780" w:customStyle="1">
    <w:name w:val="Heading 2 Char"/>
    <w:basedOn w:val="770"/>
    <w:link w:val="762"/>
    <w:uiPriority w:val="9"/>
    <w:pPr>
      <w:pBdr/>
      <w:spacing/>
      <w:ind/>
    </w:pPr>
    <w:rPr>
      <w:rFonts w:ascii="Arial" w:hAnsi="Arial" w:eastAsiaTheme="majorEastAsia" w:cstheme="majorBidi"/>
      <w:b/>
      <w:color w:val="000000" w:themeColor="text1"/>
      <w:sz w:val="30"/>
      <w:szCs w:val="26"/>
      <w:lang w:val="en-CA"/>
    </w:rPr>
  </w:style>
  <w:style w:type="paragraph" w:styleId="781" w:customStyle="1">
    <w:name w:val="Heading 1_Preliminary"/>
    <w:basedOn w:val="762"/>
    <w:next w:val="774"/>
    <w:qFormat/>
    <w:pPr>
      <w:pageBreakBefore w:val="true"/>
      <w:numPr>
        <w:ilvl w:val="0"/>
        <w:numId w:val="0"/>
      </w:numPr>
      <w:pBdr/>
      <w:spacing w:before="120"/>
      <w:ind/>
    </w:pPr>
  </w:style>
  <w:style w:type="paragraph" w:styleId="782" w:customStyle="1">
    <w:name w:val="Heading 1_NoNumber"/>
    <w:basedOn w:val="773"/>
    <w:next w:val="774"/>
    <w:qFormat/>
    <w:pPr>
      <w:pageBreakBefore w:val="true"/>
      <w:pBdr/>
      <w:spacing w:after="480" w:line="240" w:lineRule="auto"/>
      <w:ind/>
      <w:outlineLvl w:val="0"/>
    </w:pPr>
    <w:rPr>
      <w:b/>
      <w:sz w:val="34"/>
    </w:rPr>
  </w:style>
  <w:style w:type="paragraph" w:styleId="783" w:customStyle="1">
    <w:name w:val="Heading 2_NoNumber"/>
    <w:basedOn w:val="762"/>
    <w:next w:val="774"/>
    <w:qFormat/>
    <w:pPr>
      <w:numPr>
        <w:ilvl w:val="0"/>
        <w:numId w:val="0"/>
      </w:numPr>
      <w:pBdr/>
      <w:spacing/>
      <w:ind/>
    </w:pPr>
  </w:style>
  <w:style w:type="character" w:styleId="784" w:customStyle="1">
    <w:name w:val="Heading 3 Char"/>
    <w:basedOn w:val="770"/>
    <w:link w:val="763"/>
    <w:uiPriority w:val="9"/>
    <w:pPr>
      <w:pBdr/>
      <w:spacing/>
      <w:ind/>
    </w:pPr>
    <w:rPr>
      <w:rFonts w:ascii="Arial" w:hAnsi="Arial" w:eastAsiaTheme="majorEastAsia" w:cstheme="majorBidi"/>
      <w:b/>
      <w:color w:val="000000" w:themeColor="text1"/>
      <w:sz w:val="26"/>
      <w:szCs w:val="24"/>
      <w:lang w:val="en-CA"/>
    </w:rPr>
  </w:style>
  <w:style w:type="paragraph" w:styleId="785" w:customStyle="1">
    <w:name w:val="Heading 3_NoNumber"/>
    <w:basedOn w:val="763"/>
    <w:next w:val="774"/>
    <w:qFormat/>
    <w:pPr>
      <w:numPr>
        <w:ilvl w:val="0"/>
        <w:numId w:val="0"/>
      </w:numPr>
      <w:pBdr/>
      <w:spacing/>
      <w:ind/>
    </w:pPr>
  </w:style>
  <w:style w:type="paragraph" w:styleId="786">
    <w:name w:val="toc 2"/>
    <w:basedOn w:val="760"/>
    <w:next w:val="760"/>
    <w:uiPriority w:val="39"/>
    <w:unhideWhenUsed/>
    <w:qFormat/>
    <w:pPr>
      <w:pBdr/>
      <w:tabs>
        <w:tab w:val="left" w:leader="none" w:pos="605"/>
        <w:tab w:val="right" w:leader="dot" w:pos="8630"/>
      </w:tabs>
      <w:spacing w:after="0" w:before="40" w:line="240" w:lineRule="auto"/>
      <w:ind w:hanging="605" w:left="605"/>
    </w:pPr>
    <w:rPr>
      <w:bCs/>
      <w:szCs w:val="20"/>
    </w:rPr>
  </w:style>
  <w:style w:type="paragraph" w:styleId="787">
    <w:name w:val="toc 1"/>
    <w:basedOn w:val="760"/>
    <w:next w:val="760"/>
    <w:uiPriority w:val="39"/>
    <w:unhideWhenUsed/>
    <w:qFormat/>
    <w:pPr>
      <w:pBdr/>
      <w:tabs>
        <w:tab w:val="right" w:leader="dot" w:pos="8630"/>
      </w:tabs>
      <w:spacing w:after="0" w:before="240" w:line="240" w:lineRule="auto"/>
      <w:ind w:hanging="605" w:left="605"/>
    </w:pPr>
    <w:rPr>
      <w:b/>
      <w:bCs/>
      <w:szCs w:val="24"/>
    </w:rPr>
  </w:style>
  <w:style w:type="paragraph" w:styleId="788">
    <w:name w:val="toc 3"/>
    <w:basedOn w:val="760"/>
    <w:next w:val="760"/>
    <w:uiPriority w:val="39"/>
    <w:unhideWhenUsed/>
    <w:qFormat/>
    <w:pPr>
      <w:pBdr/>
      <w:spacing w:after="0" w:before="40" w:line="240" w:lineRule="auto"/>
      <w:ind w:hanging="835" w:left="1440"/>
    </w:pPr>
    <w:rPr>
      <w:szCs w:val="20"/>
    </w:rPr>
  </w:style>
  <w:style w:type="character" w:styleId="789">
    <w:name w:val="Hyperlink"/>
    <w:basedOn w:val="770"/>
    <w:uiPriority w:val="99"/>
    <w:unhideWhenUsed/>
    <w:pPr>
      <w:pBdr/>
      <w:spacing/>
      <w:ind/>
    </w:pPr>
    <w:rPr>
      <w:color w:val="0563c1" w:themeColor="hyperlink"/>
      <w:u w:val="single"/>
    </w:rPr>
  </w:style>
  <w:style w:type="paragraph" w:styleId="790">
    <w:name w:val="Header"/>
    <w:basedOn w:val="760"/>
    <w:link w:val="791"/>
    <w:uiPriority w:val="99"/>
    <w:unhideWhenUsed/>
    <w:pPr>
      <w:pBdr/>
      <w:tabs>
        <w:tab w:val="center" w:leader="none" w:pos="4680"/>
        <w:tab w:val="right" w:leader="none" w:pos="9360"/>
      </w:tabs>
      <w:spacing w:after="0" w:line="240" w:lineRule="auto"/>
      <w:ind/>
    </w:pPr>
  </w:style>
  <w:style w:type="character" w:styleId="791" w:customStyle="1">
    <w:name w:val="Header Char"/>
    <w:basedOn w:val="770"/>
    <w:link w:val="790"/>
    <w:uiPriority w:val="99"/>
    <w:pPr>
      <w:pBdr/>
      <w:spacing/>
      <w:ind/>
    </w:pPr>
    <w:rPr>
      <w:rFonts w:ascii="Arial" w:hAnsi="Arial"/>
    </w:rPr>
  </w:style>
  <w:style w:type="paragraph" w:styleId="792">
    <w:name w:val="Footer"/>
    <w:basedOn w:val="760"/>
    <w:link w:val="793"/>
    <w:uiPriority w:val="99"/>
    <w:unhideWhenUsed/>
    <w:pPr>
      <w:pBdr/>
      <w:tabs>
        <w:tab w:val="center" w:leader="none" w:pos="4680"/>
        <w:tab w:val="right" w:leader="none" w:pos="9360"/>
      </w:tabs>
      <w:spacing w:after="0" w:line="240" w:lineRule="auto"/>
      <w:ind/>
    </w:pPr>
  </w:style>
  <w:style w:type="character" w:styleId="793" w:customStyle="1">
    <w:name w:val="Footer Char"/>
    <w:basedOn w:val="770"/>
    <w:link w:val="792"/>
    <w:uiPriority w:val="99"/>
    <w:pPr>
      <w:pBdr/>
      <w:spacing/>
      <w:ind/>
    </w:pPr>
    <w:rPr>
      <w:rFonts w:ascii="Arial" w:hAnsi="Arial"/>
    </w:rPr>
  </w:style>
  <w:style w:type="character" w:styleId="794" w:customStyle="1">
    <w:name w:val="Heading 4 Char"/>
    <w:basedOn w:val="770"/>
    <w:link w:val="764"/>
    <w:uiPriority w:val="9"/>
    <w:pPr>
      <w:pBdr/>
      <w:spacing/>
      <w:ind/>
    </w:pPr>
    <w:rPr>
      <w:rFonts w:ascii="Arial" w:hAnsi="Arial" w:eastAsiaTheme="majorEastAsia" w:cstheme="majorBidi"/>
      <w:b/>
      <w:i/>
      <w:iCs/>
      <w:color w:val="000000" w:themeColor="text1"/>
      <w:sz w:val="24"/>
    </w:rPr>
  </w:style>
  <w:style w:type="character" w:styleId="795" w:customStyle="1">
    <w:name w:val="Heading 5 Char"/>
    <w:basedOn w:val="770"/>
    <w:link w:val="765"/>
    <w:uiPriority w:val="9"/>
    <w:pPr>
      <w:pBdr/>
      <w:spacing/>
      <w:ind/>
    </w:pPr>
    <w:rPr>
      <w:rFonts w:ascii="Arial" w:hAnsi="Arial" w:eastAsiaTheme="majorEastAsia" w:cstheme="majorBidi"/>
      <w:b/>
      <w:color w:val="000000" w:themeColor="text1"/>
    </w:rPr>
  </w:style>
  <w:style w:type="paragraph" w:styleId="796">
    <w:name w:val="toc 4"/>
    <w:basedOn w:val="760"/>
    <w:next w:val="760"/>
    <w:uiPriority w:val="39"/>
    <w:unhideWhenUsed/>
    <w:pPr>
      <w:pBdr/>
      <w:tabs>
        <w:tab w:val="right" w:leader="dot" w:pos="8630"/>
      </w:tabs>
      <w:spacing w:after="0" w:before="40" w:line="240" w:lineRule="auto"/>
      <w:ind w:hanging="288" w:left="1728"/>
    </w:pPr>
    <w:rPr>
      <w:sz w:val="20"/>
      <w:szCs w:val="20"/>
    </w:rPr>
  </w:style>
  <w:style w:type="paragraph" w:styleId="797" w:customStyle="1">
    <w:name w:val="3_Figure_NoCaptionOrNote"/>
    <w:basedOn w:val="760"/>
    <w:next w:val="774"/>
    <w:qFormat/>
    <w:pPr>
      <w:pBdr/>
      <w:spacing w:after="480" w:before="120" w:line="240" w:lineRule="auto"/>
      <w:ind/>
      <w:jc w:val="center"/>
    </w:pPr>
  </w:style>
  <w:style w:type="paragraph" w:styleId="798" w:customStyle="1">
    <w:name w:val="3_CaptionAbove"/>
    <w:basedOn w:val="760"/>
    <w:qFormat/>
    <w:pPr>
      <w:keepNext w:val="true"/>
      <w:keepLines w:val="true"/>
      <w:pBdr/>
      <w:spacing w:after="120" w:before="240" w:line="240" w:lineRule="auto"/>
      <w:ind w:hanging="1440" w:left="1440"/>
    </w:pPr>
    <w:rPr>
      <w:b/>
    </w:rPr>
  </w:style>
  <w:style w:type="paragraph" w:styleId="799">
    <w:name w:val="table of figures"/>
    <w:basedOn w:val="760"/>
    <w:next w:val="760"/>
    <w:uiPriority w:val="99"/>
    <w:unhideWhenUsed/>
    <w:pPr>
      <w:pBdr/>
      <w:spacing w:after="0" w:before="80" w:line="240" w:lineRule="auto"/>
      <w:ind w:hanging="1440" w:left="1440"/>
    </w:pPr>
  </w:style>
  <w:style w:type="character" w:styleId="800" w:customStyle="1">
    <w:name w:val="Heading 6 Char"/>
    <w:basedOn w:val="770"/>
    <w:link w:val="766"/>
    <w:uiPriority w:val="9"/>
    <w:semiHidden/>
    <w:pPr>
      <w:pBdr/>
      <w:spacing/>
      <w:ind/>
    </w:pPr>
    <w:rPr>
      <w:rFonts w:asciiTheme="majorHAnsi" w:hAnsiTheme="majorHAnsi" w:eastAsiaTheme="majorEastAsia" w:cstheme="majorBidi"/>
      <w:color w:val="1f4d78" w:themeColor="accent1" w:themeShade="7F"/>
    </w:rPr>
  </w:style>
  <w:style w:type="character" w:styleId="801" w:customStyle="1">
    <w:name w:val="Heading 7 Char"/>
    <w:basedOn w:val="770"/>
    <w:link w:val="767"/>
    <w:uiPriority w:val="9"/>
    <w:semiHidden/>
    <w:pPr>
      <w:pBdr/>
      <w:spacing/>
      <w:ind/>
    </w:pPr>
    <w:rPr>
      <w:rFonts w:asciiTheme="majorHAnsi" w:hAnsiTheme="majorHAnsi" w:eastAsiaTheme="majorEastAsia" w:cstheme="majorBidi"/>
      <w:i/>
      <w:iCs/>
      <w:color w:val="1f4d78" w:themeColor="accent1" w:themeShade="7F"/>
    </w:rPr>
  </w:style>
  <w:style w:type="character" w:styleId="802" w:customStyle="1">
    <w:name w:val="Heading 8 Char"/>
    <w:basedOn w:val="770"/>
    <w:link w:val="768"/>
    <w:uiPriority w:val="9"/>
    <w:semiHidden/>
    <w:pPr>
      <w:pBdr/>
      <w:spacing/>
      <w:ind/>
    </w:pPr>
    <w:rPr>
      <w:rFonts w:asciiTheme="majorHAnsi" w:hAnsiTheme="majorHAnsi" w:eastAsiaTheme="majorEastAsia" w:cstheme="majorBidi"/>
      <w:color w:val="272727" w:themeColor="text1" w:themeTint="D8"/>
      <w:sz w:val="21"/>
      <w:szCs w:val="21"/>
    </w:rPr>
  </w:style>
  <w:style w:type="character" w:styleId="803" w:customStyle="1">
    <w:name w:val="Heading 9 Char"/>
    <w:basedOn w:val="770"/>
    <w:link w:val="769"/>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804" w:customStyle="1">
    <w:name w:val="2_BlockQuote"/>
    <w:basedOn w:val="760"/>
    <w:next w:val="774"/>
    <w:qFormat/>
    <w:pPr>
      <w:pBdr/>
      <w:spacing w:before="40" w:line="240" w:lineRule="auto"/>
      <w:ind w:right="720" w:left="720"/>
      <w:jc w:val="both"/>
    </w:pPr>
  </w:style>
  <w:style w:type="paragraph" w:styleId="805" w:customStyle="1">
    <w:name w:val="3_CaptionBelow"/>
    <w:basedOn w:val="798"/>
    <w:next w:val="774"/>
    <w:qFormat/>
    <w:pPr>
      <w:keepNext w:val="false"/>
      <w:pBdr/>
      <w:spacing w:after="360" w:before="120"/>
      <w:ind/>
    </w:pPr>
  </w:style>
  <w:style w:type="paragraph" w:styleId="806" w:customStyle="1">
    <w:name w:val="3_TableData"/>
    <w:basedOn w:val="760"/>
    <w:qFormat/>
    <w:pPr>
      <w:keepLines w:val="true"/>
      <w:pBdr/>
      <w:spacing w:after="20" w:before="20" w:line="240" w:lineRule="auto"/>
      <w:ind/>
    </w:pPr>
    <w:rPr>
      <w:rFonts w:ascii="Arial Narrow" w:hAnsi="Arial Narrow"/>
    </w:rPr>
  </w:style>
  <w:style w:type="paragraph" w:styleId="807" w:customStyle="1">
    <w:name w:val="1_Para_NoSpace"/>
    <w:basedOn w:val="773"/>
    <w:next w:val="774"/>
    <w:qFormat/>
    <w:pPr>
      <w:pBdr/>
      <w:spacing w:after="40" w:line="240" w:lineRule="auto"/>
      <w:ind/>
    </w:pPr>
    <w:rPr>
      <w:rFonts w:eastAsia="Calibri" w:cs="Arial"/>
    </w:rPr>
  </w:style>
  <w:style w:type="paragraph" w:styleId="808" w:customStyle="1">
    <w:name w:val="3_TableHeading_Column"/>
    <w:basedOn w:val="806"/>
    <w:qFormat/>
    <w:pPr>
      <w:pBdr/>
      <w:spacing w:after="80" w:before="80"/>
      <w:ind/>
    </w:pPr>
    <w:rPr>
      <w:b/>
    </w:rPr>
  </w:style>
  <w:style w:type="paragraph" w:styleId="809" w:customStyle="1">
    <w:name w:val="2_ParticipantQuote"/>
    <w:basedOn w:val="804"/>
    <w:qFormat/>
    <w:pPr>
      <w:pBdr/>
      <w:spacing/>
      <w:ind/>
    </w:pPr>
    <w:rPr>
      <w:rFonts w:ascii="Verdana" w:hAnsi="Verdana"/>
      <w:iCs/>
      <w:color w:val="000000" w:themeColor="text1"/>
      <w:sz w:val="20"/>
    </w:rPr>
  </w:style>
  <w:style w:type="paragraph" w:styleId="810" w:customStyle="1">
    <w:name w:val="2_QuestionAnswer"/>
    <w:basedOn w:val="804"/>
    <w:next w:val="774"/>
    <w:qFormat/>
    <w:pPr>
      <w:pBdr/>
      <w:spacing/>
      <w:ind w:hanging="864" w:left="1584"/>
    </w:pPr>
    <w:rPr>
      <w:rFonts w:ascii="Verdana" w:hAnsi="Verdana"/>
      <w:sz w:val="20"/>
    </w:rPr>
  </w:style>
  <w:style w:type="paragraph" w:styleId="811" w:customStyle="1">
    <w:name w:val="3_Figure"/>
    <w:basedOn w:val="797"/>
    <w:next w:val="805"/>
    <w:qFormat/>
    <w:pPr>
      <w:keepNext w:val="true"/>
      <w:keepLines w:val="true"/>
      <w:pBdr/>
      <w:spacing w:after="0"/>
      <w:ind/>
    </w:pPr>
  </w:style>
  <w:style w:type="paragraph" w:styleId="812" w:customStyle="1">
    <w:name w:val="2_Epigraph"/>
    <w:basedOn w:val="804"/>
    <w:qFormat/>
    <w:pPr>
      <w:pBdr/>
      <w:spacing/>
      <w:ind/>
      <w:jc w:val="left"/>
    </w:pPr>
    <w:rPr>
      <w:i/>
    </w:rPr>
  </w:style>
  <w:style w:type="paragraph" w:styleId="813" w:customStyle="1">
    <w:name w:val="2_List_ManualNumbering"/>
    <w:basedOn w:val="760"/>
    <w:uiPriority w:val="99"/>
    <w:pPr>
      <w:pBdr/>
      <w:tabs>
        <w:tab w:val="left" w:leader="none" w:pos="1080"/>
        <w:tab w:val="right" w:leader="none" w:pos="7920"/>
      </w:tabs>
      <w:spacing w:before="120" w:line="240" w:lineRule="auto"/>
      <w:ind w:right="720" w:hanging="360" w:left="1080"/>
    </w:pPr>
    <w:rPr>
      <w:rFonts w:eastAsia="Calibri" w:cs="Arial"/>
      <w:lang w:val="en-CA"/>
    </w:rPr>
  </w:style>
  <w:style w:type="paragraph" w:styleId="814" w:customStyle="1">
    <w:name w:val="2_Bullet"/>
    <w:basedOn w:val="760"/>
    <w:uiPriority w:val="99"/>
    <w:pPr>
      <w:numPr>
        <w:numId w:val="10"/>
      </w:numPr>
      <w:pBdr/>
      <w:tabs>
        <w:tab w:val="left" w:leader="none" w:pos="990"/>
        <w:tab w:val="right" w:leader="none" w:pos="8640"/>
      </w:tabs>
      <w:spacing w:before="120" w:line="240" w:lineRule="auto"/>
      <w:ind w:hanging="274" w:left="994"/>
    </w:pPr>
    <w:rPr>
      <w:rFonts w:eastAsia="Calibri" w:cs="Arial"/>
      <w:lang w:val="en-CA"/>
    </w:rPr>
  </w:style>
  <w:style w:type="paragraph" w:styleId="815" w:customStyle="1">
    <w:name w:val="2_Poem"/>
    <w:basedOn w:val="760"/>
    <w:qFormat/>
    <w:pPr>
      <w:pBdr/>
      <w:tabs>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right" w:leader="none" w:pos="7920"/>
      </w:tabs>
      <w:spacing w:line="240" w:lineRule="auto"/>
      <w:ind w:left="720"/>
    </w:pPr>
    <w:rPr>
      <w:rFonts w:eastAsia="Calibri" w:cs="Arial"/>
    </w:rPr>
  </w:style>
  <w:style w:type="paragraph" w:styleId="816" w:customStyle="1">
    <w:name w:val="3_CaptionBelow_withNote"/>
    <w:basedOn w:val="805"/>
    <w:next w:val="819"/>
    <w:qFormat/>
    <w:pPr>
      <w:keepNext w:val="true"/>
      <w:pBdr/>
      <w:spacing w:after="0"/>
      <w:ind/>
    </w:pPr>
  </w:style>
  <w:style w:type="paragraph" w:styleId="817" w:customStyle="1">
    <w:name w:val="3_TableData_Centre"/>
    <w:basedOn w:val="806"/>
    <w:qFormat/>
    <w:pPr>
      <w:pBdr/>
      <w:spacing/>
      <w:ind/>
      <w:jc w:val="center"/>
    </w:pPr>
  </w:style>
  <w:style w:type="paragraph" w:styleId="818" w:customStyle="1">
    <w:name w:val="3_TableData_Right"/>
    <w:basedOn w:val="806"/>
    <w:qFormat/>
    <w:pPr>
      <w:pBdr/>
      <w:spacing/>
      <w:ind/>
      <w:jc w:val="right"/>
    </w:pPr>
  </w:style>
  <w:style w:type="paragraph" w:styleId="819" w:customStyle="1">
    <w:name w:val="3_FigureNote"/>
    <w:basedOn w:val="760"/>
    <w:next w:val="774"/>
    <w:qFormat/>
    <w:pPr>
      <w:pBdr/>
      <w:spacing w:after="360" w:line="240" w:lineRule="auto"/>
      <w:ind/>
    </w:pPr>
    <w:rPr>
      <w:sz w:val="20"/>
    </w:rPr>
  </w:style>
  <w:style w:type="paragraph" w:styleId="820" w:customStyle="1">
    <w:name w:val="5_Ref"/>
    <w:basedOn w:val="760"/>
    <w:uiPriority w:val="99"/>
    <w:pPr>
      <w:keepLines w:val="true"/>
      <w:pBdr/>
      <w:spacing w:after="120" w:before="300" w:line="240" w:lineRule="auto"/>
      <w:ind w:hanging="720" w:left="720"/>
    </w:pPr>
    <w:rPr>
      <w:rFonts w:eastAsia="Calibri" w:cs="Arial"/>
      <w:lang w:val="en-CA"/>
    </w:rPr>
  </w:style>
  <w:style w:type="paragraph" w:styleId="821" w:customStyle="1">
    <w:name w:val="3_TableNote"/>
    <w:basedOn w:val="760"/>
    <w:qFormat/>
    <w:pPr>
      <w:pBdr/>
      <w:spacing w:after="360" w:before="40" w:line="240" w:lineRule="auto"/>
      <w:ind/>
    </w:pPr>
    <w:rPr>
      <w:rFonts w:ascii="Arial Narrow" w:hAnsi="Arial Narrow"/>
      <w:sz w:val="20"/>
    </w:rPr>
  </w:style>
  <w:style w:type="paragraph" w:styleId="822" w:customStyle="1">
    <w:name w:val="5_Ref_AmerAntiq_Author"/>
    <w:basedOn w:val="760"/>
    <w:next w:val="823"/>
    <w:qFormat/>
    <w:pPr>
      <w:keepNext w:val="true"/>
      <w:keepLines w:val="true"/>
      <w:pBdr/>
      <w:spacing w:after="0" w:before="300" w:line="240" w:lineRule="auto"/>
      <w:ind/>
    </w:pPr>
    <w:rPr>
      <w:rFonts w:eastAsia="Calibri" w:cs="Arial"/>
      <w:lang w:val="en-CA"/>
    </w:rPr>
  </w:style>
  <w:style w:type="paragraph" w:styleId="823" w:customStyle="1">
    <w:name w:val="5_Ref_AmerAntiq_Work"/>
    <w:basedOn w:val="822"/>
    <w:qFormat/>
    <w:pPr>
      <w:keepNext w:val="false"/>
      <w:pBdr/>
      <w:tabs>
        <w:tab w:val="left" w:leader="none" w:pos="1080"/>
      </w:tabs>
      <w:spacing w:before="0"/>
      <w:ind w:hanging="360" w:left="720"/>
    </w:pPr>
  </w:style>
  <w:style w:type="character" w:styleId="824">
    <w:name w:val="annotation reference"/>
    <w:basedOn w:val="770"/>
    <w:uiPriority w:val="99"/>
    <w:semiHidden/>
    <w:unhideWhenUsed/>
    <w:pPr>
      <w:pBdr/>
      <w:spacing/>
      <w:ind/>
    </w:pPr>
    <w:rPr>
      <w:sz w:val="16"/>
      <w:szCs w:val="16"/>
    </w:rPr>
  </w:style>
  <w:style w:type="paragraph" w:styleId="825">
    <w:name w:val="annotation text"/>
    <w:basedOn w:val="760"/>
    <w:link w:val="826"/>
    <w:uiPriority w:val="99"/>
    <w:semiHidden/>
    <w:unhideWhenUsed/>
    <w:pPr>
      <w:pBdr/>
      <w:spacing w:line="240" w:lineRule="auto"/>
      <w:ind/>
    </w:pPr>
    <w:rPr>
      <w:sz w:val="20"/>
      <w:szCs w:val="20"/>
    </w:rPr>
  </w:style>
  <w:style w:type="character" w:styleId="826" w:customStyle="1">
    <w:name w:val="Comment Text Char"/>
    <w:basedOn w:val="770"/>
    <w:link w:val="825"/>
    <w:uiPriority w:val="99"/>
    <w:semiHidden/>
    <w:pPr>
      <w:pBdr/>
      <w:spacing/>
      <w:ind/>
    </w:pPr>
    <w:rPr>
      <w:rFonts w:ascii="Arial" w:hAnsi="Arial"/>
      <w:sz w:val="20"/>
      <w:szCs w:val="20"/>
    </w:rPr>
  </w:style>
  <w:style w:type="paragraph" w:styleId="827">
    <w:name w:val="annotation subject"/>
    <w:basedOn w:val="825"/>
    <w:next w:val="825"/>
    <w:link w:val="828"/>
    <w:uiPriority w:val="99"/>
    <w:semiHidden/>
    <w:unhideWhenUsed/>
    <w:pPr>
      <w:pBdr/>
      <w:spacing/>
      <w:ind/>
    </w:pPr>
    <w:rPr>
      <w:b/>
      <w:bCs/>
    </w:rPr>
  </w:style>
  <w:style w:type="character" w:styleId="828" w:customStyle="1">
    <w:name w:val="Comment Subject Char"/>
    <w:basedOn w:val="826"/>
    <w:link w:val="827"/>
    <w:uiPriority w:val="99"/>
    <w:semiHidden/>
    <w:pPr>
      <w:pBdr/>
      <w:spacing/>
      <w:ind/>
    </w:pPr>
    <w:rPr>
      <w:rFonts w:ascii="Arial" w:hAnsi="Arial"/>
      <w:b/>
      <w:bCs/>
      <w:sz w:val="20"/>
      <w:szCs w:val="20"/>
    </w:rPr>
  </w:style>
  <w:style w:type="paragraph" w:styleId="829">
    <w:name w:val="Balloon Text"/>
    <w:basedOn w:val="760"/>
    <w:link w:val="830"/>
    <w:uiPriority w:val="99"/>
    <w:semiHidden/>
    <w:unhideWhenUsed/>
    <w:pPr>
      <w:pBdr/>
      <w:spacing w:after="0" w:line="240" w:lineRule="auto"/>
      <w:ind/>
    </w:pPr>
    <w:rPr>
      <w:rFonts w:ascii="Segoe UI" w:hAnsi="Segoe UI" w:cs="Segoe UI"/>
      <w:sz w:val="18"/>
      <w:szCs w:val="18"/>
    </w:rPr>
  </w:style>
  <w:style w:type="character" w:styleId="830" w:customStyle="1">
    <w:name w:val="Balloon Text Char"/>
    <w:basedOn w:val="770"/>
    <w:link w:val="829"/>
    <w:uiPriority w:val="99"/>
    <w:semiHidden/>
    <w:pPr>
      <w:pBdr/>
      <w:spacing/>
      <w:ind/>
    </w:pPr>
    <w:rPr>
      <w:rFonts w:ascii="Segoe UI" w:hAnsi="Segoe UI" w:cs="Segoe UI"/>
      <w:sz w:val="18"/>
      <w:szCs w:val="18"/>
    </w:rPr>
  </w:style>
  <w:style w:type="table" w:styleId="831">
    <w:name w:val="Table Grid"/>
    <w:basedOn w:val="77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name w:val="Caption"/>
    <w:basedOn w:val="760"/>
    <w:next w:val="760"/>
    <w:uiPriority w:val="35"/>
    <w:unhideWhenUsed/>
    <w:qFormat/>
    <w:pPr>
      <w:pBdr/>
      <w:spacing w:after="200" w:line="240" w:lineRule="auto"/>
      <w:ind/>
    </w:pPr>
    <w:rPr>
      <w:i/>
      <w:iCs/>
      <w:color w:val="44546a" w:themeColor="text2"/>
      <w:sz w:val="18"/>
      <w:szCs w:val="18"/>
    </w:rPr>
  </w:style>
  <w:style w:type="numbering" w:styleId="833" w:customStyle="1">
    <w:name w:val="No List1"/>
    <w:next w:val="772"/>
    <w:uiPriority w:val="99"/>
    <w:semiHidden/>
    <w:unhideWhenUsed/>
    <w:pPr>
      <w:pBdr/>
      <w:spacing/>
      <w:ind/>
    </w:pPr>
  </w:style>
  <w:style w:type="paragraph" w:styleId="834">
    <w:name w:val="List Paragraph"/>
    <w:basedOn w:val="760"/>
    <w:uiPriority w:val="34"/>
    <w:qFormat/>
    <w:pPr>
      <w:pBdr/>
      <w:spacing w:after="100" w:before="100" w:line="240" w:lineRule="auto"/>
      <w:ind w:left="720"/>
      <w:contextualSpacing w:val="true"/>
      <w:jc w:val="both"/>
    </w:pPr>
    <w:rPr>
      <w:rFonts w:ascii="Calibri" w:hAnsi="Calibri"/>
    </w:rPr>
  </w:style>
  <w:style w:type="paragraph" w:styleId="835" w:customStyle="1">
    <w:name w:val="Default"/>
    <w:pPr>
      <w:pBdr/>
      <w:spacing w:after="0" w:before="100" w:line="240" w:lineRule="auto"/>
      <w:ind/>
      <w:jc w:val="both"/>
    </w:pPr>
    <w:rPr>
      <w:rFonts w:ascii="Arial" w:hAnsi="Arial" w:cs="Arial"/>
      <w:color w:val="000000"/>
      <w:sz w:val="24"/>
      <w:szCs w:val="24"/>
    </w:rPr>
  </w:style>
  <w:style w:type="paragraph" w:styleId="836">
    <w:name w:val="Normal (Web)"/>
    <w:basedOn w:val="760"/>
    <w:uiPriority w:val="99"/>
    <w:unhideWhenUsed/>
    <w:pPr>
      <w:pBdr/>
      <w:spacing w:after="100" w:afterAutospacing="1" w:before="100" w:beforeAutospacing="1" w:line="240" w:lineRule="auto"/>
      <w:ind/>
      <w:jc w:val="both"/>
    </w:pPr>
    <w:rPr>
      <w:rFonts w:ascii="Times New Roman" w:hAnsi="Times New Roman" w:eastAsia="Times New Roman" w:cs="Times New Roman"/>
      <w:sz w:val="24"/>
      <w:szCs w:val="24"/>
    </w:rPr>
  </w:style>
  <w:style w:type="character" w:styleId="837">
    <w:name w:val="Placeholder Text"/>
    <w:basedOn w:val="770"/>
    <w:uiPriority w:val="99"/>
    <w:semiHidden/>
    <w:pPr>
      <w:pBdr/>
      <w:spacing/>
      <w:ind/>
    </w:pPr>
    <w:rPr>
      <w:color w:val="808080"/>
    </w:rPr>
  </w:style>
  <w:style w:type="paragraph" w:styleId="838">
    <w:name w:val="TOC Heading"/>
    <w:basedOn w:val="761"/>
    <w:next w:val="760"/>
    <w:uiPriority w:val="39"/>
    <w:unhideWhenUsed/>
    <w:qFormat/>
    <w:pPr>
      <w:pageBreakBefore w:val="false"/>
      <w:numPr>
        <w:numId w:val="0"/>
      </w:numPr>
      <w:pBdr/>
      <w:spacing w:after="0" w:line="276" w:lineRule="auto"/>
      <w:ind/>
      <w:outlineLvl w:val="9"/>
    </w:pPr>
    <w:rPr>
      <w:rFonts w:ascii="Cambria" w:hAnsi="Cambria"/>
      <w:bCs/>
      <w:color w:val="365f91"/>
      <w:sz w:val="28"/>
      <w:szCs w:val="28"/>
      <w:lang w:val="en-US" w:eastAsia="ja-JP"/>
    </w:rPr>
  </w:style>
  <w:style w:type="character" w:styleId="839" w:customStyle="1">
    <w:name w:val="FollowedHyperlink1"/>
    <w:basedOn w:val="770"/>
    <w:uiPriority w:val="99"/>
    <w:semiHidden/>
    <w:unhideWhenUsed/>
    <w:pPr>
      <w:pBdr/>
      <w:spacing/>
      <w:ind/>
    </w:pPr>
    <w:rPr>
      <w:color w:val="800080"/>
      <w:u w:val="single"/>
    </w:rPr>
  </w:style>
  <w:style w:type="paragraph" w:styleId="840">
    <w:name w:val="endnote text"/>
    <w:basedOn w:val="760"/>
    <w:link w:val="841"/>
    <w:uiPriority w:val="99"/>
    <w:unhideWhenUsed/>
    <w:pPr>
      <w:pBdr/>
      <w:spacing w:after="0" w:before="100" w:line="240" w:lineRule="auto"/>
      <w:ind/>
      <w:jc w:val="both"/>
    </w:pPr>
    <w:rPr>
      <w:rFonts w:ascii="Calibri" w:hAnsi="Calibri"/>
      <w:sz w:val="20"/>
      <w:szCs w:val="20"/>
    </w:rPr>
  </w:style>
  <w:style w:type="character" w:styleId="841" w:customStyle="1">
    <w:name w:val="Endnote Text Char"/>
    <w:basedOn w:val="770"/>
    <w:link w:val="840"/>
    <w:uiPriority w:val="99"/>
    <w:pPr>
      <w:pBdr/>
      <w:spacing/>
      <w:ind/>
    </w:pPr>
    <w:rPr>
      <w:rFonts w:ascii="Calibri" w:hAnsi="Calibri"/>
      <w:sz w:val="20"/>
      <w:szCs w:val="20"/>
    </w:rPr>
  </w:style>
  <w:style w:type="character" w:styleId="842">
    <w:name w:val="endnote reference"/>
    <w:basedOn w:val="770"/>
    <w:uiPriority w:val="99"/>
    <w:semiHidden/>
    <w:unhideWhenUsed/>
    <w:pPr>
      <w:pBdr/>
      <w:spacing/>
      <w:ind/>
    </w:pPr>
    <w:rPr>
      <w:vertAlign w:val="superscript"/>
    </w:rPr>
  </w:style>
  <w:style w:type="paragraph" w:styleId="843">
    <w:name w:val="footnote text"/>
    <w:basedOn w:val="760"/>
    <w:link w:val="844"/>
    <w:uiPriority w:val="99"/>
    <w:unhideWhenUsed/>
    <w:pPr>
      <w:pBdr/>
      <w:spacing w:after="0" w:before="100" w:line="240" w:lineRule="auto"/>
      <w:ind/>
    </w:pPr>
    <w:rPr>
      <w:sz w:val="20"/>
      <w:szCs w:val="20"/>
    </w:rPr>
  </w:style>
  <w:style w:type="character" w:styleId="844" w:customStyle="1">
    <w:name w:val="Footnote Text Char"/>
    <w:basedOn w:val="770"/>
    <w:link w:val="843"/>
    <w:uiPriority w:val="99"/>
    <w:pPr>
      <w:pBdr/>
      <w:spacing/>
      <w:ind/>
    </w:pPr>
    <w:rPr>
      <w:rFonts w:ascii="Arial" w:hAnsi="Arial"/>
      <w:sz w:val="20"/>
      <w:szCs w:val="20"/>
    </w:rPr>
  </w:style>
  <w:style w:type="character" w:styleId="845">
    <w:name w:val="footnote reference"/>
    <w:basedOn w:val="770"/>
    <w:uiPriority w:val="99"/>
    <w:semiHidden/>
    <w:unhideWhenUsed/>
    <w:pPr>
      <w:pBdr/>
      <w:spacing/>
      <w:ind/>
    </w:pPr>
    <w:rPr>
      <w:vertAlign w:val="superscript"/>
    </w:rPr>
  </w:style>
  <w:style w:type="character" w:styleId="846">
    <w:name w:val="Strong"/>
    <w:basedOn w:val="770"/>
    <w:uiPriority w:val="22"/>
    <w:qFormat/>
    <w:pPr>
      <w:pBdr/>
      <w:spacing/>
      <w:ind/>
    </w:pPr>
    <w:rPr>
      <w:b/>
      <w:bCs/>
      <w:sz w:val="24"/>
      <w:szCs w:val="24"/>
      <w:vertAlign w:val="baseline"/>
    </w:rPr>
  </w:style>
  <w:style w:type="character" w:styleId="847">
    <w:name w:val="FollowedHyperlink"/>
    <w:basedOn w:val="770"/>
    <w:uiPriority w:val="99"/>
    <w:semiHidden/>
    <w:unhideWhenUsed/>
    <w:pPr>
      <w:pBdr/>
      <w:spacing/>
      <w:ind/>
    </w:pPr>
    <w:rPr>
      <w:color w:val="954f72" w:themeColor="followedHyperlink"/>
      <w:u w:val="single"/>
    </w:rPr>
  </w:style>
  <w:style w:type="paragraph" w:styleId="848">
    <w:name w:val="Body Text 2"/>
    <w:basedOn w:val="760"/>
    <w:link w:val="849"/>
    <w:uiPriority w:val="99"/>
    <w:unhideWhenUsed/>
    <w:pPr>
      <w:pBdr/>
      <w:spacing w:after="120" w:line="480" w:lineRule="auto"/>
      <w:ind/>
    </w:pPr>
  </w:style>
  <w:style w:type="character" w:styleId="849" w:customStyle="1">
    <w:name w:val="Body Text 2 Char"/>
    <w:basedOn w:val="770"/>
    <w:link w:val="848"/>
    <w:uiPriority w:val="99"/>
    <w:pPr>
      <w:pBdr/>
      <w:spacing/>
      <w:ind/>
    </w:pPr>
    <w:rPr>
      <w:rFonts w:ascii="Arial" w:hAnsi="Arial"/>
    </w:rPr>
  </w:style>
  <w:style w:type="paragraph" w:styleId="850">
    <w:name w:val="toc 5"/>
    <w:basedOn w:val="760"/>
    <w:next w:val="760"/>
    <w:uiPriority w:val="39"/>
    <w:unhideWhenUsed/>
    <w:pPr>
      <w:pBdr/>
      <w:spacing w:after="0" w:before="40" w:line="240" w:lineRule="auto"/>
      <w:ind w:left="662"/>
    </w:pPr>
    <w:rPr>
      <w:szCs w:val="20"/>
    </w:rPr>
  </w:style>
  <w:style w:type="paragraph" w:styleId="851">
    <w:name w:val="toc 6"/>
    <w:basedOn w:val="760"/>
    <w:next w:val="760"/>
    <w:uiPriority w:val="39"/>
    <w:unhideWhenUsed/>
    <w:pPr>
      <w:pBdr/>
      <w:spacing w:after="0"/>
      <w:ind w:left="880"/>
    </w:pPr>
    <w:rPr>
      <w:rFonts w:asciiTheme="minorHAnsi" w:hAnsiTheme="minorHAnsi"/>
      <w:sz w:val="20"/>
      <w:szCs w:val="20"/>
    </w:rPr>
  </w:style>
  <w:style w:type="paragraph" w:styleId="852">
    <w:name w:val="toc 7"/>
    <w:basedOn w:val="760"/>
    <w:next w:val="760"/>
    <w:uiPriority w:val="39"/>
    <w:unhideWhenUsed/>
    <w:pPr>
      <w:pBdr/>
      <w:spacing w:after="0"/>
      <w:ind w:left="1100"/>
    </w:pPr>
    <w:rPr>
      <w:rFonts w:asciiTheme="minorHAnsi" w:hAnsiTheme="minorHAnsi"/>
      <w:sz w:val="20"/>
      <w:szCs w:val="20"/>
    </w:rPr>
  </w:style>
  <w:style w:type="paragraph" w:styleId="853">
    <w:name w:val="toc 8"/>
    <w:basedOn w:val="760"/>
    <w:next w:val="760"/>
    <w:uiPriority w:val="39"/>
    <w:unhideWhenUsed/>
    <w:pPr>
      <w:pBdr/>
      <w:spacing w:after="0"/>
      <w:ind w:left="1320"/>
    </w:pPr>
    <w:rPr>
      <w:rFonts w:asciiTheme="minorHAnsi" w:hAnsiTheme="minorHAnsi"/>
      <w:sz w:val="20"/>
      <w:szCs w:val="20"/>
    </w:rPr>
  </w:style>
  <w:style w:type="paragraph" w:styleId="854">
    <w:name w:val="toc 9"/>
    <w:basedOn w:val="760"/>
    <w:next w:val="760"/>
    <w:uiPriority w:val="39"/>
    <w:unhideWhenUsed/>
    <w:pPr>
      <w:pBdr/>
      <w:spacing w:after="0"/>
      <w:ind w:left="1540"/>
    </w:pPr>
    <w:rPr>
      <w:rFonts w:asciiTheme="minorHAnsi" w:hAnsiTheme="minorHAnsi"/>
      <w:sz w:val="20"/>
      <w:szCs w:val="20"/>
    </w:rPr>
  </w:style>
  <w:style w:type="paragraph" w:styleId="855" w:customStyle="1">
    <w:name w:val="Reference"/>
    <w:basedOn w:val="856"/>
    <w:pPr>
      <w:keepNext w:val="true"/>
      <w:pBdr/>
      <w:tabs>
        <w:tab w:val="right" w:leader="none" w:pos="8640"/>
      </w:tabs>
      <w:spacing w:after="0" w:line="480" w:lineRule="auto"/>
      <w:ind w:hanging="720" w:left="720"/>
    </w:pPr>
    <w:rPr>
      <w:rFonts w:ascii="Times New Roman" w:hAnsi="Times New Roman" w:eastAsia="Times New Roman" w:cs="Times New Roman"/>
      <w:sz w:val="24"/>
      <w:szCs w:val="24"/>
    </w:rPr>
  </w:style>
  <w:style w:type="paragraph" w:styleId="856">
    <w:name w:val="Body Text"/>
    <w:basedOn w:val="760"/>
    <w:link w:val="857"/>
    <w:uiPriority w:val="99"/>
    <w:semiHidden/>
    <w:unhideWhenUsed/>
    <w:pPr>
      <w:pBdr/>
      <w:spacing w:after="120"/>
      <w:ind/>
    </w:pPr>
  </w:style>
  <w:style w:type="character" w:styleId="857" w:customStyle="1">
    <w:name w:val="Body Text Char"/>
    <w:basedOn w:val="770"/>
    <w:link w:val="856"/>
    <w:uiPriority w:val="99"/>
    <w:semiHidden/>
    <w:pPr>
      <w:pBdr/>
      <w:spacing/>
      <w:ind/>
    </w:pPr>
    <w:rPr>
      <w:rFonts w:ascii="Arial" w:hAnsi="Arial"/>
    </w:rPr>
  </w:style>
  <w:style w:type="paragraph" w:styleId="858">
    <w:name w:val="Document Map"/>
    <w:basedOn w:val="760"/>
    <w:link w:val="859"/>
    <w:uiPriority w:val="99"/>
    <w:semiHidden/>
    <w:unhideWhenUsed/>
    <w:pPr>
      <w:pBdr/>
      <w:spacing w:after="0" w:line="240" w:lineRule="auto"/>
      <w:ind/>
    </w:pPr>
    <w:rPr>
      <w:rFonts w:ascii="Lucida Grande" w:hAnsi="Lucida Grande" w:cs="Lucida Grande"/>
      <w:sz w:val="24"/>
      <w:szCs w:val="24"/>
    </w:rPr>
  </w:style>
  <w:style w:type="character" w:styleId="859" w:customStyle="1">
    <w:name w:val="Document Map Char"/>
    <w:basedOn w:val="770"/>
    <w:link w:val="858"/>
    <w:uiPriority w:val="99"/>
    <w:semiHidden/>
    <w:pPr>
      <w:pBdr/>
      <w:spacing/>
      <w:ind/>
    </w:pPr>
    <w:rPr>
      <w:rFonts w:ascii="Lucida Grande" w:hAnsi="Lucida Grande" w:cs="Lucida Grande"/>
      <w:sz w:val="24"/>
      <w:szCs w:val="24"/>
    </w:rPr>
  </w:style>
  <w:style w:type="table" w:styleId="860">
    <w:name w:val="Grid Table 4 Accent 1"/>
    <w:basedOn w:val="771"/>
    <w:uiPriority w:val="49"/>
    <w:pPr>
      <w:pBdr/>
      <w:spacing w:after="0" w:line="240" w:lineRule="auto"/>
      <w:ind/>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cPr>
      <w:tcBorders/>
    </w:tcPr>
    <w:tblStylePr w:type="band1Horz">
      <w:pPr>
        <w:pBdr/>
        <w:spacing/>
        <w:ind/>
      </w:pPr>
      <w:tblPr>
        <w:tblBorders/>
      </w:tblPr>
      <w:tcPr>
        <w:shd w:val="clear" w:color="auto" w:fill="deeaf6" w:themeFill="accent1" w:themeFillTint="33"/>
        <w:tcBorders/>
      </w:tcPr>
    </w:tblStylePr>
    <w:tblStylePr w:type="band1Vert">
      <w:pPr>
        <w:pBdr/>
        <w:spacing/>
        <w:ind/>
      </w:pPr>
      <w:tblPr>
        <w:tblBorders/>
      </w:tblPr>
      <w:tcPr>
        <w:shd w:val="clear" w:color="auto" w:fill="deeaf6"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1"/>
        <w:tcBorders>
          <w:top w:val="single" w:color="5b9bd5" w:themeColor="accent1" w:sz="4" w:space="0"/>
          <w:left w:val="single" w:color="5b9bd5" w:themeColor="accent1" w:sz="4" w:space="0"/>
          <w:bottom w:val="single" w:color="5b9bd5" w:themeColor="accent1" w:sz="4" w:space="0"/>
          <w:right w:val="single" w:color="5b9bd5"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Plain Table 3"/>
    <w:basedOn w:val="771"/>
    <w:uiPriority w:val="43"/>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Plain Table 2"/>
    <w:basedOn w:val="771"/>
    <w:uiPriority w:val="4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https://ar5iv.labs.arxiv.org/html/2506.09958v1," TargetMode="External"/><Relationship Id="rId25" Type="http://schemas.openxmlformats.org/officeDocument/2006/relationships/hyperlink" Target="https://arxiv.org/abs/2210.10341" TargetMode="External"/><Relationship Id="rId26" Type="http://schemas.openxmlformats.org/officeDocument/2006/relationships/hyperlink" Target="https://ceur-ws.org/Vol-3497/paper-107.pdf" TargetMode="External"/><Relationship Id="rId27" Type="http://schemas.openxmlformats.org/officeDocument/2006/relationships/hyperlink" Target="https://arxiv.org/html/2412.07806v1" TargetMode="External"/><Relationship Id="rId28" Type="http://schemas.openxmlformats.org/officeDocument/2006/relationships/hyperlink" Target="https://aclanthology.org/N18-2094/" TargetMode="External"/><Relationship Id="rId29" Type="http://schemas.openxmlformats.org/officeDocument/2006/relationships/hyperlink" Target="https://doi.org/10.1038/sdata.2018.251" TargetMode="External"/><Relationship Id="rId30" Type="http://schemas.openxmlformats.org/officeDocument/2006/relationships/hyperlink" Target="https://doi.org/10.3390/app15062983." TargetMode="External"/><Relationship Id="rId31" Type="http://schemas.openxmlformats.org/officeDocument/2006/relationships/hyperlink" Target="https://www.imageclef.org/2023/medical/vqa" TargetMode="External"/><Relationship Id="rId32" Type="http://schemas.openxmlformats.org/officeDocument/2006/relationships/hyperlink" Target="https://doi.org/10.1016/j.gie.2022.10.010" TargetMode="External"/><Relationship Id="rId33" Type="http://schemas.openxmlformats.org/officeDocument/2006/relationships/hyperlink" Target="https://doi.org/10.1109/ICC51166.2024.10622271" TargetMode="External"/><Relationship Id="rId34" Type="http://schemas.openxmlformats.org/officeDocument/2006/relationships/hyperlink" Target="https://arxiv.org/abs/2505.22280" TargetMode="External"/><Relationship Id="rId35" Type="http://schemas.openxmlformats.org/officeDocument/2006/relationships/hyperlink" Target="https://doi.org/10.3390/app15062983" TargetMode="External"/><Relationship Id="rId36" Type="http://schemas.openxmlformats.org/officeDocument/2006/relationships/hyperlink" Target="https://doi.org/10.1016/j.gie.2022.10.010" TargetMode="External"/><Relationship Id="rId37" Type="http://schemas.openxmlformats.org/officeDocument/2006/relationships/hyperlink" Target="https://arxiv.org/html/2501.07109v1" TargetMode="External"/><Relationship Id="rId38" Type="http://schemas.openxmlformats.org/officeDocument/2006/relationships/hyperlink" Target="https://bmcgastroenterol.biomedcentral.com/articles/10.1186/s12876-022-02157-5" TargetMode="External"/><Relationship Id="rId39" Type="http://schemas.openxmlformats.org/officeDocument/2006/relationships/hyperlink" Target="https://aclanthology.org/2021.acl-short.90/" TargetMode="External"/><Relationship Id="rId40" Type="http://schemas.openxmlformats.org/officeDocument/2006/relationships/hyperlink" Target="https://arxiv.org/html/2409.01437v1" TargetMode="External"/><Relationship Id="rId41" Type="http://schemas.openxmlformats.org/officeDocument/2006/relationships/hyperlink" Target="https://web-backend.simula.no/sites/default/files/publications/files/cbms_2018_paper_163_preprint.pdf" TargetMode="External"/><Relationship Id="rId42" Type="http://schemas.openxmlformats.org/officeDocument/2006/relationships/hyperlink" Target="https://www.sciencedirect.com/science/article/pii/S2468900921000190" TargetMode="External"/><Relationship Id="rId43" Type="http://schemas.openxmlformats.org/officeDocument/2006/relationships/hyperlink" Target="https://arxiv.org/html/2410.00536v1" TargetMode="External"/><Relationship Id="rId44" Type="http://schemas.openxmlformats.org/officeDocument/2006/relationships/hyperlink" Target="https://www.nature.com/articles/s41597-023-01981-y" TargetMode="External"/><Relationship Id="rId45" Type="http://schemas.openxmlformats.org/officeDocument/2006/relationships/hyperlink" Target="https://pmc.ncbi.nlm.nih.gov/articles/PMC4265957/"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EDB6F-8E16-400D-988F-4B47CCBA4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2026-02-12T02:35:40Z</dcterms:modified>
</cp:coreProperties>
</file>