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E6847" w14:textId="77777777" w:rsidR="00111D2F" w:rsidRPr="00AC262A" w:rsidRDefault="00111D2F" w:rsidP="00AC262A">
      <w:pPr>
        <w:spacing w:before="800"/>
        <w:jc w:val="center"/>
        <w:rPr>
          <w:rFonts w:ascii="Tahoma" w:hAnsi="Tahoma" w:cs="Tahoma"/>
          <w:b/>
          <w:bCs/>
        </w:rPr>
      </w:pPr>
    </w:p>
    <w:p w14:paraId="04433BE5" w14:textId="77777777" w:rsidR="00111D2F" w:rsidRPr="00BC7267" w:rsidRDefault="00E9729A" w:rsidP="00AC262A">
      <w:pPr>
        <w:jc w:val="center"/>
        <w:rPr>
          <w:rFonts w:ascii="Tahoma" w:hAnsi="Tahoma" w:cs="Tahoma"/>
        </w:rPr>
      </w:pPr>
      <w:r w:rsidRPr="00BC7267">
        <w:rPr>
          <w:rFonts w:ascii="Tahoma" w:hAnsi="Tahoma" w:cs="Tahoma"/>
          <w:b/>
          <w:bCs/>
          <w:color w:val="1F3864"/>
          <w:sz w:val="40"/>
          <w:szCs w:val="40"/>
        </w:rPr>
        <w:t>ACNABIN</w:t>
      </w:r>
    </w:p>
    <w:p w14:paraId="225D7A57" w14:textId="77777777" w:rsidR="00111D2F" w:rsidRPr="00BC7267" w:rsidRDefault="00E9729A" w:rsidP="00AC262A">
      <w:pPr>
        <w:spacing w:before="80" w:after="80"/>
        <w:jc w:val="center"/>
        <w:rPr>
          <w:rFonts w:ascii="Tahoma" w:hAnsi="Tahoma" w:cs="Tahoma"/>
        </w:rPr>
      </w:pPr>
      <w:r w:rsidRPr="00BC7267">
        <w:rPr>
          <w:rFonts w:ascii="Tahoma" w:hAnsi="Tahoma" w:cs="Tahoma"/>
          <w:i/>
          <w:iCs/>
          <w:color w:val="595959"/>
        </w:rPr>
        <w:t>in association with</w:t>
      </w:r>
    </w:p>
    <w:p w14:paraId="772B0D48" w14:textId="77777777" w:rsidR="00111D2F" w:rsidRPr="00BC7267" w:rsidRDefault="00E9729A" w:rsidP="00AC262A">
      <w:pPr>
        <w:jc w:val="center"/>
        <w:rPr>
          <w:rFonts w:ascii="Tahoma" w:hAnsi="Tahoma" w:cs="Tahoma"/>
        </w:rPr>
      </w:pPr>
      <w:proofErr w:type="spellStart"/>
      <w:r w:rsidRPr="00BC7267">
        <w:rPr>
          <w:rFonts w:ascii="Tahoma" w:hAnsi="Tahoma" w:cs="Tahoma"/>
          <w:b/>
          <w:bCs/>
          <w:color w:val="B7924A"/>
          <w:sz w:val="40"/>
          <w:szCs w:val="40"/>
        </w:rPr>
        <w:t>CipherShield</w:t>
      </w:r>
      <w:proofErr w:type="spellEnd"/>
    </w:p>
    <w:p w14:paraId="49A96D68" w14:textId="77777777" w:rsidR="00111D2F" w:rsidRPr="00BC7267" w:rsidRDefault="00111D2F" w:rsidP="00BC7267">
      <w:pPr>
        <w:spacing w:before="700"/>
        <w:jc w:val="both"/>
        <w:rPr>
          <w:rFonts w:ascii="Tahoma" w:hAnsi="Tahoma" w:cs="Tahoma"/>
        </w:rPr>
      </w:pPr>
    </w:p>
    <w:p w14:paraId="03D6F824" w14:textId="77777777" w:rsidR="00111D2F" w:rsidRPr="00BC7267" w:rsidRDefault="00E9729A" w:rsidP="00AC262A">
      <w:pPr>
        <w:jc w:val="center"/>
        <w:rPr>
          <w:rFonts w:ascii="Tahoma" w:hAnsi="Tahoma" w:cs="Tahoma"/>
        </w:rPr>
      </w:pPr>
      <w:r w:rsidRPr="00BC7267">
        <w:rPr>
          <w:rFonts w:ascii="Tahoma" w:hAnsi="Tahoma" w:cs="Tahoma"/>
          <w:b/>
          <w:bCs/>
          <w:color w:val="1F3864"/>
          <w:sz w:val="32"/>
          <w:szCs w:val="32"/>
        </w:rPr>
        <w:t>TECHNICAL PROPOSAL</w:t>
      </w:r>
    </w:p>
    <w:p w14:paraId="68FA29E2" w14:textId="77777777" w:rsidR="00111D2F" w:rsidRPr="00BC7267" w:rsidRDefault="00E9729A" w:rsidP="00AC262A">
      <w:pPr>
        <w:spacing w:before="120"/>
        <w:jc w:val="center"/>
        <w:rPr>
          <w:rFonts w:ascii="Tahoma" w:hAnsi="Tahoma" w:cs="Tahoma"/>
        </w:rPr>
      </w:pPr>
      <w:r w:rsidRPr="00BC7267">
        <w:rPr>
          <w:rFonts w:ascii="Tahoma" w:hAnsi="Tahoma" w:cs="Tahoma"/>
          <w:sz w:val="26"/>
          <w:szCs w:val="26"/>
        </w:rPr>
        <w:t>Selection of an AI Strategy &amp; Governance Consulting Partner</w:t>
      </w:r>
    </w:p>
    <w:p w14:paraId="6025B4C4" w14:textId="77777777" w:rsidR="00111D2F" w:rsidRPr="00BC7267" w:rsidRDefault="00E9729A" w:rsidP="00AC262A">
      <w:pPr>
        <w:spacing w:before="60" w:after="700"/>
        <w:jc w:val="center"/>
        <w:rPr>
          <w:rFonts w:ascii="Tahoma" w:hAnsi="Tahoma" w:cs="Tahoma"/>
        </w:rPr>
      </w:pPr>
      <w:r w:rsidRPr="00BC7267">
        <w:rPr>
          <w:rFonts w:ascii="Tahoma" w:hAnsi="Tahoma" w:cs="Tahoma"/>
          <w:i/>
          <w:iCs/>
        </w:rPr>
        <w:t>Enterprise AI Strategy, Governance Framework and Implementation Roadmap</w:t>
      </w:r>
    </w:p>
    <w:tbl>
      <w:tblPr>
        <w:tblStyle w:val="ListTable3-Accent1"/>
        <w:tblW w:w="7158" w:type="dxa"/>
        <w:tblInd w:w="1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4"/>
        <w:gridCol w:w="5044"/>
      </w:tblGrid>
      <w:tr w:rsidR="00AC262A" w:rsidRPr="00AC262A" w14:paraId="58F434C9" w14:textId="77777777" w:rsidTr="00AC262A">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2114" w:type="dxa"/>
            <w:tcBorders>
              <w:bottom w:val="none" w:sz="0" w:space="0" w:color="auto"/>
              <w:right w:val="none" w:sz="0" w:space="0" w:color="auto"/>
            </w:tcBorders>
            <w:vAlign w:val="center"/>
          </w:tcPr>
          <w:p w14:paraId="2194B219" w14:textId="77777777" w:rsidR="00111D2F" w:rsidRPr="00AC262A" w:rsidRDefault="00E9729A" w:rsidP="00AC262A">
            <w:pPr>
              <w:jc w:val="center"/>
              <w:rPr>
                <w:rFonts w:ascii="Tahoma" w:hAnsi="Tahoma" w:cs="Tahoma"/>
              </w:rPr>
            </w:pPr>
            <w:r w:rsidRPr="00AC262A">
              <w:rPr>
                <w:rFonts w:ascii="Tahoma" w:hAnsi="Tahoma" w:cs="Tahoma"/>
              </w:rPr>
              <w:t>Client</w:t>
            </w:r>
          </w:p>
        </w:tc>
        <w:tc>
          <w:tcPr>
            <w:tcW w:w="5044" w:type="dxa"/>
            <w:vAlign w:val="center"/>
          </w:tcPr>
          <w:p w14:paraId="60813C53" w14:textId="77777777" w:rsidR="00111D2F" w:rsidRPr="00AC262A" w:rsidRDefault="00E9729A" w:rsidP="00AC262A">
            <w:pPr>
              <w:jc w:val="center"/>
              <w:cnfStyle w:val="100000000000" w:firstRow="1" w:lastRow="0" w:firstColumn="0" w:lastColumn="0" w:oddVBand="0" w:evenVBand="0" w:oddHBand="0" w:evenHBand="0" w:firstRowFirstColumn="0" w:firstRowLastColumn="0" w:lastRowFirstColumn="0" w:lastRowLastColumn="0"/>
              <w:rPr>
                <w:rFonts w:ascii="Tahoma" w:hAnsi="Tahoma" w:cs="Tahoma"/>
              </w:rPr>
            </w:pPr>
            <w:r w:rsidRPr="00AC262A">
              <w:rPr>
                <w:rFonts w:ascii="Tahoma" w:hAnsi="Tahoma" w:cs="Tahoma"/>
              </w:rPr>
              <w:t>BRAC Bank PLC</w:t>
            </w:r>
          </w:p>
        </w:tc>
      </w:tr>
      <w:tr w:rsidR="00AC262A" w:rsidRPr="00AC262A" w14:paraId="17FEDCE7" w14:textId="77777777" w:rsidTr="00AC262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114" w:type="dxa"/>
            <w:tcBorders>
              <w:top w:val="none" w:sz="0" w:space="0" w:color="auto"/>
              <w:bottom w:val="none" w:sz="0" w:space="0" w:color="auto"/>
              <w:right w:val="none" w:sz="0" w:space="0" w:color="auto"/>
            </w:tcBorders>
            <w:vAlign w:val="center"/>
          </w:tcPr>
          <w:p w14:paraId="2B99EDCB" w14:textId="77777777" w:rsidR="00111D2F" w:rsidRPr="00AC262A" w:rsidRDefault="00E9729A" w:rsidP="00AC262A">
            <w:pPr>
              <w:rPr>
                <w:rFonts w:ascii="Tahoma" w:hAnsi="Tahoma" w:cs="Tahoma"/>
                <w:color w:val="0F4761" w:themeColor="accent1" w:themeShade="BF"/>
              </w:rPr>
            </w:pPr>
            <w:r w:rsidRPr="00AC262A">
              <w:rPr>
                <w:rFonts w:ascii="Tahoma" w:hAnsi="Tahoma" w:cs="Tahoma"/>
                <w:color w:val="0F4761" w:themeColor="accent1" w:themeShade="BF"/>
              </w:rPr>
              <w:t>Attention</w:t>
            </w:r>
          </w:p>
        </w:tc>
        <w:tc>
          <w:tcPr>
            <w:tcW w:w="5044" w:type="dxa"/>
            <w:tcBorders>
              <w:top w:val="none" w:sz="0" w:space="0" w:color="auto"/>
              <w:bottom w:val="none" w:sz="0" w:space="0" w:color="auto"/>
            </w:tcBorders>
            <w:vAlign w:val="center"/>
          </w:tcPr>
          <w:p w14:paraId="4B44585E" w14:textId="77777777" w:rsidR="00111D2F" w:rsidRPr="00AC262A" w:rsidRDefault="00E9729A" w:rsidP="00AC262A">
            <w:pPr>
              <w:cnfStyle w:val="000000100000" w:firstRow="0" w:lastRow="0" w:firstColumn="0" w:lastColumn="0" w:oddVBand="0" w:evenVBand="0" w:oddHBand="1" w:evenHBand="0" w:firstRowFirstColumn="0" w:firstRowLastColumn="0" w:lastRowFirstColumn="0" w:lastRowLastColumn="0"/>
              <w:rPr>
                <w:rFonts w:ascii="Tahoma" w:hAnsi="Tahoma" w:cs="Tahoma"/>
                <w:color w:val="0F4761" w:themeColor="accent1" w:themeShade="BF"/>
              </w:rPr>
            </w:pPr>
            <w:r w:rsidRPr="00AC262A">
              <w:rPr>
                <w:rFonts w:ascii="Tahoma" w:hAnsi="Tahoma" w:cs="Tahoma"/>
                <w:color w:val="0F4761" w:themeColor="accent1" w:themeShade="BF"/>
              </w:rPr>
              <w:t xml:space="preserve">Head of </w:t>
            </w:r>
            <w:r w:rsidRPr="00AC262A">
              <w:rPr>
                <w:rFonts w:ascii="Tahoma" w:hAnsi="Tahoma" w:cs="Tahoma"/>
                <w:color w:val="0F4761" w:themeColor="accent1" w:themeShade="BF"/>
              </w:rPr>
              <w:t>Enterprise AI / Procurement Committee, BRAC Bank PLC</w:t>
            </w:r>
          </w:p>
        </w:tc>
      </w:tr>
      <w:tr w:rsidR="00AC262A" w:rsidRPr="00AC262A" w14:paraId="1CCE0D89" w14:textId="77777777" w:rsidTr="00AC262A">
        <w:trPr>
          <w:trHeight w:val="432"/>
        </w:trPr>
        <w:tc>
          <w:tcPr>
            <w:cnfStyle w:val="001000000000" w:firstRow="0" w:lastRow="0" w:firstColumn="1" w:lastColumn="0" w:oddVBand="0" w:evenVBand="0" w:oddHBand="0" w:evenHBand="0" w:firstRowFirstColumn="0" w:firstRowLastColumn="0" w:lastRowFirstColumn="0" w:lastRowLastColumn="0"/>
            <w:tcW w:w="2114" w:type="dxa"/>
            <w:tcBorders>
              <w:right w:val="none" w:sz="0" w:space="0" w:color="auto"/>
            </w:tcBorders>
            <w:vAlign w:val="center"/>
          </w:tcPr>
          <w:p w14:paraId="276D39B9" w14:textId="77777777" w:rsidR="00111D2F" w:rsidRPr="00AC262A" w:rsidRDefault="00E9729A" w:rsidP="00AC262A">
            <w:pPr>
              <w:rPr>
                <w:rFonts w:ascii="Tahoma" w:hAnsi="Tahoma" w:cs="Tahoma"/>
                <w:color w:val="0F4761" w:themeColor="accent1" w:themeShade="BF"/>
              </w:rPr>
            </w:pPr>
            <w:r w:rsidRPr="00AC262A">
              <w:rPr>
                <w:rFonts w:ascii="Tahoma" w:hAnsi="Tahoma" w:cs="Tahoma"/>
                <w:color w:val="0F4761" w:themeColor="accent1" w:themeShade="BF"/>
              </w:rPr>
              <w:t>Submitted By</w:t>
            </w:r>
          </w:p>
        </w:tc>
        <w:tc>
          <w:tcPr>
            <w:tcW w:w="5044" w:type="dxa"/>
            <w:vAlign w:val="center"/>
          </w:tcPr>
          <w:p w14:paraId="244C43B4" w14:textId="77777777" w:rsidR="00111D2F" w:rsidRPr="00AC262A" w:rsidRDefault="00E9729A" w:rsidP="00AC262A">
            <w:pPr>
              <w:cnfStyle w:val="000000000000" w:firstRow="0" w:lastRow="0" w:firstColumn="0" w:lastColumn="0" w:oddVBand="0" w:evenVBand="0" w:oddHBand="0" w:evenHBand="0" w:firstRowFirstColumn="0" w:firstRowLastColumn="0" w:lastRowFirstColumn="0" w:lastRowLastColumn="0"/>
              <w:rPr>
                <w:rFonts w:ascii="Tahoma" w:hAnsi="Tahoma" w:cs="Tahoma"/>
                <w:color w:val="0F4761" w:themeColor="accent1" w:themeShade="BF"/>
              </w:rPr>
            </w:pPr>
            <w:r w:rsidRPr="00AC262A">
              <w:rPr>
                <w:rFonts w:ascii="Tahoma" w:hAnsi="Tahoma" w:cs="Tahoma"/>
                <w:color w:val="0F4761" w:themeColor="accent1" w:themeShade="BF"/>
              </w:rPr>
              <w:t xml:space="preserve">ACNABIN Chartered Accountants (Baker Tilly International) in association with </w:t>
            </w:r>
            <w:proofErr w:type="spellStart"/>
            <w:r w:rsidRPr="00AC262A">
              <w:rPr>
                <w:rFonts w:ascii="Tahoma" w:hAnsi="Tahoma" w:cs="Tahoma"/>
                <w:color w:val="0F4761" w:themeColor="accent1" w:themeShade="BF"/>
              </w:rPr>
              <w:t>CipherShield</w:t>
            </w:r>
            <w:proofErr w:type="spellEnd"/>
          </w:p>
        </w:tc>
      </w:tr>
      <w:tr w:rsidR="00AC262A" w:rsidRPr="00AC262A" w14:paraId="1AA72918" w14:textId="77777777" w:rsidTr="00AC262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114" w:type="dxa"/>
            <w:tcBorders>
              <w:top w:val="none" w:sz="0" w:space="0" w:color="auto"/>
              <w:bottom w:val="none" w:sz="0" w:space="0" w:color="auto"/>
              <w:right w:val="none" w:sz="0" w:space="0" w:color="auto"/>
            </w:tcBorders>
            <w:vAlign w:val="center"/>
          </w:tcPr>
          <w:p w14:paraId="27E9FCA4" w14:textId="77777777" w:rsidR="00111D2F" w:rsidRPr="00AC262A" w:rsidRDefault="00E9729A" w:rsidP="00AC262A">
            <w:pPr>
              <w:rPr>
                <w:rFonts w:ascii="Tahoma" w:hAnsi="Tahoma" w:cs="Tahoma"/>
                <w:color w:val="0F4761" w:themeColor="accent1" w:themeShade="BF"/>
              </w:rPr>
            </w:pPr>
            <w:r w:rsidRPr="00AC262A">
              <w:rPr>
                <w:rFonts w:ascii="Tahoma" w:hAnsi="Tahoma" w:cs="Tahoma"/>
                <w:color w:val="0F4761" w:themeColor="accent1" w:themeShade="BF"/>
              </w:rPr>
              <w:t>Reference</w:t>
            </w:r>
          </w:p>
        </w:tc>
        <w:tc>
          <w:tcPr>
            <w:tcW w:w="5044" w:type="dxa"/>
            <w:tcBorders>
              <w:top w:val="none" w:sz="0" w:space="0" w:color="auto"/>
              <w:bottom w:val="none" w:sz="0" w:space="0" w:color="auto"/>
            </w:tcBorders>
            <w:vAlign w:val="center"/>
          </w:tcPr>
          <w:p w14:paraId="568DD813" w14:textId="77777777" w:rsidR="00111D2F" w:rsidRPr="00AC262A" w:rsidRDefault="00E9729A" w:rsidP="00AC262A">
            <w:pPr>
              <w:cnfStyle w:val="000000100000" w:firstRow="0" w:lastRow="0" w:firstColumn="0" w:lastColumn="0" w:oddVBand="0" w:evenVBand="0" w:oddHBand="1" w:evenHBand="0" w:firstRowFirstColumn="0" w:firstRowLastColumn="0" w:lastRowFirstColumn="0" w:lastRowLastColumn="0"/>
              <w:rPr>
                <w:rFonts w:ascii="Tahoma" w:hAnsi="Tahoma" w:cs="Tahoma"/>
                <w:color w:val="0F4761" w:themeColor="accent1" w:themeShade="BF"/>
              </w:rPr>
            </w:pPr>
            <w:proofErr w:type="spellStart"/>
            <w:r w:rsidRPr="00AC262A">
              <w:rPr>
                <w:rFonts w:ascii="Tahoma" w:hAnsi="Tahoma" w:cs="Tahoma"/>
                <w:color w:val="0F4761" w:themeColor="accent1" w:themeShade="BF"/>
              </w:rPr>
              <w:t>ToR</w:t>
            </w:r>
            <w:proofErr w:type="spellEnd"/>
            <w:r w:rsidRPr="00AC262A">
              <w:rPr>
                <w:rFonts w:ascii="Tahoma" w:hAnsi="Tahoma" w:cs="Tahoma"/>
                <w:color w:val="0F4761" w:themeColor="accent1" w:themeShade="BF"/>
              </w:rPr>
              <w:t xml:space="preserve"> — Enterprise AI Strategy (Annexure 1)</w:t>
            </w:r>
          </w:p>
        </w:tc>
      </w:tr>
      <w:tr w:rsidR="00AC262A" w:rsidRPr="00AC262A" w14:paraId="4EE09CDA" w14:textId="77777777" w:rsidTr="00AC262A">
        <w:trPr>
          <w:trHeight w:val="432"/>
        </w:trPr>
        <w:tc>
          <w:tcPr>
            <w:cnfStyle w:val="001000000000" w:firstRow="0" w:lastRow="0" w:firstColumn="1" w:lastColumn="0" w:oddVBand="0" w:evenVBand="0" w:oddHBand="0" w:evenHBand="0" w:firstRowFirstColumn="0" w:firstRowLastColumn="0" w:lastRowFirstColumn="0" w:lastRowLastColumn="0"/>
            <w:tcW w:w="2114" w:type="dxa"/>
            <w:tcBorders>
              <w:right w:val="none" w:sz="0" w:space="0" w:color="auto"/>
            </w:tcBorders>
            <w:vAlign w:val="center"/>
          </w:tcPr>
          <w:p w14:paraId="19E04F8B" w14:textId="77777777" w:rsidR="00111D2F" w:rsidRPr="00AC262A" w:rsidRDefault="00E9729A" w:rsidP="00AC262A">
            <w:pPr>
              <w:rPr>
                <w:rFonts w:ascii="Tahoma" w:hAnsi="Tahoma" w:cs="Tahoma"/>
                <w:color w:val="0F4761" w:themeColor="accent1" w:themeShade="BF"/>
              </w:rPr>
            </w:pPr>
            <w:r w:rsidRPr="00AC262A">
              <w:rPr>
                <w:rFonts w:ascii="Tahoma" w:hAnsi="Tahoma" w:cs="Tahoma"/>
                <w:color w:val="0F4761" w:themeColor="accent1" w:themeShade="BF"/>
              </w:rPr>
              <w:t>Date</w:t>
            </w:r>
          </w:p>
        </w:tc>
        <w:tc>
          <w:tcPr>
            <w:tcW w:w="5044" w:type="dxa"/>
            <w:vAlign w:val="center"/>
          </w:tcPr>
          <w:p w14:paraId="4D584875" w14:textId="77777777" w:rsidR="00111D2F" w:rsidRPr="00AC262A" w:rsidRDefault="00E9729A" w:rsidP="00AC262A">
            <w:pPr>
              <w:cnfStyle w:val="000000000000" w:firstRow="0" w:lastRow="0" w:firstColumn="0" w:lastColumn="0" w:oddVBand="0" w:evenVBand="0" w:oddHBand="0" w:evenHBand="0" w:firstRowFirstColumn="0" w:firstRowLastColumn="0" w:lastRowFirstColumn="0" w:lastRowLastColumn="0"/>
              <w:rPr>
                <w:rFonts w:ascii="Tahoma" w:hAnsi="Tahoma" w:cs="Tahoma"/>
                <w:color w:val="0F4761" w:themeColor="accent1" w:themeShade="BF"/>
              </w:rPr>
            </w:pPr>
            <w:r w:rsidRPr="00AC262A">
              <w:rPr>
                <w:rFonts w:ascii="Tahoma" w:hAnsi="Tahoma" w:cs="Tahoma"/>
                <w:color w:val="0F4761" w:themeColor="accent1" w:themeShade="BF"/>
              </w:rPr>
              <w:t>09 July 2026</w:t>
            </w:r>
          </w:p>
        </w:tc>
      </w:tr>
      <w:tr w:rsidR="00AC262A" w:rsidRPr="00AC262A" w14:paraId="21CE1168" w14:textId="77777777" w:rsidTr="00AC262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114" w:type="dxa"/>
            <w:tcBorders>
              <w:top w:val="none" w:sz="0" w:space="0" w:color="auto"/>
              <w:bottom w:val="none" w:sz="0" w:space="0" w:color="auto"/>
              <w:right w:val="none" w:sz="0" w:space="0" w:color="auto"/>
            </w:tcBorders>
            <w:vAlign w:val="center"/>
          </w:tcPr>
          <w:p w14:paraId="19EE23B3" w14:textId="77777777" w:rsidR="00111D2F" w:rsidRPr="00AC262A" w:rsidRDefault="00E9729A" w:rsidP="00AC262A">
            <w:pPr>
              <w:rPr>
                <w:rFonts w:ascii="Tahoma" w:hAnsi="Tahoma" w:cs="Tahoma"/>
                <w:color w:val="0F4761" w:themeColor="accent1" w:themeShade="BF"/>
              </w:rPr>
            </w:pPr>
            <w:r w:rsidRPr="00AC262A">
              <w:rPr>
                <w:rFonts w:ascii="Tahoma" w:hAnsi="Tahoma" w:cs="Tahoma"/>
                <w:color w:val="0F4761" w:themeColor="accent1" w:themeShade="BF"/>
              </w:rPr>
              <w:t>Classification</w:t>
            </w:r>
          </w:p>
        </w:tc>
        <w:tc>
          <w:tcPr>
            <w:tcW w:w="5044" w:type="dxa"/>
            <w:tcBorders>
              <w:top w:val="none" w:sz="0" w:space="0" w:color="auto"/>
              <w:bottom w:val="none" w:sz="0" w:space="0" w:color="auto"/>
            </w:tcBorders>
            <w:vAlign w:val="center"/>
          </w:tcPr>
          <w:p w14:paraId="5FDC4EF6" w14:textId="77777777" w:rsidR="00111D2F" w:rsidRPr="00AC262A" w:rsidRDefault="00E9729A" w:rsidP="00AC262A">
            <w:pPr>
              <w:cnfStyle w:val="000000100000" w:firstRow="0" w:lastRow="0" w:firstColumn="0" w:lastColumn="0" w:oddVBand="0" w:evenVBand="0" w:oddHBand="1" w:evenHBand="0" w:firstRowFirstColumn="0" w:firstRowLastColumn="0" w:lastRowFirstColumn="0" w:lastRowLastColumn="0"/>
              <w:rPr>
                <w:rFonts w:ascii="Tahoma" w:hAnsi="Tahoma" w:cs="Tahoma"/>
                <w:color w:val="0F4761" w:themeColor="accent1" w:themeShade="BF"/>
              </w:rPr>
            </w:pPr>
            <w:r w:rsidRPr="00AC262A">
              <w:rPr>
                <w:rFonts w:ascii="Tahoma" w:hAnsi="Tahoma" w:cs="Tahoma"/>
                <w:color w:val="0F4761" w:themeColor="accent1" w:themeShade="BF"/>
              </w:rPr>
              <w:t>Confidential — Prepared exclusively for BRAC Bank PLC</w:t>
            </w:r>
          </w:p>
        </w:tc>
      </w:tr>
    </w:tbl>
    <w:p w14:paraId="797E74AE" w14:textId="77777777" w:rsidR="00111D2F" w:rsidRPr="00BC7267" w:rsidRDefault="00E9729A" w:rsidP="00BC7267">
      <w:pPr>
        <w:jc w:val="both"/>
        <w:rPr>
          <w:rFonts w:ascii="Tahoma" w:hAnsi="Tahoma" w:cs="Tahoma"/>
        </w:rPr>
      </w:pPr>
      <w:r w:rsidRPr="00BC7267">
        <w:rPr>
          <w:rFonts w:ascii="Tahoma" w:hAnsi="Tahoma" w:cs="Tahoma"/>
        </w:rPr>
        <w:br w:type="page"/>
      </w:r>
    </w:p>
    <w:p w14:paraId="034F365E" w14:textId="77777777" w:rsidR="00111D2F" w:rsidRPr="00BC7267" w:rsidRDefault="00E9729A" w:rsidP="00BC7267">
      <w:pPr>
        <w:pStyle w:val="Heading1"/>
        <w:jc w:val="both"/>
        <w:rPr>
          <w:rFonts w:ascii="Tahoma" w:hAnsi="Tahoma" w:cs="Tahoma"/>
        </w:rPr>
      </w:pPr>
      <w:bookmarkStart w:id="0" w:name="_Toc234500183"/>
      <w:r w:rsidRPr="00BC7267">
        <w:rPr>
          <w:rFonts w:ascii="Tahoma" w:hAnsi="Tahoma" w:cs="Tahoma"/>
        </w:rPr>
        <w:lastRenderedPageBreak/>
        <w:t>Table of Contents</w:t>
      </w:r>
      <w:bookmarkEnd w:id="0"/>
    </w:p>
    <w:sdt>
      <w:sdtPr>
        <w:rPr>
          <w:rFonts w:ascii="Tahoma" w:hAnsi="Tahoma" w:cs="Tahoma"/>
        </w:rPr>
        <w:alias w:val="Table of Contents"/>
        <w:id w:val="-641193899"/>
      </w:sdtPr>
      <w:sdtEndPr/>
      <w:sdtContent>
        <w:p w14:paraId="10E57111" w14:textId="77777777" w:rsidR="00BC7267" w:rsidRPr="00BC7267" w:rsidRDefault="00E9729A" w:rsidP="00BC7267">
          <w:pPr>
            <w:pStyle w:val="TOC1"/>
            <w:tabs>
              <w:tab w:val="right" w:leader="dot" w:pos="9736"/>
            </w:tabs>
            <w:jc w:val="both"/>
            <w:rPr>
              <w:rFonts w:ascii="Tahoma" w:hAnsi="Tahoma" w:cs="Tahoma"/>
              <w:noProof/>
            </w:rPr>
          </w:pPr>
          <w:r w:rsidRPr="00BC7267">
            <w:rPr>
              <w:rFonts w:ascii="Tahoma" w:hAnsi="Tahoma" w:cs="Tahoma"/>
            </w:rPr>
            <w:fldChar w:fldCharType="begin"/>
          </w:r>
          <w:r w:rsidRPr="00BC7267">
            <w:rPr>
              <w:rFonts w:ascii="Tahoma" w:hAnsi="Tahoma" w:cs="Tahoma"/>
            </w:rPr>
            <w:instrText>TOC \h \o "1-3"</w:instrText>
          </w:r>
          <w:r w:rsidRPr="00BC7267">
            <w:rPr>
              <w:rFonts w:ascii="Tahoma" w:hAnsi="Tahoma" w:cs="Tahoma"/>
            </w:rPr>
            <w:fldChar w:fldCharType="separate"/>
          </w:r>
          <w:hyperlink w:anchor="_Toc234500183" w:history="1">
            <w:r w:rsidR="00BC7267" w:rsidRPr="00BC7267">
              <w:rPr>
                <w:rStyle w:val="Hyperlink"/>
                <w:rFonts w:ascii="Tahoma" w:hAnsi="Tahoma" w:cs="Tahoma"/>
                <w:noProof/>
              </w:rPr>
              <w:t>Table of Contents</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_Toc234500183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2</w:t>
            </w:r>
            <w:r w:rsidR="00BC7267" w:rsidRPr="00BC7267">
              <w:rPr>
                <w:rFonts w:ascii="Tahoma" w:hAnsi="Tahoma" w:cs="Tahoma"/>
                <w:noProof/>
              </w:rPr>
              <w:fldChar w:fldCharType="end"/>
            </w:r>
          </w:hyperlink>
        </w:p>
        <w:p w14:paraId="4D2F6681" w14:textId="77777777" w:rsidR="00BC7267" w:rsidRPr="00BC7267" w:rsidRDefault="00E9729A" w:rsidP="00BC7267">
          <w:pPr>
            <w:pStyle w:val="TOC1"/>
            <w:tabs>
              <w:tab w:val="right" w:leader="dot" w:pos="9736"/>
            </w:tabs>
            <w:jc w:val="both"/>
            <w:rPr>
              <w:rFonts w:ascii="Tahoma" w:hAnsi="Tahoma" w:cs="Tahoma"/>
              <w:noProof/>
            </w:rPr>
          </w:pPr>
          <w:hyperlink w:anchor="_Toc234500184" w:history="1">
            <w:r w:rsidR="00BC7267" w:rsidRPr="00BC7267">
              <w:rPr>
                <w:rStyle w:val="Hyperlink"/>
                <w:rFonts w:ascii="Tahoma" w:hAnsi="Tahoma" w:cs="Tahoma"/>
                <w:noProof/>
              </w:rPr>
              <w:t>1. Executive Summary</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_Toc234500184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3</w:t>
            </w:r>
            <w:r w:rsidR="00BC7267" w:rsidRPr="00BC7267">
              <w:rPr>
                <w:rFonts w:ascii="Tahoma" w:hAnsi="Tahoma" w:cs="Tahoma"/>
                <w:noProof/>
              </w:rPr>
              <w:fldChar w:fldCharType="end"/>
            </w:r>
          </w:hyperlink>
        </w:p>
        <w:p w14:paraId="2E7C3EBA" w14:textId="77777777" w:rsidR="00BC7267" w:rsidRPr="00BC7267" w:rsidRDefault="00E9729A" w:rsidP="00BC7267">
          <w:pPr>
            <w:pStyle w:val="TOC1"/>
            <w:tabs>
              <w:tab w:val="right" w:leader="dot" w:pos="9736"/>
            </w:tabs>
            <w:jc w:val="both"/>
            <w:rPr>
              <w:rFonts w:ascii="Tahoma" w:hAnsi="Tahoma" w:cs="Tahoma"/>
              <w:noProof/>
            </w:rPr>
          </w:pPr>
          <w:hyperlink w:anchor="_Toc234500185" w:history="1">
            <w:r w:rsidR="00BC7267" w:rsidRPr="00BC7267">
              <w:rPr>
                <w:rStyle w:val="Hyperlink"/>
                <w:rFonts w:ascii="Tahoma" w:hAnsi="Tahoma" w:cs="Tahoma"/>
                <w:noProof/>
              </w:rPr>
              <w:t>2. About the Proposing Consortium</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_Toc234500185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4</w:t>
            </w:r>
            <w:r w:rsidR="00BC7267" w:rsidRPr="00BC7267">
              <w:rPr>
                <w:rFonts w:ascii="Tahoma" w:hAnsi="Tahoma" w:cs="Tahoma"/>
                <w:noProof/>
              </w:rPr>
              <w:fldChar w:fldCharType="end"/>
            </w:r>
          </w:hyperlink>
        </w:p>
        <w:p w14:paraId="6F7F3391" w14:textId="77777777" w:rsidR="00BC7267" w:rsidRPr="00BC7267" w:rsidRDefault="00E9729A" w:rsidP="00BC7267">
          <w:pPr>
            <w:pStyle w:val="TOC2"/>
            <w:tabs>
              <w:tab w:val="right" w:leader="dot" w:pos="9736"/>
            </w:tabs>
            <w:jc w:val="both"/>
            <w:rPr>
              <w:rFonts w:ascii="Tahoma" w:hAnsi="Tahoma" w:cs="Tahoma"/>
              <w:noProof/>
            </w:rPr>
          </w:pPr>
          <w:hyperlink w:anchor="_Toc234500186" w:history="1">
            <w:r w:rsidR="00BC7267" w:rsidRPr="00BC7267">
              <w:rPr>
                <w:rStyle w:val="Hyperlink"/>
                <w:rFonts w:ascii="Tahoma" w:hAnsi="Tahoma" w:cs="Tahoma"/>
                <w:noProof/>
              </w:rPr>
              <w:t>2.1 ACNABIN Chartered Accountants</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_Toc234500186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4</w:t>
            </w:r>
            <w:r w:rsidR="00BC7267" w:rsidRPr="00BC7267">
              <w:rPr>
                <w:rFonts w:ascii="Tahoma" w:hAnsi="Tahoma" w:cs="Tahoma"/>
                <w:noProof/>
              </w:rPr>
              <w:fldChar w:fldCharType="end"/>
            </w:r>
          </w:hyperlink>
        </w:p>
        <w:p w14:paraId="7DEA453F" w14:textId="77777777" w:rsidR="00BC7267" w:rsidRPr="00BC7267" w:rsidRDefault="00E9729A" w:rsidP="00BC7267">
          <w:pPr>
            <w:pStyle w:val="TOC2"/>
            <w:tabs>
              <w:tab w:val="right" w:leader="dot" w:pos="9736"/>
            </w:tabs>
            <w:jc w:val="both"/>
            <w:rPr>
              <w:rFonts w:ascii="Tahoma" w:hAnsi="Tahoma" w:cs="Tahoma"/>
              <w:noProof/>
            </w:rPr>
          </w:pPr>
          <w:hyperlink w:anchor="_Toc234500187" w:history="1">
            <w:r w:rsidR="00BC7267" w:rsidRPr="00BC7267">
              <w:rPr>
                <w:rStyle w:val="Hyperlink"/>
                <w:rFonts w:ascii="Tahoma" w:hAnsi="Tahoma" w:cs="Tahoma"/>
                <w:noProof/>
              </w:rPr>
              <w:t>2.2 CipherShield</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_Toc234500187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4</w:t>
            </w:r>
            <w:r w:rsidR="00BC7267" w:rsidRPr="00BC7267">
              <w:rPr>
                <w:rFonts w:ascii="Tahoma" w:hAnsi="Tahoma" w:cs="Tahoma"/>
                <w:noProof/>
              </w:rPr>
              <w:fldChar w:fldCharType="end"/>
            </w:r>
          </w:hyperlink>
        </w:p>
        <w:p w14:paraId="1F6F8098" w14:textId="77777777" w:rsidR="00BC7267" w:rsidRPr="00BC7267" w:rsidRDefault="00E9729A" w:rsidP="00BC7267">
          <w:pPr>
            <w:pStyle w:val="TOC2"/>
            <w:tabs>
              <w:tab w:val="right" w:leader="dot" w:pos="9736"/>
            </w:tabs>
            <w:jc w:val="both"/>
            <w:rPr>
              <w:rFonts w:ascii="Tahoma" w:hAnsi="Tahoma" w:cs="Tahoma"/>
              <w:noProof/>
            </w:rPr>
          </w:pPr>
          <w:hyperlink w:anchor="_Toc234500188" w:history="1">
            <w:r w:rsidR="00BC7267" w:rsidRPr="00BC7267">
              <w:rPr>
                <w:rStyle w:val="Hyperlink"/>
                <w:rFonts w:ascii="Tahoma" w:hAnsi="Tahoma" w:cs="Tahoma"/>
                <w:noProof/>
              </w:rPr>
              <w:t>2.3 Why This Partnership</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_Toc234500188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4</w:t>
            </w:r>
            <w:r w:rsidR="00BC7267" w:rsidRPr="00BC7267">
              <w:rPr>
                <w:rFonts w:ascii="Tahoma" w:hAnsi="Tahoma" w:cs="Tahoma"/>
                <w:noProof/>
              </w:rPr>
              <w:fldChar w:fldCharType="end"/>
            </w:r>
          </w:hyperlink>
        </w:p>
        <w:p w14:paraId="13A500B1" w14:textId="77777777" w:rsidR="00BC7267" w:rsidRPr="00BC7267" w:rsidRDefault="00E9729A" w:rsidP="00BC7267">
          <w:pPr>
            <w:pStyle w:val="TOC1"/>
            <w:tabs>
              <w:tab w:val="right" w:leader="dot" w:pos="9736"/>
            </w:tabs>
            <w:jc w:val="both"/>
            <w:rPr>
              <w:rFonts w:ascii="Tahoma" w:hAnsi="Tahoma" w:cs="Tahoma"/>
              <w:noProof/>
            </w:rPr>
          </w:pPr>
          <w:hyperlink w:anchor="_Toc234500189" w:history="1">
            <w:r w:rsidR="00BC7267" w:rsidRPr="00BC7267">
              <w:rPr>
                <w:rStyle w:val="Hyperlink"/>
                <w:rFonts w:ascii="Tahoma" w:hAnsi="Tahoma" w:cs="Tahoma"/>
                <w:noProof/>
              </w:rPr>
              <w:t>3. Understanding of the Assignment</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_Toc234500189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6</w:t>
            </w:r>
            <w:r w:rsidR="00BC7267" w:rsidRPr="00BC7267">
              <w:rPr>
                <w:rFonts w:ascii="Tahoma" w:hAnsi="Tahoma" w:cs="Tahoma"/>
                <w:noProof/>
              </w:rPr>
              <w:fldChar w:fldCharType="end"/>
            </w:r>
          </w:hyperlink>
        </w:p>
        <w:p w14:paraId="3C1845FE" w14:textId="77777777" w:rsidR="00BC7267" w:rsidRPr="00BC7267" w:rsidRDefault="00E9729A" w:rsidP="00BC7267">
          <w:pPr>
            <w:pStyle w:val="TOC1"/>
            <w:tabs>
              <w:tab w:val="right" w:leader="dot" w:pos="9736"/>
            </w:tabs>
            <w:jc w:val="both"/>
            <w:rPr>
              <w:rFonts w:ascii="Tahoma" w:hAnsi="Tahoma" w:cs="Tahoma"/>
              <w:noProof/>
            </w:rPr>
          </w:pPr>
          <w:hyperlink w:anchor="_Toc234500190" w:history="1">
            <w:r w:rsidR="00BC7267" w:rsidRPr="00BC7267">
              <w:rPr>
                <w:rStyle w:val="Hyperlink"/>
                <w:rFonts w:ascii="Tahoma" w:hAnsi="Tahoma" w:cs="Tahoma"/>
                <w:noProof/>
              </w:rPr>
              <w:t>4. Proposed Approach &amp; Methodology</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_Toc234500190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7</w:t>
            </w:r>
            <w:r w:rsidR="00BC7267" w:rsidRPr="00BC7267">
              <w:rPr>
                <w:rFonts w:ascii="Tahoma" w:hAnsi="Tahoma" w:cs="Tahoma"/>
                <w:noProof/>
              </w:rPr>
              <w:fldChar w:fldCharType="end"/>
            </w:r>
          </w:hyperlink>
        </w:p>
        <w:p w14:paraId="0A41E3E3" w14:textId="77777777" w:rsidR="00BC7267" w:rsidRPr="00BC7267" w:rsidRDefault="00E9729A" w:rsidP="00BC7267">
          <w:pPr>
            <w:pStyle w:val="TOC2"/>
            <w:tabs>
              <w:tab w:val="right" w:leader="dot" w:pos="9736"/>
            </w:tabs>
            <w:jc w:val="both"/>
            <w:rPr>
              <w:rFonts w:ascii="Tahoma" w:hAnsi="Tahoma" w:cs="Tahoma"/>
              <w:noProof/>
            </w:rPr>
          </w:pPr>
          <w:hyperlink w:anchor="_Toc234500191" w:history="1">
            <w:r w:rsidR="00BC7267" w:rsidRPr="00BC7267">
              <w:rPr>
                <w:rStyle w:val="Hyperlink"/>
                <w:rFonts w:ascii="Tahoma" w:hAnsi="Tahoma" w:cs="Tahoma"/>
                <w:noProof/>
              </w:rPr>
              <w:t>4.1 Guiding Principles</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_Toc234500191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7</w:t>
            </w:r>
            <w:r w:rsidR="00BC7267" w:rsidRPr="00BC7267">
              <w:rPr>
                <w:rFonts w:ascii="Tahoma" w:hAnsi="Tahoma" w:cs="Tahoma"/>
                <w:noProof/>
              </w:rPr>
              <w:fldChar w:fldCharType="end"/>
            </w:r>
          </w:hyperlink>
        </w:p>
        <w:p w14:paraId="1CD0414D" w14:textId="77777777" w:rsidR="00BC7267" w:rsidRPr="00BC7267" w:rsidRDefault="00E9729A" w:rsidP="00BC7267">
          <w:pPr>
            <w:pStyle w:val="TOC2"/>
            <w:tabs>
              <w:tab w:val="right" w:leader="dot" w:pos="9736"/>
            </w:tabs>
            <w:jc w:val="both"/>
            <w:rPr>
              <w:rFonts w:ascii="Tahoma" w:hAnsi="Tahoma" w:cs="Tahoma"/>
              <w:noProof/>
            </w:rPr>
          </w:pPr>
          <w:hyperlink w:anchor="_Toc234500192" w:history="1">
            <w:r w:rsidR="00BC7267" w:rsidRPr="00BC7267">
              <w:rPr>
                <w:rStyle w:val="Hyperlink"/>
                <w:rFonts w:ascii="Tahoma" w:hAnsi="Tahoma" w:cs="Tahoma"/>
                <w:noProof/>
              </w:rPr>
              <w:t>4.2 Delivery Structure</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_Toc234500192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7</w:t>
            </w:r>
            <w:r w:rsidR="00BC7267" w:rsidRPr="00BC7267">
              <w:rPr>
                <w:rFonts w:ascii="Tahoma" w:hAnsi="Tahoma" w:cs="Tahoma"/>
                <w:noProof/>
              </w:rPr>
              <w:fldChar w:fldCharType="end"/>
            </w:r>
          </w:hyperlink>
        </w:p>
        <w:p w14:paraId="7C65E589" w14:textId="77777777" w:rsidR="00BC7267" w:rsidRPr="00BC7267" w:rsidRDefault="00E9729A" w:rsidP="00BC7267">
          <w:pPr>
            <w:pStyle w:val="TOC3"/>
            <w:tabs>
              <w:tab w:val="right" w:leader="dot" w:pos="9736"/>
            </w:tabs>
            <w:jc w:val="both"/>
            <w:rPr>
              <w:rFonts w:ascii="Tahoma" w:hAnsi="Tahoma" w:cs="Tahoma"/>
              <w:noProof/>
            </w:rPr>
          </w:pPr>
          <w:hyperlink w:anchor="_Toc234500193" w:history="1">
            <w:r w:rsidR="00BC7267" w:rsidRPr="00BC7267">
              <w:rPr>
                <w:rStyle w:val="Hyperlink"/>
                <w:rFonts w:ascii="Tahoma" w:hAnsi="Tahoma" w:cs="Tahoma"/>
                <w:noProof/>
              </w:rPr>
              <w:t>Workstream A — AI Readiness and Prioritised Use-Case Portfolio</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_Toc234500193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7</w:t>
            </w:r>
            <w:r w:rsidR="00BC7267" w:rsidRPr="00BC7267">
              <w:rPr>
                <w:rFonts w:ascii="Tahoma" w:hAnsi="Tahoma" w:cs="Tahoma"/>
                <w:noProof/>
              </w:rPr>
              <w:fldChar w:fldCharType="end"/>
            </w:r>
          </w:hyperlink>
        </w:p>
        <w:p w14:paraId="6C23AC4E" w14:textId="77777777" w:rsidR="00BC7267" w:rsidRPr="00BC7267" w:rsidRDefault="00E9729A" w:rsidP="00BC7267">
          <w:pPr>
            <w:pStyle w:val="TOC3"/>
            <w:tabs>
              <w:tab w:val="right" w:leader="dot" w:pos="9736"/>
            </w:tabs>
            <w:jc w:val="both"/>
            <w:rPr>
              <w:rFonts w:ascii="Tahoma" w:hAnsi="Tahoma" w:cs="Tahoma"/>
              <w:noProof/>
            </w:rPr>
          </w:pPr>
          <w:hyperlink w:anchor="_Toc234500194" w:history="1">
            <w:r w:rsidR="00BC7267" w:rsidRPr="00BC7267">
              <w:rPr>
                <w:rStyle w:val="Hyperlink"/>
                <w:rFonts w:ascii="Tahoma" w:hAnsi="Tahoma" w:cs="Tahoma"/>
                <w:noProof/>
              </w:rPr>
              <w:t>Workstream B — Enterprise AI Governance and Control Framework</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_Toc234500194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7</w:t>
            </w:r>
            <w:r w:rsidR="00BC7267" w:rsidRPr="00BC7267">
              <w:rPr>
                <w:rFonts w:ascii="Tahoma" w:hAnsi="Tahoma" w:cs="Tahoma"/>
                <w:noProof/>
              </w:rPr>
              <w:fldChar w:fldCharType="end"/>
            </w:r>
          </w:hyperlink>
        </w:p>
        <w:p w14:paraId="2F963023" w14:textId="77777777" w:rsidR="00BC7267" w:rsidRPr="00BC7267" w:rsidRDefault="00E9729A" w:rsidP="00BC7267">
          <w:pPr>
            <w:pStyle w:val="TOC3"/>
            <w:tabs>
              <w:tab w:val="right" w:leader="dot" w:pos="9736"/>
            </w:tabs>
            <w:jc w:val="both"/>
            <w:rPr>
              <w:rFonts w:ascii="Tahoma" w:hAnsi="Tahoma" w:cs="Tahoma"/>
              <w:noProof/>
            </w:rPr>
          </w:pPr>
          <w:hyperlink w:anchor="_Toc234500195" w:history="1">
            <w:r w:rsidR="00BC7267" w:rsidRPr="00BC7267">
              <w:rPr>
                <w:rStyle w:val="Hyperlink"/>
                <w:rFonts w:ascii="Tahoma" w:hAnsi="Tahoma" w:cs="Tahoma"/>
                <w:noProof/>
              </w:rPr>
              <w:t>Workstream C — Enterprise AI Strategy, Roadmap and Business Case</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_Toc234500195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8</w:t>
            </w:r>
            <w:r w:rsidR="00BC7267" w:rsidRPr="00BC7267">
              <w:rPr>
                <w:rFonts w:ascii="Tahoma" w:hAnsi="Tahoma" w:cs="Tahoma"/>
                <w:noProof/>
              </w:rPr>
              <w:fldChar w:fldCharType="end"/>
            </w:r>
          </w:hyperlink>
        </w:p>
        <w:p w14:paraId="2FC175AC" w14:textId="77777777" w:rsidR="00BC7267" w:rsidRPr="00BC7267" w:rsidRDefault="00E9729A" w:rsidP="00BC7267">
          <w:pPr>
            <w:pStyle w:val="TOC2"/>
            <w:tabs>
              <w:tab w:val="right" w:leader="dot" w:pos="9736"/>
            </w:tabs>
            <w:jc w:val="both"/>
            <w:rPr>
              <w:rFonts w:ascii="Tahoma" w:hAnsi="Tahoma" w:cs="Tahoma"/>
              <w:noProof/>
            </w:rPr>
          </w:pPr>
          <w:hyperlink w:anchor="_Toc234500196" w:history="1">
            <w:r w:rsidR="00BC7267" w:rsidRPr="00BC7267">
              <w:rPr>
                <w:rStyle w:val="Hyperlink"/>
                <w:rFonts w:ascii="Tahoma" w:hAnsi="Tahoma" w:cs="Tahoma"/>
                <w:noProof/>
              </w:rPr>
              <w:t>4.3 Indicative Timeline</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_Toc234500196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8</w:t>
            </w:r>
            <w:r w:rsidR="00BC7267" w:rsidRPr="00BC7267">
              <w:rPr>
                <w:rFonts w:ascii="Tahoma" w:hAnsi="Tahoma" w:cs="Tahoma"/>
                <w:noProof/>
              </w:rPr>
              <w:fldChar w:fldCharType="end"/>
            </w:r>
          </w:hyperlink>
        </w:p>
        <w:p w14:paraId="2BCC21D9" w14:textId="77777777" w:rsidR="00BC7267" w:rsidRPr="00BC7267" w:rsidRDefault="00E9729A" w:rsidP="00BC7267">
          <w:pPr>
            <w:pStyle w:val="TOC1"/>
            <w:tabs>
              <w:tab w:val="right" w:leader="dot" w:pos="9736"/>
            </w:tabs>
            <w:jc w:val="both"/>
            <w:rPr>
              <w:rFonts w:ascii="Tahoma" w:hAnsi="Tahoma" w:cs="Tahoma"/>
              <w:noProof/>
            </w:rPr>
          </w:pPr>
          <w:hyperlink w:anchor="_Toc234500197" w:history="1">
            <w:r w:rsidR="00BC7267" w:rsidRPr="00BC7267">
              <w:rPr>
                <w:rStyle w:val="Hyperlink"/>
                <w:rFonts w:ascii="Tahoma" w:hAnsi="Tahoma" w:cs="Tahoma"/>
                <w:noProof/>
              </w:rPr>
              <w:t>5. Deliverables Mapping</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_Toc234500197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10</w:t>
            </w:r>
            <w:r w:rsidR="00BC7267" w:rsidRPr="00BC7267">
              <w:rPr>
                <w:rFonts w:ascii="Tahoma" w:hAnsi="Tahoma" w:cs="Tahoma"/>
                <w:noProof/>
              </w:rPr>
              <w:fldChar w:fldCharType="end"/>
            </w:r>
          </w:hyperlink>
        </w:p>
        <w:p w14:paraId="513B5DEB" w14:textId="77777777" w:rsidR="00BC7267" w:rsidRPr="00BC7267" w:rsidRDefault="00E9729A" w:rsidP="00BC7267">
          <w:pPr>
            <w:pStyle w:val="TOC1"/>
            <w:tabs>
              <w:tab w:val="right" w:leader="dot" w:pos="9736"/>
            </w:tabs>
            <w:jc w:val="both"/>
            <w:rPr>
              <w:rFonts w:ascii="Tahoma" w:hAnsi="Tahoma" w:cs="Tahoma"/>
              <w:noProof/>
            </w:rPr>
          </w:pPr>
          <w:hyperlink w:anchor="_Toc234500198" w:history="1">
            <w:r w:rsidR="00BC7267" w:rsidRPr="00BC7267">
              <w:rPr>
                <w:rStyle w:val="Hyperlink"/>
                <w:rFonts w:ascii="Tahoma" w:hAnsi="Tahoma" w:cs="Tahoma"/>
                <w:noProof/>
              </w:rPr>
              <w:t>6. Team Composition &amp; Capability</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_Toc234500198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12</w:t>
            </w:r>
            <w:r w:rsidR="00BC7267" w:rsidRPr="00BC7267">
              <w:rPr>
                <w:rFonts w:ascii="Tahoma" w:hAnsi="Tahoma" w:cs="Tahoma"/>
                <w:noProof/>
              </w:rPr>
              <w:fldChar w:fldCharType="end"/>
            </w:r>
          </w:hyperlink>
        </w:p>
        <w:p w14:paraId="6D8EE346" w14:textId="77777777" w:rsidR="00BC7267" w:rsidRPr="00BC7267" w:rsidRDefault="00E9729A" w:rsidP="00BC7267">
          <w:pPr>
            <w:pStyle w:val="TOC2"/>
            <w:tabs>
              <w:tab w:val="right" w:leader="dot" w:pos="9736"/>
            </w:tabs>
            <w:jc w:val="both"/>
            <w:rPr>
              <w:rFonts w:ascii="Tahoma" w:hAnsi="Tahoma" w:cs="Tahoma"/>
              <w:noProof/>
            </w:rPr>
          </w:pPr>
          <w:hyperlink w:anchor="_Toc234500199" w:history="1">
            <w:r w:rsidR="00BC7267" w:rsidRPr="00BC7267">
              <w:rPr>
                <w:rStyle w:val="Hyperlink"/>
                <w:rFonts w:ascii="Tahoma" w:hAnsi="Tahoma" w:cs="Tahoma"/>
                <w:noProof/>
              </w:rPr>
              <w:t>6.1 Engagement Sponsors</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_Toc234500199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12</w:t>
            </w:r>
            <w:r w:rsidR="00BC7267" w:rsidRPr="00BC7267">
              <w:rPr>
                <w:rFonts w:ascii="Tahoma" w:hAnsi="Tahoma" w:cs="Tahoma"/>
                <w:noProof/>
              </w:rPr>
              <w:fldChar w:fldCharType="end"/>
            </w:r>
          </w:hyperlink>
        </w:p>
        <w:p w14:paraId="1DB1EBA5" w14:textId="77777777" w:rsidR="00BC7267" w:rsidRPr="00BC7267" w:rsidRDefault="00E9729A" w:rsidP="00BC7267">
          <w:pPr>
            <w:pStyle w:val="TOC2"/>
            <w:tabs>
              <w:tab w:val="right" w:leader="dot" w:pos="9736"/>
            </w:tabs>
            <w:jc w:val="both"/>
            <w:rPr>
              <w:rFonts w:ascii="Tahoma" w:hAnsi="Tahoma" w:cs="Tahoma"/>
              <w:noProof/>
            </w:rPr>
          </w:pPr>
          <w:hyperlink w:anchor="_Toc234500200" w:history="1">
            <w:r w:rsidR="00BC7267" w:rsidRPr="00BC7267">
              <w:rPr>
                <w:rStyle w:val="Hyperlink"/>
                <w:rFonts w:ascii="Tahoma" w:hAnsi="Tahoma" w:cs="Tahoma"/>
                <w:noProof/>
              </w:rPr>
              <w:t>6.2 Workstream Leadership</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_Toc234500200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12</w:t>
            </w:r>
            <w:r w:rsidR="00BC7267" w:rsidRPr="00BC7267">
              <w:rPr>
                <w:rFonts w:ascii="Tahoma" w:hAnsi="Tahoma" w:cs="Tahoma"/>
                <w:noProof/>
              </w:rPr>
              <w:fldChar w:fldCharType="end"/>
            </w:r>
          </w:hyperlink>
        </w:p>
        <w:p w14:paraId="4DA9CC1E" w14:textId="77777777" w:rsidR="00BC7267" w:rsidRPr="00BC7267" w:rsidRDefault="00E9729A" w:rsidP="00BC7267">
          <w:pPr>
            <w:pStyle w:val="TOC2"/>
            <w:tabs>
              <w:tab w:val="right" w:leader="dot" w:pos="9736"/>
            </w:tabs>
            <w:jc w:val="both"/>
            <w:rPr>
              <w:rFonts w:ascii="Tahoma" w:hAnsi="Tahoma" w:cs="Tahoma"/>
              <w:noProof/>
            </w:rPr>
          </w:pPr>
          <w:hyperlink w:anchor="_Toc234500201" w:history="1">
            <w:r w:rsidR="00BC7267" w:rsidRPr="00BC7267">
              <w:rPr>
                <w:rStyle w:val="Hyperlink"/>
                <w:rFonts w:ascii="Tahoma" w:hAnsi="Tahoma" w:cs="Tahoma"/>
                <w:noProof/>
              </w:rPr>
              <w:t>6.3 Delivery Bench</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_Toc234500201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12</w:t>
            </w:r>
            <w:r w:rsidR="00BC7267" w:rsidRPr="00BC7267">
              <w:rPr>
                <w:rFonts w:ascii="Tahoma" w:hAnsi="Tahoma" w:cs="Tahoma"/>
                <w:noProof/>
              </w:rPr>
              <w:fldChar w:fldCharType="end"/>
            </w:r>
          </w:hyperlink>
        </w:p>
        <w:p w14:paraId="06087710" w14:textId="77777777" w:rsidR="00BC7267" w:rsidRPr="00BC7267" w:rsidRDefault="00E9729A" w:rsidP="00BC7267">
          <w:pPr>
            <w:pStyle w:val="TOC2"/>
            <w:tabs>
              <w:tab w:val="right" w:leader="dot" w:pos="9736"/>
            </w:tabs>
            <w:jc w:val="both"/>
            <w:rPr>
              <w:rFonts w:ascii="Tahoma" w:hAnsi="Tahoma" w:cs="Tahoma"/>
              <w:noProof/>
            </w:rPr>
          </w:pPr>
          <w:hyperlink w:anchor="_Toc234500202" w:history="1">
            <w:r w:rsidR="00BC7267" w:rsidRPr="00BC7267">
              <w:rPr>
                <w:rStyle w:val="Hyperlink"/>
                <w:rFonts w:ascii="Tahoma" w:hAnsi="Tahoma" w:cs="Tahoma"/>
                <w:noProof/>
              </w:rPr>
              <w:t>6.4 Knowledge Transfer Approach</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_Toc234500202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12</w:t>
            </w:r>
            <w:r w:rsidR="00BC7267" w:rsidRPr="00BC7267">
              <w:rPr>
                <w:rFonts w:ascii="Tahoma" w:hAnsi="Tahoma" w:cs="Tahoma"/>
                <w:noProof/>
              </w:rPr>
              <w:fldChar w:fldCharType="end"/>
            </w:r>
          </w:hyperlink>
        </w:p>
        <w:p w14:paraId="0DCC6454" w14:textId="77777777" w:rsidR="00BC7267" w:rsidRPr="00BC7267" w:rsidRDefault="00E9729A" w:rsidP="00BC7267">
          <w:pPr>
            <w:pStyle w:val="TOC1"/>
            <w:tabs>
              <w:tab w:val="right" w:leader="dot" w:pos="9736"/>
            </w:tabs>
            <w:jc w:val="both"/>
            <w:rPr>
              <w:rFonts w:ascii="Tahoma" w:hAnsi="Tahoma" w:cs="Tahoma"/>
              <w:noProof/>
            </w:rPr>
          </w:pPr>
          <w:hyperlink w:anchor="_Toc234500203" w:history="1">
            <w:r w:rsidR="00BC7267" w:rsidRPr="00BC7267">
              <w:rPr>
                <w:rStyle w:val="Hyperlink"/>
                <w:rFonts w:ascii="Tahoma" w:hAnsi="Tahoma" w:cs="Tahoma"/>
                <w:noProof/>
              </w:rPr>
              <w:t>7. Experience &amp; Credentials</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_Toc234500203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13</w:t>
            </w:r>
            <w:r w:rsidR="00BC7267" w:rsidRPr="00BC7267">
              <w:rPr>
                <w:rFonts w:ascii="Tahoma" w:hAnsi="Tahoma" w:cs="Tahoma"/>
                <w:noProof/>
              </w:rPr>
              <w:fldChar w:fldCharType="end"/>
            </w:r>
          </w:hyperlink>
        </w:p>
        <w:p w14:paraId="753190E0" w14:textId="77777777" w:rsidR="00BC7267" w:rsidRPr="00BC7267" w:rsidRDefault="00E9729A" w:rsidP="00BC7267">
          <w:pPr>
            <w:pStyle w:val="TOC2"/>
            <w:tabs>
              <w:tab w:val="right" w:leader="dot" w:pos="9736"/>
            </w:tabs>
            <w:jc w:val="both"/>
            <w:rPr>
              <w:rFonts w:ascii="Tahoma" w:hAnsi="Tahoma" w:cs="Tahoma"/>
              <w:noProof/>
            </w:rPr>
          </w:pPr>
          <w:hyperlink w:anchor="_Toc234500204" w:history="1">
            <w:r w:rsidR="00BC7267" w:rsidRPr="00BC7267">
              <w:rPr>
                <w:rStyle w:val="Hyperlink"/>
                <w:rFonts w:ascii="Tahoma" w:hAnsi="Tahoma" w:cs="Tahoma"/>
                <w:noProof/>
              </w:rPr>
              <w:t>7.1 ACNABIN</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_Toc234500204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13</w:t>
            </w:r>
            <w:r w:rsidR="00BC7267" w:rsidRPr="00BC7267">
              <w:rPr>
                <w:rFonts w:ascii="Tahoma" w:hAnsi="Tahoma" w:cs="Tahoma"/>
                <w:noProof/>
              </w:rPr>
              <w:fldChar w:fldCharType="end"/>
            </w:r>
          </w:hyperlink>
        </w:p>
        <w:p w14:paraId="098FE195" w14:textId="77777777" w:rsidR="00BC7267" w:rsidRPr="00BC7267" w:rsidRDefault="00E9729A" w:rsidP="00BC7267">
          <w:pPr>
            <w:pStyle w:val="TOC2"/>
            <w:tabs>
              <w:tab w:val="right" w:leader="dot" w:pos="9736"/>
            </w:tabs>
            <w:jc w:val="both"/>
            <w:rPr>
              <w:rFonts w:ascii="Tahoma" w:hAnsi="Tahoma" w:cs="Tahoma"/>
              <w:noProof/>
            </w:rPr>
          </w:pPr>
          <w:hyperlink w:anchor="_Toc234500205" w:history="1">
            <w:r w:rsidR="00BC7267" w:rsidRPr="00BC7267">
              <w:rPr>
                <w:rStyle w:val="Hyperlink"/>
                <w:rFonts w:ascii="Tahoma" w:hAnsi="Tahoma" w:cs="Tahoma"/>
                <w:noProof/>
              </w:rPr>
              <w:t>7.2 CipherShield</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_Toc234500205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13</w:t>
            </w:r>
            <w:r w:rsidR="00BC7267" w:rsidRPr="00BC7267">
              <w:rPr>
                <w:rFonts w:ascii="Tahoma" w:hAnsi="Tahoma" w:cs="Tahoma"/>
                <w:noProof/>
              </w:rPr>
              <w:fldChar w:fldCharType="end"/>
            </w:r>
          </w:hyperlink>
        </w:p>
        <w:p w14:paraId="6FCDBC83" w14:textId="77777777" w:rsidR="00BC7267" w:rsidRPr="00BC7267" w:rsidRDefault="00E9729A" w:rsidP="00BC7267">
          <w:pPr>
            <w:pStyle w:val="TOC2"/>
            <w:tabs>
              <w:tab w:val="right" w:leader="dot" w:pos="9736"/>
            </w:tabs>
            <w:jc w:val="both"/>
            <w:rPr>
              <w:rFonts w:ascii="Tahoma" w:hAnsi="Tahoma" w:cs="Tahoma"/>
              <w:noProof/>
            </w:rPr>
          </w:pPr>
          <w:hyperlink w:anchor="_Toc234500206" w:history="1">
            <w:r w:rsidR="00BC7267" w:rsidRPr="00BC7267">
              <w:rPr>
                <w:rStyle w:val="Hyperlink"/>
                <w:rFonts w:ascii="Tahoma" w:hAnsi="Tahoma" w:cs="Tahoma"/>
                <w:noProof/>
              </w:rPr>
              <w:t>7.3 Relevant Comparable Engagement</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_Toc234500206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13</w:t>
            </w:r>
            <w:r w:rsidR="00BC7267" w:rsidRPr="00BC7267">
              <w:rPr>
                <w:rFonts w:ascii="Tahoma" w:hAnsi="Tahoma" w:cs="Tahoma"/>
                <w:noProof/>
              </w:rPr>
              <w:fldChar w:fldCharType="end"/>
            </w:r>
          </w:hyperlink>
        </w:p>
        <w:p w14:paraId="42C5CDF3" w14:textId="77777777" w:rsidR="00BC7267" w:rsidRPr="00BC7267" w:rsidRDefault="00E9729A" w:rsidP="00BC7267">
          <w:pPr>
            <w:pStyle w:val="TOC1"/>
            <w:tabs>
              <w:tab w:val="right" w:leader="dot" w:pos="9736"/>
            </w:tabs>
            <w:jc w:val="both"/>
            <w:rPr>
              <w:rFonts w:ascii="Tahoma" w:hAnsi="Tahoma" w:cs="Tahoma"/>
              <w:noProof/>
            </w:rPr>
          </w:pPr>
          <w:hyperlink w:anchor="_Toc234500207" w:history="1">
            <w:r w:rsidR="00BC7267" w:rsidRPr="00BC7267">
              <w:rPr>
                <w:rStyle w:val="Hyperlink"/>
                <w:rFonts w:ascii="Tahoma" w:hAnsi="Tahoma" w:cs="Tahoma"/>
                <w:noProof/>
              </w:rPr>
              <w:t>8. Knowledge Transfer &amp; Capacity Building</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_Toc234500207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14</w:t>
            </w:r>
            <w:r w:rsidR="00BC7267" w:rsidRPr="00BC7267">
              <w:rPr>
                <w:rFonts w:ascii="Tahoma" w:hAnsi="Tahoma" w:cs="Tahoma"/>
                <w:noProof/>
              </w:rPr>
              <w:fldChar w:fldCharType="end"/>
            </w:r>
          </w:hyperlink>
        </w:p>
        <w:p w14:paraId="397AAD88" w14:textId="77777777" w:rsidR="00BC7267" w:rsidRPr="00BC7267" w:rsidRDefault="00E9729A" w:rsidP="00BC7267">
          <w:pPr>
            <w:pStyle w:val="TOC3"/>
            <w:tabs>
              <w:tab w:val="right" w:leader="dot" w:pos="9736"/>
            </w:tabs>
            <w:jc w:val="both"/>
            <w:rPr>
              <w:rFonts w:ascii="Tahoma" w:hAnsi="Tahoma" w:cs="Tahoma"/>
              <w:noProof/>
            </w:rPr>
          </w:pPr>
          <w:hyperlink w:anchor="_Toc234500208" w:history="1">
            <w:r w:rsidR="00BC7267" w:rsidRPr="00BC7267">
              <w:rPr>
                <w:rStyle w:val="Hyperlink"/>
                <w:rFonts w:ascii="Tahoma" w:hAnsi="Tahoma" w:cs="Tahoma"/>
                <w:noProof/>
              </w:rPr>
              <w:t>Staff Training Programme</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_Toc234500208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14</w:t>
            </w:r>
            <w:r w:rsidR="00BC7267" w:rsidRPr="00BC7267">
              <w:rPr>
                <w:rFonts w:ascii="Tahoma" w:hAnsi="Tahoma" w:cs="Tahoma"/>
                <w:noProof/>
              </w:rPr>
              <w:fldChar w:fldCharType="end"/>
            </w:r>
          </w:hyperlink>
        </w:p>
        <w:p w14:paraId="32601479" w14:textId="77777777" w:rsidR="00BC7267" w:rsidRPr="00BC7267" w:rsidRDefault="00E9729A" w:rsidP="00BC7267">
          <w:pPr>
            <w:pStyle w:val="TOC3"/>
            <w:tabs>
              <w:tab w:val="right" w:leader="dot" w:pos="9736"/>
            </w:tabs>
            <w:jc w:val="both"/>
            <w:rPr>
              <w:rFonts w:ascii="Tahoma" w:hAnsi="Tahoma" w:cs="Tahoma"/>
              <w:noProof/>
            </w:rPr>
          </w:pPr>
          <w:hyperlink w:anchor="_Toc234500209" w:history="1">
            <w:r w:rsidR="00BC7267" w:rsidRPr="00BC7267">
              <w:rPr>
                <w:rStyle w:val="Hyperlink"/>
                <w:rFonts w:ascii="Tahoma" w:hAnsi="Tahoma" w:cs="Tahoma"/>
                <w:noProof/>
              </w:rPr>
              <w:t>Executive Awareness Sessions</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_Toc234500209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14</w:t>
            </w:r>
            <w:r w:rsidR="00BC7267" w:rsidRPr="00BC7267">
              <w:rPr>
                <w:rFonts w:ascii="Tahoma" w:hAnsi="Tahoma" w:cs="Tahoma"/>
                <w:noProof/>
              </w:rPr>
              <w:fldChar w:fldCharType="end"/>
            </w:r>
          </w:hyperlink>
        </w:p>
        <w:p w14:paraId="2AFE262C" w14:textId="77777777" w:rsidR="00BC7267" w:rsidRPr="00BC7267" w:rsidRDefault="00E9729A" w:rsidP="00BC7267">
          <w:pPr>
            <w:pStyle w:val="TOC1"/>
            <w:tabs>
              <w:tab w:val="right" w:leader="dot" w:pos="9736"/>
            </w:tabs>
            <w:jc w:val="both"/>
            <w:rPr>
              <w:rFonts w:ascii="Tahoma" w:hAnsi="Tahoma" w:cs="Tahoma"/>
              <w:noProof/>
            </w:rPr>
          </w:pPr>
          <w:hyperlink w:anchor="_Toc234500210" w:history="1">
            <w:r w:rsidR="00BC7267" w:rsidRPr="00BC7267">
              <w:rPr>
                <w:rStyle w:val="Hyperlink"/>
                <w:rFonts w:ascii="Tahoma" w:hAnsi="Tahoma" w:cs="Tahoma"/>
                <w:noProof/>
              </w:rPr>
              <w:t>9. Post-Engagement Support</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_Toc234500210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15</w:t>
            </w:r>
            <w:r w:rsidR="00BC7267" w:rsidRPr="00BC7267">
              <w:rPr>
                <w:rFonts w:ascii="Tahoma" w:hAnsi="Tahoma" w:cs="Tahoma"/>
                <w:noProof/>
              </w:rPr>
              <w:fldChar w:fldCharType="end"/>
            </w:r>
          </w:hyperlink>
        </w:p>
        <w:p w14:paraId="730B3302" w14:textId="77777777" w:rsidR="00BC7267" w:rsidRPr="00BC7267" w:rsidRDefault="00E9729A" w:rsidP="00BC7267">
          <w:pPr>
            <w:pStyle w:val="TOC1"/>
            <w:tabs>
              <w:tab w:val="right" w:leader="dot" w:pos="9736"/>
            </w:tabs>
            <w:jc w:val="both"/>
            <w:rPr>
              <w:rFonts w:ascii="Tahoma" w:hAnsi="Tahoma" w:cs="Tahoma"/>
              <w:noProof/>
            </w:rPr>
          </w:pPr>
          <w:hyperlink w:anchor="_Toc234500211" w:history="1">
            <w:r w:rsidR="00BC7267" w:rsidRPr="00BC7267">
              <w:rPr>
                <w:rStyle w:val="Hyperlink"/>
                <w:rFonts w:ascii="Tahoma" w:hAnsi="Tahoma" w:cs="Tahoma"/>
                <w:noProof/>
              </w:rPr>
              <w:t>10. Compliance with Respondent Requirements</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_Toc234500211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16</w:t>
            </w:r>
            <w:r w:rsidR="00BC7267" w:rsidRPr="00BC7267">
              <w:rPr>
                <w:rFonts w:ascii="Tahoma" w:hAnsi="Tahoma" w:cs="Tahoma"/>
                <w:noProof/>
              </w:rPr>
              <w:fldChar w:fldCharType="end"/>
            </w:r>
          </w:hyperlink>
        </w:p>
        <w:p w14:paraId="0FB0C971" w14:textId="77777777" w:rsidR="00BC7267" w:rsidRPr="00BC7267" w:rsidRDefault="00E9729A" w:rsidP="00BC7267">
          <w:pPr>
            <w:pStyle w:val="TOC1"/>
            <w:tabs>
              <w:tab w:val="right" w:leader="dot" w:pos="9736"/>
            </w:tabs>
            <w:jc w:val="both"/>
            <w:rPr>
              <w:rFonts w:ascii="Tahoma" w:hAnsi="Tahoma" w:cs="Tahoma"/>
              <w:noProof/>
            </w:rPr>
          </w:pPr>
          <w:hyperlink w:anchor="_Toc234500212" w:history="1">
            <w:r w:rsidR="00BC7267" w:rsidRPr="00BC7267">
              <w:rPr>
                <w:rStyle w:val="Hyperlink"/>
                <w:rFonts w:ascii="Tahoma" w:hAnsi="Tahoma" w:cs="Tahoma"/>
                <w:noProof/>
              </w:rPr>
              <w:t>11. Confidentiality &amp; Conflict of Interest Declaration</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_Toc234500212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17</w:t>
            </w:r>
            <w:r w:rsidR="00BC7267" w:rsidRPr="00BC7267">
              <w:rPr>
                <w:rFonts w:ascii="Tahoma" w:hAnsi="Tahoma" w:cs="Tahoma"/>
                <w:noProof/>
              </w:rPr>
              <w:fldChar w:fldCharType="end"/>
            </w:r>
          </w:hyperlink>
        </w:p>
        <w:p w14:paraId="0C2CB551" w14:textId="77777777" w:rsidR="00BC7267" w:rsidRPr="00BC7267" w:rsidRDefault="00E9729A" w:rsidP="00BC7267">
          <w:pPr>
            <w:pStyle w:val="TOC1"/>
            <w:tabs>
              <w:tab w:val="right" w:leader="dot" w:pos="9736"/>
            </w:tabs>
            <w:jc w:val="both"/>
            <w:rPr>
              <w:rFonts w:ascii="Tahoma" w:hAnsi="Tahoma" w:cs="Tahoma"/>
              <w:noProof/>
            </w:rPr>
          </w:pPr>
          <w:hyperlink w:anchor="_Toc234500213" w:history="1">
            <w:r w:rsidR="00BC7267" w:rsidRPr="00BC7267">
              <w:rPr>
                <w:rStyle w:val="Hyperlink"/>
                <w:rFonts w:ascii="Tahoma" w:hAnsi="Tahoma" w:cs="Tahoma"/>
                <w:noProof/>
              </w:rPr>
              <w:t>12. Closing Statement</w:t>
            </w:r>
            <w:r w:rsidR="00BC7267" w:rsidRPr="00BC7267">
              <w:rPr>
                <w:rFonts w:ascii="Tahoma" w:hAnsi="Tahoma" w:cs="Tahoma"/>
                <w:noProof/>
              </w:rPr>
              <w:tab/>
            </w:r>
            <w:r w:rsidR="00BC7267" w:rsidRPr="00BC7267">
              <w:rPr>
                <w:rFonts w:ascii="Tahoma" w:hAnsi="Tahoma" w:cs="Tahoma"/>
                <w:noProof/>
              </w:rPr>
              <w:fldChar w:fldCharType="begin"/>
            </w:r>
            <w:r w:rsidR="00BC7267" w:rsidRPr="00BC7267">
              <w:rPr>
                <w:rFonts w:ascii="Tahoma" w:hAnsi="Tahoma" w:cs="Tahoma"/>
                <w:noProof/>
              </w:rPr>
              <w:instrText xml:space="preserve"> PAGEREF _Toc234500213 \h </w:instrText>
            </w:r>
            <w:r w:rsidR="00BC7267" w:rsidRPr="00BC7267">
              <w:rPr>
                <w:rFonts w:ascii="Tahoma" w:hAnsi="Tahoma" w:cs="Tahoma"/>
                <w:noProof/>
              </w:rPr>
            </w:r>
            <w:r w:rsidR="00BC7267" w:rsidRPr="00BC7267">
              <w:rPr>
                <w:rFonts w:ascii="Tahoma" w:hAnsi="Tahoma" w:cs="Tahoma"/>
                <w:noProof/>
              </w:rPr>
              <w:fldChar w:fldCharType="separate"/>
            </w:r>
            <w:r w:rsidR="00BC7267" w:rsidRPr="00BC7267">
              <w:rPr>
                <w:rFonts w:ascii="Tahoma" w:hAnsi="Tahoma" w:cs="Tahoma"/>
                <w:noProof/>
              </w:rPr>
              <w:t>18</w:t>
            </w:r>
            <w:r w:rsidR="00BC7267" w:rsidRPr="00BC7267">
              <w:rPr>
                <w:rFonts w:ascii="Tahoma" w:hAnsi="Tahoma" w:cs="Tahoma"/>
                <w:noProof/>
              </w:rPr>
              <w:fldChar w:fldCharType="end"/>
            </w:r>
          </w:hyperlink>
        </w:p>
        <w:p w14:paraId="2A349FEC" w14:textId="77777777" w:rsidR="00111D2F" w:rsidRPr="00BC7267" w:rsidRDefault="00E9729A" w:rsidP="00BC7267">
          <w:pPr>
            <w:jc w:val="both"/>
            <w:rPr>
              <w:rFonts w:ascii="Tahoma" w:hAnsi="Tahoma" w:cs="Tahoma"/>
            </w:rPr>
          </w:pPr>
          <w:r w:rsidRPr="00BC7267">
            <w:rPr>
              <w:rFonts w:ascii="Tahoma" w:hAnsi="Tahoma" w:cs="Tahoma"/>
            </w:rPr>
            <w:fldChar w:fldCharType="end"/>
          </w:r>
        </w:p>
      </w:sdtContent>
    </w:sdt>
    <w:p w14:paraId="3FE7DCC1" w14:textId="77777777" w:rsidR="00111D2F" w:rsidRPr="00BC7267" w:rsidRDefault="00E9729A" w:rsidP="00BC7267">
      <w:pPr>
        <w:jc w:val="both"/>
        <w:rPr>
          <w:rFonts w:ascii="Tahoma" w:hAnsi="Tahoma" w:cs="Tahoma"/>
        </w:rPr>
      </w:pPr>
      <w:r w:rsidRPr="00BC7267">
        <w:rPr>
          <w:rFonts w:ascii="Tahoma" w:hAnsi="Tahoma" w:cs="Tahoma"/>
        </w:rPr>
        <w:br w:type="page"/>
      </w:r>
    </w:p>
    <w:p w14:paraId="3D0C9E8C" w14:textId="77777777" w:rsidR="00111D2F" w:rsidRPr="00BC7267" w:rsidRDefault="00E9729A" w:rsidP="00BC7267">
      <w:pPr>
        <w:pStyle w:val="Heading1"/>
        <w:jc w:val="both"/>
        <w:rPr>
          <w:rFonts w:ascii="Tahoma" w:hAnsi="Tahoma" w:cs="Tahoma"/>
        </w:rPr>
      </w:pPr>
      <w:bookmarkStart w:id="1" w:name="_Toc234500184"/>
      <w:r w:rsidRPr="00BC7267">
        <w:rPr>
          <w:rFonts w:ascii="Tahoma" w:hAnsi="Tahoma" w:cs="Tahoma"/>
        </w:rPr>
        <w:lastRenderedPageBreak/>
        <w:t>1. Executive Summary</w:t>
      </w:r>
      <w:bookmarkEnd w:id="1"/>
    </w:p>
    <w:p w14:paraId="282B30CF"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BRAC Bank PLC (“the Bank”) is pursuing a disciplined, enterprise-wide approach to Artificial Intelligence (AI) — moving toward orchestrated, governed, and value-driven adoption of AI across its business and technology functions. ACNABIN Chartered Accountants, a member firm of Baker Tilly International, and </w:t>
      </w:r>
      <w:proofErr w:type="spellStart"/>
      <w:r w:rsidRPr="00BC7267">
        <w:rPr>
          <w:rFonts w:ascii="Tahoma" w:hAnsi="Tahoma" w:cs="Tahoma"/>
        </w:rPr>
        <w:t>CipherShield</w:t>
      </w:r>
      <w:proofErr w:type="spellEnd"/>
      <w:r w:rsidRPr="00BC7267">
        <w:rPr>
          <w:rFonts w:ascii="Tahoma" w:hAnsi="Tahoma" w:cs="Tahoma"/>
        </w:rPr>
        <w:t>, an Australian cybersecurity and risk advisory firm with a Bangladesh presence, are pleased to submit this joint technical proposal in response to the Bank's Terms of Reference for the selection of an AI Strategy &amp; Governance Consulting Partner.</w:t>
      </w:r>
    </w:p>
    <w:p w14:paraId="1BFC47C6"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This is an outcome-based engagement, and our proposed approach is built accordingly. Rather than prescribing a single fixed methodology, we combine two complementary bodies of expertise — ACNABIN's deep grounding in Bangladesh Bank regulation, financial-sector audit, internal control, and enterprise risk governance, and </w:t>
      </w:r>
      <w:proofErr w:type="spellStart"/>
      <w:r w:rsidRPr="00BC7267">
        <w:rPr>
          <w:rFonts w:ascii="Tahoma" w:hAnsi="Tahoma" w:cs="Tahoma"/>
        </w:rPr>
        <w:t>CipherShield's</w:t>
      </w:r>
      <w:proofErr w:type="spellEnd"/>
      <w:r w:rsidRPr="00BC7267">
        <w:rPr>
          <w:rFonts w:ascii="Tahoma" w:hAnsi="Tahoma" w:cs="Tahoma"/>
        </w:rPr>
        <w:t xml:space="preserve"> specialist capability in AI governance, model risk, cybersecurity, and technology architecture — into a single, accountable delivery team that can credibly own all three required outcomes:</w:t>
      </w:r>
    </w:p>
    <w:p w14:paraId="385A30DA"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Outcome A: </w:t>
      </w:r>
      <w:r w:rsidRPr="00BC7267">
        <w:rPr>
          <w:rFonts w:ascii="Tahoma" w:hAnsi="Tahoma" w:cs="Tahoma"/>
        </w:rPr>
        <w:t xml:space="preserve">AI Readiness and a </w:t>
      </w:r>
      <w:proofErr w:type="spellStart"/>
      <w:r w:rsidRPr="00BC7267">
        <w:rPr>
          <w:rFonts w:ascii="Tahoma" w:hAnsi="Tahoma" w:cs="Tahoma"/>
        </w:rPr>
        <w:t>prioritised</w:t>
      </w:r>
      <w:proofErr w:type="spellEnd"/>
      <w:r w:rsidRPr="00BC7267">
        <w:rPr>
          <w:rFonts w:ascii="Tahoma" w:hAnsi="Tahoma" w:cs="Tahoma"/>
        </w:rPr>
        <w:t>, evidence-based use-case portfolio.</w:t>
      </w:r>
    </w:p>
    <w:p w14:paraId="7710DE54"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Outcome B: </w:t>
      </w:r>
      <w:r w:rsidRPr="00BC7267">
        <w:rPr>
          <w:rFonts w:ascii="Tahoma" w:hAnsi="Tahoma" w:cs="Tahoma"/>
        </w:rPr>
        <w:t>An enterprise AI governance and control framework that integrates with existing risk, audit, and technology governance rather than duplicating it.</w:t>
      </w:r>
    </w:p>
    <w:p w14:paraId="5D2E3320"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Outcome C: </w:t>
      </w:r>
      <w:r w:rsidRPr="00BC7267">
        <w:rPr>
          <w:rFonts w:ascii="Tahoma" w:hAnsi="Tahoma" w:cs="Tahoma"/>
        </w:rPr>
        <w:t>An enterprise AI strategy, target-state architecture, phased roadmap, and a quantified, fundable business case.</w:t>
      </w:r>
    </w:p>
    <w:p w14:paraId="506C4125"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Our combined team is deliberately structured to avoid a “black-box” hand-off. Every framework, model, scoring methodology, and governance artefact we produce will be transparent, auditable, and fully transferable to the Bank's own teams — consistent with the standard both firms apply on regulatory transformation engagements in the banking sector, including our recent joint work on an IFRS 9 Expected Credit Loss transformation for a leading Bangladeshi commercial bank.</w:t>
      </w:r>
    </w:p>
    <w:p w14:paraId="640BFF35"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We anchor our approach on the Bank's existing technology, data, and private-cloud investments; we align recommendations with Bangladesh Bank's regulatory expectations as well as emerging international AI governance standards (e.g. ISO/IEC 42001, NIST AI RMF); and we place a sustained emphasis on capability uplift so that the Bank retains full ownership and control of its AI </w:t>
      </w:r>
      <w:proofErr w:type="spellStart"/>
      <w:r w:rsidRPr="00BC7267">
        <w:rPr>
          <w:rFonts w:ascii="Tahoma" w:hAnsi="Tahoma" w:cs="Tahoma"/>
        </w:rPr>
        <w:t>programme</w:t>
      </w:r>
      <w:proofErr w:type="spellEnd"/>
      <w:r w:rsidRPr="00BC7267">
        <w:rPr>
          <w:rFonts w:ascii="Tahoma" w:hAnsi="Tahoma" w:cs="Tahoma"/>
        </w:rPr>
        <w:t xml:space="preserve"> once our engagement concludes. Commercial terms and pricing are addressed separately, per Section 2.3 of the </w:t>
      </w:r>
      <w:proofErr w:type="spellStart"/>
      <w:r w:rsidRPr="00BC7267">
        <w:rPr>
          <w:rFonts w:ascii="Tahoma" w:hAnsi="Tahoma" w:cs="Tahoma"/>
        </w:rPr>
        <w:t>ToR</w:t>
      </w:r>
      <w:proofErr w:type="spellEnd"/>
      <w:r w:rsidRPr="00BC7267">
        <w:rPr>
          <w:rFonts w:ascii="Tahoma" w:hAnsi="Tahoma" w:cs="Tahoma"/>
        </w:rPr>
        <w:t>, and are therefore excluded from this technical proposal.</w:t>
      </w:r>
    </w:p>
    <w:p w14:paraId="3B4A7B22" w14:textId="77777777" w:rsidR="00111D2F" w:rsidRPr="00BC7267" w:rsidRDefault="00E9729A" w:rsidP="00BC7267">
      <w:pPr>
        <w:jc w:val="both"/>
        <w:rPr>
          <w:rFonts w:ascii="Tahoma" w:hAnsi="Tahoma" w:cs="Tahoma"/>
        </w:rPr>
      </w:pPr>
      <w:r w:rsidRPr="00BC7267">
        <w:rPr>
          <w:rFonts w:ascii="Tahoma" w:hAnsi="Tahoma" w:cs="Tahoma"/>
        </w:rPr>
        <w:br w:type="page"/>
      </w:r>
    </w:p>
    <w:p w14:paraId="336289E4" w14:textId="77777777" w:rsidR="00111D2F" w:rsidRPr="00BC7267" w:rsidRDefault="00E9729A" w:rsidP="00BC7267">
      <w:pPr>
        <w:pStyle w:val="Heading1"/>
        <w:jc w:val="both"/>
        <w:rPr>
          <w:rFonts w:ascii="Tahoma" w:hAnsi="Tahoma" w:cs="Tahoma"/>
        </w:rPr>
      </w:pPr>
      <w:bookmarkStart w:id="2" w:name="_Toc234500185"/>
      <w:r w:rsidRPr="00BC7267">
        <w:rPr>
          <w:rFonts w:ascii="Tahoma" w:hAnsi="Tahoma" w:cs="Tahoma"/>
        </w:rPr>
        <w:lastRenderedPageBreak/>
        <w:t>2. About the Proposing Consortium</w:t>
      </w:r>
      <w:bookmarkEnd w:id="2"/>
    </w:p>
    <w:p w14:paraId="6650AEB1" w14:textId="77777777" w:rsidR="00111D2F" w:rsidRPr="00BC7267" w:rsidRDefault="00E9729A" w:rsidP="00BC7267">
      <w:pPr>
        <w:pStyle w:val="Heading2"/>
        <w:jc w:val="both"/>
        <w:rPr>
          <w:rFonts w:ascii="Tahoma" w:hAnsi="Tahoma" w:cs="Tahoma"/>
        </w:rPr>
      </w:pPr>
      <w:bookmarkStart w:id="3" w:name="_Toc234500186"/>
      <w:r w:rsidRPr="00BC7267">
        <w:rPr>
          <w:rFonts w:ascii="Tahoma" w:hAnsi="Tahoma" w:cs="Tahoma"/>
        </w:rPr>
        <w:t>2.1 ACNABIN Chartered Accountants</w:t>
      </w:r>
      <w:bookmarkEnd w:id="3"/>
    </w:p>
    <w:p w14:paraId="404AA55A"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Founded in February 1985, ACNABIN is one of the largest and most established chartered accountancy practices in Bangladesh, with more than 40 years of continuous public practice. ACNABIN is a member firm of Baker Tilly International and is licensed by the Institute of Chartered Accountants of Bangladesh (ICAB) and approved by Bangladesh Bank for audit and assurance services. The firm is led by eight partners and supported by over 700 personnel, giving it one of the deepest benches of any accountancy and adv</w:t>
      </w:r>
      <w:r w:rsidRPr="00BC7267">
        <w:rPr>
          <w:rFonts w:ascii="Tahoma" w:hAnsi="Tahoma" w:cs="Tahoma"/>
        </w:rPr>
        <w:t>isory firm in the country.</w:t>
      </w:r>
    </w:p>
    <w:p w14:paraId="0AB63A80"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ACNABIN has extensive, long-standing experience auditing and advising banking-sector entities in Bangladesh, and provides statutory, compliance, IT audit, internal audit, business process, and risk advisory services aligned with ISA and IFRS standards. Partners and senior staff have led engagements for banks and financial institutions including NCC Bank PLC, Prime Bank Limited, and Grameen Bank Limited, in addition to multinational and power-sector clients. As a Baker Tilly International member, ACNABIN als</w:t>
      </w:r>
      <w:r w:rsidRPr="00BC7267">
        <w:rPr>
          <w:rFonts w:ascii="Tahoma" w:hAnsi="Tahoma" w:cs="Tahoma"/>
        </w:rPr>
        <w:t>o draws on a global network of practices, extending the reach of its banking and regulatory expertise beyond Bangladesh.</w:t>
      </w:r>
    </w:p>
    <w:p w14:paraId="0BEEFAF3"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ACNABIN is a member of the Metropolitan Chamber of Commerce and Industries, the Dhaka </w:t>
      </w:r>
      <w:r w:rsidRPr="00BC7267">
        <w:rPr>
          <w:rFonts w:ascii="Tahoma" w:hAnsi="Tahoma" w:cs="Tahoma"/>
        </w:rPr>
        <w:t>Chamber of Commerce &amp; Industries, and the American Chamber of Commerce in Bangladesh, and is registered with the Registrar of Joint Stock Companies and Firms.</w:t>
      </w:r>
    </w:p>
    <w:p w14:paraId="6A1DE376" w14:textId="77777777" w:rsidR="00111D2F" w:rsidRPr="00BC7267" w:rsidRDefault="00E9729A" w:rsidP="00BC7267">
      <w:pPr>
        <w:pStyle w:val="Heading2"/>
        <w:jc w:val="both"/>
        <w:rPr>
          <w:rFonts w:ascii="Tahoma" w:hAnsi="Tahoma" w:cs="Tahoma"/>
        </w:rPr>
      </w:pPr>
      <w:bookmarkStart w:id="4" w:name="_Toc234500187"/>
      <w:r w:rsidRPr="00BC7267">
        <w:rPr>
          <w:rFonts w:ascii="Tahoma" w:hAnsi="Tahoma" w:cs="Tahoma"/>
        </w:rPr>
        <w:t xml:space="preserve">2.2 </w:t>
      </w:r>
      <w:proofErr w:type="spellStart"/>
      <w:r w:rsidRPr="00BC7267">
        <w:rPr>
          <w:rFonts w:ascii="Tahoma" w:hAnsi="Tahoma" w:cs="Tahoma"/>
        </w:rPr>
        <w:t>CipherShield</w:t>
      </w:r>
      <w:bookmarkEnd w:id="4"/>
      <w:proofErr w:type="spellEnd"/>
    </w:p>
    <w:p w14:paraId="17AC25FF" w14:textId="77777777" w:rsidR="00111D2F" w:rsidRPr="00BC7267" w:rsidRDefault="00E9729A" w:rsidP="00BC7267">
      <w:pPr>
        <w:spacing w:after="160" w:line="276" w:lineRule="auto"/>
        <w:jc w:val="both"/>
        <w:rPr>
          <w:rFonts w:ascii="Tahoma" w:hAnsi="Tahoma" w:cs="Tahoma"/>
        </w:rPr>
      </w:pPr>
      <w:proofErr w:type="spellStart"/>
      <w:r w:rsidRPr="00BC7267">
        <w:rPr>
          <w:rFonts w:ascii="Tahoma" w:hAnsi="Tahoma" w:cs="Tahoma"/>
        </w:rPr>
        <w:t>CipherShield</w:t>
      </w:r>
      <w:proofErr w:type="spellEnd"/>
      <w:r w:rsidRPr="00BC7267">
        <w:rPr>
          <w:rFonts w:ascii="Tahoma" w:hAnsi="Tahoma" w:cs="Tahoma"/>
        </w:rPr>
        <w:t xml:space="preserve"> is an Australian cybersecurity and risk advisory firm delivering governance-led security, compliance, resilience, and technology risk solutions across Australia, APAC, and Bangladesh, with corporate offices in both Australia and Bangladesh. </w:t>
      </w:r>
      <w:proofErr w:type="spellStart"/>
      <w:r w:rsidRPr="00BC7267">
        <w:rPr>
          <w:rFonts w:ascii="Tahoma" w:hAnsi="Tahoma" w:cs="Tahoma"/>
        </w:rPr>
        <w:t>CipherShield's</w:t>
      </w:r>
      <w:proofErr w:type="spellEnd"/>
      <w:r w:rsidRPr="00BC7267">
        <w:rPr>
          <w:rFonts w:ascii="Tahoma" w:hAnsi="Tahoma" w:cs="Tahoma"/>
        </w:rPr>
        <w:t xml:space="preserve"> mission is to help </w:t>
      </w:r>
      <w:proofErr w:type="spellStart"/>
      <w:r w:rsidRPr="00BC7267">
        <w:rPr>
          <w:rFonts w:ascii="Tahoma" w:hAnsi="Tahoma" w:cs="Tahoma"/>
        </w:rPr>
        <w:t>organisations</w:t>
      </w:r>
      <w:proofErr w:type="spellEnd"/>
      <w:r w:rsidRPr="00BC7267">
        <w:rPr>
          <w:rFonts w:ascii="Tahoma" w:hAnsi="Tahoma" w:cs="Tahoma"/>
        </w:rPr>
        <w:t xml:space="preserve"> confidently embrace new technologies — including AI — while strengthening operational resilience and growing securely in an evolving digital environment.</w:t>
      </w:r>
    </w:p>
    <w:p w14:paraId="423A7257" w14:textId="77777777" w:rsidR="00111D2F" w:rsidRPr="00BC7267" w:rsidRDefault="00E9729A" w:rsidP="00BC7267">
      <w:pPr>
        <w:spacing w:after="160" w:line="276" w:lineRule="auto"/>
        <w:jc w:val="both"/>
        <w:rPr>
          <w:rFonts w:ascii="Tahoma" w:hAnsi="Tahoma" w:cs="Tahoma"/>
        </w:rPr>
      </w:pPr>
      <w:proofErr w:type="spellStart"/>
      <w:r w:rsidRPr="00BC7267">
        <w:rPr>
          <w:rFonts w:ascii="Tahoma" w:hAnsi="Tahoma" w:cs="Tahoma"/>
        </w:rPr>
        <w:t>CipherShield's</w:t>
      </w:r>
      <w:proofErr w:type="spellEnd"/>
      <w:r w:rsidRPr="00BC7267">
        <w:rPr>
          <w:rFonts w:ascii="Tahoma" w:hAnsi="Tahoma" w:cs="Tahoma"/>
        </w:rPr>
        <w:t xml:space="preserve"> capabilities span the full AI and technology risk lifecycle: strategic leadership and digital transformation advisory; governance, risk and compliance (GRC), including Bangladesh Bank regulatory compliance support, ISO 27001 and ISO/IEC 42001 (AI management systems) advisory, and third-party/vendor risk management; business resilience; and offensive and defensive cybersecurity services including 24x7 SOC, incident response, and managed detection and response. </w:t>
      </w:r>
      <w:proofErr w:type="spellStart"/>
      <w:r w:rsidRPr="00BC7267">
        <w:rPr>
          <w:rFonts w:ascii="Tahoma" w:hAnsi="Tahoma" w:cs="Tahoma"/>
        </w:rPr>
        <w:t>CipherShield</w:t>
      </w:r>
      <w:proofErr w:type="spellEnd"/>
      <w:r w:rsidRPr="00BC7267">
        <w:rPr>
          <w:rFonts w:ascii="Tahoma" w:hAnsi="Tahoma" w:cs="Tahoma"/>
        </w:rPr>
        <w:t xml:space="preserve"> is a PCI DSS Qualified Security As</w:t>
      </w:r>
      <w:r w:rsidRPr="00BC7267">
        <w:rPr>
          <w:rFonts w:ascii="Tahoma" w:hAnsi="Tahoma" w:cs="Tahoma"/>
        </w:rPr>
        <w:t>sessor (QSA) for the APAC region, holds CREST International Accreditation for penetration testing in Australasia, and is an approved supplier to the Government of Western Australia.</w:t>
      </w:r>
    </w:p>
    <w:p w14:paraId="5741511D" w14:textId="77777777" w:rsidR="00111D2F" w:rsidRPr="00BC7267" w:rsidRDefault="00E9729A" w:rsidP="00BC7267">
      <w:pPr>
        <w:spacing w:after="160" w:line="276" w:lineRule="auto"/>
        <w:jc w:val="both"/>
        <w:rPr>
          <w:rFonts w:ascii="Tahoma" w:hAnsi="Tahoma" w:cs="Tahoma"/>
        </w:rPr>
      </w:pPr>
      <w:proofErr w:type="spellStart"/>
      <w:r w:rsidRPr="00BC7267">
        <w:rPr>
          <w:rFonts w:ascii="Tahoma" w:hAnsi="Tahoma" w:cs="Tahoma"/>
        </w:rPr>
        <w:t>CipherShield's</w:t>
      </w:r>
      <w:proofErr w:type="spellEnd"/>
      <w:r w:rsidRPr="00BC7267">
        <w:rPr>
          <w:rFonts w:ascii="Tahoma" w:hAnsi="Tahoma" w:cs="Tahoma"/>
        </w:rPr>
        <w:t xml:space="preserve"> leadership and consulting team — including its Global Chief Information Security Officer, Global Chief Operating Officer, Chief Security Architect, Chief Information Officer, Chief Business Officer, and Cyber Security Manager — collectively brings decades of experience across banking technology, cybersecurity, governance, risk, compliance, and digital transformation, holding certifications including CISSP, CISM, CISA, CRISC, CERM, OSCP, ISO 27001/27701/42001 Lead Auditor/Implementer, and PCI QSA. </w:t>
      </w:r>
      <w:proofErr w:type="spellStart"/>
      <w:r w:rsidRPr="00BC7267">
        <w:rPr>
          <w:rFonts w:ascii="Tahoma" w:hAnsi="Tahoma" w:cs="Tahoma"/>
        </w:rPr>
        <w:t>CipherShi</w:t>
      </w:r>
      <w:r w:rsidRPr="00BC7267">
        <w:rPr>
          <w:rFonts w:ascii="Tahoma" w:hAnsi="Tahoma" w:cs="Tahoma"/>
        </w:rPr>
        <w:t>eld's</w:t>
      </w:r>
      <w:proofErr w:type="spellEnd"/>
      <w:r w:rsidRPr="00BC7267">
        <w:rPr>
          <w:rFonts w:ascii="Tahoma" w:hAnsi="Tahoma" w:cs="Tahoma"/>
        </w:rPr>
        <w:t xml:space="preserve"> client experience includes financial and corporate </w:t>
      </w:r>
      <w:proofErr w:type="spellStart"/>
      <w:r w:rsidRPr="00BC7267">
        <w:rPr>
          <w:rFonts w:ascii="Tahoma" w:hAnsi="Tahoma" w:cs="Tahoma"/>
        </w:rPr>
        <w:t>organisations</w:t>
      </w:r>
      <w:proofErr w:type="spellEnd"/>
      <w:r w:rsidRPr="00BC7267">
        <w:rPr>
          <w:rFonts w:ascii="Tahoma" w:hAnsi="Tahoma" w:cs="Tahoma"/>
        </w:rPr>
        <w:t xml:space="preserve"> such as NRB Bank, and its technology partnerships span Microsoft, Fortinet, Palo Alto Networks, CrowdStrike, Cisco, IBM, and CyberArk.</w:t>
      </w:r>
    </w:p>
    <w:p w14:paraId="7FD1B9BF" w14:textId="77777777" w:rsidR="00111D2F" w:rsidRPr="00BC7267" w:rsidRDefault="00E9729A" w:rsidP="00BC7267">
      <w:pPr>
        <w:pStyle w:val="Heading2"/>
        <w:jc w:val="both"/>
        <w:rPr>
          <w:rFonts w:ascii="Tahoma" w:hAnsi="Tahoma" w:cs="Tahoma"/>
        </w:rPr>
      </w:pPr>
      <w:bookmarkStart w:id="5" w:name="_Toc234500188"/>
      <w:r w:rsidRPr="00BC7267">
        <w:rPr>
          <w:rFonts w:ascii="Tahoma" w:hAnsi="Tahoma" w:cs="Tahoma"/>
        </w:rPr>
        <w:t>2.3 Why This Partnership</w:t>
      </w:r>
      <w:bookmarkEnd w:id="5"/>
    </w:p>
    <w:p w14:paraId="2BCFCA07"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BRAC Bank's </w:t>
      </w:r>
      <w:proofErr w:type="spellStart"/>
      <w:r w:rsidRPr="00BC7267">
        <w:rPr>
          <w:rFonts w:ascii="Tahoma" w:hAnsi="Tahoma" w:cs="Tahoma"/>
        </w:rPr>
        <w:t>ToR</w:t>
      </w:r>
      <w:proofErr w:type="spellEnd"/>
      <w:r w:rsidRPr="00BC7267">
        <w:rPr>
          <w:rFonts w:ascii="Tahoma" w:hAnsi="Tahoma" w:cs="Tahoma"/>
        </w:rPr>
        <w:t xml:space="preserve"> asks for a single partner able to move credibly from boardroom strategy to technical control design — spanning use-case economics, model risk, cyber and data governance, target architecture, and a fundable business case. No single firm typically covers this full span with equal depth. This consortium is built specifically to close that gap:</w:t>
      </w:r>
    </w:p>
    <w:p w14:paraId="5D8628E9"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Local regulatory and banking credibility: </w:t>
      </w:r>
      <w:r w:rsidRPr="00BC7267">
        <w:rPr>
          <w:rFonts w:ascii="Tahoma" w:hAnsi="Tahoma" w:cs="Tahoma"/>
        </w:rPr>
        <w:t>ACNABIN's 40+ years of Bangladesh Bank-facing audit and governance work, and its standing with ICAB and the regulator, ground every recommendation in what is actually approvable and auditable in the Bank's operating environment.</w:t>
      </w:r>
    </w:p>
    <w:p w14:paraId="7EDC5F96"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Specialist AI, data, and cyber depth: </w:t>
      </w:r>
      <w:proofErr w:type="spellStart"/>
      <w:r w:rsidRPr="00BC7267">
        <w:rPr>
          <w:rFonts w:ascii="Tahoma" w:hAnsi="Tahoma" w:cs="Tahoma"/>
        </w:rPr>
        <w:t>CipherShield</w:t>
      </w:r>
      <w:proofErr w:type="spellEnd"/>
      <w:r w:rsidRPr="00BC7267">
        <w:rPr>
          <w:rFonts w:ascii="Tahoma" w:hAnsi="Tahoma" w:cs="Tahoma"/>
        </w:rPr>
        <w:t xml:space="preserve"> contributes the technical core — AI governance frameworks, model risk lifecycle design, target-state architecture, </w:t>
      </w:r>
      <w:proofErr w:type="spellStart"/>
      <w:r w:rsidRPr="00BC7267">
        <w:rPr>
          <w:rFonts w:ascii="Tahoma" w:hAnsi="Tahoma" w:cs="Tahoma"/>
        </w:rPr>
        <w:t>MLOps</w:t>
      </w:r>
      <w:proofErr w:type="spellEnd"/>
      <w:r w:rsidRPr="00BC7267">
        <w:rPr>
          <w:rFonts w:ascii="Tahoma" w:hAnsi="Tahoma" w:cs="Tahoma"/>
        </w:rPr>
        <w:t xml:space="preserve"> and security patterns, and international standards alignment (ISO/IEC 42001, NIST AI RMF) — informed by delivery experience across Australia, APAC, and Bangladesh.</w:t>
      </w:r>
    </w:p>
    <w:p w14:paraId="674C01BD"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Proven joint delivery: </w:t>
      </w:r>
      <w:r w:rsidRPr="00BC7267">
        <w:rPr>
          <w:rFonts w:ascii="Tahoma" w:hAnsi="Tahoma" w:cs="Tahoma"/>
        </w:rPr>
        <w:t>The two firms have already delivered a joint regulatory transformation engagement in the Bangladeshi banking sector (an IFRS 9 ECL model and governance uplift), giving the Bank confidence in our combined working model, escalation lines, and quality assurance before day one of this engagement.</w:t>
      </w:r>
    </w:p>
    <w:p w14:paraId="69EBA06D"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No parallel structures: </w:t>
      </w:r>
      <w:r w:rsidRPr="00BC7267">
        <w:rPr>
          <w:rFonts w:ascii="Tahoma" w:hAnsi="Tahoma" w:cs="Tahoma"/>
        </w:rPr>
        <w:t>Because both firms already work inside the Bank's broader ecosystem of auditors, regulators, and technology governance forums, we design AI governance as an extension of existing risk, audit, and technology structures — not a competing one.</w:t>
      </w:r>
    </w:p>
    <w:p w14:paraId="0F765D9A" w14:textId="77777777" w:rsidR="00111D2F" w:rsidRPr="00BC7267" w:rsidRDefault="00E9729A" w:rsidP="00BC7267">
      <w:pPr>
        <w:jc w:val="both"/>
        <w:rPr>
          <w:rFonts w:ascii="Tahoma" w:hAnsi="Tahoma" w:cs="Tahoma"/>
        </w:rPr>
      </w:pPr>
      <w:r w:rsidRPr="00BC7267">
        <w:rPr>
          <w:rFonts w:ascii="Tahoma" w:hAnsi="Tahoma" w:cs="Tahoma"/>
        </w:rPr>
        <w:br w:type="page"/>
      </w:r>
    </w:p>
    <w:p w14:paraId="4AF194EB" w14:textId="77777777" w:rsidR="00111D2F" w:rsidRPr="00BC7267" w:rsidRDefault="00E9729A" w:rsidP="00BC7267">
      <w:pPr>
        <w:pStyle w:val="Heading1"/>
        <w:jc w:val="both"/>
        <w:rPr>
          <w:rFonts w:ascii="Tahoma" w:hAnsi="Tahoma" w:cs="Tahoma"/>
        </w:rPr>
      </w:pPr>
      <w:bookmarkStart w:id="6" w:name="_Toc234500189"/>
      <w:r w:rsidRPr="00BC7267">
        <w:rPr>
          <w:rFonts w:ascii="Tahoma" w:hAnsi="Tahoma" w:cs="Tahoma"/>
        </w:rPr>
        <w:t>3. Understanding of the Assignment</w:t>
      </w:r>
      <w:bookmarkEnd w:id="6"/>
    </w:p>
    <w:p w14:paraId="30EAC926"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BRAC Bank operates one of the strongest franchises in Bangladeshi banking across Retail, SME, and Wholesale segments, within an established and </w:t>
      </w:r>
      <w:r w:rsidRPr="00BC7267">
        <w:rPr>
          <w:rFonts w:ascii="Tahoma" w:hAnsi="Tahoma" w:cs="Tahoma"/>
        </w:rPr>
        <w:t>actively evolving technology estate in which AI is now a strategic priority. The Bank is seeking an advisory partner — not a single deliverable, but a partner — to help it answer three connected questions: where does the Bank genuinely stand on AI readiness today; how should AI be governed responsibly and sustainably as it scales; and how should investment be sequenced to deliver measurable, defensible value.</w:t>
      </w:r>
    </w:p>
    <w:p w14:paraId="3A337F1C"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We understand this to be deliberately an outcome-based </w:t>
      </w:r>
      <w:proofErr w:type="spellStart"/>
      <w:r w:rsidRPr="00BC7267">
        <w:rPr>
          <w:rFonts w:ascii="Tahoma" w:hAnsi="Tahoma" w:cs="Tahoma"/>
        </w:rPr>
        <w:t>ToR</w:t>
      </w:r>
      <w:proofErr w:type="spellEnd"/>
      <w:r w:rsidRPr="00BC7267">
        <w:rPr>
          <w:rFonts w:ascii="Tahoma" w:hAnsi="Tahoma" w:cs="Tahoma"/>
        </w:rPr>
        <w:t xml:space="preserve">: the Bank has defined the outcomes and minimum deliverables it requires (Sections 3 and 4 of the </w:t>
      </w:r>
      <w:proofErr w:type="spellStart"/>
      <w:r w:rsidRPr="00BC7267">
        <w:rPr>
          <w:rFonts w:ascii="Tahoma" w:hAnsi="Tahoma" w:cs="Tahoma"/>
        </w:rPr>
        <w:t>ToR</w:t>
      </w:r>
      <w:proofErr w:type="spellEnd"/>
      <w:r w:rsidRPr="00BC7267">
        <w:rPr>
          <w:rFonts w:ascii="Tahoma" w:hAnsi="Tahoma" w:cs="Tahoma"/>
        </w:rPr>
        <w:t>) but has intentionally left methodology, phasing, and delivery model to the Respondent. We have taken this as an invitation to propose a pragmatic, evidence-led approach shaped by what has actually worked in comparable banking environments, rather than a generic framework applied without adaptation to the Bank's context.</w:t>
      </w:r>
    </w:p>
    <w:p w14:paraId="64A039E0"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Three implications shape our approach throughout this proposal:</w:t>
      </w:r>
    </w:p>
    <w:p w14:paraId="71D92502"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Anchoring, not replacing: </w:t>
      </w:r>
      <w:r w:rsidRPr="00BC7267">
        <w:rPr>
          <w:rFonts w:ascii="Tahoma" w:hAnsi="Tahoma" w:cs="Tahoma"/>
        </w:rPr>
        <w:t xml:space="preserve">Recommendations on architecture, platforms, and governance must </w:t>
      </w:r>
      <w:proofErr w:type="spellStart"/>
      <w:r w:rsidRPr="00BC7267">
        <w:rPr>
          <w:rFonts w:ascii="Tahoma" w:hAnsi="Tahoma" w:cs="Tahoma"/>
        </w:rPr>
        <w:t>maximise</w:t>
      </w:r>
      <w:proofErr w:type="spellEnd"/>
      <w:r w:rsidRPr="00BC7267">
        <w:rPr>
          <w:rFonts w:ascii="Tahoma" w:hAnsi="Tahoma" w:cs="Tahoma"/>
        </w:rPr>
        <w:t xml:space="preserve"> reuse of the Bank's existing technology, data, and private-cloud investments, and must integrate with — not duplicate — existing risk, audit, and technology governance structures.</w:t>
      </w:r>
    </w:p>
    <w:p w14:paraId="326DA760"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Local and international regulatory alignment: </w:t>
      </w:r>
      <w:r w:rsidRPr="00BC7267">
        <w:rPr>
          <w:rFonts w:ascii="Tahoma" w:hAnsi="Tahoma" w:cs="Tahoma"/>
        </w:rPr>
        <w:t xml:space="preserve">The </w:t>
      </w:r>
      <w:proofErr w:type="spellStart"/>
      <w:r w:rsidRPr="00BC7267">
        <w:rPr>
          <w:rFonts w:ascii="Tahoma" w:hAnsi="Tahoma" w:cs="Tahoma"/>
        </w:rPr>
        <w:t>programme</w:t>
      </w:r>
      <w:proofErr w:type="spellEnd"/>
      <w:r w:rsidRPr="00BC7267">
        <w:rPr>
          <w:rFonts w:ascii="Tahoma" w:hAnsi="Tahoma" w:cs="Tahoma"/>
        </w:rPr>
        <w:t xml:space="preserve"> must reflect Bangladesh Bank's ICT, cloud, and emerging AI-related regulatory expectations alongside international model risk and AI governance standards, and must draw on proven implementations from comparable financial-services markets, including India.</w:t>
      </w:r>
    </w:p>
    <w:p w14:paraId="33BAEC36"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Early, evidenced value: </w:t>
      </w:r>
      <w:r w:rsidRPr="00BC7267">
        <w:rPr>
          <w:rFonts w:ascii="Tahoma" w:hAnsi="Tahoma" w:cs="Tahoma"/>
        </w:rPr>
        <w:t xml:space="preserve">The </w:t>
      </w:r>
      <w:proofErr w:type="spellStart"/>
      <w:r w:rsidRPr="00BC7267">
        <w:rPr>
          <w:rFonts w:ascii="Tahoma" w:hAnsi="Tahoma" w:cs="Tahoma"/>
        </w:rPr>
        <w:t>prioritised</w:t>
      </w:r>
      <w:proofErr w:type="spellEnd"/>
      <w:r w:rsidRPr="00BC7267">
        <w:rPr>
          <w:rFonts w:ascii="Tahoma" w:hAnsi="Tahoma" w:cs="Tahoma"/>
        </w:rPr>
        <w:t xml:space="preserve"> use-case portfolio and phased roadmap must surface initiatives capable of delivering early business value, not only long-horizon transformation, and every deliverable must articulate its business value contribution in terms a Board and Executive Committee can act on.</w:t>
      </w:r>
    </w:p>
    <w:p w14:paraId="2504A165"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Pricing and commercial terms are addressed under the Bank's separate commercial process (</w:t>
      </w:r>
      <w:proofErr w:type="spellStart"/>
      <w:r w:rsidRPr="00BC7267">
        <w:rPr>
          <w:rFonts w:ascii="Tahoma" w:hAnsi="Tahoma" w:cs="Tahoma"/>
        </w:rPr>
        <w:t>ToR</w:t>
      </w:r>
      <w:proofErr w:type="spellEnd"/>
      <w:r w:rsidRPr="00BC7267">
        <w:rPr>
          <w:rFonts w:ascii="Tahoma" w:hAnsi="Tahoma" w:cs="Tahoma"/>
        </w:rPr>
        <w:t xml:space="preserve"> Section 2.3) and are accordingly excluded from this technical proposal.</w:t>
      </w:r>
    </w:p>
    <w:p w14:paraId="3DB067FF" w14:textId="77777777" w:rsidR="00111D2F" w:rsidRPr="00BC7267" w:rsidRDefault="00E9729A" w:rsidP="00BC7267">
      <w:pPr>
        <w:jc w:val="both"/>
        <w:rPr>
          <w:rFonts w:ascii="Tahoma" w:hAnsi="Tahoma" w:cs="Tahoma"/>
        </w:rPr>
      </w:pPr>
      <w:r w:rsidRPr="00BC7267">
        <w:rPr>
          <w:rFonts w:ascii="Tahoma" w:hAnsi="Tahoma" w:cs="Tahoma"/>
        </w:rPr>
        <w:br w:type="page"/>
      </w:r>
    </w:p>
    <w:p w14:paraId="33928657" w14:textId="77777777" w:rsidR="00111D2F" w:rsidRPr="00BC7267" w:rsidRDefault="00E9729A" w:rsidP="00BC7267">
      <w:pPr>
        <w:pStyle w:val="Heading1"/>
        <w:jc w:val="both"/>
        <w:rPr>
          <w:rFonts w:ascii="Tahoma" w:hAnsi="Tahoma" w:cs="Tahoma"/>
        </w:rPr>
      </w:pPr>
      <w:bookmarkStart w:id="7" w:name="_Toc234500190"/>
      <w:r w:rsidRPr="00BC7267">
        <w:rPr>
          <w:rFonts w:ascii="Tahoma" w:hAnsi="Tahoma" w:cs="Tahoma"/>
        </w:rPr>
        <w:t>4. Proposed Approach &amp; Methodology</w:t>
      </w:r>
      <w:bookmarkEnd w:id="7"/>
    </w:p>
    <w:p w14:paraId="1738963E" w14:textId="77777777" w:rsidR="00111D2F" w:rsidRPr="00BC7267" w:rsidRDefault="00E9729A" w:rsidP="00BC7267">
      <w:pPr>
        <w:pStyle w:val="Heading2"/>
        <w:jc w:val="both"/>
        <w:rPr>
          <w:rFonts w:ascii="Tahoma" w:hAnsi="Tahoma" w:cs="Tahoma"/>
        </w:rPr>
      </w:pPr>
      <w:bookmarkStart w:id="8" w:name="_Toc234500191"/>
      <w:r w:rsidRPr="00BC7267">
        <w:rPr>
          <w:rFonts w:ascii="Tahoma" w:hAnsi="Tahoma" w:cs="Tahoma"/>
        </w:rPr>
        <w:t>4.1 Guiding Principles</w:t>
      </w:r>
      <w:bookmarkEnd w:id="8"/>
    </w:p>
    <w:p w14:paraId="70E88BCE"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Outcome-led, not template-led: every activity is traceable to Outcome A, B, or C and to a named deliverable in Section 5.</w:t>
      </w:r>
    </w:p>
    <w:p w14:paraId="24486263"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 xml:space="preserve">Transparent and auditable: no proprietary black-box scoring or modelling — every </w:t>
      </w:r>
      <w:r w:rsidRPr="00BC7267">
        <w:rPr>
          <w:rFonts w:ascii="Tahoma" w:hAnsi="Tahoma" w:cs="Tahoma"/>
        </w:rPr>
        <w:t>framework, weighting, and assumption is documented and explainable to the Bank's risk, audit, and Board committees.</w:t>
      </w:r>
    </w:p>
    <w:p w14:paraId="07F32FE2"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 xml:space="preserve">Anchored on existing investments: architecture and platform recommendations </w:t>
      </w:r>
      <w:proofErr w:type="spellStart"/>
      <w:r w:rsidRPr="00BC7267">
        <w:rPr>
          <w:rFonts w:ascii="Tahoma" w:hAnsi="Tahoma" w:cs="Tahoma"/>
        </w:rPr>
        <w:t>maximise</w:t>
      </w:r>
      <w:proofErr w:type="spellEnd"/>
      <w:r w:rsidRPr="00BC7267">
        <w:rPr>
          <w:rFonts w:ascii="Tahoma" w:hAnsi="Tahoma" w:cs="Tahoma"/>
        </w:rPr>
        <w:t xml:space="preserve"> reuse of the Bank's current technology, data, and private-cloud estate.</w:t>
      </w:r>
    </w:p>
    <w:p w14:paraId="1780A242"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Single governance spine: Outcome B is designed as the connective layer that governs how Outcome A's use cases and Outcome C's roadmap actually get approved, funded, monitored, and escalated — avoiding parallel or duplicate structures.</w:t>
      </w:r>
    </w:p>
    <w:p w14:paraId="3CDD7772"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Continuous knowledge transfer: capability uplift is embedded throughout delivery, not held back for a final training phase.</w:t>
      </w:r>
    </w:p>
    <w:p w14:paraId="173C3678" w14:textId="77777777" w:rsidR="00111D2F" w:rsidRPr="00BC7267" w:rsidRDefault="00E9729A" w:rsidP="00BC7267">
      <w:pPr>
        <w:pStyle w:val="Heading2"/>
        <w:jc w:val="both"/>
        <w:rPr>
          <w:rFonts w:ascii="Tahoma" w:hAnsi="Tahoma" w:cs="Tahoma"/>
        </w:rPr>
      </w:pPr>
      <w:bookmarkStart w:id="9" w:name="_Toc234500192"/>
      <w:r w:rsidRPr="00BC7267">
        <w:rPr>
          <w:rFonts w:ascii="Tahoma" w:hAnsi="Tahoma" w:cs="Tahoma"/>
        </w:rPr>
        <w:t>4.2 Delivery Structure</w:t>
      </w:r>
      <w:bookmarkEnd w:id="9"/>
    </w:p>
    <w:p w14:paraId="7C025C34"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We propose three integrated workstreams, aligned one-to-one with the Bank's required outcomes, run in a phased-but-overlapping sequence so that governance design (Outcome B) begins as soon as the first use cases and risk themes emerge from the diagnostic (Outcome A), rather than waiting for it to conclude. Outcome C's strategy and roadmap then consolidate the outputs of both into a single, fundable </w:t>
      </w:r>
      <w:proofErr w:type="spellStart"/>
      <w:r w:rsidRPr="00BC7267">
        <w:rPr>
          <w:rFonts w:ascii="Tahoma" w:hAnsi="Tahoma" w:cs="Tahoma"/>
        </w:rPr>
        <w:t>programme</w:t>
      </w:r>
      <w:proofErr w:type="spellEnd"/>
      <w:r w:rsidRPr="00BC7267">
        <w:rPr>
          <w:rFonts w:ascii="Tahoma" w:hAnsi="Tahoma" w:cs="Tahoma"/>
        </w:rPr>
        <w:t xml:space="preserve"> of work.</w:t>
      </w:r>
    </w:p>
    <w:p w14:paraId="01982317" w14:textId="77777777" w:rsidR="00111D2F" w:rsidRPr="00BC7267" w:rsidRDefault="00E9729A" w:rsidP="00BC7267">
      <w:pPr>
        <w:pStyle w:val="Heading3"/>
        <w:jc w:val="both"/>
        <w:rPr>
          <w:rFonts w:ascii="Tahoma" w:hAnsi="Tahoma" w:cs="Tahoma"/>
          <w:color w:val="0F4761" w:themeColor="accent1" w:themeShade="BF"/>
        </w:rPr>
      </w:pPr>
      <w:bookmarkStart w:id="10" w:name="_Toc234500193"/>
      <w:r w:rsidRPr="00BC7267">
        <w:rPr>
          <w:rFonts w:ascii="Tahoma" w:hAnsi="Tahoma" w:cs="Tahoma"/>
          <w:color w:val="0F4761" w:themeColor="accent1" w:themeShade="BF"/>
        </w:rPr>
        <w:t xml:space="preserve">Workstream A — AI Readiness and </w:t>
      </w:r>
      <w:proofErr w:type="spellStart"/>
      <w:r w:rsidRPr="00BC7267">
        <w:rPr>
          <w:rFonts w:ascii="Tahoma" w:hAnsi="Tahoma" w:cs="Tahoma"/>
          <w:color w:val="0F4761" w:themeColor="accent1" w:themeShade="BF"/>
        </w:rPr>
        <w:t>Prioritised</w:t>
      </w:r>
      <w:proofErr w:type="spellEnd"/>
      <w:r w:rsidRPr="00BC7267">
        <w:rPr>
          <w:rFonts w:ascii="Tahoma" w:hAnsi="Tahoma" w:cs="Tahoma"/>
          <w:color w:val="0F4761" w:themeColor="accent1" w:themeShade="BF"/>
        </w:rPr>
        <w:t xml:space="preserve"> Use-Case Portfolio</w:t>
      </w:r>
      <w:bookmarkEnd w:id="10"/>
    </w:p>
    <w:p w14:paraId="4486E7EC" w14:textId="77777777" w:rsidR="00111D2F" w:rsidRPr="00BC7267" w:rsidRDefault="00E9729A" w:rsidP="00BC7267">
      <w:pPr>
        <w:pStyle w:val="ListParagraph"/>
        <w:numPr>
          <w:ilvl w:val="0"/>
          <w:numId w:val="1"/>
        </w:numPr>
        <w:spacing w:after="100" w:line="276" w:lineRule="auto"/>
        <w:jc w:val="both"/>
        <w:rPr>
          <w:rFonts w:ascii="Tahoma" w:hAnsi="Tahoma" w:cs="Tahoma"/>
        </w:rPr>
      </w:pPr>
      <w:proofErr w:type="spellStart"/>
      <w:r w:rsidRPr="00BC7267">
        <w:rPr>
          <w:rFonts w:ascii="Tahoma" w:hAnsi="Tahoma" w:cs="Tahoma"/>
          <w:b/>
          <w:bCs/>
        </w:rPr>
        <w:t>Mobilisation</w:t>
      </w:r>
      <w:proofErr w:type="spellEnd"/>
      <w:r w:rsidRPr="00BC7267">
        <w:rPr>
          <w:rFonts w:ascii="Tahoma" w:hAnsi="Tahoma" w:cs="Tahoma"/>
          <w:b/>
          <w:bCs/>
        </w:rPr>
        <w:t xml:space="preserve"> and current-state diagnostic: </w:t>
      </w:r>
      <w:r w:rsidRPr="00BC7267">
        <w:rPr>
          <w:rFonts w:ascii="Tahoma" w:hAnsi="Tahoma" w:cs="Tahoma"/>
        </w:rPr>
        <w:t>structured stakeholder interviews and document review across business, technology, data, and risk functions; inventory of existing, planned, and federated AI initiatives already underway across the Bank.</w:t>
      </w:r>
    </w:p>
    <w:p w14:paraId="067C15EA"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Maturity assessment: </w:t>
      </w:r>
      <w:r w:rsidRPr="00BC7267">
        <w:rPr>
          <w:rFonts w:ascii="Tahoma" w:hAnsi="Tahoma" w:cs="Tahoma"/>
        </w:rPr>
        <w:t>a scored readiness assessment across strategy and operating model, data, technology and infrastructure, talent and capability, governance and risk, and adoption and change — each dimension rated against a defined maturity scale with supporting evidence.</w:t>
      </w:r>
    </w:p>
    <w:p w14:paraId="61617464"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External and peer benchmarking: </w:t>
      </w:r>
      <w:r w:rsidRPr="00BC7267">
        <w:rPr>
          <w:rFonts w:ascii="Tahoma" w:hAnsi="Tahoma" w:cs="Tahoma"/>
        </w:rPr>
        <w:t>benchmarking against banking peers regionally and in comparable markets (including India), and cross-industry leading practice, drawing on the consortium's combined delivery experience and Baker Tilly International's global network.</w:t>
      </w:r>
    </w:p>
    <w:p w14:paraId="72BB1DFB"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Use-case scoring and </w:t>
      </w:r>
      <w:proofErr w:type="spellStart"/>
      <w:r w:rsidRPr="00BC7267">
        <w:rPr>
          <w:rFonts w:ascii="Tahoma" w:hAnsi="Tahoma" w:cs="Tahoma"/>
          <w:b/>
          <w:bCs/>
        </w:rPr>
        <w:t>prioritisation</w:t>
      </w:r>
      <w:proofErr w:type="spellEnd"/>
      <w:r w:rsidRPr="00BC7267">
        <w:rPr>
          <w:rFonts w:ascii="Tahoma" w:hAnsi="Tahoma" w:cs="Tahoma"/>
          <w:b/>
          <w:bCs/>
        </w:rPr>
        <w:t xml:space="preserve">: </w:t>
      </w:r>
      <w:r w:rsidRPr="00BC7267">
        <w:rPr>
          <w:rFonts w:ascii="Tahoma" w:hAnsi="Tahoma" w:cs="Tahoma"/>
        </w:rPr>
        <w:t>a transparent, weighted scoring model — business value, expected outcome, feasibility, and strategic alignment — applied consistently to internal, planned, and externally sourced proven use cases, explicitly surfacing early-value candidates alongside longer-horizon initiatives.</w:t>
      </w:r>
    </w:p>
    <w:p w14:paraId="0F7A177A"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Readiness gap summary: </w:t>
      </w:r>
      <w:r w:rsidRPr="00BC7267">
        <w:rPr>
          <w:rFonts w:ascii="Tahoma" w:hAnsi="Tahoma" w:cs="Tahoma"/>
        </w:rPr>
        <w:t xml:space="preserve">capability gaps are explicitly linked forward to the Outcome C roadmap, with emphasis on </w:t>
      </w:r>
      <w:proofErr w:type="spellStart"/>
      <w:r w:rsidRPr="00BC7267">
        <w:rPr>
          <w:rFonts w:ascii="Tahoma" w:hAnsi="Tahoma" w:cs="Tahoma"/>
        </w:rPr>
        <w:t>maximising</w:t>
      </w:r>
      <w:proofErr w:type="spellEnd"/>
      <w:r w:rsidRPr="00BC7267">
        <w:rPr>
          <w:rFonts w:ascii="Tahoma" w:hAnsi="Tahoma" w:cs="Tahoma"/>
        </w:rPr>
        <w:t xml:space="preserve"> the Bank's existing technology, data, and infrastructure investments rather than recommending wholesale replacement.</w:t>
      </w:r>
    </w:p>
    <w:p w14:paraId="59E36F5F" w14:textId="77777777" w:rsidR="00111D2F" w:rsidRPr="00BC7267" w:rsidRDefault="00E9729A" w:rsidP="00BC7267">
      <w:pPr>
        <w:pStyle w:val="Heading3"/>
        <w:jc w:val="both"/>
        <w:rPr>
          <w:rFonts w:ascii="Tahoma" w:hAnsi="Tahoma" w:cs="Tahoma"/>
          <w:color w:val="0F4761" w:themeColor="accent1" w:themeShade="BF"/>
        </w:rPr>
      </w:pPr>
      <w:bookmarkStart w:id="11" w:name="_Toc234500194"/>
      <w:r w:rsidRPr="00BC7267">
        <w:rPr>
          <w:rFonts w:ascii="Tahoma" w:hAnsi="Tahoma" w:cs="Tahoma"/>
          <w:color w:val="0F4761" w:themeColor="accent1" w:themeShade="BF"/>
        </w:rPr>
        <w:t>Workstream B — Enterprise AI Governance and Control Framework</w:t>
      </w:r>
      <w:bookmarkEnd w:id="11"/>
    </w:p>
    <w:p w14:paraId="0534775E"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Current-state governance assessment: </w:t>
      </w:r>
      <w:r w:rsidRPr="00BC7267">
        <w:rPr>
          <w:rFonts w:ascii="Tahoma" w:hAnsi="Tahoma" w:cs="Tahoma"/>
        </w:rPr>
        <w:t>mapping of existing AI-related governance, policy coverage, and ownership of in-flight initiatives, including where they currently sit relative to existing risk, audit, and technology governance forums.</w:t>
      </w:r>
    </w:p>
    <w:p w14:paraId="48D3FB2F"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Regulatory mapping: </w:t>
      </w:r>
      <w:r w:rsidRPr="00BC7267">
        <w:rPr>
          <w:rFonts w:ascii="Tahoma" w:hAnsi="Tahoma" w:cs="Tahoma"/>
        </w:rPr>
        <w:t>a structured mapping of applicable requirements — Bangladesh Bank ICT and cloud regulations, emerging AI-specific regulatory guidance, and international model risk and AI governance standards (e.g. ISO/IEC 42001, NIST AI RMF) — to concrete control obligations.</w:t>
      </w:r>
    </w:p>
    <w:p w14:paraId="07581018"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Governance framework design: </w:t>
      </w:r>
      <w:r w:rsidRPr="00BC7267">
        <w:rPr>
          <w:rFonts w:ascii="Tahoma" w:hAnsi="Tahoma" w:cs="Tahoma"/>
        </w:rPr>
        <w:t>policies, standards, a model risk lifecycle (development, validation, deployment, monitoring, retirement), responsible-AI principles, and third-party/vendor AI control requirements, each mapped to an accountable owner.</w:t>
      </w:r>
    </w:p>
    <w:p w14:paraId="586E3046"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Operating model: </w:t>
      </w:r>
      <w:r w:rsidRPr="00BC7267">
        <w:rPr>
          <w:rFonts w:ascii="Tahoma" w:hAnsi="Tahoma" w:cs="Tahoma"/>
        </w:rPr>
        <w:t>committee structure, roles, decision rights, and escalation paths designed to extend the Bank's existing risk, audit, and technology governance rather than stand up a parallel structure, together with an executive reporting cadence.</w:t>
      </w:r>
    </w:p>
    <w:p w14:paraId="163ED92E"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Controls catalogue and testing plan: </w:t>
      </w:r>
      <w:r w:rsidRPr="00BC7267">
        <w:rPr>
          <w:rFonts w:ascii="Tahoma" w:hAnsi="Tahoma" w:cs="Tahoma"/>
        </w:rPr>
        <w:t>controls mapped across the full AI lifecycle — discovery, design, development, deployment, monitoring — with defined testing cadence and ownership, suitable for internal and external audit reliance.</w:t>
      </w:r>
    </w:p>
    <w:p w14:paraId="041E74D5" w14:textId="77777777" w:rsidR="00111D2F" w:rsidRPr="00BC7267" w:rsidRDefault="00E9729A" w:rsidP="00BC7267">
      <w:pPr>
        <w:pStyle w:val="Heading3"/>
        <w:jc w:val="both"/>
        <w:rPr>
          <w:rFonts w:ascii="Tahoma" w:hAnsi="Tahoma" w:cs="Tahoma"/>
          <w:color w:val="0F4761" w:themeColor="accent1" w:themeShade="BF"/>
        </w:rPr>
      </w:pPr>
      <w:bookmarkStart w:id="12" w:name="_Toc234500195"/>
      <w:r w:rsidRPr="00BC7267">
        <w:rPr>
          <w:rFonts w:ascii="Tahoma" w:hAnsi="Tahoma" w:cs="Tahoma"/>
          <w:color w:val="0F4761" w:themeColor="accent1" w:themeShade="BF"/>
        </w:rPr>
        <w:t xml:space="preserve">Workstream C — Enterprise AI </w:t>
      </w:r>
      <w:r w:rsidRPr="00BC7267">
        <w:rPr>
          <w:rFonts w:ascii="Tahoma" w:hAnsi="Tahoma" w:cs="Tahoma"/>
          <w:color w:val="0F4761" w:themeColor="accent1" w:themeShade="BF"/>
        </w:rPr>
        <w:t>Strategy, Roadmap and Business Case</w:t>
      </w:r>
      <w:bookmarkEnd w:id="12"/>
    </w:p>
    <w:p w14:paraId="1F74CEEC"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Vision and strategic ambition: </w:t>
      </w:r>
      <w:r w:rsidRPr="00BC7267">
        <w:rPr>
          <w:rFonts w:ascii="Tahoma" w:hAnsi="Tahoma" w:cs="Tahoma"/>
        </w:rPr>
        <w:t>an executive workshop-led process to anchor the AI vision to the Bank's actual business priorities — digital channel expansion, cost-to-acquire/cost-to-serve, and customer experience — rather than a generic industry narrative.</w:t>
      </w:r>
    </w:p>
    <w:p w14:paraId="5F32E868"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Target-state architecture and platform approach: </w:t>
      </w:r>
      <w:r w:rsidRPr="00BC7267">
        <w:rPr>
          <w:rFonts w:ascii="Tahoma" w:hAnsi="Tahoma" w:cs="Tahoma"/>
        </w:rPr>
        <w:t xml:space="preserve">a recommended architecture covering data, models, </w:t>
      </w:r>
      <w:proofErr w:type="spellStart"/>
      <w:r w:rsidRPr="00BC7267">
        <w:rPr>
          <w:rFonts w:ascii="Tahoma" w:hAnsi="Tahoma" w:cs="Tahoma"/>
        </w:rPr>
        <w:t>MLOps</w:t>
      </w:r>
      <w:proofErr w:type="spellEnd"/>
      <w:r w:rsidRPr="00BC7267">
        <w:rPr>
          <w:rFonts w:ascii="Tahoma" w:hAnsi="Tahoma" w:cs="Tahoma"/>
        </w:rPr>
        <w:t xml:space="preserve">, and security, explicitly designed to </w:t>
      </w:r>
      <w:proofErr w:type="spellStart"/>
      <w:r w:rsidRPr="00BC7267">
        <w:rPr>
          <w:rFonts w:ascii="Tahoma" w:hAnsi="Tahoma" w:cs="Tahoma"/>
        </w:rPr>
        <w:t>maximise</w:t>
      </w:r>
      <w:proofErr w:type="spellEnd"/>
      <w:r w:rsidRPr="00BC7267">
        <w:rPr>
          <w:rFonts w:ascii="Tahoma" w:hAnsi="Tahoma" w:cs="Tahoma"/>
        </w:rPr>
        <w:t xml:space="preserve"> reuse of the Bank's existing infrastructure, including its private cloud investment.</w:t>
      </w:r>
    </w:p>
    <w:p w14:paraId="3F0AD238"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Capability-build plan: </w:t>
      </w:r>
      <w:r w:rsidRPr="00BC7267">
        <w:rPr>
          <w:rFonts w:ascii="Tahoma" w:hAnsi="Tahoma" w:cs="Tahoma"/>
        </w:rPr>
        <w:t>talent strategy (build/partner/buy), partnership and vendor strategy, training, and change management, sized to the Bank's realistic delivery capacity.</w:t>
      </w:r>
    </w:p>
    <w:p w14:paraId="1D2F9286"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Three-year phased roadmap: </w:t>
      </w:r>
      <w:r w:rsidRPr="00BC7267">
        <w:rPr>
          <w:rFonts w:ascii="Tahoma" w:hAnsi="Tahoma" w:cs="Tahoma"/>
        </w:rPr>
        <w:t>sequenced initiatives with dependencies, owners, and value-</w:t>
      </w:r>
      <w:proofErr w:type="spellStart"/>
      <w:r w:rsidRPr="00BC7267">
        <w:rPr>
          <w:rFonts w:ascii="Tahoma" w:hAnsi="Tahoma" w:cs="Tahoma"/>
        </w:rPr>
        <w:t>realisation</w:t>
      </w:r>
      <w:proofErr w:type="spellEnd"/>
      <w:r w:rsidRPr="00BC7267">
        <w:rPr>
          <w:rFonts w:ascii="Tahoma" w:hAnsi="Tahoma" w:cs="Tahoma"/>
        </w:rPr>
        <w:t xml:space="preserve"> milestones across short, medium, and long-term horizons, explicitly surfacing early-value initiatives and reflecting Bangladesh Bank and international regulatory considerations.</w:t>
      </w:r>
    </w:p>
    <w:p w14:paraId="4514F2E6"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Quantified business case: </w:t>
      </w:r>
      <w:r w:rsidRPr="00BC7267">
        <w:rPr>
          <w:rFonts w:ascii="Tahoma" w:hAnsi="Tahoma" w:cs="Tahoma"/>
        </w:rPr>
        <w:t>investment requirement, expected value across revenue, cost, risk, and customer experience, total cost of ownership, ROI profile, and value-</w:t>
      </w:r>
      <w:proofErr w:type="spellStart"/>
      <w:r w:rsidRPr="00BC7267">
        <w:rPr>
          <w:rFonts w:ascii="Tahoma" w:hAnsi="Tahoma" w:cs="Tahoma"/>
        </w:rPr>
        <w:t>realisation</w:t>
      </w:r>
      <w:proofErr w:type="spellEnd"/>
      <w:r w:rsidRPr="00BC7267">
        <w:rPr>
          <w:rFonts w:ascii="Tahoma" w:hAnsi="Tahoma" w:cs="Tahoma"/>
        </w:rPr>
        <w:t xml:space="preserve"> milestones, presented in a format suitable for Board and Executive Committee decision-making.</w:t>
      </w:r>
    </w:p>
    <w:p w14:paraId="4FB741B0" w14:textId="5FE23D04" w:rsid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Final executive readout: </w:t>
      </w:r>
      <w:r w:rsidRPr="00BC7267">
        <w:rPr>
          <w:rFonts w:ascii="Tahoma" w:hAnsi="Tahoma" w:cs="Tahoma"/>
        </w:rPr>
        <w:t>a single, integrated narrative across Outcomes A, B, and C, with clear articulation of how each initiative and the roadmap as a whole deliver measurable business value.</w:t>
      </w:r>
    </w:p>
    <w:p w14:paraId="3A47645E" w14:textId="10EA8358" w:rsidR="00111D2F" w:rsidRPr="00BC7267" w:rsidRDefault="00BC7267" w:rsidP="00BC7267">
      <w:pPr>
        <w:jc w:val="both"/>
        <w:rPr>
          <w:rFonts w:ascii="Tahoma" w:hAnsi="Tahoma" w:cs="Tahoma"/>
        </w:rPr>
      </w:pPr>
      <w:r>
        <w:rPr>
          <w:rFonts w:ascii="Tahoma" w:hAnsi="Tahoma" w:cs="Tahoma"/>
        </w:rPr>
        <w:br w:type="page"/>
      </w:r>
    </w:p>
    <w:p w14:paraId="445FD880" w14:textId="77777777" w:rsidR="00111D2F" w:rsidRPr="00BC7267" w:rsidRDefault="00E9729A" w:rsidP="00BC7267">
      <w:pPr>
        <w:pStyle w:val="Heading2"/>
        <w:jc w:val="both"/>
        <w:rPr>
          <w:rFonts w:ascii="Tahoma" w:hAnsi="Tahoma" w:cs="Tahoma"/>
        </w:rPr>
      </w:pPr>
      <w:bookmarkStart w:id="13" w:name="_Toc234500196"/>
      <w:r w:rsidRPr="00BC7267">
        <w:rPr>
          <w:rFonts w:ascii="Tahoma" w:hAnsi="Tahoma" w:cs="Tahoma"/>
        </w:rPr>
        <w:t>4.3 Indicative Timeline</w:t>
      </w:r>
      <w:bookmarkEnd w:id="13"/>
    </w:p>
    <w:p w14:paraId="2C017EFE"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Given the breadth of the three required outcomes and fourteen deliverables, we propose an indicative five-month delivery window, sequenced as set out below. This is a starting proposal for discussion — consistent with the </w:t>
      </w:r>
      <w:proofErr w:type="spellStart"/>
      <w:r w:rsidRPr="00BC7267">
        <w:rPr>
          <w:rFonts w:ascii="Tahoma" w:hAnsi="Tahoma" w:cs="Tahoma"/>
        </w:rPr>
        <w:t>ToR's</w:t>
      </w:r>
      <w:proofErr w:type="spellEnd"/>
      <w:r w:rsidRPr="00BC7267">
        <w:rPr>
          <w:rFonts w:ascii="Tahoma" w:hAnsi="Tahoma" w:cs="Tahoma"/>
        </w:rPr>
        <w:t xml:space="preserve"> outcome-based, non-prescriptive approach — and will be </w:t>
      </w:r>
      <w:proofErr w:type="spellStart"/>
      <w:r w:rsidRPr="00BC7267">
        <w:rPr>
          <w:rFonts w:ascii="Tahoma" w:hAnsi="Tahoma" w:cs="Tahoma"/>
        </w:rPr>
        <w:t>finalised</w:t>
      </w:r>
      <w:proofErr w:type="spellEnd"/>
      <w:r w:rsidRPr="00BC7267">
        <w:rPr>
          <w:rFonts w:ascii="Tahoma" w:hAnsi="Tahoma" w:cs="Tahoma"/>
        </w:rPr>
        <w:t xml:space="preserve"> jointly with the Bank at inception.</w:t>
      </w: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2"/>
        <w:gridCol w:w="993"/>
        <w:gridCol w:w="993"/>
        <w:gridCol w:w="993"/>
        <w:gridCol w:w="993"/>
        <w:gridCol w:w="993"/>
      </w:tblGrid>
      <w:tr w:rsidR="00111D2F" w:rsidRPr="00BC7267" w14:paraId="2E56CED2" w14:textId="77777777" w:rsidTr="00BC7267">
        <w:trPr>
          <w:trHeight w:val="20"/>
          <w:tblHeader/>
        </w:trPr>
        <w:tc>
          <w:tcPr>
            <w:tcW w:w="4572" w:type="dxa"/>
            <w:shd w:val="clear" w:color="auto" w:fill="1F3864"/>
            <w:tcMar>
              <w:top w:w="80" w:type="dxa"/>
              <w:left w:w="100" w:type="dxa"/>
              <w:bottom w:w="80" w:type="dxa"/>
              <w:right w:w="100" w:type="dxa"/>
            </w:tcMar>
            <w:vAlign w:val="center"/>
          </w:tcPr>
          <w:p w14:paraId="50719D9B" w14:textId="77777777" w:rsidR="00111D2F" w:rsidRPr="00BC7267" w:rsidRDefault="00E9729A" w:rsidP="00BC7267">
            <w:pPr>
              <w:jc w:val="center"/>
              <w:rPr>
                <w:rFonts w:ascii="Tahoma" w:hAnsi="Tahoma" w:cs="Tahoma"/>
              </w:rPr>
            </w:pPr>
            <w:r w:rsidRPr="00BC7267">
              <w:rPr>
                <w:rFonts w:ascii="Tahoma" w:hAnsi="Tahoma" w:cs="Tahoma"/>
                <w:b/>
                <w:bCs/>
                <w:color w:val="FFFFFF"/>
              </w:rPr>
              <w:t>Key Activity</w:t>
            </w:r>
          </w:p>
        </w:tc>
        <w:tc>
          <w:tcPr>
            <w:tcW w:w="993" w:type="dxa"/>
            <w:shd w:val="clear" w:color="auto" w:fill="1F3864"/>
            <w:tcMar>
              <w:top w:w="80" w:type="dxa"/>
              <w:left w:w="100" w:type="dxa"/>
              <w:bottom w:w="80" w:type="dxa"/>
              <w:right w:w="100" w:type="dxa"/>
            </w:tcMar>
            <w:vAlign w:val="center"/>
          </w:tcPr>
          <w:p w14:paraId="31B81A27" w14:textId="77777777" w:rsidR="00111D2F" w:rsidRPr="00BC7267" w:rsidRDefault="00E9729A" w:rsidP="00BC7267">
            <w:pPr>
              <w:jc w:val="center"/>
              <w:rPr>
                <w:rFonts w:ascii="Tahoma" w:hAnsi="Tahoma" w:cs="Tahoma"/>
              </w:rPr>
            </w:pPr>
            <w:r w:rsidRPr="00BC7267">
              <w:rPr>
                <w:rFonts w:ascii="Tahoma" w:hAnsi="Tahoma" w:cs="Tahoma"/>
                <w:b/>
                <w:bCs/>
                <w:color w:val="FFFFFF"/>
              </w:rPr>
              <w:t>Month 1</w:t>
            </w:r>
          </w:p>
        </w:tc>
        <w:tc>
          <w:tcPr>
            <w:tcW w:w="993" w:type="dxa"/>
            <w:shd w:val="clear" w:color="auto" w:fill="1F3864"/>
            <w:tcMar>
              <w:top w:w="80" w:type="dxa"/>
              <w:left w:w="100" w:type="dxa"/>
              <w:bottom w:w="80" w:type="dxa"/>
              <w:right w:w="100" w:type="dxa"/>
            </w:tcMar>
            <w:vAlign w:val="center"/>
          </w:tcPr>
          <w:p w14:paraId="7ED011A5" w14:textId="77777777" w:rsidR="00111D2F" w:rsidRPr="00BC7267" w:rsidRDefault="00E9729A" w:rsidP="00BC7267">
            <w:pPr>
              <w:jc w:val="center"/>
              <w:rPr>
                <w:rFonts w:ascii="Tahoma" w:hAnsi="Tahoma" w:cs="Tahoma"/>
              </w:rPr>
            </w:pPr>
            <w:r w:rsidRPr="00BC7267">
              <w:rPr>
                <w:rFonts w:ascii="Tahoma" w:hAnsi="Tahoma" w:cs="Tahoma"/>
                <w:b/>
                <w:bCs/>
                <w:color w:val="FFFFFF"/>
              </w:rPr>
              <w:t>Month 2</w:t>
            </w:r>
          </w:p>
        </w:tc>
        <w:tc>
          <w:tcPr>
            <w:tcW w:w="993" w:type="dxa"/>
            <w:shd w:val="clear" w:color="auto" w:fill="1F3864"/>
            <w:tcMar>
              <w:top w:w="80" w:type="dxa"/>
              <w:left w:w="100" w:type="dxa"/>
              <w:bottom w:w="80" w:type="dxa"/>
              <w:right w:w="100" w:type="dxa"/>
            </w:tcMar>
            <w:vAlign w:val="center"/>
          </w:tcPr>
          <w:p w14:paraId="0F41F216" w14:textId="77777777" w:rsidR="00111D2F" w:rsidRPr="00BC7267" w:rsidRDefault="00E9729A" w:rsidP="00BC7267">
            <w:pPr>
              <w:jc w:val="center"/>
              <w:rPr>
                <w:rFonts w:ascii="Tahoma" w:hAnsi="Tahoma" w:cs="Tahoma"/>
              </w:rPr>
            </w:pPr>
            <w:r w:rsidRPr="00BC7267">
              <w:rPr>
                <w:rFonts w:ascii="Tahoma" w:hAnsi="Tahoma" w:cs="Tahoma"/>
                <w:b/>
                <w:bCs/>
                <w:color w:val="FFFFFF"/>
              </w:rPr>
              <w:t>Month 3</w:t>
            </w:r>
          </w:p>
        </w:tc>
        <w:tc>
          <w:tcPr>
            <w:tcW w:w="993" w:type="dxa"/>
            <w:shd w:val="clear" w:color="auto" w:fill="1F3864"/>
            <w:tcMar>
              <w:top w:w="80" w:type="dxa"/>
              <w:left w:w="100" w:type="dxa"/>
              <w:bottom w:w="80" w:type="dxa"/>
              <w:right w:w="100" w:type="dxa"/>
            </w:tcMar>
            <w:vAlign w:val="center"/>
          </w:tcPr>
          <w:p w14:paraId="6FF0F54E" w14:textId="77777777" w:rsidR="00111D2F" w:rsidRPr="00BC7267" w:rsidRDefault="00E9729A" w:rsidP="00BC7267">
            <w:pPr>
              <w:jc w:val="center"/>
              <w:rPr>
                <w:rFonts w:ascii="Tahoma" w:hAnsi="Tahoma" w:cs="Tahoma"/>
              </w:rPr>
            </w:pPr>
            <w:r w:rsidRPr="00BC7267">
              <w:rPr>
                <w:rFonts w:ascii="Tahoma" w:hAnsi="Tahoma" w:cs="Tahoma"/>
                <w:b/>
                <w:bCs/>
                <w:color w:val="FFFFFF"/>
              </w:rPr>
              <w:t>Month 4</w:t>
            </w:r>
          </w:p>
        </w:tc>
        <w:tc>
          <w:tcPr>
            <w:tcW w:w="993" w:type="dxa"/>
            <w:shd w:val="clear" w:color="auto" w:fill="1F3864"/>
            <w:tcMar>
              <w:top w:w="80" w:type="dxa"/>
              <w:left w:w="100" w:type="dxa"/>
              <w:bottom w:w="80" w:type="dxa"/>
              <w:right w:w="100" w:type="dxa"/>
            </w:tcMar>
            <w:vAlign w:val="center"/>
          </w:tcPr>
          <w:p w14:paraId="09FF9DD6" w14:textId="77777777" w:rsidR="00111D2F" w:rsidRPr="00BC7267" w:rsidRDefault="00E9729A" w:rsidP="00BC7267">
            <w:pPr>
              <w:jc w:val="center"/>
              <w:rPr>
                <w:rFonts w:ascii="Tahoma" w:hAnsi="Tahoma" w:cs="Tahoma"/>
              </w:rPr>
            </w:pPr>
            <w:r w:rsidRPr="00BC7267">
              <w:rPr>
                <w:rFonts w:ascii="Tahoma" w:hAnsi="Tahoma" w:cs="Tahoma"/>
                <w:b/>
                <w:bCs/>
                <w:color w:val="FFFFFF"/>
              </w:rPr>
              <w:t>Month 5</w:t>
            </w:r>
          </w:p>
        </w:tc>
      </w:tr>
      <w:tr w:rsidR="00111D2F" w:rsidRPr="00BC7267" w14:paraId="5D2FC762" w14:textId="77777777" w:rsidTr="00BC7267">
        <w:trPr>
          <w:trHeight w:val="20"/>
        </w:trPr>
        <w:tc>
          <w:tcPr>
            <w:tcW w:w="4572" w:type="dxa"/>
            <w:tcMar>
              <w:top w:w="80" w:type="dxa"/>
              <w:left w:w="100" w:type="dxa"/>
              <w:bottom w:w="80" w:type="dxa"/>
              <w:right w:w="100" w:type="dxa"/>
            </w:tcMar>
            <w:vAlign w:val="center"/>
          </w:tcPr>
          <w:p w14:paraId="53490AFB" w14:textId="77777777" w:rsidR="00111D2F" w:rsidRPr="00BC7267" w:rsidRDefault="00E9729A" w:rsidP="00BC7267">
            <w:pPr>
              <w:jc w:val="both"/>
              <w:rPr>
                <w:rFonts w:ascii="Tahoma" w:hAnsi="Tahoma" w:cs="Tahoma"/>
              </w:rPr>
            </w:pPr>
            <w:r w:rsidRPr="00BC7267">
              <w:rPr>
                <w:rFonts w:ascii="Tahoma" w:hAnsi="Tahoma" w:cs="Tahoma"/>
              </w:rPr>
              <w:t xml:space="preserve">Inception, </w:t>
            </w:r>
            <w:proofErr w:type="spellStart"/>
            <w:r w:rsidRPr="00BC7267">
              <w:rPr>
                <w:rFonts w:ascii="Tahoma" w:hAnsi="Tahoma" w:cs="Tahoma"/>
              </w:rPr>
              <w:t>mobilisation</w:t>
            </w:r>
            <w:proofErr w:type="spellEnd"/>
            <w:r w:rsidRPr="00BC7267">
              <w:rPr>
                <w:rFonts w:ascii="Tahoma" w:hAnsi="Tahoma" w:cs="Tahoma"/>
              </w:rPr>
              <w:t xml:space="preserve"> &amp; work plan</w:t>
            </w:r>
          </w:p>
        </w:tc>
        <w:tc>
          <w:tcPr>
            <w:tcW w:w="993" w:type="dxa"/>
            <w:tcMar>
              <w:top w:w="80" w:type="dxa"/>
              <w:left w:w="100" w:type="dxa"/>
              <w:bottom w:w="80" w:type="dxa"/>
              <w:right w:w="100" w:type="dxa"/>
            </w:tcMar>
            <w:vAlign w:val="center"/>
          </w:tcPr>
          <w:p w14:paraId="34371DF8"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tcMar>
              <w:top w:w="80" w:type="dxa"/>
              <w:left w:w="100" w:type="dxa"/>
              <w:bottom w:w="80" w:type="dxa"/>
              <w:right w:w="100" w:type="dxa"/>
            </w:tcMar>
            <w:vAlign w:val="center"/>
          </w:tcPr>
          <w:p w14:paraId="41858451"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3A31ED5F"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286C161A"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5598ACF3" w14:textId="77777777" w:rsidR="00111D2F" w:rsidRPr="00BC7267" w:rsidRDefault="00111D2F" w:rsidP="00BC7267">
            <w:pPr>
              <w:jc w:val="center"/>
              <w:rPr>
                <w:rFonts w:ascii="Tahoma" w:hAnsi="Tahoma" w:cs="Tahoma"/>
              </w:rPr>
            </w:pPr>
          </w:p>
        </w:tc>
      </w:tr>
      <w:tr w:rsidR="00111D2F" w:rsidRPr="00BC7267" w14:paraId="7AA7717F" w14:textId="77777777" w:rsidTr="00BC7267">
        <w:trPr>
          <w:trHeight w:val="20"/>
        </w:trPr>
        <w:tc>
          <w:tcPr>
            <w:tcW w:w="4572" w:type="dxa"/>
            <w:shd w:val="clear" w:color="auto" w:fill="F2F2F2"/>
            <w:tcMar>
              <w:top w:w="80" w:type="dxa"/>
              <w:left w:w="100" w:type="dxa"/>
              <w:bottom w:w="80" w:type="dxa"/>
              <w:right w:w="100" w:type="dxa"/>
            </w:tcMar>
            <w:vAlign w:val="center"/>
          </w:tcPr>
          <w:p w14:paraId="0D00E407" w14:textId="77777777" w:rsidR="00111D2F" w:rsidRPr="00BC7267" w:rsidRDefault="00E9729A" w:rsidP="00BC7267">
            <w:pPr>
              <w:jc w:val="both"/>
              <w:rPr>
                <w:rFonts w:ascii="Tahoma" w:hAnsi="Tahoma" w:cs="Tahoma"/>
              </w:rPr>
            </w:pPr>
            <w:r w:rsidRPr="00BC7267">
              <w:rPr>
                <w:rFonts w:ascii="Tahoma" w:hAnsi="Tahoma" w:cs="Tahoma"/>
              </w:rPr>
              <w:t>Outcome A — Diagnostic, maturity assessment &amp; use-case inventory</w:t>
            </w:r>
          </w:p>
        </w:tc>
        <w:tc>
          <w:tcPr>
            <w:tcW w:w="993" w:type="dxa"/>
            <w:shd w:val="clear" w:color="auto" w:fill="F2F2F2"/>
            <w:tcMar>
              <w:top w:w="80" w:type="dxa"/>
              <w:left w:w="100" w:type="dxa"/>
              <w:bottom w:w="80" w:type="dxa"/>
              <w:right w:w="100" w:type="dxa"/>
            </w:tcMar>
            <w:vAlign w:val="center"/>
          </w:tcPr>
          <w:p w14:paraId="7638A9D2"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shd w:val="clear" w:color="auto" w:fill="F2F2F2"/>
            <w:tcMar>
              <w:top w:w="80" w:type="dxa"/>
              <w:left w:w="100" w:type="dxa"/>
              <w:bottom w:w="80" w:type="dxa"/>
              <w:right w:w="100" w:type="dxa"/>
            </w:tcMar>
            <w:vAlign w:val="center"/>
          </w:tcPr>
          <w:p w14:paraId="76D7CFDA"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shd w:val="clear" w:color="auto" w:fill="F2F2F2"/>
            <w:tcMar>
              <w:top w:w="80" w:type="dxa"/>
              <w:left w:w="100" w:type="dxa"/>
              <w:bottom w:w="80" w:type="dxa"/>
              <w:right w:w="100" w:type="dxa"/>
            </w:tcMar>
            <w:vAlign w:val="center"/>
          </w:tcPr>
          <w:p w14:paraId="504DD40F" w14:textId="77777777" w:rsidR="00111D2F" w:rsidRPr="00BC7267" w:rsidRDefault="00111D2F" w:rsidP="00BC7267">
            <w:pPr>
              <w:jc w:val="center"/>
              <w:rPr>
                <w:rFonts w:ascii="Tahoma" w:hAnsi="Tahoma" w:cs="Tahoma"/>
              </w:rPr>
            </w:pPr>
          </w:p>
        </w:tc>
        <w:tc>
          <w:tcPr>
            <w:tcW w:w="993" w:type="dxa"/>
            <w:shd w:val="clear" w:color="auto" w:fill="F2F2F2"/>
            <w:tcMar>
              <w:top w:w="80" w:type="dxa"/>
              <w:left w:w="100" w:type="dxa"/>
              <w:bottom w:w="80" w:type="dxa"/>
              <w:right w:w="100" w:type="dxa"/>
            </w:tcMar>
            <w:vAlign w:val="center"/>
          </w:tcPr>
          <w:p w14:paraId="54CD12A6" w14:textId="77777777" w:rsidR="00111D2F" w:rsidRPr="00BC7267" w:rsidRDefault="00111D2F" w:rsidP="00BC7267">
            <w:pPr>
              <w:jc w:val="center"/>
              <w:rPr>
                <w:rFonts w:ascii="Tahoma" w:hAnsi="Tahoma" w:cs="Tahoma"/>
              </w:rPr>
            </w:pPr>
          </w:p>
        </w:tc>
        <w:tc>
          <w:tcPr>
            <w:tcW w:w="993" w:type="dxa"/>
            <w:shd w:val="clear" w:color="auto" w:fill="F2F2F2"/>
            <w:tcMar>
              <w:top w:w="80" w:type="dxa"/>
              <w:left w:w="100" w:type="dxa"/>
              <w:bottom w:w="80" w:type="dxa"/>
              <w:right w:w="100" w:type="dxa"/>
            </w:tcMar>
            <w:vAlign w:val="center"/>
          </w:tcPr>
          <w:p w14:paraId="5A5143EB" w14:textId="77777777" w:rsidR="00111D2F" w:rsidRPr="00BC7267" w:rsidRDefault="00111D2F" w:rsidP="00BC7267">
            <w:pPr>
              <w:jc w:val="center"/>
              <w:rPr>
                <w:rFonts w:ascii="Tahoma" w:hAnsi="Tahoma" w:cs="Tahoma"/>
              </w:rPr>
            </w:pPr>
          </w:p>
        </w:tc>
      </w:tr>
      <w:tr w:rsidR="00111D2F" w:rsidRPr="00BC7267" w14:paraId="46D14C98" w14:textId="77777777" w:rsidTr="00BC7267">
        <w:trPr>
          <w:trHeight w:val="20"/>
        </w:trPr>
        <w:tc>
          <w:tcPr>
            <w:tcW w:w="4572" w:type="dxa"/>
            <w:tcMar>
              <w:top w:w="80" w:type="dxa"/>
              <w:left w:w="100" w:type="dxa"/>
              <w:bottom w:w="80" w:type="dxa"/>
              <w:right w:w="100" w:type="dxa"/>
            </w:tcMar>
            <w:vAlign w:val="center"/>
          </w:tcPr>
          <w:p w14:paraId="04BA2142" w14:textId="77777777" w:rsidR="00111D2F" w:rsidRPr="00BC7267" w:rsidRDefault="00E9729A" w:rsidP="00BC7267">
            <w:pPr>
              <w:jc w:val="both"/>
              <w:rPr>
                <w:rFonts w:ascii="Tahoma" w:hAnsi="Tahoma" w:cs="Tahoma"/>
              </w:rPr>
            </w:pPr>
            <w:r w:rsidRPr="00BC7267">
              <w:rPr>
                <w:rFonts w:ascii="Tahoma" w:hAnsi="Tahoma" w:cs="Tahoma"/>
              </w:rPr>
              <w:t xml:space="preserve">Outcome A — Benchmarking, scoring &amp; </w:t>
            </w:r>
            <w:proofErr w:type="spellStart"/>
            <w:r w:rsidRPr="00BC7267">
              <w:rPr>
                <w:rFonts w:ascii="Tahoma" w:hAnsi="Tahoma" w:cs="Tahoma"/>
              </w:rPr>
              <w:t>prioritised</w:t>
            </w:r>
            <w:proofErr w:type="spellEnd"/>
            <w:r w:rsidRPr="00BC7267">
              <w:rPr>
                <w:rFonts w:ascii="Tahoma" w:hAnsi="Tahoma" w:cs="Tahoma"/>
              </w:rPr>
              <w:t xml:space="preserve"> portfolio</w:t>
            </w:r>
          </w:p>
        </w:tc>
        <w:tc>
          <w:tcPr>
            <w:tcW w:w="993" w:type="dxa"/>
            <w:tcMar>
              <w:top w:w="80" w:type="dxa"/>
              <w:left w:w="100" w:type="dxa"/>
              <w:bottom w:w="80" w:type="dxa"/>
              <w:right w:w="100" w:type="dxa"/>
            </w:tcMar>
            <w:vAlign w:val="center"/>
          </w:tcPr>
          <w:p w14:paraId="739A87DD"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0A5B0D8B"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tcMar>
              <w:top w:w="80" w:type="dxa"/>
              <w:left w:w="100" w:type="dxa"/>
              <w:bottom w:w="80" w:type="dxa"/>
              <w:right w:w="100" w:type="dxa"/>
            </w:tcMar>
            <w:vAlign w:val="center"/>
          </w:tcPr>
          <w:p w14:paraId="62234278"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tcMar>
              <w:top w:w="80" w:type="dxa"/>
              <w:left w:w="100" w:type="dxa"/>
              <w:bottom w:w="80" w:type="dxa"/>
              <w:right w:w="100" w:type="dxa"/>
            </w:tcMar>
            <w:vAlign w:val="center"/>
          </w:tcPr>
          <w:p w14:paraId="7DB9DF8A"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5EC1AB30" w14:textId="77777777" w:rsidR="00111D2F" w:rsidRPr="00BC7267" w:rsidRDefault="00111D2F" w:rsidP="00BC7267">
            <w:pPr>
              <w:jc w:val="center"/>
              <w:rPr>
                <w:rFonts w:ascii="Tahoma" w:hAnsi="Tahoma" w:cs="Tahoma"/>
              </w:rPr>
            </w:pPr>
          </w:p>
        </w:tc>
      </w:tr>
      <w:tr w:rsidR="00111D2F" w:rsidRPr="00BC7267" w14:paraId="01AFED04" w14:textId="77777777" w:rsidTr="00BC7267">
        <w:trPr>
          <w:trHeight w:val="20"/>
        </w:trPr>
        <w:tc>
          <w:tcPr>
            <w:tcW w:w="4572" w:type="dxa"/>
            <w:shd w:val="clear" w:color="auto" w:fill="F2F2F2"/>
            <w:tcMar>
              <w:top w:w="80" w:type="dxa"/>
              <w:left w:w="100" w:type="dxa"/>
              <w:bottom w:w="80" w:type="dxa"/>
              <w:right w:w="100" w:type="dxa"/>
            </w:tcMar>
            <w:vAlign w:val="center"/>
          </w:tcPr>
          <w:p w14:paraId="66743C3B" w14:textId="77777777" w:rsidR="00111D2F" w:rsidRPr="00BC7267" w:rsidRDefault="00E9729A" w:rsidP="00BC7267">
            <w:pPr>
              <w:jc w:val="both"/>
              <w:rPr>
                <w:rFonts w:ascii="Tahoma" w:hAnsi="Tahoma" w:cs="Tahoma"/>
              </w:rPr>
            </w:pPr>
            <w:r w:rsidRPr="00BC7267">
              <w:rPr>
                <w:rFonts w:ascii="Tahoma" w:hAnsi="Tahoma" w:cs="Tahoma"/>
              </w:rPr>
              <w:t>Outcome B — Governance assessment &amp; regulatory mapping</w:t>
            </w:r>
          </w:p>
        </w:tc>
        <w:tc>
          <w:tcPr>
            <w:tcW w:w="993" w:type="dxa"/>
            <w:shd w:val="clear" w:color="auto" w:fill="F2F2F2"/>
            <w:tcMar>
              <w:top w:w="80" w:type="dxa"/>
              <w:left w:w="100" w:type="dxa"/>
              <w:bottom w:w="80" w:type="dxa"/>
              <w:right w:w="100" w:type="dxa"/>
            </w:tcMar>
            <w:vAlign w:val="center"/>
          </w:tcPr>
          <w:p w14:paraId="14379B8C" w14:textId="77777777" w:rsidR="00111D2F" w:rsidRPr="00BC7267" w:rsidRDefault="00111D2F" w:rsidP="00BC7267">
            <w:pPr>
              <w:jc w:val="center"/>
              <w:rPr>
                <w:rFonts w:ascii="Tahoma" w:hAnsi="Tahoma" w:cs="Tahoma"/>
              </w:rPr>
            </w:pPr>
          </w:p>
        </w:tc>
        <w:tc>
          <w:tcPr>
            <w:tcW w:w="993" w:type="dxa"/>
            <w:shd w:val="clear" w:color="auto" w:fill="F2F2F2"/>
            <w:tcMar>
              <w:top w:w="80" w:type="dxa"/>
              <w:left w:w="100" w:type="dxa"/>
              <w:bottom w:w="80" w:type="dxa"/>
              <w:right w:w="100" w:type="dxa"/>
            </w:tcMar>
            <w:vAlign w:val="center"/>
          </w:tcPr>
          <w:p w14:paraId="345703DB"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shd w:val="clear" w:color="auto" w:fill="F2F2F2"/>
            <w:tcMar>
              <w:top w:w="80" w:type="dxa"/>
              <w:left w:w="100" w:type="dxa"/>
              <w:bottom w:w="80" w:type="dxa"/>
              <w:right w:w="100" w:type="dxa"/>
            </w:tcMar>
            <w:vAlign w:val="center"/>
          </w:tcPr>
          <w:p w14:paraId="093BB2AB"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shd w:val="clear" w:color="auto" w:fill="F2F2F2"/>
            <w:tcMar>
              <w:top w:w="80" w:type="dxa"/>
              <w:left w:w="100" w:type="dxa"/>
              <w:bottom w:w="80" w:type="dxa"/>
              <w:right w:w="100" w:type="dxa"/>
            </w:tcMar>
            <w:vAlign w:val="center"/>
          </w:tcPr>
          <w:p w14:paraId="5241EFE2" w14:textId="77777777" w:rsidR="00111D2F" w:rsidRPr="00BC7267" w:rsidRDefault="00111D2F" w:rsidP="00BC7267">
            <w:pPr>
              <w:jc w:val="center"/>
              <w:rPr>
                <w:rFonts w:ascii="Tahoma" w:hAnsi="Tahoma" w:cs="Tahoma"/>
              </w:rPr>
            </w:pPr>
          </w:p>
        </w:tc>
        <w:tc>
          <w:tcPr>
            <w:tcW w:w="993" w:type="dxa"/>
            <w:shd w:val="clear" w:color="auto" w:fill="F2F2F2"/>
            <w:tcMar>
              <w:top w:w="80" w:type="dxa"/>
              <w:left w:w="100" w:type="dxa"/>
              <w:bottom w:w="80" w:type="dxa"/>
              <w:right w:w="100" w:type="dxa"/>
            </w:tcMar>
            <w:vAlign w:val="center"/>
          </w:tcPr>
          <w:p w14:paraId="469C9FEC" w14:textId="77777777" w:rsidR="00111D2F" w:rsidRPr="00BC7267" w:rsidRDefault="00111D2F" w:rsidP="00BC7267">
            <w:pPr>
              <w:jc w:val="center"/>
              <w:rPr>
                <w:rFonts w:ascii="Tahoma" w:hAnsi="Tahoma" w:cs="Tahoma"/>
              </w:rPr>
            </w:pPr>
          </w:p>
        </w:tc>
      </w:tr>
      <w:tr w:rsidR="00111D2F" w:rsidRPr="00BC7267" w14:paraId="75DF25F5" w14:textId="77777777" w:rsidTr="00BC7267">
        <w:trPr>
          <w:trHeight w:val="20"/>
        </w:trPr>
        <w:tc>
          <w:tcPr>
            <w:tcW w:w="4572" w:type="dxa"/>
            <w:tcMar>
              <w:top w:w="80" w:type="dxa"/>
              <w:left w:w="100" w:type="dxa"/>
              <w:bottom w:w="80" w:type="dxa"/>
              <w:right w:w="100" w:type="dxa"/>
            </w:tcMar>
            <w:vAlign w:val="center"/>
          </w:tcPr>
          <w:p w14:paraId="5524627B" w14:textId="77777777" w:rsidR="00111D2F" w:rsidRPr="00BC7267" w:rsidRDefault="00E9729A" w:rsidP="00BC7267">
            <w:pPr>
              <w:jc w:val="both"/>
              <w:rPr>
                <w:rFonts w:ascii="Tahoma" w:hAnsi="Tahoma" w:cs="Tahoma"/>
              </w:rPr>
            </w:pPr>
            <w:r w:rsidRPr="00BC7267">
              <w:rPr>
                <w:rFonts w:ascii="Tahoma" w:hAnsi="Tahoma" w:cs="Tahoma"/>
              </w:rPr>
              <w:t>Outcome B — Framework, operating model &amp; controls catalogue</w:t>
            </w:r>
          </w:p>
        </w:tc>
        <w:tc>
          <w:tcPr>
            <w:tcW w:w="993" w:type="dxa"/>
            <w:tcMar>
              <w:top w:w="80" w:type="dxa"/>
              <w:left w:w="100" w:type="dxa"/>
              <w:bottom w:w="80" w:type="dxa"/>
              <w:right w:w="100" w:type="dxa"/>
            </w:tcMar>
            <w:vAlign w:val="center"/>
          </w:tcPr>
          <w:p w14:paraId="6FE2F315"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70945AC5"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066B385F"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tcMar>
              <w:top w:w="80" w:type="dxa"/>
              <w:left w:w="100" w:type="dxa"/>
              <w:bottom w:w="80" w:type="dxa"/>
              <w:right w:w="100" w:type="dxa"/>
            </w:tcMar>
            <w:vAlign w:val="center"/>
          </w:tcPr>
          <w:p w14:paraId="5A5E5147"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tcMar>
              <w:top w:w="80" w:type="dxa"/>
              <w:left w:w="100" w:type="dxa"/>
              <w:bottom w:w="80" w:type="dxa"/>
              <w:right w:w="100" w:type="dxa"/>
            </w:tcMar>
            <w:vAlign w:val="center"/>
          </w:tcPr>
          <w:p w14:paraId="6F60F68B" w14:textId="77777777" w:rsidR="00111D2F" w:rsidRPr="00BC7267" w:rsidRDefault="00111D2F" w:rsidP="00BC7267">
            <w:pPr>
              <w:jc w:val="center"/>
              <w:rPr>
                <w:rFonts w:ascii="Tahoma" w:hAnsi="Tahoma" w:cs="Tahoma"/>
              </w:rPr>
            </w:pPr>
          </w:p>
        </w:tc>
      </w:tr>
      <w:tr w:rsidR="00111D2F" w:rsidRPr="00BC7267" w14:paraId="43BD2B1D" w14:textId="77777777" w:rsidTr="00BC7267">
        <w:trPr>
          <w:trHeight w:val="20"/>
        </w:trPr>
        <w:tc>
          <w:tcPr>
            <w:tcW w:w="4572" w:type="dxa"/>
            <w:shd w:val="clear" w:color="auto" w:fill="F2F2F2"/>
            <w:tcMar>
              <w:top w:w="80" w:type="dxa"/>
              <w:left w:w="100" w:type="dxa"/>
              <w:bottom w:w="80" w:type="dxa"/>
              <w:right w:w="100" w:type="dxa"/>
            </w:tcMar>
            <w:vAlign w:val="center"/>
          </w:tcPr>
          <w:p w14:paraId="0CC024C3" w14:textId="77777777" w:rsidR="00111D2F" w:rsidRPr="00BC7267" w:rsidRDefault="00E9729A" w:rsidP="00BC7267">
            <w:pPr>
              <w:jc w:val="both"/>
              <w:rPr>
                <w:rFonts w:ascii="Tahoma" w:hAnsi="Tahoma" w:cs="Tahoma"/>
              </w:rPr>
            </w:pPr>
            <w:r w:rsidRPr="00BC7267">
              <w:rPr>
                <w:rFonts w:ascii="Tahoma" w:hAnsi="Tahoma" w:cs="Tahoma"/>
              </w:rPr>
              <w:t xml:space="preserve">Outcome C — Vision, target architecture &amp; </w:t>
            </w:r>
            <w:r w:rsidRPr="00BC7267">
              <w:rPr>
                <w:rFonts w:ascii="Tahoma" w:hAnsi="Tahoma" w:cs="Tahoma"/>
              </w:rPr>
              <w:t>capability plan</w:t>
            </w:r>
          </w:p>
        </w:tc>
        <w:tc>
          <w:tcPr>
            <w:tcW w:w="993" w:type="dxa"/>
            <w:shd w:val="clear" w:color="auto" w:fill="F2F2F2"/>
            <w:tcMar>
              <w:top w:w="80" w:type="dxa"/>
              <w:left w:w="100" w:type="dxa"/>
              <w:bottom w:w="80" w:type="dxa"/>
              <w:right w:w="100" w:type="dxa"/>
            </w:tcMar>
            <w:vAlign w:val="center"/>
          </w:tcPr>
          <w:p w14:paraId="424F10F3" w14:textId="77777777" w:rsidR="00111D2F" w:rsidRPr="00BC7267" w:rsidRDefault="00111D2F" w:rsidP="00BC7267">
            <w:pPr>
              <w:jc w:val="center"/>
              <w:rPr>
                <w:rFonts w:ascii="Tahoma" w:hAnsi="Tahoma" w:cs="Tahoma"/>
              </w:rPr>
            </w:pPr>
          </w:p>
        </w:tc>
        <w:tc>
          <w:tcPr>
            <w:tcW w:w="993" w:type="dxa"/>
            <w:shd w:val="clear" w:color="auto" w:fill="F2F2F2"/>
            <w:tcMar>
              <w:top w:w="80" w:type="dxa"/>
              <w:left w:w="100" w:type="dxa"/>
              <w:bottom w:w="80" w:type="dxa"/>
              <w:right w:w="100" w:type="dxa"/>
            </w:tcMar>
            <w:vAlign w:val="center"/>
          </w:tcPr>
          <w:p w14:paraId="6E4A1863" w14:textId="77777777" w:rsidR="00111D2F" w:rsidRPr="00BC7267" w:rsidRDefault="00111D2F" w:rsidP="00BC7267">
            <w:pPr>
              <w:jc w:val="center"/>
              <w:rPr>
                <w:rFonts w:ascii="Tahoma" w:hAnsi="Tahoma" w:cs="Tahoma"/>
              </w:rPr>
            </w:pPr>
          </w:p>
        </w:tc>
        <w:tc>
          <w:tcPr>
            <w:tcW w:w="993" w:type="dxa"/>
            <w:shd w:val="clear" w:color="auto" w:fill="F2F2F2"/>
            <w:tcMar>
              <w:top w:w="80" w:type="dxa"/>
              <w:left w:w="100" w:type="dxa"/>
              <w:bottom w:w="80" w:type="dxa"/>
              <w:right w:w="100" w:type="dxa"/>
            </w:tcMar>
            <w:vAlign w:val="center"/>
          </w:tcPr>
          <w:p w14:paraId="2B966D33"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shd w:val="clear" w:color="auto" w:fill="F2F2F2"/>
            <w:tcMar>
              <w:top w:w="80" w:type="dxa"/>
              <w:left w:w="100" w:type="dxa"/>
              <w:bottom w:w="80" w:type="dxa"/>
              <w:right w:w="100" w:type="dxa"/>
            </w:tcMar>
            <w:vAlign w:val="center"/>
          </w:tcPr>
          <w:p w14:paraId="44E81245"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shd w:val="clear" w:color="auto" w:fill="F2F2F2"/>
            <w:tcMar>
              <w:top w:w="80" w:type="dxa"/>
              <w:left w:w="100" w:type="dxa"/>
              <w:bottom w:w="80" w:type="dxa"/>
              <w:right w:w="100" w:type="dxa"/>
            </w:tcMar>
            <w:vAlign w:val="center"/>
          </w:tcPr>
          <w:p w14:paraId="1611CB9E" w14:textId="77777777" w:rsidR="00111D2F" w:rsidRPr="00BC7267" w:rsidRDefault="00111D2F" w:rsidP="00BC7267">
            <w:pPr>
              <w:jc w:val="center"/>
              <w:rPr>
                <w:rFonts w:ascii="Tahoma" w:hAnsi="Tahoma" w:cs="Tahoma"/>
              </w:rPr>
            </w:pPr>
          </w:p>
        </w:tc>
      </w:tr>
      <w:tr w:rsidR="00111D2F" w:rsidRPr="00BC7267" w14:paraId="1711DDBB" w14:textId="77777777" w:rsidTr="00BC7267">
        <w:trPr>
          <w:trHeight w:val="20"/>
        </w:trPr>
        <w:tc>
          <w:tcPr>
            <w:tcW w:w="4572" w:type="dxa"/>
            <w:tcMar>
              <w:top w:w="80" w:type="dxa"/>
              <w:left w:w="100" w:type="dxa"/>
              <w:bottom w:w="80" w:type="dxa"/>
              <w:right w:w="100" w:type="dxa"/>
            </w:tcMar>
            <w:vAlign w:val="center"/>
          </w:tcPr>
          <w:p w14:paraId="4B2BD2A6" w14:textId="77777777" w:rsidR="00111D2F" w:rsidRPr="00BC7267" w:rsidRDefault="00E9729A" w:rsidP="00BC7267">
            <w:pPr>
              <w:jc w:val="both"/>
              <w:rPr>
                <w:rFonts w:ascii="Tahoma" w:hAnsi="Tahoma" w:cs="Tahoma"/>
              </w:rPr>
            </w:pPr>
            <w:r w:rsidRPr="00BC7267">
              <w:rPr>
                <w:rFonts w:ascii="Tahoma" w:hAnsi="Tahoma" w:cs="Tahoma"/>
              </w:rPr>
              <w:t>Outcome C — Roadmap, business case &amp; executive readout</w:t>
            </w:r>
          </w:p>
        </w:tc>
        <w:tc>
          <w:tcPr>
            <w:tcW w:w="993" w:type="dxa"/>
            <w:tcMar>
              <w:top w:w="80" w:type="dxa"/>
              <w:left w:w="100" w:type="dxa"/>
              <w:bottom w:w="80" w:type="dxa"/>
              <w:right w:w="100" w:type="dxa"/>
            </w:tcMar>
            <w:vAlign w:val="center"/>
          </w:tcPr>
          <w:p w14:paraId="6B3CFF59"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1E1CD964"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53CCA612"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6D0BEB16"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tcMar>
              <w:top w:w="80" w:type="dxa"/>
              <w:left w:w="100" w:type="dxa"/>
              <w:bottom w:w="80" w:type="dxa"/>
              <w:right w:w="100" w:type="dxa"/>
            </w:tcMar>
            <w:vAlign w:val="center"/>
          </w:tcPr>
          <w:p w14:paraId="7D469011" w14:textId="77777777" w:rsidR="00111D2F" w:rsidRPr="00BC7267" w:rsidRDefault="00E9729A" w:rsidP="00BC7267">
            <w:pPr>
              <w:jc w:val="center"/>
              <w:rPr>
                <w:rFonts w:ascii="Tahoma" w:hAnsi="Tahoma" w:cs="Tahoma"/>
              </w:rPr>
            </w:pPr>
            <w:r w:rsidRPr="00BC7267">
              <w:rPr>
                <w:rFonts w:ascii="Tahoma" w:hAnsi="Tahoma" w:cs="Tahoma"/>
              </w:rPr>
              <w:t>●</w:t>
            </w:r>
          </w:p>
        </w:tc>
      </w:tr>
      <w:tr w:rsidR="00111D2F" w:rsidRPr="00BC7267" w14:paraId="3D1AF901" w14:textId="77777777" w:rsidTr="00BC7267">
        <w:trPr>
          <w:trHeight w:val="20"/>
        </w:trPr>
        <w:tc>
          <w:tcPr>
            <w:tcW w:w="4572" w:type="dxa"/>
            <w:shd w:val="clear" w:color="auto" w:fill="F2F2F2"/>
            <w:tcMar>
              <w:top w:w="80" w:type="dxa"/>
              <w:left w:w="100" w:type="dxa"/>
              <w:bottom w:w="80" w:type="dxa"/>
              <w:right w:w="100" w:type="dxa"/>
            </w:tcMar>
            <w:vAlign w:val="center"/>
          </w:tcPr>
          <w:p w14:paraId="237404A9" w14:textId="77777777" w:rsidR="00111D2F" w:rsidRPr="00BC7267" w:rsidRDefault="00E9729A" w:rsidP="00BC7267">
            <w:pPr>
              <w:jc w:val="both"/>
              <w:rPr>
                <w:rFonts w:ascii="Tahoma" w:hAnsi="Tahoma" w:cs="Tahoma"/>
              </w:rPr>
            </w:pPr>
            <w:r w:rsidRPr="00BC7267">
              <w:rPr>
                <w:rFonts w:ascii="Tahoma" w:hAnsi="Tahoma" w:cs="Tahoma"/>
              </w:rPr>
              <w:t>Capacity building &amp; knowledge transfer</w:t>
            </w:r>
          </w:p>
        </w:tc>
        <w:tc>
          <w:tcPr>
            <w:tcW w:w="993" w:type="dxa"/>
            <w:shd w:val="clear" w:color="auto" w:fill="F2F2F2"/>
            <w:tcMar>
              <w:top w:w="80" w:type="dxa"/>
              <w:left w:w="100" w:type="dxa"/>
              <w:bottom w:w="80" w:type="dxa"/>
              <w:right w:w="100" w:type="dxa"/>
            </w:tcMar>
            <w:vAlign w:val="center"/>
          </w:tcPr>
          <w:p w14:paraId="34E383F0" w14:textId="77777777" w:rsidR="00111D2F" w:rsidRPr="00BC7267" w:rsidRDefault="00111D2F" w:rsidP="00BC7267">
            <w:pPr>
              <w:jc w:val="center"/>
              <w:rPr>
                <w:rFonts w:ascii="Tahoma" w:hAnsi="Tahoma" w:cs="Tahoma"/>
              </w:rPr>
            </w:pPr>
          </w:p>
        </w:tc>
        <w:tc>
          <w:tcPr>
            <w:tcW w:w="993" w:type="dxa"/>
            <w:shd w:val="clear" w:color="auto" w:fill="F2F2F2"/>
            <w:tcMar>
              <w:top w:w="80" w:type="dxa"/>
              <w:left w:w="100" w:type="dxa"/>
              <w:bottom w:w="80" w:type="dxa"/>
              <w:right w:w="100" w:type="dxa"/>
            </w:tcMar>
            <w:vAlign w:val="center"/>
          </w:tcPr>
          <w:p w14:paraId="17495F0A"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shd w:val="clear" w:color="auto" w:fill="F2F2F2"/>
            <w:tcMar>
              <w:top w:w="80" w:type="dxa"/>
              <w:left w:w="100" w:type="dxa"/>
              <w:bottom w:w="80" w:type="dxa"/>
              <w:right w:w="100" w:type="dxa"/>
            </w:tcMar>
            <w:vAlign w:val="center"/>
          </w:tcPr>
          <w:p w14:paraId="74CFB5BB"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shd w:val="clear" w:color="auto" w:fill="F2F2F2"/>
            <w:tcMar>
              <w:top w:w="80" w:type="dxa"/>
              <w:left w:w="100" w:type="dxa"/>
              <w:bottom w:w="80" w:type="dxa"/>
              <w:right w:w="100" w:type="dxa"/>
            </w:tcMar>
            <w:vAlign w:val="center"/>
          </w:tcPr>
          <w:p w14:paraId="5F7BC27D" w14:textId="77777777" w:rsidR="00111D2F" w:rsidRPr="00BC7267" w:rsidRDefault="00E9729A" w:rsidP="00BC7267">
            <w:pPr>
              <w:jc w:val="center"/>
              <w:rPr>
                <w:rFonts w:ascii="Tahoma" w:hAnsi="Tahoma" w:cs="Tahoma"/>
              </w:rPr>
            </w:pPr>
            <w:r w:rsidRPr="00BC7267">
              <w:rPr>
                <w:rFonts w:ascii="Tahoma" w:hAnsi="Tahoma" w:cs="Tahoma"/>
              </w:rPr>
              <w:t>●</w:t>
            </w:r>
          </w:p>
        </w:tc>
        <w:tc>
          <w:tcPr>
            <w:tcW w:w="993" w:type="dxa"/>
            <w:shd w:val="clear" w:color="auto" w:fill="F2F2F2"/>
            <w:tcMar>
              <w:top w:w="80" w:type="dxa"/>
              <w:left w:w="100" w:type="dxa"/>
              <w:bottom w:w="80" w:type="dxa"/>
              <w:right w:w="100" w:type="dxa"/>
            </w:tcMar>
            <w:vAlign w:val="center"/>
          </w:tcPr>
          <w:p w14:paraId="29E1237B" w14:textId="77777777" w:rsidR="00111D2F" w:rsidRPr="00BC7267" w:rsidRDefault="00E9729A" w:rsidP="00BC7267">
            <w:pPr>
              <w:jc w:val="center"/>
              <w:rPr>
                <w:rFonts w:ascii="Tahoma" w:hAnsi="Tahoma" w:cs="Tahoma"/>
              </w:rPr>
            </w:pPr>
            <w:r w:rsidRPr="00BC7267">
              <w:rPr>
                <w:rFonts w:ascii="Tahoma" w:hAnsi="Tahoma" w:cs="Tahoma"/>
              </w:rPr>
              <w:t>●</w:t>
            </w:r>
          </w:p>
        </w:tc>
      </w:tr>
      <w:tr w:rsidR="00111D2F" w:rsidRPr="00BC7267" w14:paraId="68ADB916" w14:textId="77777777" w:rsidTr="00BC7267">
        <w:trPr>
          <w:trHeight w:val="20"/>
        </w:trPr>
        <w:tc>
          <w:tcPr>
            <w:tcW w:w="4572" w:type="dxa"/>
            <w:tcMar>
              <w:top w:w="80" w:type="dxa"/>
              <w:left w:w="100" w:type="dxa"/>
              <w:bottom w:w="80" w:type="dxa"/>
              <w:right w:w="100" w:type="dxa"/>
            </w:tcMar>
            <w:vAlign w:val="center"/>
          </w:tcPr>
          <w:p w14:paraId="4ECF749A" w14:textId="77777777" w:rsidR="00111D2F" w:rsidRPr="00BC7267" w:rsidRDefault="00E9729A" w:rsidP="00BC7267">
            <w:pPr>
              <w:jc w:val="both"/>
              <w:rPr>
                <w:rFonts w:ascii="Tahoma" w:hAnsi="Tahoma" w:cs="Tahoma"/>
              </w:rPr>
            </w:pPr>
            <w:r w:rsidRPr="00BC7267">
              <w:rPr>
                <w:rFonts w:ascii="Tahoma" w:hAnsi="Tahoma" w:cs="Tahoma"/>
              </w:rPr>
              <w:t>Final reports &amp; project closeout</w:t>
            </w:r>
          </w:p>
        </w:tc>
        <w:tc>
          <w:tcPr>
            <w:tcW w:w="993" w:type="dxa"/>
            <w:tcMar>
              <w:top w:w="80" w:type="dxa"/>
              <w:left w:w="100" w:type="dxa"/>
              <w:bottom w:w="80" w:type="dxa"/>
              <w:right w:w="100" w:type="dxa"/>
            </w:tcMar>
            <w:vAlign w:val="center"/>
          </w:tcPr>
          <w:p w14:paraId="07B91E9A"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63D7A793"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6344A3FE"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5B542F33" w14:textId="77777777" w:rsidR="00111D2F" w:rsidRPr="00BC7267" w:rsidRDefault="00111D2F" w:rsidP="00BC7267">
            <w:pPr>
              <w:jc w:val="center"/>
              <w:rPr>
                <w:rFonts w:ascii="Tahoma" w:hAnsi="Tahoma" w:cs="Tahoma"/>
              </w:rPr>
            </w:pPr>
          </w:p>
        </w:tc>
        <w:tc>
          <w:tcPr>
            <w:tcW w:w="993" w:type="dxa"/>
            <w:tcMar>
              <w:top w:w="80" w:type="dxa"/>
              <w:left w:w="100" w:type="dxa"/>
              <w:bottom w:w="80" w:type="dxa"/>
              <w:right w:w="100" w:type="dxa"/>
            </w:tcMar>
            <w:vAlign w:val="center"/>
          </w:tcPr>
          <w:p w14:paraId="47A38EE5" w14:textId="77777777" w:rsidR="00111D2F" w:rsidRPr="00BC7267" w:rsidRDefault="00E9729A" w:rsidP="00BC7267">
            <w:pPr>
              <w:jc w:val="center"/>
              <w:rPr>
                <w:rFonts w:ascii="Tahoma" w:hAnsi="Tahoma" w:cs="Tahoma"/>
              </w:rPr>
            </w:pPr>
            <w:r w:rsidRPr="00BC7267">
              <w:rPr>
                <w:rFonts w:ascii="Tahoma" w:hAnsi="Tahoma" w:cs="Tahoma"/>
              </w:rPr>
              <w:t>●</w:t>
            </w:r>
          </w:p>
        </w:tc>
      </w:tr>
    </w:tbl>
    <w:p w14:paraId="6BA26F49" w14:textId="77777777" w:rsidR="00111D2F" w:rsidRPr="00BC7267" w:rsidRDefault="00111D2F" w:rsidP="00BC7267">
      <w:pPr>
        <w:spacing w:after="160" w:line="276" w:lineRule="auto"/>
        <w:jc w:val="both"/>
        <w:rPr>
          <w:rFonts w:ascii="Tahoma" w:hAnsi="Tahoma" w:cs="Tahoma"/>
        </w:rPr>
      </w:pPr>
    </w:p>
    <w:p w14:paraId="51942BBE"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All deliverables will be presented to BRAC Bank's Senior Leadership and the </w:t>
      </w:r>
      <w:r w:rsidRPr="00BC7267">
        <w:rPr>
          <w:rFonts w:ascii="Tahoma" w:hAnsi="Tahoma" w:cs="Tahoma"/>
        </w:rPr>
        <w:t>relevant Enterprise AI oversight body for review and approval at defined stage gates throughout the engagement.</w:t>
      </w:r>
    </w:p>
    <w:p w14:paraId="3C5F0B57" w14:textId="77777777" w:rsidR="00111D2F" w:rsidRPr="00BC7267" w:rsidRDefault="00E9729A" w:rsidP="00BC7267">
      <w:pPr>
        <w:jc w:val="both"/>
        <w:rPr>
          <w:rFonts w:ascii="Tahoma" w:hAnsi="Tahoma" w:cs="Tahoma"/>
        </w:rPr>
      </w:pPr>
      <w:r w:rsidRPr="00BC7267">
        <w:rPr>
          <w:rFonts w:ascii="Tahoma" w:hAnsi="Tahoma" w:cs="Tahoma"/>
        </w:rPr>
        <w:br w:type="page"/>
      </w:r>
    </w:p>
    <w:p w14:paraId="2542D0FD" w14:textId="77777777" w:rsidR="00111D2F" w:rsidRPr="00BC7267" w:rsidRDefault="00E9729A" w:rsidP="00BC7267">
      <w:pPr>
        <w:pStyle w:val="Heading1"/>
        <w:jc w:val="both"/>
        <w:rPr>
          <w:rFonts w:ascii="Tahoma" w:hAnsi="Tahoma" w:cs="Tahoma"/>
        </w:rPr>
      </w:pPr>
      <w:bookmarkStart w:id="14" w:name="_Toc234500197"/>
      <w:r w:rsidRPr="00BC7267">
        <w:rPr>
          <w:rFonts w:ascii="Tahoma" w:hAnsi="Tahoma" w:cs="Tahoma"/>
        </w:rPr>
        <w:t>5. Deliverables Mapping</w:t>
      </w:r>
      <w:bookmarkEnd w:id="14"/>
    </w:p>
    <w:p w14:paraId="0F583F39"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The table below maps our proposed approach directly to the fourteen deliverables set out in Section 4 of the </w:t>
      </w:r>
      <w:proofErr w:type="spellStart"/>
      <w:r w:rsidRPr="00BC7267">
        <w:rPr>
          <w:rFonts w:ascii="Tahoma" w:hAnsi="Tahoma" w:cs="Tahoma"/>
        </w:rPr>
        <w:t>ToR</w:t>
      </w:r>
      <w:proofErr w:type="spellEnd"/>
      <w:r w:rsidRPr="00BC7267">
        <w:rPr>
          <w:rFonts w:ascii="Tahoma" w:hAnsi="Tahoma" w:cs="Tahoma"/>
        </w:rPr>
        <w:t>. Respondents were invited to propose additional or consolidated deliverables provided all required outcomes are fully met; we have retained the Bank's original structure and numbering for ease of evaluation.</w:t>
      </w:r>
    </w:p>
    <w:tbl>
      <w:tblPr>
        <w:tblW w:w="9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3210"/>
        <w:gridCol w:w="1149"/>
        <w:gridCol w:w="4650"/>
      </w:tblGrid>
      <w:tr w:rsidR="00BC7267" w:rsidRPr="00BC7267" w14:paraId="1EAEE164" w14:textId="77777777" w:rsidTr="00BC7267">
        <w:trPr>
          <w:trHeight w:val="20"/>
          <w:tblHeader/>
        </w:trPr>
        <w:tc>
          <w:tcPr>
            <w:tcW w:w="535" w:type="dxa"/>
            <w:shd w:val="clear" w:color="auto" w:fill="1F3864"/>
            <w:tcMar>
              <w:top w:w="80" w:type="dxa"/>
              <w:left w:w="100" w:type="dxa"/>
              <w:bottom w:w="80" w:type="dxa"/>
              <w:right w:w="100" w:type="dxa"/>
            </w:tcMar>
            <w:vAlign w:val="center"/>
          </w:tcPr>
          <w:p w14:paraId="477E21DB" w14:textId="28D410B4" w:rsidR="00111D2F" w:rsidRPr="00BC7267" w:rsidRDefault="00BC7267" w:rsidP="00BC7267">
            <w:pPr>
              <w:jc w:val="center"/>
              <w:rPr>
                <w:rFonts w:ascii="Tahoma" w:hAnsi="Tahoma" w:cs="Tahoma"/>
                <w:b/>
                <w:bCs/>
                <w:sz w:val="21"/>
                <w:szCs w:val="21"/>
              </w:rPr>
            </w:pPr>
            <w:r w:rsidRPr="00BC7267">
              <w:rPr>
                <w:rFonts w:ascii="Tahoma" w:hAnsi="Tahoma" w:cs="Tahoma"/>
                <w:b/>
                <w:bCs/>
                <w:sz w:val="21"/>
                <w:szCs w:val="21"/>
              </w:rPr>
              <w:t>SL</w:t>
            </w:r>
          </w:p>
        </w:tc>
        <w:tc>
          <w:tcPr>
            <w:tcW w:w="3240" w:type="dxa"/>
            <w:shd w:val="clear" w:color="auto" w:fill="1F3864"/>
            <w:tcMar>
              <w:top w:w="80" w:type="dxa"/>
              <w:left w:w="100" w:type="dxa"/>
              <w:bottom w:w="80" w:type="dxa"/>
              <w:right w:w="100" w:type="dxa"/>
            </w:tcMar>
            <w:vAlign w:val="center"/>
          </w:tcPr>
          <w:p w14:paraId="4CE5B895" w14:textId="77777777" w:rsidR="00111D2F" w:rsidRPr="00BC7267" w:rsidRDefault="00E9729A" w:rsidP="00BC7267">
            <w:pPr>
              <w:jc w:val="center"/>
              <w:rPr>
                <w:rFonts w:ascii="Tahoma" w:hAnsi="Tahoma" w:cs="Tahoma"/>
                <w:sz w:val="21"/>
                <w:szCs w:val="21"/>
              </w:rPr>
            </w:pPr>
            <w:r w:rsidRPr="00BC7267">
              <w:rPr>
                <w:rFonts w:ascii="Tahoma" w:hAnsi="Tahoma" w:cs="Tahoma"/>
                <w:b/>
                <w:bCs/>
                <w:color w:val="FFFFFF"/>
                <w:sz w:val="21"/>
                <w:szCs w:val="21"/>
              </w:rPr>
              <w:t>Deliverable</w:t>
            </w:r>
          </w:p>
        </w:tc>
        <w:tc>
          <w:tcPr>
            <w:tcW w:w="1080" w:type="dxa"/>
            <w:shd w:val="clear" w:color="auto" w:fill="1F3864"/>
            <w:tcMar>
              <w:top w:w="80" w:type="dxa"/>
              <w:left w:w="100" w:type="dxa"/>
              <w:bottom w:w="80" w:type="dxa"/>
              <w:right w:w="100" w:type="dxa"/>
            </w:tcMar>
            <w:vAlign w:val="center"/>
          </w:tcPr>
          <w:p w14:paraId="23E706CB" w14:textId="77777777" w:rsidR="00111D2F" w:rsidRPr="00BC7267" w:rsidRDefault="00E9729A" w:rsidP="00BC7267">
            <w:pPr>
              <w:jc w:val="center"/>
              <w:rPr>
                <w:rFonts w:ascii="Tahoma" w:hAnsi="Tahoma" w:cs="Tahoma"/>
                <w:sz w:val="21"/>
                <w:szCs w:val="21"/>
              </w:rPr>
            </w:pPr>
            <w:r w:rsidRPr="00BC7267">
              <w:rPr>
                <w:rFonts w:ascii="Tahoma" w:hAnsi="Tahoma" w:cs="Tahoma"/>
                <w:b/>
                <w:bCs/>
                <w:color w:val="FFFFFF"/>
                <w:sz w:val="21"/>
                <w:szCs w:val="21"/>
              </w:rPr>
              <w:t>Outcome</w:t>
            </w:r>
          </w:p>
        </w:tc>
        <w:tc>
          <w:tcPr>
            <w:tcW w:w="4688" w:type="dxa"/>
            <w:shd w:val="clear" w:color="auto" w:fill="1F3864"/>
            <w:tcMar>
              <w:top w:w="80" w:type="dxa"/>
              <w:left w:w="100" w:type="dxa"/>
              <w:bottom w:w="80" w:type="dxa"/>
              <w:right w:w="100" w:type="dxa"/>
            </w:tcMar>
            <w:vAlign w:val="center"/>
          </w:tcPr>
          <w:p w14:paraId="70FC6B57" w14:textId="77777777" w:rsidR="00111D2F" w:rsidRPr="00BC7267" w:rsidRDefault="00E9729A" w:rsidP="00BC7267">
            <w:pPr>
              <w:jc w:val="center"/>
              <w:rPr>
                <w:rFonts w:ascii="Tahoma" w:hAnsi="Tahoma" w:cs="Tahoma"/>
                <w:sz w:val="21"/>
                <w:szCs w:val="21"/>
              </w:rPr>
            </w:pPr>
            <w:r w:rsidRPr="00BC7267">
              <w:rPr>
                <w:rFonts w:ascii="Tahoma" w:hAnsi="Tahoma" w:cs="Tahoma"/>
                <w:b/>
                <w:bCs/>
                <w:color w:val="FFFFFF"/>
                <w:sz w:val="21"/>
                <w:szCs w:val="21"/>
              </w:rPr>
              <w:t>Our Approach</w:t>
            </w:r>
          </w:p>
        </w:tc>
      </w:tr>
      <w:tr w:rsidR="00BC7267" w:rsidRPr="00BC7267" w14:paraId="0467A0E8" w14:textId="77777777" w:rsidTr="00BC7267">
        <w:trPr>
          <w:trHeight w:val="20"/>
        </w:trPr>
        <w:tc>
          <w:tcPr>
            <w:tcW w:w="535" w:type="dxa"/>
            <w:tcMar>
              <w:top w:w="80" w:type="dxa"/>
              <w:left w:w="100" w:type="dxa"/>
              <w:bottom w:w="80" w:type="dxa"/>
              <w:right w:w="100" w:type="dxa"/>
            </w:tcMar>
            <w:vAlign w:val="center"/>
          </w:tcPr>
          <w:p w14:paraId="36098BAD"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1</w:t>
            </w:r>
          </w:p>
        </w:tc>
        <w:tc>
          <w:tcPr>
            <w:tcW w:w="3240" w:type="dxa"/>
            <w:tcMar>
              <w:top w:w="80" w:type="dxa"/>
              <w:left w:w="100" w:type="dxa"/>
              <w:bottom w:w="80" w:type="dxa"/>
              <w:right w:w="100" w:type="dxa"/>
            </w:tcMar>
            <w:vAlign w:val="center"/>
          </w:tcPr>
          <w:p w14:paraId="2740373A"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 xml:space="preserve">AI </w:t>
            </w:r>
            <w:r w:rsidRPr="00BC7267">
              <w:rPr>
                <w:rFonts w:ascii="Tahoma" w:hAnsi="Tahoma" w:cs="Tahoma"/>
                <w:sz w:val="21"/>
                <w:szCs w:val="21"/>
              </w:rPr>
              <w:t>Readiness Diagnostic — current state, maturity scorecard, peer benchmark</w:t>
            </w:r>
          </w:p>
        </w:tc>
        <w:tc>
          <w:tcPr>
            <w:tcW w:w="1080" w:type="dxa"/>
            <w:tcMar>
              <w:top w:w="80" w:type="dxa"/>
              <w:left w:w="100" w:type="dxa"/>
              <w:bottom w:w="80" w:type="dxa"/>
              <w:right w:w="100" w:type="dxa"/>
            </w:tcMar>
            <w:vAlign w:val="center"/>
          </w:tcPr>
          <w:p w14:paraId="65937B91"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A</w:t>
            </w:r>
          </w:p>
        </w:tc>
        <w:tc>
          <w:tcPr>
            <w:tcW w:w="4688" w:type="dxa"/>
            <w:tcMar>
              <w:top w:w="80" w:type="dxa"/>
              <w:left w:w="100" w:type="dxa"/>
              <w:bottom w:w="80" w:type="dxa"/>
              <w:right w:w="100" w:type="dxa"/>
            </w:tcMar>
            <w:vAlign w:val="center"/>
          </w:tcPr>
          <w:p w14:paraId="65F85F29"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Scored maturity assessment across six dimensions with regional and comparable-market benchmarking.</w:t>
            </w:r>
          </w:p>
        </w:tc>
      </w:tr>
      <w:tr w:rsidR="00BC7267" w:rsidRPr="00BC7267" w14:paraId="0469D923" w14:textId="77777777" w:rsidTr="00BC7267">
        <w:trPr>
          <w:trHeight w:val="20"/>
        </w:trPr>
        <w:tc>
          <w:tcPr>
            <w:tcW w:w="535" w:type="dxa"/>
            <w:shd w:val="clear" w:color="auto" w:fill="F2F2F2"/>
            <w:tcMar>
              <w:top w:w="80" w:type="dxa"/>
              <w:left w:w="100" w:type="dxa"/>
              <w:bottom w:w="80" w:type="dxa"/>
              <w:right w:w="100" w:type="dxa"/>
            </w:tcMar>
            <w:vAlign w:val="center"/>
          </w:tcPr>
          <w:p w14:paraId="1694A52C"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2</w:t>
            </w:r>
          </w:p>
        </w:tc>
        <w:tc>
          <w:tcPr>
            <w:tcW w:w="3240" w:type="dxa"/>
            <w:shd w:val="clear" w:color="auto" w:fill="F2F2F2"/>
            <w:tcMar>
              <w:top w:w="80" w:type="dxa"/>
              <w:left w:w="100" w:type="dxa"/>
              <w:bottom w:w="80" w:type="dxa"/>
              <w:right w:w="100" w:type="dxa"/>
            </w:tcMar>
            <w:vAlign w:val="center"/>
          </w:tcPr>
          <w:p w14:paraId="5F9147FF"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 xml:space="preserve">Portfolio and </w:t>
            </w:r>
            <w:proofErr w:type="spellStart"/>
            <w:r w:rsidRPr="00BC7267">
              <w:rPr>
                <w:rFonts w:ascii="Tahoma" w:hAnsi="Tahoma" w:cs="Tahoma"/>
                <w:sz w:val="21"/>
                <w:szCs w:val="21"/>
              </w:rPr>
              <w:t>Prioritisation</w:t>
            </w:r>
            <w:proofErr w:type="spellEnd"/>
            <w:r w:rsidRPr="00BC7267">
              <w:rPr>
                <w:rFonts w:ascii="Tahoma" w:hAnsi="Tahoma" w:cs="Tahoma"/>
                <w:sz w:val="21"/>
                <w:szCs w:val="21"/>
              </w:rPr>
              <w:t xml:space="preserve"> of Existing Use Cases</w:t>
            </w:r>
          </w:p>
        </w:tc>
        <w:tc>
          <w:tcPr>
            <w:tcW w:w="1080" w:type="dxa"/>
            <w:shd w:val="clear" w:color="auto" w:fill="F2F2F2"/>
            <w:tcMar>
              <w:top w:w="80" w:type="dxa"/>
              <w:left w:w="100" w:type="dxa"/>
              <w:bottom w:w="80" w:type="dxa"/>
              <w:right w:w="100" w:type="dxa"/>
            </w:tcMar>
            <w:vAlign w:val="center"/>
          </w:tcPr>
          <w:p w14:paraId="6383F89F"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A</w:t>
            </w:r>
          </w:p>
        </w:tc>
        <w:tc>
          <w:tcPr>
            <w:tcW w:w="4688" w:type="dxa"/>
            <w:shd w:val="clear" w:color="auto" w:fill="F2F2F2"/>
            <w:tcMar>
              <w:top w:w="80" w:type="dxa"/>
              <w:left w:w="100" w:type="dxa"/>
              <w:bottom w:w="80" w:type="dxa"/>
              <w:right w:w="100" w:type="dxa"/>
            </w:tcMar>
            <w:vAlign w:val="center"/>
          </w:tcPr>
          <w:p w14:paraId="58E5D6AF"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 xml:space="preserve">Consolidated </w:t>
            </w:r>
            <w:r w:rsidRPr="00BC7267">
              <w:rPr>
                <w:rFonts w:ascii="Tahoma" w:hAnsi="Tahoma" w:cs="Tahoma"/>
                <w:sz w:val="21"/>
                <w:szCs w:val="21"/>
              </w:rPr>
              <w:t>inventory of existing, planned and potential use cases, scored and ranked with early-value flags.</w:t>
            </w:r>
          </w:p>
        </w:tc>
      </w:tr>
      <w:tr w:rsidR="00BC7267" w:rsidRPr="00BC7267" w14:paraId="0A4D97A8" w14:textId="77777777" w:rsidTr="00BC7267">
        <w:trPr>
          <w:trHeight w:val="20"/>
        </w:trPr>
        <w:tc>
          <w:tcPr>
            <w:tcW w:w="535" w:type="dxa"/>
            <w:tcMar>
              <w:top w:w="80" w:type="dxa"/>
              <w:left w:w="100" w:type="dxa"/>
              <w:bottom w:w="80" w:type="dxa"/>
              <w:right w:w="100" w:type="dxa"/>
            </w:tcMar>
            <w:vAlign w:val="center"/>
          </w:tcPr>
          <w:p w14:paraId="6BBBB3DB"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3</w:t>
            </w:r>
          </w:p>
        </w:tc>
        <w:tc>
          <w:tcPr>
            <w:tcW w:w="3240" w:type="dxa"/>
            <w:tcMar>
              <w:top w:w="80" w:type="dxa"/>
              <w:left w:w="100" w:type="dxa"/>
              <w:bottom w:w="80" w:type="dxa"/>
              <w:right w:w="100" w:type="dxa"/>
            </w:tcMar>
            <w:vAlign w:val="center"/>
          </w:tcPr>
          <w:p w14:paraId="1AEFD5D7" w14:textId="77777777" w:rsidR="00111D2F" w:rsidRPr="00BC7267" w:rsidRDefault="00E9729A" w:rsidP="00BC7267">
            <w:pPr>
              <w:jc w:val="both"/>
              <w:rPr>
                <w:rFonts w:ascii="Tahoma" w:hAnsi="Tahoma" w:cs="Tahoma"/>
                <w:sz w:val="21"/>
                <w:szCs w:val="21"/>
              </w:rPr>
            </w:pPr>
            <w:proofErr w:type="spellStart"/>
            <w:r w:rsidRPr="00BC7267">
              <w:rPr>
                <w:rFonts w:ascii="Tahoma" w:hAnsi="Tahoma" w:cs="Tahoma"/>
                <w:sz w:val="21"/>
                <w:szCs w:val="21"/>
              </w:rPr>
              <w:t>Prioritisation</w:t>
            </w:r>
            <w:proofErr w:type="spellEnd"/>
            <w:r w:rsidRPr="00BC7267">
              <w:rPr>
                <w:rFonts w:ascii="Tahoma" w:hAnsi="Tahoma" w:cs="Tahoma"/>
                <w:sz w:val="21"/>
                <w:szCs w:val="21"/>
              </w:rPr>
              <w:t xml:space="preserve"> of External, Proven Use Cases</w:t>
            </w:r>
          </w:p>
        </w:tc>
        <w:tc>
          <w:tcPr>
            <w:tcW w:w="1080" w:type="dxa"/>
            <w:tcMar>
              <w:top w:w="80" w:type="dxa"/>
              <w:left w:w="100" w:type="dxa"/>
              <w:bottom w:w="80" w:type="dxa"/>
              <w:right w:w="100" w:type="dxa"/>
            </w:tcMar>
            <w:vAlign w:val="center"/>
          </w:tcPr>
          <w:p w14:paraId="7DEB678D"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A</w:t>
            </w:r>
          </w:p>
        </w:tc>
        <w:tc>
          <w:tcPr>
            <w:tcW w:w="4688" w:type="dxa"/>
            <w:tcMar>
              <w:top w:w="80" w:type="dxa"/>
              <w:left w:w="100" w:type="dxa"/>
              <w:bottom w:w="80" w:type="dxa"/>
              <w:right w:w="100" w:type="dxa"/>
            </w:tcMar>
            <w:vAlign w:val="center"/>
          </w:tcPr>
          <w:p w14:paraId="4AF0933E"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 xml:space="preserve">Curated set of proven financial-services use cases assessed for BRAC Bank applicability and </w:t>
            </w:r>
            <w:r w:rsidRPr="00BC7267">
              <w:rPr>
                <w:rFonts w:ascii="Tahoma" w:hAnsi="Tahoma" w:cs="Tahoma"/>
                <w:sz w:val="21"/>
                <w:szCs w:val="21"/>
              </w:rPr>
              <w:t>strategic fit.</w:t>
            </w:r>
          </w:p>
        </w:tc>
      </w:tr>
      <w:tr w:rsidR="00BC7267" w:rsidRPr="00BC7267" w14:paraId="113722D6" w14:textId="77777777" w:rsidTr="00BC7267">
        <w:trPr>
          <w:trHeight w:val="20"/>
        </w:trPr>
        <w:tc>
          <w:tcPr>
            <w:tcW w:w="535" w:type="dxa"/>
            <w:shd w:val="clear" w:color="auto" w:fill="F2F2F2"/>
            <w:tcMar>
              <w:top w:w="80" w:type="dxa"/>
              <w:left w:w="100" w:type="dxa"/>
              <w:bottom w:w="80" w:type="dxa"/>
              <w:right w:w="100" w:type="dxa"/>
            </w:tcMar>
            <w:vAlign w:val="center"/>
          </w:tcPr>
          <w:p w14:paraId="5DBFAB3F"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4</w:t>
            </w:r>
          </w:p>
        </w:tc>
        <w:tc>
          <w:tcPr>
            <w:tcW w:w="3240" w:type="dxa"/>
            <w:shd w:val="clear" w:color="auto" w:fill="F2F2F2"/>
            <w:tcMar>
              <w:top w:w="80" w:type="dxa"/>
              <w:left w:w="100" w:type="dxa"/>
              <w:bottom w:w="80" w:type="dxa"/>
              <w:right w:w="100" w:type="dxa"/>
            </w:tcMar>
            <w:vAlign w:val="center"/>
          </w:tcPr>
          <w:p w14:paraId="1D1977F7"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 xml:space="preserve">Use Case </w:t>
            </w:r>
            <w:proofErr w:type="spellStart"/>
            <w:r w:rsidRPr="00BC7267">
              <w:rPr>
                <w:rFonts w:ascii="Tahoma" w:hAnsi="Tahoma" w:cs="Tahoma"/>
                <w:sz w:val="21"/>
                <w:szCs w:val="21"/>
              </w:rPr>
              <w:t>Prioritisation</w:t>
            </w:r>
            <w:proofErr w:type="spellEnd"/>
            <w:r w:rsidRPr="00BC7267">
              <w:rPr>
                <w:rFonts w:ascii="Tahoma" w:hAnsi="Tahoma" w:cs="Tahoma"/>
                <w:sz w:val="21"/>
                <w:szCs w:val="21"/>
              </w:rPr>
              <w:t xml:space="preserve"> Template</w:t>
            </w:r>
          </w:p>
        </w:tc>
        <w:tc>
          <w:tcPr>
            <w:tcW w:w="1080" w:type="dxa"/>
            <w:shd w:val="clear" w:color="auto" w:fill="F2F2F2"/>
            <w:tcMar>
              <w:top w:w="80" w:type="dxa"/>
              <w:left w:w="100" w:type="dxa"/>
              <w:bottom w:w="80" w:type="dxa"/>
              <w:right w:w="100" w:type="dxa"/>
            </w:tcMar>
            <w:vAlign w:val="center"/>
          </w:tcPr>
          <w:p w14:paraId="751BFDAB"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A</w:t>
            </w:r>
          </w:p>
        </w:tc>
        <w:tc>
          <w:tcPr>
            <w:tcW w:w="4688" w:type="dxa"/>
            <w:shd w:val="clear" w:color="auto" w:fill="F2F2F2"/>
            <w:tcMar>
              <w:top w:w="80" w:type="dxa"/>
              <w:left w:w="100" w:type="dxa"/>
              <w:bottom w:w="80" w:type="dxa"/>
              <w:right w:w="100" w:type="dxa"/>
            </w:tcMar>
            <w:vAlign w:val="center"/>
          </w:tcPr>
          <w:p w14:paraId="4DDF7923"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Reusable scoring, intake, and orchestration playbook, with training guide for ongoing Bank use.</w:t>
            </w:r>
          </w:p>
        </w:tc>
      </w:tr>
      <w:tr w:rsidR="00BC7267" w:rsidRPr="00BC7267" w14:paraId="513E02E5" w14:textId="77777777" w:rsidTr="00BC7267">
        <w:trPr>
          <w:trHeight w:val="20"/>
        </w:trPr>
        <w:tc>
          <w:tcPr>
            <w:tcW w:w="535" w:type="dxa"/>
            <w:tcMar>
              <w:top w:w="80" w:type="dxa"/>
              <w:left w:w="100" w:type="dxa"/>
              <w:bottom w:w="80" w:type="dxa"/>
              <w:right w:w="100" w:type="dxa"/>
            </w:tcMar>
            <w:vAlign w:val="center"/>
          </w:tcPr>
          <w:p w14:paraId="0B402D88"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5</w:t>
            </w:r>
          </w:p>
        </w:tc>
        <w:tc>
          <w:tcPr>
            <w:tcW w:w="3240" w:type="dxa"/>
            <w:tcMar>
              <w:top w:w="80" w:type="dxa"/>
              <w:left w:w="100" w:type="dxa"/>
              <w:bottom w:w="80" w:type="dxa"/>
              <w:right w:w="100" w:type="dxa"/>
            </w:tcMar>
            <w:vAlign w:val="center"/>
          </w:tcPr>
          <w:p w14:paraId="381F8051"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Readiness Gap Summary</w:t>
            </w:r>
          </w:p>
        </w:tc>
        <w:tc>
          <w:tcPr>
            <w:tcW w:w="1080" w:type="dxa"/>
            <w:tcMar>
              <w:top w:w="80" w:type="dxa"/>
              <w:left w:w="100" w:type="dxa"/>
              <w:bottom w:w="80" w:type="dxa"/>
              <w:right w:w="100" w:type="dxa"/>
            </w:tcMar>
            <w:vAlign w:val="center"/>
          </w:tcPr>
          <w:p w14:paraId="2B8A68F6"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A</w:t>
            </w:r>
          </w:p>
        </w:tc>
        <w:tc>
          <w:tcPr>
            <w:tcW w:w="4688" w:type="dxa"/>
            <w:tcMar>
              <w:top w:w="80" w:type="dxa"/>
              <w:left w:w="100" w:type="dxa"/>
              <w:bottom w:w="80" w:type="dxa"/>
              <w:right w:w="100" w:type="dxa"/>
            </w:tcMar>
            <w:vAlign w:val="center"/>
          </w:tcPr>
          <w:p w14:paraId="77E96E6B"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 xml:space="preserve">Capability gaps linked to Outcome C recommendations, </w:t>
            </w:r>
            <w:proofErr w:type="spellStart"/>
            <w:r w:rsidRPr="00BC7267">
              <w:rPr>
                <w:rFonts w:ascii="Tahoma" w:hAnsi="Tahoma" w:cs="Tahoma"/>
                <w:sz w:val="21"/>
                <w:szCs w:val="21"/>
              </w:rPr>
              <w:t>emphasising</w:t>
            </w:r>
            <w:proofErr w:type="spellEnd"/>
            <w:r w:rsidRPr="00BC7267">
              <w:rPr>
                <w:rFonts w:ascii="Tahoma" w:hAnsi="Tahoma" w:cs="Tahoma"/>
                <w:sz w:val="21"/>
                <w:szCs w:val="21"/>
              </w:rPr>
              <w:t xml:space="preserve"> reuse of existing assets.</w:t>
            </w:r>
          </w:p>
        </w:tc>
      </w:tr>
      <w:tr w:rsidR="00BC7267" w:rsidRPr="00BC7267" w14:paraId="469E1090" w14:textId="77777777" w:rsidTr="00BC7267">
        <w:trPr>
          <w:trHeight w:val="20"/>
        </w:trPr>
        <w:tc>
          <w:tcPr>
            <w:tcW w:w="535" w:type="dxa"/>
            <w:shd w:val="clear" w:color="auto" w:fill="F2F2F2"/>
            <w:tcMar>
              <w:top w:w="80" w:type="dxa"/>
              <w:left w:w="100" w:type="dxa"/>
              <w:bottom w:w="80" w:type="dxa"/>
              <w:right w:w="100" w:type="dxa"/>
            </w:tcMar>
            <w:vAlign w:val="center"/>
          </w:tcPr>
          <w:p w14:paraId="5301E721"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6</w:t>
            </w:r>
          </w:p>
        </w:tc>
        <w:tc>
          <w:tcPr>
            <w:tcW w:w="3240" w:type="dxa"/>
            <w:shd w:val="clear" w:color="auto" w:fill="F2F2F2"/>
            <w:tcMar>
              <w:top w:w="80" w:type="dxa"/>
              <w:left w:w="100" w:type="dxa"/>
              <w:bottom w:w="80" w:type="dxa"/>
              <w:right w:w="100" w:type="dxa"/>
            </w:tcMar>
            <w:vAlign w:val="center"/>
          </w:tcPr>
          <w:p w14:paraId="0B0CB1F6"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AI Governance Framework</w:t>
            </w:r>
          </w:p>
        </w:tc>
        <w:tc>
          <w:tcPr>
            <w:tcW w:w="1080" w:type="dxa"/>
            <w:shd w:val="clear" w:color="auto" w:fill="F2F2F2"/>
            <w:tcMar>
              <w:top w:w="80" w:type="dxa"/>
              <w:left w:w="100" w:type="dxa"/>
              <w:bottom w:w="80" w:type="dxa"/>
              <w:right w:w="100" w:type="dxa"/>
            </w:tcMar>
            <w:vAlign w:val="center"/>
          </w:tcPr>
          <w:p w14:paraId="0113DD19"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B</w:t>
            </w:r>
          </w:p>
        </w:tc>
        <w:tc>
          <w:tcPr>
            <w:tcW w:w="4688" w:type="dxa"/>
            <w:shd w:val="clear" w:color="auto" w:fill="F2F2F2"/>
            <w:tcMar>
              <w:top w:w="80" w:type="dxa"/>
              <w:left w:w="100" w:type="dxa"/>
              <w:bottom w:w="80" w:type="dxa"/>
              <w:right w:w="100" w:type="dxa"/>
            </w:tcMar>
            <w:vAlign w:val="center"/>
          </w:tcPr>
          <w:p w14:paraId="7215BA6E"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Policies, standards, model risk lifecycle, and responsible-AI principles document.</w:t>
            </w:r>
          </w:p>
        </w:tc>
      </w:tr>
      <w:tr w:rsidR="00BC7267" w:rsidRPr="00BC7267" w14:paraId="2ACCAD17" w14:textId="77777777" w:rsidTr="00BC7267">
        <w:trPr>
          <w:trHeight w:val="20"/>
        </w:trPr>
        <w:tc>
          <w:tcPr>
            <w:tcW w:w="535" w:type="dxa"/>
            <w:tcMar>
              <w:top w:w="80" w:type="dxa"/>
              <w:left w:w="100" w:type="dxa"/>
              <w:bottom w:w="80" w:type="dxa"/>
              <w:right w:w="100" w:type="dxa"/>
            </w:tcMar>
            <w:vAlign w:val="center"/>
          </w:tcPr>
          <w:p w14:paraId="38EE3A68"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7</w:t>
            </w:r>
          </w:p>
        </w:tc>
        <w:tc>
          <w:tcPr>
            <w:tcW w:w="3240" w:type="dxa"/>
            <w:tcMar>
              <w:top w:w="80" w:type="dxa"/>
              <w:left w:w="100" w:type="dxa"/>
              <w:bottom w:w="80" w:type="dxa"/>
              <w:right w:w="100" w:type="dxa"/>
            </w:tcMar>
            <w:vAlign w:val="center"/>
          </w:tcPr>
          <w:p w14:paraId="2643764F"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Control Tower Operating Model</w:t>
            </w:r>
          </w:p>
        </w:tc>
        <w:tc>
          <w:tcPr>
            <w:tcW w:w="1080" w:type="dxa"/>
            <w:tcMar>
              <w:top w:w="80" w:type="dxa"/>
              <w:left w:w="100" w:type="dxa"/>
              <w:bottom w:w="80" w:type="dxa"/>
              <w:right w:w="100" w:type="dxa"/>
            </w:tcMar>
            <w:vAlign w:val="center"/>
          </w:tcPr>
          <w:p w14:paraId="051E75F7"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B</w:t>
            </w:r>
          </w:p>
        </w:tc>
        <w:tc>
          <w:tcPr>
            <w:tcW w:w="4688" w:type="dxa"/>
            <w:tcMar>
              <w:top w:w="80" w:type="dxa"/>
              <w:left w:w="100" w:type="dxa"/>
              <w:bottom w:w="80" w:type="dxa"/>
              <w:right w:w="100" w:type="dxa"/>
            </w:tcMar>
            <w:vAlign w:val="center"/>
          </w:tcPr>
          <w:p w14:paraId="7CA04038"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 xml:space="preserve">Committee </w:t>
            </w:r>
            <w:r w:rsidRPr="00BC7267">
              <w:rPr>
                <w:rFonts w:ascii="Tahoma" w:hAnsi="Tahoma" w:cs="Tahoma"/>
                <w:sz w:val="21"/>
                <w:szCs w:val="21"/>
              </w:rPr>
              <w:t>structure, roles, decision rights, and charters integrated with existing governance.</w:t>
            </w:r>
          </w:p>
        </w:tc>
      </w:tr>
      <w:tr w:rsidR="00BC7267" w:rsidRPr="00BC7267" w14:paraId="6CF9BD51" w14:textId="77777777" w:rsidTr="00BC7267">
        <w:trPr>
          <w:trHeight w:val="20"/>
        </w:trPr>
        <w:tc>
          <w:tcPr>
            <w:tcW w:w="535" w:type="dxa"/>
            <w:shd w:val="clear" w:color="auto" w:fill="F2F2F2"/>
            <w:tcMar>
              <w:top w:w="80" w:type="dxa"/>
              <w:left w:w="100" w:type="dxa"/>
              <w:bottom w:w="80" w:type="dxa"/>
              <w:right w:w="100" w:type="dxa"/>
            </w:tcMar>
            <w:vAlign w:val="center"/>
          </w:tcPr>
          <w:p w14:paraId="091911DE"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8</w:t>
            </w:r>
          </w:p>
        </w:tc>
        <w:tc>
          <w:tcPr>
            <w:tcW w:w="3240" w:type="dxa"/>
            <w:shd w:val="clear" w:color="auto" w:fill="F2F2F2"/>
            <w:tcMar>
              <w:top w:w="80" w:type="dxa"/>
              <w:left w:w="100" w:type="dxa"/>
              <w:bottom w:w="80" w:type="dxa"/>
              <w:right w:w="100" w:type="dxa"/>
            </w:tcMar>
            <w:vAlign w:val="center"/>
          </w:tcPr>
          <w:p w14:paraId="21CF2234"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Controls Catalogue &amp; Testing Plan</w:t>
            </w:r>
          </w:p>
        </w:tc>
        <w:tc>
          <w:tcPr>
            <w:tcW w:w="1080" w:type="dxa"/>
            <w:shd w:val="clear" w:color="auto" w:fill="F2F2F2"/>
            <w:tcMar>
              <w:top w:w="80" w:type="dxa"/>
              <w:left w:w="100" w:type="dxa"/>
              <w:bottom w:w="80" w:type="dxa"/>
              <w:right w:w="100" w:type="dxa"/>
            </w:tcMar>
            <w:vAlign w:val="center"/>
          </w:tcPr>
          <w:p w14:paraId="225FF358"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B</w:t>
            </w:r>
          </w:p>
        </w:tc>
        <w:tc>
          <w:tcPr>
            <w:tcW w:w="4688" w:type="dxa"/>
            <w:shd w:val="clear" w:color="auto" w:fill="F2F2F2"/>
            <w:tcMar>
              <w:top w:w="80" w:type="dxa"/>
              <w:left w:w="100" w:type="dxa"/>
              <w:bottom w:w="80" w:type="dxa"/>
              <w:right w:w="100" w:type="dxa"/>
            </w:tcMar>
            <w:vAlign w:val="center"/>
          </w:tcPr>
          <w:p w14:paraId="56073143"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AI-lifecycle control matrix with testing cadence and ownership, audit-ready.</w:t>
            </w:r>
          </w:p>
        </w:tc>
      </w:tr>
      <w:tr w:rsidR="00BC7267" w:rsidRPr="00BC7267" w14:paraId="0A9D1B70" w14:textId="77777777" w:rsidTr="00BC7267">
        <w:trPr>
          <w:trHeight w:val="20"/>
        </w:trPr>
        <w:tc>
          <w:tcPr>
            <w:tcW w:w="535" w:type="dxa"/>
            <w:tcMar>
              <w:top w:w="80" w:type="dxa"/>
              <w:left w:w="100" w:type="dxa"/>
              <w:bottom w:w="80" w:type="dxa"/>
              <w:right w:w="100" w:type="dxa"/>
            </w:tcMar>
            <w:vAlign w:val="center"/>
          </w:tcPr>
          <w:p w14:paraId="43E0AE6F"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9</w:t>
            </w:r>
          </w:p>
        </w:tc>
        <w:tc>
          <w:tcPr>
            <w:tcW w:w="3240" w:type="dxa"/>
            <w:tcMar>
              <w:top w:w="80" w:type="dxa"/>
              <w:left w:w="100" w:type="dxa"/>
              <w:bottom w:w="80" w:type="dxa"/>
              <w:right w:w="100" w:type="dxa"/>
            </w:tcMar>
            <w:vAlign w:val="center"/>
          </w:tcPr>
          <w:p w14:paraId="1D90A248"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Executive Reporting Pack</w:t>
            </w:r>
          </w:p>
        </w:tc>
        <w:tc>
          <w:tcPr>
            <w:tcW w:w="1080" w:type="dxa"/>
            <w:tcMar>
              <w:top w:w="80" w:type="dxa"/>
              <w:left w:w="100" w:type="dxa"/>
              <w:bottom w:w="80" w:type="dxa"/>
              <w:right w:w="100" w:type="dxa"/>
            </w:tcMar>
            <w:vAlign w:val="center"/>
          </w:tcPr>
          <w:p w14:paraId="50AE6259"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B</w:t>
            </w:r>
          </w:p>
        </w:tc>
        <w:tc>
          <w:tcPr>
            <w:tcW w:w="4688" w:type="dxa"/>
            <w:tcMar>
              <w:top w:w="80" w:type="dxa"/>
              <w:left w:w="100" w:type="dxa"/>
              <w:bottom w:w="80" w:type="dxa"/>
              <w:right w:w="100" w:type="dxa"/>
            </w:tcMar>
            <w:vAlign w:val="center"/>
          </w:tcPr>
          <w:p w14:paraId="4CFFC108"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 xml:space="preserve">Template KPIs, risk </w:t>
            </w:r>
            <w:r w:rsidRPr="00BC7267">
              <w:rPr>
                <w:rFonts w:ascii="Tahoma" w:hAnsi="Tahoma" w:cs="Tahoma"/>
                <w:sz w:val="21"/>
                <w:szCs w:val="21"/>
              </w:rPr>
              <w:t>dashboard, and reporting cadence for ongoing oversight.</w:t>
            </w:r>
          </w:p>
        </w:tc>
      </w:tr>
      <w:tr w:rsidR="00BC7267" w:rsidRPr="00BC7267" w14:paraId="7609F3B2" w14:textId="77777777" w:rsidTr="00BC7267">
        <w:trPr>
          <w:trHeight w:val="20"/>
        </w:trPr>
        <w:tc>
          <w:tcPr>
            <w:tcW w:w="535" w:type="dxa"/>
            <w:shd w:val="clear" w:color="auto" w:fill="F2F2F2"/>
            <w:tcMar>
              <w:top w:w="80" w:type="dxa"/>
              <w:left w:w="100" w:type="dxa"/>
              <w:bottom w:w="80" w:type="dxa"/>
              <w:right w:w="100" w:type="dxa"/>
            </w:tcMar>
            <w:vAlign w:val="center"/>
          </w:tcPr>
          <w:p w14:paraId="48324EC2"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10</w:t>
            </w:r>
          </w:p>
        </w:tc>
        <w:tc>
          <w:tcPr>
            <w:tcW w:w="3240" w:type="dxa"/>
            <w:shd w:val="clear" w:color="auto" w:fill="F2F2F2"/>
            <w:tcMar>
              <w:top w:w="80" w:type="dxa"/>
              <w:left w:w="100" w:type="dxa"/>
              <w:bottom w:w="80" w:type="dxa"/>
              <w:right w:w="100" w:type="dxa"/>
            </w:tcMar>
            <w:vAlign w:val="center"/>
          </w:tcPr>
          <w:p w14:paraId="4D0455B9"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AI Strategy Document</w:t>
            </w:r>
          </w:p>
        </w:tc>
        <w:tc>
          <w:tcPr>
            <w:tcW w:w="1080" w:type="dxa"/>
            <w:shd w:val="clear" w:color="auto" w:fill="F2F2F2"/>
            <w:tcMar>
              <w:top w:w="80" w:type="dxa"/>
              <w:left w:w="100" w:type="dxa"/>
              <w:bottom w:w="80" w:type="dxa"/>
              <w:right w:w="100" w:type="dxa"/>
            </w:tcMar>
            <w:vAlign w:val="center"/>
          </w:tcPr>
          <w:p w14:paraId="3A596D9A"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C</w:t>
            </w:r>
          </w:p>
        </w:tc>
        <w:tc>
          <w:tcPr>
            <w:tcW w:w="4688" w:type="dxa"/>
            <w:shd w:val="clear" w:color="auto" w:fill="F2F2F2"/>
            <w:tcMar>
              <w:top w:w="80" w:type="dxa"/>
              <w:left w:w="100" w:type="dxa"/>
              <w:bottom w:w="80" w:type="dxa"/>
              <w:right w:w="100" w:type="dxa"/>
            </w:tcMar>
            <w:vAlign w:val="center"/>
          </w:tcPr>
          <w:p w14:paraId="13CE8D28"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Vision, strategic ambition, and guiding principles aligned to Bank priorities.</w:t>
            </w:r>
          </w:p>
        </w:tc>
      </w:tr>
      <w:tr w:rsidR="00BC7267" w:rsidRPr="00BC7267" w14:paraId="6DB1594C" w14:textId="77777777" w:rsidTr="00BC7267">
        <w:trPr>
          <w:trHeight w:val="20"/>
        </w:trPr>
        <w:tc>
          <w:tcPr>
            <w:tcW w:w="535" w:type="dxa"/>
            <w:tcMar>
              <w:top w:w="80" w:type="dxa"/>
              <w:left w:w="100" w:type="dxa"/>
              <w:bottom w:w="80" w:type="dxa"/>
              <w:right w:w="100" w:type="dxa"/>
            </w:tcMar>
            <w:vAlign w:val="center"/>
          </w:tcPr>
          <w:p w14:paraId="76D6EE65"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11</w:t>
            </w:r>
          </w:p>
        </w:tc>
        <w:tc>
          <w:tcPr>
            <w:tcW w:w="3240" w:type="dxa"/>
            <w:tcMar>
              <w:top w:w="80" w:type="dxa"/>
              <w:left w:w="100" w:type="dxa"/>
              <w:bottom w:w="80" w:type="dxa"/>
              <w:right w:w="100" w:type="dxa"/>
            </w:tcMar>
            <w:vAlign w:val="center"/>
          </w:tcPr>
          <w:p w14:paraId="2E8486EA"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Target-State Architecture &amp; Platform Blueprint</w:t>
            </w:r>
          </w:p>
        </w:tc>
        <w:tc>
          <w:tcPr>
            <w:tcW w:w="1080" w:type="dxa"/>
            <w:tcMar>
              <w:top w:w="80" w:type="dxa"/>
              <w:left w:w="100" w:type="dxa"/>
              <w:bottom w:w="80" w:type="dxa"/>
              <w:right w:w="100" w:type="dxa"/>
            </w:tcMar>
            <w:vAlign w:val="center"/>
          </w:tcPr>
          <w:p w14:paraId="2D3879FA"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C</w:t>
            </w:r>
          </w:p>
        </w:tc>
        <w:tc>
          <w:tcPr>
            <w:tcW w:w="4688" w:type="dxa"/>
            <w:tcMar>
              <w:top w:w="80" w:type="dxa"/>
              <w:left w:w="100" w:type="dxa"/>
              <w:bottom w:w="80" w:type="dxa"/>
              <w:right w:w="100" w:type="dxa"/>
            </w:tcMar>
            <w:vAlign w:val="center"/>
          </w:tcPr>
          <w:p w14:paraId="6AAC43C9"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 xml:space="preserve">Data, model, </w:t>
            </w:r>
            <w:proofErr w:type="spellStart"/>
            <w:r w:rsidRPr="00BC7267">
              <w:rPr>
                <w:rFonts w:ascii="Tahoma" w:hAnsi="Tahoma" w:cs="Tahoma"/>
                <w:sz w:val="21"/>
                <w:szCs w:val="21"/>
              </w:rPr>
              <w:t>MLOps</w:t>
            </w:r>
            <w:proofErr w:type="spellEnd"/>
            <w:r w:rsidRPr="00BC7267">
              <w:rPr>
                <w:rFonts w:ascii="Tahoma" w:hAnsi="Tahoma" w:cs="Tahoma"/>
                <w:sz w:val="21"/>
                <w:szCs w:val="21"/>
              </w:rPr>
              <w:t xml:space="preserve"> and security blueprint anchored on existing private-cloud assets.</w:t>
            </w:r>
          </w:p>
        </w:tc>
      </w:tr>
      <w:tr w:rsidR="00BC7267" w:rsidRPr="00BC7267" w14:paraId="670561E3" w14:textId="77777777" w:rsidTr="00BC7267">
        <w:trPr>
          <w:trHeight w:val="20"/>
        </w:trPr>
        <w:tc>
          <w:tcPr>
            <w:tcW w:w="535" w:type="dxa"/>
            <w:shd w:val="clear" w:color="auto" w:fill="F2F2F2"/>
            <w:tcMar>
              <w:top w:w="80" w:type="dxa"/>
              <w:left w:w="100" w:type="dxa"/>
              <w:bottom w:w="80" w:type="dxa"/>
              <w:right w:w="100" w:type="dxa"/>
            </w:tcMar>
            <w:vAlign w:val="center"/>
          </w:tcPr>
          <w:p w14:paraId="47BBAC4C"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12</w:t>
            </w:r>
          </w:p>
        </w:tc>
        <w:tc>
          <w:tcPr>
            <w:tcW w:w="3240" w:type="dxa"/>
            <w:shd w:val="clear" w:color="auto" w:fill="F2F2F2"/>
            <w:tcMar>
              <w:top w:w="80" w:type="dxa"/>
              <w:left w:w="100" w:type="dxa"/>
              <w:bottom w:w="80" w:type="dxa"/>
              <w:right w:w="100" w:type="dxa"/>
            </w:tcMar>
            <w:vAlign w:val="center"/>
          </w:tcPr>
          <w:p w14:paraId="05CDCAD6"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3-Year Phased Roadmap</w:t>
            </w:r>
          </w:p>
        </w:tc>
        <w:tc>
          <w:tcPr>
            <w:tcW w:w="1080" w:type="dxa"/>
            <w:shd w:val="clear" w:color="auto" w:fill="F2F2F2"/>
            <w:tcMar>
              <w:top w:w="80" w:type="dxa"/>
              <w:left w:w="100" w:type="dxa"/>
              <w:bottom w:w="80" w:type="dxa"/>
              <w:right w:w="100" w:type="dxa"/>
            </w:tcMar>
            <w:vAlign w:val="center"/>
          </w:tcPr>
          <w:p w14:paraId="42EB2472"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C</w:t>
            </w:r>
          </w:p>
        </w:tc>
        <w:tc>
          <w:tcPr>
            <w:tcW w:w="4688" w:type="dxa"/>
            <w:shd w:val="clear" w:color="auto" w:fill="F2F2F2"/>
            <w:tcMar>
              <w:top w:w="80" w:type="dxa"/>
              <w:left w:w="100" w:type="dxa"/>
              <w:bottom w:w="80" w:type="dxa"/>
              <w:right w:w="100" w:type="dxa"/>
            </w:tcMar>
            <w:vAlign w:val="center"/>
          </w:tcPr>
          <w:p w14:paraId="51E205CD"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Sequenced initiatives with dependencies, owners, and short/mid/long-term value milestones.</w:t>
            </w:r>
          </w:p>
        </w:tc>
      </w:tr>
      <w:tr w:rsidR="00BC7267" w:rsidRPr="00BC7267" w14:paraId="2310AED9" w14:textId="77777777" w:rsidTr="00BC7267">
        <w:trPr>
          <w:trHeight w:val="20"/>
        </w:trPr>
        <w:tc>
          <w:tcPr>
            <w:tcW w:w="535" w:type="dxa"/>
            <w:tcMar>
              <w:top w:w="80" w:type="dxa"/>
              <w:left w:w="100" w:type="dxa"/>
              <w:bottom w:w="80" w:type="dxa"/>
              <w:right w:w="100" w:type="dxa"/>
            </w:tcMar>
            <w:vAlign w:val="center"/>
          </w:tcPr>
          <w:p w14:paraId="54892831"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13</w:t>
            </w:r>
          </w:p>
        </w:tc>
        <w:tc>
          <w:tcPr>
            <w:tcW w:w="3240" w:type="dxa"/>
            <w:tcMar>
              <w:top w:w="80" w:type="dxa"/>
              <w:left w:w="100" w:type="dxa"/>
              <w:bottom w:w="80" w:type="dxa"/>
              <w:right w:w="100" w:type="dxa"/>
            </w:tcMar>
            <w:vAlign w:val="center"/>
          </w:tcPr>
          <w:p w14:paraId="2CD7BAC4"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Enterprise Business Case</w:t>
            </w:r>
          </w:p>
        </w:tc>
        <w:tc>
          <w:tcPr>
            <w:tcW w:w="1080" w:type="dxa"/>
            <w:tcMar>
              <w:top w:w="80" w:type="dxa"/>
              <w:left w:w="100" w:type="dxa"/>
              <w:bottom w:w="80" w:type="dxa"/>
              <w:right w:w="100" w:type="dxa"/>
            </w:tcMar>
            <w:vAlign w:val="center"/>
          </w:tcPr>
          <w:p w14:paraId="6B24B84F"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C</w:t>
            </w:r>
          </w:p>
        </w:tc>
        <w:tc>
          <w:tcPr>
            <w:tcW w:w="4688" w:type="dxa"/>
            <w:tcMar>
              <w:top w:w="80" w:type="dxa"/>
              <w:left w:w="100" w:type="dxa"/>
              <w:bottom w:w="80" w:type="dxa"/>
              <w:right w:w="100" w:type="dxa"/>
            </w:tcMar>
            <w:vAlign w:val="center"/>
          </w:tcPr>
          <w:p w14:paraId="7ABF96FF"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 xml:space="preserve">Investment, value </w:t>
            </w:r>
            <w:r w:rsidRPr="00BC7267">
              <w:rPr>
                <w:rFonts w:ascii="Tahoma" w:hAnsi="Tahoma" w:cs="Tahoma"/>
                <w:sz w:val="21"/>
                <w:szCs w:val="21"/>
              </w:rPr>
              <w:t>(revenue/cost/risk/CX), TCO, and ROI profile.</w:t>
            </w:r>
          </w:p>
        </w:tc>
      </w:tr>
      <w:tr w:rsidR="00BC7267" w:rsidRPr="00BC7267" w14:paraId="006F32E8" w14:textId="77777777" w:rsidTr="00BC7267">
        <w:trPr>
          <w:trHeight w:val="20"/>
        </w:trPr>
        <w:tc>
          <w:tcPr>
            <w:tcW w:w="535" w:type="dxa"/>
            <w:shd w:val="clear" w:color="auto" w:fill="F2F2F2"/>
            <w:tcMar>
              <w:top w:w="80" w:type="dxa"/>
              <w:left w:w="100" w:type="dxa"/>
              <w:bottom w:w="80" w:type="dxa"/>
              <w:right w:w="100" w:type="dxa"/>
            </w:tcMar>
            <w:vAlign w:val="center"/>
          </w:tcPr>
          <w:p w14:paraId="52107833"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14</w:t>
            </w:r>
          </w:p>
        </w:tc>
        <w:tc>
          <w:tcPr>
            <w:tcW w:w="3240" w:type="dxa"/>
            <w:shd w:val="clear" w:color="auto" w:fill="F2F2F2"/>
            <w:tcMar>
              <w:top w:w="80" w:type="dxa"/>
              <w:left w:w="100" w:type="dxa"/>
              <w:bottom w:w="80" w:type="dxa"/>
              <w:right w:w="100" w:type="dxa"/>
            </w:tcMar>
            <w:vAlign w:val="center"/>
          </w:tcPr>
          <w:p w14:paraId="5CE00D4C"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Final Executive Readout</w:t>
            </w:r>
          </w:p>
        </w:tc>
        <w:tc>
          <w:tcPr>
            <w:tcW w:w="1080" w:type="dxa"/>
            <w:shd w:val="clear" w:color="auto" w:fill="F2F2F2"/>
            <w:tcMar>
              <w:top w:w="80" w:type="dxa"/>
              <w:left w:w="100" w:type="dxa"/>
              <w:bottom w:w="80" w:type="dxa"/>
              <w:right w:w="100" w:type="dxa"/>
            </w:tcMar>
            <w:vAlign w:val="center"/>
          </w:tcPr>
          <w:p w14:paraId="1A6B1579" w14:textId="77777777" w:rsidR="00111D2F" w:rsidRPr="00BC7267" w:rsidRDefault="00E9729A" w:rsidP="00BC7267">
            <w:pPr>
              <w:jc w:val="center"/>
              <w:rPr>
                <w:rFonts w:ascii="Tahoma" w:hAnsi="Tahoma" w:cs="Tahoma"/>
                <w:sz w:val="21"/>
                <w:szCs w:val="21"/>
              </w:rPr>
            </w:pPr>
            <w:r w:rsidRPr="00BC7267">
              <w:rPr>
                <w:rFonts w:ascii="Tahoma" w:hAnsi="Tahoma" w:cs="Tahoma"/>
                <w:sz w:val="21"/>
                <w:szCs w:val="21"/>
              </w:rPr>
              <w:t>C</w:t>
            </w:r>
          </w:p>
        </w:tc>
        <w:tc>
          <w:tcPr>
            <w:tcW w:w="4688" w:type="dxa"/>
            <w:shd w:val="clear" w:color="auto" w:fill="F2F2F2"/>
            <w:tcMar>
              <w:top w:w="80" w:type="dxa"/>
              <w:left w:w="100" w:type="dxa"/>
              <w:bottom w:w="80" w:type="dxa"/>
              <w:right w:w="100" w:type="dxa"/>
            </w:tcMar>
            <w:vAlign w:val="center"/>
          </w:tcPr>
          <w:p w14:paraId="192375E9" w14:textId="77777777" w:rsidR="00111D2F" w:rsidRPr="00BC7267" w:rsidRDefault="00E9729A" w:rsidP="00BC7267">
            <w:pPr>
              <w:jc w:val="both"/>
              <w:rPr>
                <w:rFonts w:ascii="Tahoma" w:hAnsi="Tahoma" w:cs="Tahoma"/>
                <w:sz w:val="21"/>
                <w:szCs w:val="21"/>
              </w:rPr>
            </w:pPr>
            <w:r w:rsidRPr="00BC7267">
              <w:rPr>
                <w:rFonts w:ascii="Tahoma" w:hAnsi="Tahoma" w:cs="Tahoma"/>
                <w:sz w:val="21"/>
                <w:szCs w:val="21"/>
              </w:rPr>
              <w:t>Integrated narrative across A, B, C with recommendations and next steps.</w:t>
            </w:r>
          </w:p>
        </w:tc>
      </w:tr>
    </w:tbl>
    <w:p w14:paraId="450097CB" w14:textId="77777777" w:rsidR="00111D2F" w:rsidRPr="00BC7267" w:rsidRDefault="00E9729A" w:rsidP="00BC7267">
      <w:pPr>
        <w:jc w:val="both"/>
        <w:rPr>
          <w:rFonts w:ascii="Tahoma" w:hAnsi="Tahoma" w:cs="Tahoma"/>
        </w:rPr>
      </w:pPr>
      <w:r w:rsidRPr="00BC7267">
        <w:rPr>
          <w:rFonts w:ascii="Tahoma" w:hAnsi="Tahoma" w:cs="Tahoma"/>
        </w:rPr>
        <w:br w:type="page"/>
      </w:r>
    </w:p>
    <w:p w14:paraId="42CC125A" w14:textId="77777777" w:rsidR="00111D2F" w:rsidRPr="00BC7267" w:rsidRDefault="00E9729A" w:rsidP="00BC7267">
      <w:pPr>
        <w:pStyle w:val="Heading1"/>
        <w:jc w:val="both"/>
        <w:rPr>
          <w:rFonts w:ascii="Tahoma" w:hAnsi="Tahoma" w:cs="Tahoma"/>
        </w:rPr>
      </w:pPr>
      <w:bookmarkStart w:id="15" w:name="_Toc234500198"/>
      <w:r w:rsidRPr="00BC7267">
        <w:rPr>
          <w:rFonts w:ascii="Tahoma" w:hAnsi="Tahoma" w:cs="Tahoma"/>
        </w:rPr>
        <w:t>6. Team Composition &amp; Capability</w:t>
      </w:r>
      <w:bookmarkEnd w:id="15"/>
    </w:p>
    <w:p w14:paraId="29E8D034"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The engagement is jointly sponsored and delivered by named senior leadership from both firms, supported by workstream leads aligned to Outcomes A, B, and C, and a delivery bench of specialists. Detailed CVs for supporting team members will be provided upon shortlisting, together with confirmation of the proportion of senior management involvement, per </w:t>
      </w:r>
      <w:proofErr w:type="spellStart"/>
      <w:r w:rsidRPr="00BC7267">
        <w:rPr>
          <w:rFonts w:ascii="Tahoma" w:hAnsi="Tahoma" w:cs="Tahoma"/>
        </w:rPr>
        <w:t>ToR</w:t>
      </w:r>
      <w:proofErr w:type="spellEnd"/>
      <w:r w:rsidRPr="00BC7267">
        <w:rPr>
          <w:rFonts w:ascii="Tahoma" w:hAnsi="Tahoma" w:cs="Tahoma"/>
        </w:rPr>
        <w:t xml:space="preserve"> Section 5.2.</w:t>
      </w:r>
    </w:p>
    <w:p w14:paraId="638815A2" w14:textId="77777777" w:rsidR="00111D2F" w:rsidRPr="00BC7267" w:rsidRDefault="00E9729A" w:rsidP="00BC7267">
      <w:pPr>
        <w:pStyle w:val="Heading2"/>
        <w:jc w:val="both"/>
        <w:rPr>
          <w:rFonts w:ascii="Tahoma" w:hAnsi="Tahoma" w:cs="Tahoma"/>
        </w:rPr>
      </w:pPr>
      <w:bookmarkStart w:id="16" w:name="_Toc234500199"/>
      <w:r w:rsidRPr="00BC7267">
        <w:rPr>
          <w:rFonts w:ascii="Tahoma" w:hAnsi="Tahoma" w:cs="Tahoma"/>
        </w:rPr>
        <w:t>6.1 Engagement Sponsors</w:t>
      </w:r>
      <w:bookmarkEnd w:id="16"/>
    </w:p>
    <w:p w14:paraId="76B2D146" w14:textId="77777777" w:rsidR="00111D2F" w:rsidRPr="00BC7267" w:rsidRDefault="00E9729A" w:rsidP="00BC7267">
      <w:pPr>
        <w:pStyle w:val="ListParagraph"/>
        <w:numPr>
          <w:ilvl w:val="0"/>
          <w:numId w:val="1"/>
        </w:numPr>
        <w:spacing w:after="100" w:line="276" w:lineRule="auto"/>
        <w:jc w:val="both"/>
        <w:rPr>
          <w:rFonts w:ascii="Tahoma" w:hAnsi="Tahoma" w:cs="Tahoma"/>
          <w:highlight w:val="yellow"/>
        </w:rPr>
      </w:pPr>
      <w:r w:rsidRPr="00BC7267">
        <w:rPr>
          <w:rFonts w:ascii="Tahoma" w:hAnsi="Tahoma" w:cs="Tahoma"/>
          <w:highlight w:val="yellow"/>
        </w:rPr>
        <w:t>Abdullah-Al-Mamun, FCA — Director, ACNABIN Chartered Accountants (engagement sponsor)</w:t>
      </w:r>
    </w:p>
    <w:p w14:paraId="45135A13" w14:textId="77777777" w:rsidR="00111D2F" w:rsidRPr="00BC7267" w:rsidRDefault="00E9729A" w:rsidP="00BC7267">
      <w:pPr>
        <w:pStyle w:val="ListParagraph"/>
        <w:numPr>
          <w:ilvl w:val="0"/>
          <w:numId w:val="1"/>
        </w:numPr>
        <w:spacing w:after="100" w:line="276" w:lineRule="auto"/>
        <w:jc w:val="both"/>
        <w:rPr>
          <w:rFonts w:ascii="Tahoma" w:hAnsi="Tahoma" w:cs="Tahoma"/>
          <w:highlight w:val="yellow"/>
        </w:rPr>
      </w:pPr>
      <w:r w:rsidRPr="00BC7267">
        <w:rPr>
          <w:rFonts w:ascii="Tahoma" w:hAnsi="Tahoma" w:cs="Tahoma"/>
          <w:highlight w:val="yellow"/>
        </w:rPr>
        <w:t>ASM Nayeem, FCA, ACA, FCCA — Founding Partner, ACNABIN Chartered Accountants (quality and independence oversight)</w:t>
      </w:r>
    </w:p>
    <w:p w14:paraId="12735742" w14:textId="77777777" w:rsidR="00111D2F" w:rsidRPr="00BC7267" w:rsidRDefault="00E9729A" w:rsidP="00BC7267">
      <w:pPr>
        <w:pStyle w:val="ListParagraph"/>
        <w:numPr>
          <w:ilvl w:val="0"/>
          <w:numId w:val="1"/>
        </w:numPr>
        <w:spacing w:after="100" w:line="276" w:lineRule="auto"/>
        <w:jc w:val="both"/>
        <w:rPr>
          <w:rFonts w:ascii="Tahoma" w:hAnsi="Tahoma" w:cs="Tahoma"/>
          <w:highlight w:val="yellow"/>
        </w:rPr>
      </w:pPr>
      <w:proofErr w:type="spellStart"/>
      <w:r w:rsidRPr="00BC7267">
        <w:rPr>
          <w:rFonts w:ascii="Tahoma" w:hAnsi="Tahoma" w:cs="Tahoma"/>
          <w:highlight w:val="yellow"/>
        </w:rPr>
        <w:t>Ruman</w:t>
      </w:r>
      <w:proofErr w:type="spellEnd"/>
      <w:r w:rsidRPr="00BC7267">
        <w:rPr>
          <w:rFonts w:ascii="Tahoma" w:hAnsi="Tahoma" w:cs="Tahoma"/>
          <w:highlight w:val="yellow"/>
        </w:rPr>
        <w:t xml:space="preserve"> </w:t>
      </w:r>
      <w:proofErr w:type="spellStart"/>
      <w:r w:rsidRPr="00BC7267">
        <w:rPr>
          <w:rFonts w:ascii="Tahoma" w:hAnsi="Tahoma" w:cs="Tahoma"/>
          <w:highlight w:val="yellow"/>
        </w:rPr>
        <w:t>Sarawer</w:t>
      </w:r>
      <w:proofErr w:type="spellEnd"/>
      <w:r w:rsidRPr="00BC7267">
        <w:rPr>
          <w:rFonts w:ascii="Tahoma" w:hAnsi="Tahoma" w:cs="Tahoma"/>
          <w:highlight w:val="yellow"/>
        </w:rPr>
        <w:t xml:space="preserve"> — Global Chief Information Security Officer, </w:t>
      </w:r>
      <w:proofErr w:type="spellStart"/>
      <w:r w:rsidRPr="00BC7267">
        <w:rPr>
          <w:rFonts w:ascii="Tahoma" w:hAnsi="Tahoma" w:cs="Tahoma"/>
          <w:highlight w:val="yellow"/>
        </w:rPr>
        <w:t>CipherShield</w:t>
      </w:r>
      <w:proofErr w:type="spellEnd"/>
      <w:r w:rsidRPr="00BC7267">
        <w:rPr>
          <w:rFonts w:ascii="Tahoma" w:hAnsi="Tahoma" w:cs="Tahoma"/>
          <w:highlight w:val="yellow"/>
        </w:rPr>
        <w:t xml:space="preserve"> (engagement sponsor)</w:t>
      </w:r>
    </w:p>
    <w:p w14:paraId="6DE735F9" w14:textId="77777777" w:rsidR="00111D2F" w:rsidRPr="00BC7267" w:rsidRDefault="00E9729A" w:rsidP="00BC7267">
      <w:pPr>
        <w:pStyle w:val="ListParagraph"/>
        <w:numPr>
          <w:ilvl w:val="0"/>
          <w:numId w:val="1"/>
        </w:numPr>
        <w:spacing w:after="100" w:line="276" w:lineRule="auto"/>
        <w:jc w:val="both"/>
        <w:rPr>
          <w:rFonts w:ascii="Tahoma" w:hAnsi="Tahoma" w:cs="Tahoma"/>
          <w:highlight w:val="yellow"/>
        </w:rPr>
      </w:pPr>
      <w:proofErr w:type="spellStart"/>
      <w:r w:rsidRPr="00BC7267">
        <w:rPr>
          <w:rFonts w:ascii="Tahoma" w:hAnsi="Tahoma" w:cs="Tahoma"/>
          <w:highlight w:val="yellow"/>
        </w:rPr>
        <w:t>Fouzan</w:t>
      </w:r>
      <w:proofErr w:type="spellEnd"/>
      <w:r w:rsidRPr="00BC7267">
        <w:rPr>
          <w:rFonts w:ascii="Tahoma" w:hAnsi="Tahoma" w:cs="Tahoma"/>
          <w:highlight w:val="yellow"/>
        </w:rPr>
        <w:t xml:space="preserve"> Shaikh — Global Chief Operating Officer, </w:t>
      </w:r>
      <w:proofErr w:type="spellStart"/>
      <w:r w:rsidRPr="00BC7267">
        <w:rPr>
          <w:rFonts w:ascii="Tahoma" w:hAnsi="Tahoma" w:cs="Tahoma"/>
          <w:highlight w:val="yellow"/>
        </w:rPr>
        <w:t>CipherShield</w:t>
      </w:r>
      <w:proofErr w:type="spellEnd"/>
      <w:r w:rsidRPr="00BC7267">
        <w:rPr>
          <w:rFonts w:ascii="Tahoma" w:hAnsi="Tahoma" w:cs="Tahoma"/>
          <w:highlight w:val="yellow"/>
        </w:rPr>
        <w:t xml:space="preserve"> (delivery oversight)</w:t>
      </w:r>
    </w:p>
    <w:p w14:paraId="5A0E77BC" w14:textId="77777777" w:rsidR="00111D2F" w:rsidRPr="00BC7267" w:rsidRDefault="00E9729A" w:rsidP="00BC7267">
      <w:pPr>
        <w:pStyle w:val="Heading2"/>
        <w:jc w:val="both"/>
        <w:rPr>
          <w:rFonts w:ascii="Tahoma" w:hAnsi="Tahoma" w:cs="Tahoma"/>
        </w:rPr>
      </w:pPr>
      <w:bookmarkStart w:id="17" w:name="_Toc234500200"/>
      <w:r w:rsidRPr="00BC7267">
        <w:rPr>
          <w:rFonts w:ascii="Tahoma" w:hAnsi="Tahoma" w:cs="Tahoma"/>
        </w:rPr>
        <w:t>6.2 Workstream Leadership</w:t>
      </w:r>
      <w:bookmarkEnd w:id="17"/>
    </w:p>
    <w:p w14:paraId="78143EE3"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Outcome B — Governance, Risk &amp; Model Risk Lead: </w:t>
      </w:r>
      <w:r w:rsidRPr="00BC7267">
        <w:rPr>
          <w:rFonts w:ascii="Tahoma" w:hAnsi="Tahoma" w:cs="Tahoma"/>
        </w:rPr>
        <w:t xml:space="preserve">Muhammad </w:t>
      </w:r>
      <w:proofErr w:type="spellStart"/>
      <w:r w:rsidRPr="00BC7267">
        <w:rPr>
          <w:rFonts w:ascii="Tahoma" w:hAnsi="Tahoma" w:cs="Tahoma"/>
        </w:rPr>
        <w:t>Aminul</w:t>
      </w:r>
      <w:proofErr w:type="spellEnd"/>
      <w:r w:rsidRPr="00BC7267">
        <w:rPr>
          <w:rFonts w:ascii="Tahoma" w:hAnsi="Tahoma" w:cs="Tahoma"/>
        </w:rPr>
        <w:t xml:space="preserve"> Hoque, FCA, IS Audit &amp; Assurance Partner, ACNABIN, supported by Muhammad </w:t>
      </w:r>
      <w:proofErr w:type="spellStart"/>
      <w:r w:rsidRPr="00BC7267">
        <w:rPr>
          <w:rFonts w:ascii="Tahoma" w:hAnsi="Tahoma" w:cs="Tahoma"/>
        </w:rPr>
        <w:t>Asaduzzaman</w:t>
      </w:r>
      <w:proofErr w:type="spellEnd"/>
      <w:r w:rsidRPr="00BC7267">
        <w:rPr>
          <w:rFonts w:ascii="Tahoma" w:hAnsi="Tahoma" w:cs="Tahoma"/>
        </w:rPr>
        <w:t xml:space="preserve">, Cyber Security Manager, </w:t>
      </w:r>
      <w:proofErr w:type="spellStart"/>
      <w:r w:rsidRPr="00BC7267">
        <w:rPr>
          <w:rFonts w:ascii="Tahoma" w:hAnsi="Tahoma" w:cs="Tahoma"/>
        </w:rPr>
        <w:t>CipherShield</w:t>
      </w:r>
      <w:proofErr w:type="spellEnd"/>
      <w:r w:rsidRPr="00BC7267">
        <w:rPr>
          <w:rFonts w:ascii="Tahoma" w:hAnsi="Tahoma" w:cs="Tahoma"/>
        </w:rPr>
        <w:t>.</w:t>
      </w:r>
    </w:p>
    <w:p w14:paraId="3BBD7144"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Outcome C — Technology &amp; Architecture Lead: </w:t>
      </w:r>
      <w:r w:rsidRPr="00BC7267">
        <w:rPr>
          <w:rFonts w:ascii="Tahoma" w:hAnsi="Tahoma" w:cs="Tahoma"/>
        </w:rPr>
        <w:t xml:space="preserve">Md. </w:t>
      </w:r>
      <w:proofErr w:type="spellStart"/>
      <w:r w:rsidRPr="00BC7267">
        <w:rPr>
          <w:rFonts w:ascii="Tahoma" w:hAnsi="Tahoma" w:cs="Tahoma"/>
        </w:rPr>
        <w:t>Aktaruzzaman</w:t>
      </w:r>
      <w:proofErr w:type="spellEnd"/>
      <w:r w:rsidRPr="00BC7267">
        <w:rPr>
          <w:rFonts w:ascii="Tahoma" w:hAnsi="Tahoma" w:cs="Tahoma"/>
        </w:rPr>
        <w:t xml:space="preserve"> Sarker, Chief Information Officer, </w:t>
      </w:r>
      <w:proofErr w:type="spellStart"/>
      <w:r w:rsidRPr="00BC7267">
        <w:rPr>
          <w:rFonts w:ascii="Tahoma" w:hAnsi="Tahoma" w:cs="Tahoma"/>
        </w:rPr>
        <w:t>CipherShield</w:t>
      </w:r>
      <w:proofErr w:type="spellEnd"/>
      <w:r w:rsidRPr="00BC7267">
        <w:rPr>
          <w:rFonts w:ascii="Tahoma" w:hAnsi="Tahoma" w:cs="Tahoma"/>
        </w:rPr>
        <w:t xml:space="preserve">, supported by Robert Laurie, Chief Security Architect, </w:t>
      </w:r>
      <w:proofErr w:type="spellStart"/>
      <w:r w:rsidRPr="00BC7267">
        <w:rPr>
          <w:rFonts w:ascii="Tahoma" w:hAnsi="Tahoma" w:cs="Tahoma"/>
        </w:rPr>
        <w:t>CipherShield</w:t>
      </w:r>
      <w:proofErr w:type="spellEnd"/>
      <w:r w:rsidRPr="00BC7267">
        <w:rPr>
          <w:rFonts w:ascii="Tahoma" w:hAnsi="Tahoma" w:cs="Tahoma"/>
        </w:rPr>
        <w:t>.</w:t>
      </w:r>
    </w:p>
    <w:p w14:paraId="6DAF1FA2"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Outcome A — Business &amp; Strategy Lead: </w:t>
      </w:r>
      <w:r w:rsidRPr="00BC7267">
        <w:rPr>
          <w:rFonts w:ascii="Tahoma" w:hAnsi="Tahoma" w:cs="Tahoma"/>
        </w:rPr>
        <w:t xml:space="preserve">Md. Abu </w:t>
      </w:r>
      <w:proofErr w:type="spellStart"/>
      <w:r w:rsidRPr="00BC7267">
        <w:rPr>
          <w:rFonts w:ascii="Tahoma" w:hAnsi="Tahoma" w:cs="Tahoma"/>
        </w:rPr>
        <w:t>Taleb</w:t>
      </w:r>
      <w:proofErr w:type="spellEnd"/>
      <w:r w:rsidRPr="00BC7267">
        <w:rPr>
          <w:rFonts w:ascii="Tahoma" w:hAnsi="Tahoma" w:cs="Tahoma"/>
        </w:rPr>
        <w:t xml:space="preserve">, Chief Business Officer, </w:t>
      </w:r>
      <w:proofErr w:type="spellStart"/>
      <w:r w:rsidRPr="00BC7267">
        <w:rPr>
          <w:rFonts w:ascii="Tahoma" w:hAnsi="Tahoma" w:cs="Tahoma"/>
        </w:rPr>
        <w:t>CipherShield</w:t>
      </w:r>
      <w:proofErr w:type="spellEnd"/>
      <w:r w:rsidRPr="00BC7267">
        <w:rPr>
          <w:rFonts w:ascii="Tahoma" w:hAnsi="Tahoma" w:cs="Tahoma"/>
        </w:rPr>
        <w:t>, supported by senior ACNABIN audit and advisory managers with banking-sector experience.</w:t>
      </w:r>
    </w:p>
    <w:p w14:paraId="725D7333" w14:textId="77777777" w:rsidR="00111D2F" w:rsidRPr="00BC7267" w:rsidRDefault="00E9729A" w:rsidP="00BC7267">
      <w:pPr>
        <w:pStyle w:val="Heading2"/>
        <w:jc w:val="both"/>
        <w:rPr>
          <w:rFonts w:ascii="Tahoma" w:hAnsi="Tahoma" w:cs="Tahoma"/>
        </w:rPr>
      </w:pPr>
      <w:bookmarkStart w:id="18" w:name="_Toc234500201"/>
      <w:r w:rsidRPr="00BC7267">
        <w:rPr>
          <w:rFonts w:ascii="Tahoma" w:hAnsi="Tahoma" w:cs="Tahoma"/>
        </w:rPr>
        <w:t>6.3 Delivery Bench</w:t>
      </w:r>
      <w:bookmarkEnd w:id="18"/>
    </w:p>
    <w:p w14:paraId="0619545B"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The workstream leads are supported by a delivery bench drawn from both firms, covering: AI strategy and use-case economics; data architecture and </w:t>
      </w:r>
      <w:proofErr w:type="spellStart"/>
      <w:r w:rsidRPr="00BC7267">
        <w:rPr>
          <w:rFonts w:ascii="Tahoma" w:hAnsi="Tahoma" w:cs="Tahoma"/>
        </w:rPr>
        <w:t>MLOps</w:t>
      </w:r>
      <w:proofErr w:type="spellEnd"/>
      <w:r w:rsidRPr="00BC7267">
        <w:rPr>
          <w:rFonts w:ascii="Tahoma" w:hAnsi="Tahoma" w:cs="Tahoma"/>
        </w:rPr>
        <w:t xml:space="preserve">; model risk and validation; cybersecurity and GRC; banking domain subject-matter expertise (Retail, SME, and Wholesale); and </w:t>
      </w:r>
      <w:proofErr w:type="spellStart"/>
      <w:r w:rsidRPr="00BC7267">
        <w:rPr>
          <w:rFonts w:ascii="Tahoma" w:hAnsi="Tahoma" w:cs="Tahoma"/>
        </w:rPr>
        <w:t>organisational</w:t>
      </w:r>
      <w:proofErr w:type="spellEnd"/>
      <w:r w:rsidRPr="00BC7267">
        <w:rPr>
          <w:rFonts w:ascii="Tahoma" w:hAnsi="Tahoma" w:cs="Tahoma"/>
        </w:rPr>
        <w:t xml:space="preserve"> change and capacity building. Team sizing and named CVs will be confirmed once the Bank's preferred delivery model and timeline are agreed.</w:t>
      </w:r>
    </w:p>
    <w:p w14:paraId="14C5DF08" w14:textId="77777777" w:rsidR="00111D2F" w:rsidRPr="00BC7267" w:rsidRDefault="00E9729A" w:rsidP="00BC7267">
      <w:pPr>
        <w:pStyle w:val="Heading2"/>
        <w:jc w:val="both"/>
        <w:rPr>
          <w:rFonts w:ascii="Tahoma" w:hAnsi="Tahoma" w:cs="Tahoma"/>
        </w:rPr>
      </w:pPr>
      <w:bookmarkStart w:id="19" w:name="_Toc234500202"/>
      <w:r w:rsidRPr="00BC7267">
        <w:rPr>
          <w:rFonts w:ascii="Tahoma" w:hAnsi="Tahoma" w:cs="Tahoma"/>
        </w:rPr>
        <w:t>6.4 Knowledge Transfer Approach</w:t>
      </w:r>
      <w:bookmarkEnd w:id="19"/>
    </w:p>
    <w:p w14:paraId="060A03B0"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Consistent with our standard practice on regulatory and technology transformation engagements, we do not deliver a black-box solution. Frameworks, scoring logic, and governance artefacts are documented in a form the Bank's own teams can operate, challenge, and evolve independently. This includes structured working sessions with Bank staff throughout delivery (not only at a final training milestone), executive briefings for Senior Leadership, and full documentation handover with no vendor lock-in.</w:t>
      </w:r>
    </w:p>
    <w:p w14:paraId="493C18E1" w14:textId="77777777" w:rsidR="00111D2F" w:rsidRPr="00BC7267" w:rsidRDefault="00E9729A" w:rsidP="00BC7267">
      <w:pPr>
        <w:jc w:val="both"/>
        <w:rPr>
          <w:rFonts w:ascii="Tahoma" w:hAnsi="Tahoma" w:cs="Tahoma"/>
        </w:rPr>
      </w:pPr>
      <w:r w:rsidRPr="00BC7267">
        <w:rPr>
          <w:rFonts w:ascii="Tahoma" w:hAnsi="Tahoma" w:cs="Tahoma"/>
        </w:rPr>
        <w:br w:type="page"/>
      </w:r>
    </w:p>
    <w:p w14:paraId="21935472" w14:textId="77777777" w:rsidR="00111D2F" w:rsidRPr="00BC7267" w:rsidRDefault="00E9729A" w:rsidP="00BC7267">
      <w:pPr>
        <w:pStyle w:val="Heading1"/>
        <w:jc w:val="both"/>
        <w:rPr>
          <w:rFonts w:ascii="Tahoma" w:hAnsi="Tahoma" w:cs="Tahoma"/>
        </w:rPr>
      </w:pPr>
      <w:bookmarkStart w:id="20" w:name="_Toc234500203"/>
      <w:r w:rsidRPr="00BC7267">
        <w:rPr>
          <w:rFonts w:ascii="Tahoma" w:hAnsi="Tahoma" w:cs="Tahoma"/>
        </w:rPr>
        <w:t>7. Experience &amp; Credentials</w:t>
      </w:r>
      <w:bookmarkEnd w:id="20"/>
    </w:p>
    <w:p w14:paraId="2C1B51B0" w14:textId="77777777" w:rsidR="00111D2F" w:rsidRPr="00BC7267" w:rsidRDefault="00E9729A" w:rsidP="00BC7267">
      <w:pPr>
        <w:pStyle w:val="Heading2"/>
        <w:jc w:val="both"/>
        <w:rPr>
          <w:rFonts w:ascii="Tahoma" w:hAnsi="Tahoma" w:cs="Tahoma"/>
        </w:rPr>
      </w:pPr>
      <w:bookmarkStart w:id="21" w:name="_Toc234500204"/>
      <w:r w:rsidRPr="00BC7267">
        <w:rPr>
          <w:rFonts w:ascii="Tahoma" w:hAnsi="Tahoma" w:cs="Tahoma"/>
        </w:rPr>
        <w:t>7.1 ACNABIN</w:t>
      </w:r>
      <w:bookmarkEnd w:id="21"/>
    </w:p>
    <w:p w14:paraId="2F199039"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40+ years of continuous public practice in Bangladesh; member firm of Baker Tilly International.</w:t>
      </w:r>
    </w:p>
    <w:p w14:paraId="02BEB8E5"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Licensed by ICAB and approved by Bangladesh Bank for audit and assurance services.</w:t>
      </w:r>
    </w:p>
    <w:p w14:paraId="69C7E907"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Eight partners and 700+ personnel, with strong experience across multiple banking-sector audit and advisory engagements, including NCC Bank PLC, Prime Bank Limited, and Grameen Bank Limited.</w:t>
      </w:r>
    </w:p>
    <w:p w14:paraId="3543A875"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Member of the Metropolitan Chamber of Commerce and Industries, the Dhaka Chamber of Commerce &amp; Industries, and the American Chamber of Commerce in Bangladesh.</w:t>
      </w:r>
    </w:p>
    <w:p w14:paraId="7FA26518"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Access to Baker Tilly International's global network for cross-market benchmarking and comparable-market experience.</w:t>
      </w:r>
    </w:p>
    <w:p w14:paraId="140D4CB2" w14:textId="77777777" w:rsidR="00111D2F" w:rsidRPr="00BC7267" w:rsidRDefault="00E9729A" w:rsidP="00BC7267">
      <w:pPr>
        <w:pStyle w:val="Heading2"/>
        <w:jc w:val="both"/>
        <w:rPr>
          <w:rFonts w:ascii="Tahoma" w:hAnsi="Tahoma" w:cs="Tahoma"/>
        </w:rPr>
      </w:pPr>
      <w:bookmarkStart w:id="22" w:name="_Toc234500205"/>
      <w:r w:rsidRPr="00BC7267">
        <w:rPr>
          <w:rFonts w:ascii="Tahoma" w:hAnsi="Tahoma" w:cs="Tahoma"/>
        </w:rPr>
        <w:t xml:space="preserve">7.2 </w:t>
      </w:r>
      <w:proofErr w:type="spellStart"/>
      <w:r w:rsidRPr="00BC7267">
        <w:rPr>
          <w:rFonts w:ascii="Tahoma" w:hAnsi="Tahoma" w:cs="Tahoma"/>
        </w:rPr>
        <w:t>CipherShield</w:t>
      </w:r>
      <w:bookmarkEnd w:id="22"/>
      <w:proofErr w:type="spellEnd"/>
    </w:p>
    <w:p w14:paraId="5D440F9F"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 xml:space="preserve">PCI DSS Qualified Security Assessor (QSA) for the APAC region; CREST-accredited penetration testing </w:t>
      </w:r>
      <w:proofErr w:type="spellStart"/>
      <w:r w:rsidRPr="00BC7267">
        <w:rPr>
          <w:rFonts w:ascii="Tahoma" w:hAnsi="Tahoma" w:cs="Tahoma"/>
        </w:rPr>
        <w:t>organisation</w:t>
      </w:r>
      <w:proofErr w:type="spellEnd"/>
      <w:r w:rsidRPr="00BC7267">
        <w:rPr>
          <w:rFonts w:ascii="Tahoma" w:hAnsi="Tahoma" w:cs="Tahoma"/>
        </w:rPr>
        <w:t xml:space="preserve"> for Australasia; approved supplier to the Government of Western Australia.</w:t>
      </w:r>
    </w:p>
    <w:p w14:paraId="17182121"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Team certifications include ISO 27001, ISO 27701, ISO/IEC 42001, ISO 22301 Lead Auditor/Implementer, PCI QSA, SWIFT CSPCA, CISSP, CISM, CISA, CERM, CRISC, OSCP, CSPA, and ISA 62443.</w:t>
      </w:r>
    </w:p>
    <w:p w14:paraId="13BBA4B7"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Client experience across banking and finance, government, technology, transport, and healthcare, including financial institutions such as NRB Bank.</w:t>
      </w:r>
    </w:p>
    <w:p w14:paraId="20AABD06"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 xml:space="preserve">Strategic technology partnerships with Microsoft, Fortinet, Palo Alto Networks, CrowdStrike, </w:t>
      </w:r>
      <w:proofErr w:type="spellStart"/>
      <w:r w:rsidRPr="00BC7267">
        <w:rPr>
          <w:rFonts w:ascii="Tahoma" w:hAnsi="Tahoma" w:cs="Tahoma"/>
        </w:rPr>
        <w:t>Cyble</w:t>
      </w:r>
      <w:proofErr w:type="spellEnd"/>
      <w:r w:rsidRPr="00BC7267">
        <w:rPr>
          <w:rFonts w:ascii="Tahoma" w:hAnsi="Tahoma" w:cs="Tahoma"/>
        </w:rPr>
        <w:t>, Knowbe4, Cisco, IBM, and CyberArk.</w:t>
      </w:r>
    </w:p>
    <w:p w14:paraId="51226007"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Corporate presence in both Australia and Bangladesh, combining international standards with local regulatory understanding.</w:t>
      </w:r>
    </w:p>
    <w:p w14:paraId="2ECAC602" w14:textId="77777777" w:rsidR="00111D2F" w:rsidRPr="00BC7267" w:rsidRDefault="00E9729A" w:rsidP="00BC7267">
      <w:pPr>
        <w:pStyle w:val="Heading2"/>
        <w:jc w:val="both"/>
        <w:rPr>
          <w:rFonts w:ascii="Tahoma" w:hAnsi="Tahoma" w:cs="Tahoma"/>
        </w:rPr>
      </w:pPr>
      <w:bookmarkStart w:id="23" w:name="_Toc234500206"/>
      <w:r w:rsidRPr="00BC7267">
        <w:rPr>
          <w:rFonts w:ascii="Tahoma" w:hAnsi="Tahoma" w:cs="Tahoma"/>
        </w:rPr>
        <w:t>7.3 Relevant Comparable Engagement</w:t>
      </w:r>
      <w:bookmarkEnd w:id="23"/>
    </w:p>
    <w:p w14:paraId="341B0FEC"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ACNABIN and </w:t>
      </w:r>
      <w:proofErr w:type="spellStart"/>
      <w:r w:rsidRPr="00BC7267">
        <w:rPr>
          <w:rFonts w:ascii="Tahoma" w:hAnsi="Tahoma" w:cs="Tahoma"/>
        </w:rPr>
        <w:t>CipherShield</w:t>
      </w:r>
      <w:proofErr w:type="spellEnd"/>
      <w:r w:rsidRPr="00BC7267">
        <w:rPr>
          <w:rFonts w:ascii="Tahoma" w:hAnsi="Tahoma" w:cs="Tahoma"/>
        </w:rPr>
        <w:t xml:space="preserve"> have already delivered a joint regulatory transformation engagement in the Bangladeshi banking sector — an IFRS 9 Expected Credit Loss (ECL) framework and risk governance uplift for a leading commercial bank — combining ACNABIN's regulatory and financial-reporting expertise with </w:t>
      </w:r>
      <w:proofErr w:type="spellStart"/>
      <w:r w:rsidRPr="00BC7267">
        <w:rPr>
          <w:rFonts w:ascii="Tahoma" w:hAnsi="Tahoma" w:cs="Tahoma"/>
        </w:rPr>
        <w:t>CipherShield's</w:t>
      </w:r>
      <w:proofErr w:type="spellEnd"/>
      <w:r w:rsidRPr="00BC7267">
        <w:rPr>
          <w:rFonts w:ascii="Tahoma" w:hAnsi="Tahoma" w:cs="Tahoma"/>
        </w:rPr>
        <w:t xml:space="preserve"> data governance, technology architecture, and audit-readiness capability. That engagement followed the same principles applied in this proposal: a phased, auditable methodology; elimination of black-box dependencies;</w:t>
      </w:r>
      <w:r w:rsidRPr="00BC7267">
        <w:rPr>
          <w:rFonts w:ascii="Tahoma" w:hAnsi="Tahoma" w:cs="Tahoma"/>
        </w:rPr>
        <w:t xml:space="preserve"> and an explicit knowledge-transfer and train-the-trainer track ensuring the client retained full ownership of all models, frameworks, and documentation. References and further case detail are available on request.</w:t>
      </w:r>
    </w:p>
    <w:p w14:paraId="0D3E985F" w14:textId="77777777" w:rsidR="00111D2F" w:rsidRPr="00BC7267" w:rsidRDefault="00E9729A" w:rsidP="00BC7267">
      <w:pPr>
        <w:jc w:val="both"/>
        <w:rPr>
          <w:rFonts w:ascii="Tahoma" w:hAnsi="Tahoma" w:cs="Tahoma"/>
        </w:rPr>
      </w:pPr>
      <w:r w:rsidRPr="00BC7267">
        <w:rPr>
          <w:rFonts w:ascii="Tahoma" w:hAnsi="Tahoma" w:cs="Tahoma"/>
        </w:rPr>
        <w:br w:type="page"/>
      </w:r>
    </w:p>
    <w:p w14:paraId="35681A80" w14:textId="77777777" w:rsidR="00111D2F" w:rsidRPr="00BC7267" w:rsidRDefault="00E9729A" w:rsidP="00BC7267">
      <w:pPr>
        <w:pStyle w:val="Heading1"/>
        <w:jc w:val="both"/>
        <w:rPr>
          <w:rFonts w:ascii="Tahoma" w:hAnsi="Tahoma" w:cs="Tahoma"/>
        </w:rPr>
      </w:pPr>
      <w:bookmarkStart w:id="24" w:name="_Toc234500207"/>
      <w:r w:rsidRPr="00BC7267">
        <w:rPr>
          <w:rFonts w:ascii="Tahoma" w:hAnsi="Tahoma" w:cs="Tahoma"/>
        </w:rPr>
        <w:t>8. Knowledge Transfer &amp; Capacity Building</w:t>
      </w:r>
      <w:bookmarkEnd w:id="24"/>
    </w:p>
    <w:p w14:paraId="75CD7DDC"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Sustainable internal capability is treated as a deliverable in its own right, not an afterthought at project close.</w:t>
      </w:r>
    </w:p>
    <w:p w14:paraId="67624732" w14:textId="77777777" w:rsidR="00111D2F" w:rsidRPr="00BC7267" w:rsidRDefault="00E9729A" w:rsidP="00BC7267">
      <w:pPr>
        <w:pStyle w:val="Heading3"/>
        <w:jc w:val="both"/>
        <w:rPr>
          <w:rFonts w:ascii="Tahoma" w:hAnsi="Tahoma" w:cs="Tahoma"/>
          <w:color w:val="0F4761" w:themeColor="accent1" w:themeShade="BF"/>
        </w:rPr>
      </w:pPr>
      <w:bookmarkStart w:id="25" w:name="_Toc234500208"/>
      <w:r w:rsidRPr="00BC7267">
        <w:rPr>
          <w:rFonts w:ascii="Tahoma" w:hAnsi="Tahoma" w:cs="Tahoma"/>
          <w:color w:val="0F4761" w:themeColor="accent1" w:themeShade="BF"/>
        </w:rPr>
        <w:t xml:space="preserve">Staff Training </w:t>
      </w:r>
      <w:proofErr w:type="spellStart"/>
      <w:r w:rsidRPr="00BC7267">
        <w:rPr>
          <w:rFonts w:ascii="Tahoma" w:hAnsi="Tahoma" w:cs="Tahoma"/>
          <w:color w:val="0F4761" w:themeColor="accent1" w:themeShade="BF"/>
        </w:rPr>
        <w:t>Programme</w:t>
      </w:r>
      <w:bookmarkEnd w:id="25"/>
      <w:proofErr w:type="spellEnd"/>
    </w:p>
    <w:p w14:paraId="4052471E"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Hands-on workshops for concerned BRAC Bank staff on use-case scoring and intake, AI governance operations, and controls testing.</w:t>
      </w:r>
    </w:p>
    <w:p w14:paraId="2F7F30B4"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 xml:space="preserve">Technical sessions on model risk lifecycle management, data and </w:t>
      </w:r>
      <w:proofErr w:type="spellStart"/>
      <w:r w:rsidRPr="00BC7267">
        <w:rPr>
          <w:rFonts w:ascii="Tahoma" w:hAnsi="Tahoma" w:cs="Tahoma"/>
        </w:rPr>
        <w:t>MLOps</w:t>
      </w:r>
      <w:proofErr w:type="spellEnd"/>
      <w:r w:rsidRPr="00BC7267">
        <w:rPr>
          <w:rFonts w:ascii="Tahoma" w:hAnsi="Tahoma" w:cs="Tahoma"/>
        </w:rPr>
        <w:t xml:space="preserve"> fundamentals, and AI-specific control testing.</w:t>
      </w:r>
    </w:p>
    <w:p w14:paraId="3D7C24F6"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Editable, Bank-owned documentation and playbooks for ongoing use after the engagement concludes.</w:t>
      </w:r>
    </w:p>
    <w:p w14:paraId="5EA2B45A" w14:textId="77777777" w:rsidR="00111D2F" w:rsidRPr="00BC7267" w:rsidRDefault="00E9729A" w:rsidP="00BC7267">
      <w:pPr>
        <w:pStyle w:val="Heading3"/>
        <w:jc w:val="both"/>
        <w:rPr>
          <w:rFonts w:ascii="Tahoma" w:hAnsi="Tahoma" w:cs="Tahoma"/>
          <w:color w:val="0F4761" w:themeColor="accent1" w:themeShade="BF"/>
        </w:rPr>
      </w:pPr>
      <w:bookmarkStart w:id="26" w:name="_Toc234500209"/>
      <w:r w:rsidRPr="00BC7267">
        <w:rPr>
          <w:rFonts w:ascii="Tahoma" w:hAnsi="Tahoma" w:cs="Tahoma"/>
          <w:color w:val="0F4761" w:themeColor="accent1" w:themeShade="BF"/>
        </w:rPr>
        <w:t xml:space="preserve">Executive </w:t>
      </w:r>
      <w:r w:rsidRPr="00BC7267">
        <w:rPr>
          <w:rFonts w:ascii="Tahoma" w:hAnsi="Tahoma" w:cs="Tahoma"/>
          <w:color w:val="0F4761" w:themeColor="accent1" w:themeShade="BF"/>
        </w:rPr>
        <w:t>Awareness Sessions</w:t>
      </w:r>
      <w:bookmarkEnd w:id="26"/>
    </w:p>
    <w:p w14:paraId="22EDC95F"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Strategic briefings for Senior Leadership on the AI vision, roadmap, and governance operating model.</w:t>
      </w:r>
    </w:p>
    <w:p w14:paraId="175311D6"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rPr>
        <w:t>Board- and committee-level briefings on AI-related risk, regulatory expectations, and value-</w:t>
      </w:r>
      <w:proofErr w:type="spellStart"/>
      <w:r w:rsidRPr="00BC7267">
        <w:rPr>
          <w:rFonts w:ascii="Tahoma" w:hAnsi="Tahoma" w:cs="Tahoma"/>
        </w:rPr>
        <w:t>realisation</w:t>
      </w:r>
      <w:proofErr w:type="spellEnd"/>
      <w:r w:rsidRPr="00BC7267">
        <w:rPr>
          <w:rFonts w:ascii="Tahoma" w:hAnsi="Tahoma" w:cs="Tahoma"/>
        </w:rPr>
        <w:t xml:space="preserve"> tracking.</w:t>
      </w:r>
    </w:p>
    <w:p w14:paraId="786A201B" w14:textId="77777777" w:rsidR="00BC7267" w:rsidRPr="00BC7267" w:rsidRDefault="00BC7267" w:rsidP="00BC7267">
      <w:pPr>
        <w:spacing w:after="160" w:line="276" w:lineRule="auto"/>
        <w:jc w:val="both"/>
        <w:rPr>
          <w:rFonts w:ascii="Tahoma" w:hAnsi="Tahoma" w:cs="Tahoma"/>
          <w:sz w:val="10"/>
          <w:szCs w:val="10"/>
        </w:rPr>
      </w:pPr>
    </w:p>
    <w:p w14:paraId="68E00DCA" w14:textId="05BB2AEB"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Goal: build sustainable internal capacity so the Bank can independently operate, monitor, and evolve its AI governance and delivery </w:t>
      </w:r>
      <w:proofErr w:type="spellStart"/>
      <w:r w:rsidRPr="00BC7267">
        <w:rPr>
          <w:rFonts w:ascii="Tahoma" w:hAnsi="Tahoma" w:cs="Tahoma"/>
        </w:rPr>
        <w:t>programme</w:t>
      </w:r>
      <w:proofErr w:type="spellEnd"/>
      <w:r w:rsidRPr="00BC7267">
        <w:rPr>
          <w:rFonts w:ascii="Tahoma" w:hAnsi="Tahoma" w:cs="Tahoma"/>
        </w:rPr>
        <w:t xml:space="preserve"> after the engagement concludes.</w:t>
      </w:r>
    </w:p>
    <w:p w14:paraId="767DF06C" w14:textId="77777777" w:rsidR="00111D2F" w:rsidRPr="00BC7267" w:rsidRDefault="00E9729A" w:rsidP="00BC7267">
      <w:pPr>
        <w:jc w:val="both"/>
        <w:rPr>
          <w:rFonts w:ascii="Tahoma" w:hAnsi="Tahoma" w:cs="Tahoma"/>
        </w:rPr>
      </w:pPr>
      <w:r w:rsidRPr="00BC7267">
        <w:rPr>
          <w:rFonts w:ascii="Tahoma" w:hAnsi="Tahoma" w:cs="Tahoma"/>
        </w:rPr>
        <w:br w:type="page"/>
      </w:r>
    </w:p>
    <w:p w14:paraId="587D4A9B" w14:textId="77777777" w:rsidR="00111D2F" w:rsidRPr="00BC7267" w:rsidRDefault="00E9729A" w:rsidP="00BC7267">
      <w:pPr>
        <w:pStyle w:val="Heading1"/>
        <w:jc w:val="both"/>
        <w:rPr>
          <w:rFonts w:ascii="Tahoma" w:hAnsi="Tahoma" w:cs="Tahoma"/>
        </w:rPr>
      </w:pPr>
      <w:bookmarkStart w:id="27" w:name="_Toc234500210"/>
      <w:r w:rsidRPr="00BC7267">
        <w:rPr>
          <w:rFonts w:ascii="Tahoma" w:hAnsi="Tahoma" w:cs="Tahoma"/>
        </w:rPr>
        <w:t>9. Post-Engagement Support</w:t>
      </w:r>
      <w:bookmarkEnd w:id="27"/>
    </w:p>
    <w:p w14:paraId="59A40163"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We are committed to a defined support model beyond formal project closeout, structured around the following principles:</w:t>
      </w:r>
    </w:p>
    <w:p w14:paraId="03D60E15"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Issue severity and turnaround: </w:t>
      </w:r>
      <w:r w:rsidRPr="00BC7267">
        <w:rPr>
          <w:rFonts w:ascii="Tahoma" w:hAnsi="Tahoma" w:cs="Tahoma"/>
        </w:rPr>
        <w:t>an agreed severity classification (Critical, High, Medium, Low) with defined turnaround times for post-implementation queries on governance framework interpretation or roadmap execution support.</w:t>
      </w:r>
    </w:p>
    <w:p w14:paraId="45E6EA4F"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Flexible support channels: </w:t>
      </w:r>
      <w:r w:rsidRPr="00BC7267">
        <w:rPr>
          <w:rFonts w:ascii="Tahoma" w:hAnsi="Tahoma" w:cs="Tahoma"/>
        </w:rPr>
        <w:t>onsite, remote, and hybrid support options for governance operating model queries, controls testing, and regulatory interpretation.</w:t>
      </w:r>
    </w:p>
    <w:p w14:paraId="46B7B8C2" w14:textId="77777777" w:rsidR="00111D2F" w:rsidRPr="00BC7267" w:rsidRDefault="00E9729A" w:rsidP="00BC7267">
      <w:pPr>
        <w:pStyle w:val="ListParagraph"/>
        <w:numPr>
          <w:ilvl w:val="0"/>
          <w:numId w:val="1"/>
        </w:numPr>
        <w:spacing w:after="100" w:line="276" w:lineRule="auto"/>
        <w:jc w:val="both"/>
        <w:rPr>
          <w:rFonts w:ascii="Tahoma" w:hAnsi="Tahoma" w:cs="Tahoma"/>
        </w:rPr>
      </w:pPr>
      <w:r w:rsidRPr="00BC7267">
        <w:rPr>
          <w:rFonts w:ascii="Tahoma" w:hAnsi="Tahoma" w:cs="Tahoma"/>
          <w:b/>
          <w:bCs/>
        </w:rPr>
        <w:t xml:space="preserve">No vendor lock-in: </w:t>
      </w:r>
      <w:r w:rsidRPr="00BC7267">
        <w:rPr>
          <w:rFonts w:ascii="Tahoma" w:hAnsi="Tahoma" w:cs="Tahoma"/>
        </w:rPr>
        <w:t>BRAC Bank retains full ownership of all frameworks, scoring models, documentation, and roadmaps produced during the engagement.</w:t>
      </w:r>
    </w:p>
    <w:p w14:paraId="1137BF13"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Specific SLA terms and any post-engagement support scope will be agreed with the Bank as part of the separate commercial process referenced in </w:t>
      </w:r>
      <w:proofErr w:type="spellStart"/>
      <w:r w:rsidRPr="00BC7267">
        <w:rPr>
          <w:rFonts w:ascii="Tahoma" w:hAnsi="Tahoma" w:cs="Tahoma"/>
        </w:rPr>
        <w:t>ToR</w:t>
      </w:r>
      <w:proofErr w:type="spellEnd"/>
      <w:r w:rsidRPr="00BC7267">
        <w:rPr>
          <w:rFonts w:ascii="Tahoma" w:hAnsi="Tahoma" w:cs="Tahoma"/>
        </w:rPr>
        <w:t xml:space="preserve"> Section 2.3.</w:t>
      </w:r>
    </w:p>
    <w:p w14:paraId="22A9F227" w14:textId="77777777" w:rsidR="00111D2F" w:rsidRPr="00BC7267" w:rsidRDefault="00E9729A" w:rsidP="00BC7267">
      <w:pPr>
        <w:jc w:val="both"/>
        <w:rPr>
          <w:rFonts w:ascii="Tahoma" w:hAnsi="Tahoma" w:cs="Tahoma"/>
        </w:rPr>
      </w:pPr>
      <w:r w:rsidRPr="00BC7267">
        <w:rPr>
          <w:rFonts w:ascii="Tahoma" w:hAnsi="Tahoma" w:cs="Tahoma"/>
        </w:rPr>
        <w:br w:type="page"/>
      </w:r>
    </w:p>
    <w:p w14:paraId="6CBB891F" w14:textId="77777777" w:rsidR="00111D2F" w:rsidRPr="00BC7267" w:rsidRDefault="00E9729A" w:rsidP="00BC7267">
      <w:pPr>
        <w:pStyle w:val="Heading1"/>
        <w:jc w:val="both"/>
        <w:rPr>
          <w:rFonts w:ascii="Tahoma" w:hAnsi="Tahoma" w:cs="Tahoma"/>
        </w:rPr>
      </w:pPr>
      <w:bookmarkStart w:id="28" w:name="_Toc234500211"/>
      <w:r w:rsidRPr="00BC7267">
        <w:rPr>
          <w:rFonts w:ascii="Tahoma" w:hAnsi="Tahoma" w:cs="Tahoma"/>
        </w:rPr>
        <w:t>10. Compliance with Respondent Requirements</w:t>
      </w:r>
      <w:bookmarkEnd w:id="28"/>
    </w:p>
    <w:p w14:paraId="71886AFC"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Below is our response to the Respondent Requirements set out in Section 5 of the </w:t>
      </w:r>
      <w:proofErr w:type="spellStart"/>
      <w:r w:rsidRPr="00BC7267">
        <w:rPr>
          <w:rFonts w:ascii="Tahoma" w:hAnsi="Tahoma" w:cs="Tahoma"/>
        </w:rPr>
        <w:t>ToR</w:t>
      </w:r>
      <w:proofErr w:type="spellEnd"/>
      <w:r w:rsidRPr="00BC7267">
        <w:rPr>
          <w:rFonts w:ascii="Tahoma" w:hAnsi="Tahoma" w:cs="Tahoma"/>
        </w:rPr>
        <w:t>.</w:t>
      </w:r>
    </w:p>
    <w:tbl>
      <w:tblPr>
        <w:tblW w:w="9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5"/>
        <w:gridCol w:w="1493"/>
        <w:gridCol w:w="3928"/>
      </w:tblGrid>
      <w:tr w:rsidR="00111D2F" w:rsidRPr="00BC7267" w14:paraId="092E08E2" w14:textId="77777777" w:rsidTr="00BC7267">
        <w:trPr>
          <w:trHeight w:val="20"/>
          <w:tblHeader/>
        </w:trPr>
        <w:tc>
          <w:tcPr>
            <w:tcW w:w="4135" w:type="dxa"/>
            <w:shd w:val="clear" w:color="auto" w:fill="1F3864"/>
            <w:tcMar>
              <w:top w:w="80" w:type="dxa"/>
              <w:left w:w="100" w:type="dxa"/>
              <w:bottom w:w="80" w:type="dxa"/>
              <w:right w:w="100" w:type="dxa"/>
            </w:tcMar>
            <w:vAlign w:val="center"/>
          </w:tcPr>
          <w:p w14:paraId="197D4826" w14:textId="77777777" w:rsidR="00111D2F" w:rsidRPr="00BC7267" w:rsidRDefault="00E9729A" w:rsidP="00BC7267">
            <w:pPr>
              <w:jc w:val="both"/>
              <w:rPr>
                <w:rFonts w:ascii="Tahoma" w:hAnsi="Tahoma" w:cs="Tahoma"/>
              </w:rPr>
            </w:pPr>
            <w:r w:rsidRPr="00BC7267">
              <w:rPr>
                <w:rFonts w:ascii="Tahoma" w:hAnsi="Tahoma" w:cs="Tahoma"/>
                <w:b/>
                <w:bCs/>
                <w:color w:val="FFFFFF"/>
              </w:rPr>
              <w:t>Requirement (</w:t>
            </w:r>
            <w:proofErr w:type="spellStart"/>
            <w:r w:rsidRPr="00BC7267">
              <w:rPr>
                <w:rFonts w:ascii="Tahoma" w:hAnsi="Tahoma" w:cs="Tahoma"/>
                <w:b/>
                <w:bCs/>
                <w:color w:val="FFFFFF"/>
              </w:rPr>
              <w:t>ToR</w:t>
            </w:r>
            <w:proofErr w:type="spellEnd"/>
            <w:r w:rsidRPr="00BC7267">
              <w:rPr>
                <w:rFonts w:ascii="Tahoma" w:hAnsi="Tahoma" w:cs="Tahoma"/>
                <w:b/>
                <w:bCs/>
                <w:color w:val="FFFFFF"/>
              </w:rPr>
              <w:t xml:space="preserve"> Section 5)</w:t>
            </w:r>
          </w:p>
        </w:tc>
        <w:tc>
          <w:tcPr>
            <w:tcW w:w="1493" w:type="dxa"/>
            <w:shd w:val="clear" w:color="auto" w:fill="1F3864"/>
            <w:tcMar>
              <w:top w:w="80" w:type="dxa"/>
              <w:left w:w="100" w:type="dxa"/>
              <w:bottom w:w="80" w:type="dxa"/>
              <w:right w:w="100" w:type="dxa"/>
            </w:tcMar>
            <w:vAlign w:val="center"/>
          </w:tcPr>
          <w:p w14:paraId="7645A45B" w14:textId="77777777" w:rsidR="00111D2F" w:rsidRPr="00BC7267" w:rsidRDefault="00E9729A" w:rsidP="00BC7267">
            <w:pPr>
              <w:jc w:val="both"/>
              <w:rPr>
                <w:rFonts w:ascii="Tahoma" w:hAnsi="Tahoma" w:cs="Tahoma"/>
              </w:rPr>
            </w:pPr>
            <w:r w:rsidRPr="00BC7267">
              <w:rPr>
                <w:rFonts w:ascii="Tahoma" w:hAnsi="Tahoma" w:cs="Tahoma"/>
                <w:b/>
                <w:bCs/>
                <w:color w:val="FFFFFF"/>
              </w:rPr>
              <w:t>Response</w:t>
            </w:r>
          </w:p>
        </w:tc>
        <w:tc>
          <w:tcPr>
            <w:tcW w:w="3928" w:type="dxa"/>
            <w:shd w:val="clear" w:color="auto" w:fill="1F3864"/>
            <w:tcMar>
              <w:top w:w="80" w:type="dxa"/>
              <w:left w:w="100" w:type="dxa"/>
              <w:bottom w:w="80" w:type="dxa"/>
              <w:right w:w="100" w:type="dxa"/>
            </w:tcMar>
            <w:vAlign w:val="center"/>
          </w:tcPr>
          <w:p w14:paraId="68BF2CFE" w14:textId="77777777" w:rsidR="00111D2F" w:rsidRPr="00BC7267" w:rsidRDefault="00E9729A" w:rsidP="00BC7267">
            <w:pPr>
              <w:jc w:val="both"/>
              <w:rPr>
                <w:rFonts w:ascii="Tahoma" w:hAnsi="Tahoma" w:cs="Tahoma"/>
              </w:rPr>
            </w:pPr>
            <w:r w:rsidRPr="00BC7267">
              <w:rPr>
                <w:rFonts w:ascii="Tahoma" w:hAnsi="Tahoma" w:cs="Tahoma"/>
                <w:b/>
                <w:bCs/>
                <w:color w:val="FFFFFF"/>
              </w:rPr>
              <w:t>Comments</w:t>
            </w:r>
          </w:p>
        </w:tc>
      </w:tr>
      <w:tr w:rsidR="00111D2F" w:rsidRPr="00BC7267" w14:paraId="24093297" w14:textId="77777777" w:rsidTr="00BC7267">
        <w:trPr>
          <w:trHeight w:val="20"/>
        </w:trPr>
        <w:tc>
          <w:tcPr>
            <w:tcW w:w="4135" w:type="dxa"/>
            <w:tcMar>
              <w:top w:w="80" w:type="dxa"/>
              <w:left w:w="100" w:type="dxa"/>
              <w:bottom w:w="80" w:type="dxa"/>
              <w:right w:w="100" w:type="dxa"/>
            </w:tcMar>
            <w:vAlign w:val="center"/>
          </w:tcPr>
          <w:p w14:paraId="46177C33" w14:textId="77777777" w:rsidR="00111D2F" w:rsidRPr="00BC7267" w:rsidRDefault="00E9729A" w:rsidP="00BC7267">
            <w:pPr>
              <w:jc w:val="both"/>
              <w:rPr>
                <w:rFonts w:ascii="Tahoma" w:hAnsi="Tahoma" w:cs="Tahoma"/>
              </w:rPr>
            </w:pPr>
            <w:r w:rsidRPr="00BC7267">
              <w:rPr>
                <w:rFonts w:ascii="Tahoma" w:hAnsi="Tahoma" w:cs="Tahoma"/>
              </w:rPr>
              <w:t xml:space="preserve">Demonstrable enterprise AI strategy, governance, and roadmap experience in </w:t>
            </w:r>
            <w:r w:rsidRPr="00BC7267">
              <w:rPr>
                <w:rFonts w:ascii="Tahoma" w:hAnsi="Tahoma" w:cs="Tahoma"/>
              </w:rPr>
              <w:t>banking/financial services, including comparable markets (e.g. India)</w:t>
            </w:r>
          </w:p>
        </w:tc>
        <w:tc>
          <w:tcPr>
            <w:tcW w:w="1493" w:type="dxa"/>
            <w:tcMar>
              <w:top w:w="80" w:type="dxa"/>
              <w:left w:w="100" w:type="dxa"/>
              <w:bottom w:w="80" w:type="dxa"/>
              <w:right w:w="100" w:type="dxa"/>
            </w:tcMar>
            <w:vAlign w:val="center"/>
          </w:tcPr>
          <w:p w14:paraId="0E048FEA" w14:textId="77777777" w:rsidR="00111D2F" w:rsidRPr="00BC7267" w:rsidRDefault="00E9729A" w:rsidP="00BC7267">
            <w:pPr>
              <w:jc w:val="both"/>
              <w:rPr>
                <w:rFonts w:ascii="Tahoma" w:hAnsi="Tahoma" w:cs="Tahoma"/>
              </w:rPr>
            </w:pPr>
            <w:r w:rsidRPr="00BC7267">
              <w:rPr>
                <w:rFonts w:ascii="Tahoma" w:hAnsi="Tahoma" w:cs="Tahoma"/>
                <w:b/>
                <w:bCs/>
              </w:rPr>
              <w:t>Compliant</w:t>
            </w:r>
          </w:p>
        </w:tc>
        <w:tc>
          <w:tcPr>
            <w:tcW w:w="3928" w:type="dxa"/>
            <w:tcMar>
              <w:top w:w="80" w:type="dxa"/>
              <w:left w:w="100" w:type="dxa"/>
              <w:bottom w:w="80" w:type="dxa"/>
              <w:right w:w="100" w:type="dxa"/>
            </w:tcMar>
            <w:vAlign w:val="center"/>
          </w:tcPr>
          <w:p w14:paraId="6011C040" w14:textId="77777777" w:rsidR="00111D2F" w:rsidRPr="00BC7267" w:rsidRDefault="00E9729A" w:rsidP="00BC7267">
            <w:pPr>
              <w:jc w:val="both"/>
              <w:rPr>
                <w:rFonts w:ascii="Tahoma" w:hAnsi="Tahoma" w:cs="Tahoma"/>
              </w:rPr>
            </w:pPr>
            <w:r w:rsidRPr="00BC7267">
              <w:rPr>
                <w:rFonts w:ascii="Tahoma" w:hAnsi="Tahoma" w:cs="Tahoma"/>
              </w:rPr>
              <w:t xml:space="preserve">Delivered via combined ACNABIN banking-sector audit/governance experience and </w:t>
            </w:r>
            <w:proofErr w:type="spellStart"/>
            <w:r w:rsidRPr="00BC7267">
              <w:rPr>
                <w:rFonts w:ascii="Tahoma" w:hAnsi="Tahoma" w:cs="Tahoma"/>
              </w:rPr>
              <w:t>CipherShield's</w:t>
            </w:r>
            <w:proofErr w:type="spellEnd"/>
            <w:r w:rsidRPr="00BC7267">
              <w:rPr>
                <w:rFonts w:ascii="Tahoma" w:hAnsi="Tahoma" w:cs="Tahoma"/>
              </w:rPr>
              <w:t xml:space="preserve"> APAC delivery footprint and Baker Tilly International network.</w:t>
            </w:r>
          </w:p>
        </w:tc>
      </w:tr>
      <w:tr w:rsidR="00111D2F" w:rsidRPr="00BC7267" w14:paraId="198676DC" w14:textId="77777777" w:rsidTr="00BC7267">
        <w:trPr>
          <w:trHeight w:val="20"/>
        </w:trPr>
        <w:tc>
          <w:tcPr>
            <w:tcW w:w="4135" w:type="dxa"/>
            <w:shd w:val="clear" w:color="auto" w:fill="F2F2F2"/>
            <w:tcMar>
              <w:top w:w="80" w:type="dxa"/>
              <w:left w:w="100" w:type="dxa"/>
              <w:bottom w:w="80" w:type="dxa"/>
              <w:right w:w="100" w:type="dxa"/>
            </w:tcMar>
            <w:vAlign w:val="center"/>
          </w:tcPr>
          <w:p w14:paraId="0FE68E72" w14:textId="77777777" w:rsidR="00111D2F" w:rsidRPr="00BC7267" w:rsidRDefault="00E9729A" w:rsidP="00BC7267">
            <w:pPr>
              <w:jc w:val="both"/>
              <w:rPr>
                <w:rFonts w:ascii="Tahoma" w:hAnsi="Tahoma" w:cs="Tahoma"/>
              </w:rPr>
            </w:pPr>
            <w:r w:rsidRPr="00BC7267">
              <w:rPr>
                <w:rFonts w:ascii="Tahoma" w:hAnsi="Tahoma" w:cs="Tahoma"/>
              </w:rPr>
              <w:t xml:space="preserve">Evidence of similar engagements, with references and </w:t>
            </w:r>
            <w:proofErr w:type="spellStart"/>
            <w:r w:rsidRPr="00BC7267">
              <w:rPr>
                <w:rFonts w:ascii="Tahoma" w:hAnsi="Tahoma" w:cs="Tahoma"/>
              </w:rPr>
              <w:t>anonymised</w:t>
            </w:r>
            <w:proofErr w:type="spellEnd"/>
            <w:r w:rsidRPr="00BC7267">
              <w:rPr>
                <w:rFonts w:ascii="Tahoma" w:hAnsi="Tahoma" w:cs="Tahoma"/>
              </w:rPr>
              <w:t xml:space="preserve"> case examples</w:t>
            </w:r>
          </w:p>
        </w:tc>
        <w:tc>
          <w:tcPr>
            <w:tcW w:w="1493" w:type="dxa"/>
            <w:shd w:val="clear" w:color="auto" w:fill="F2F2F2"/>
            <w:tcMar>
              <w:top w:w="80" w:type="dxa"/>
              <w:left w:w="100" w:type="dxa"/>
              <w:bottom w:w="80" w:type="dxa"/>
              <w:right w:w="100" w:type="dxa"/>
            </w:tcMar>
            <w:vAlign w:val="center"/>
          </w:tcPr>
          <w:p w14:paraId="1AF358C0" w14:textId="77777777" w:rsidR="00111D2F" w:rsidRPr="00BC7267" w:rsidRDefault="00E9729A" w:rsidP="00BC7267">
            <w:pPr>
              <w:jc w:val="both"/>
              <w:rPr>
                <w:rFonts w:ascii="Tahoma" w:hAnsi="Tahoma" w:cs="Tahoma"/>
              </w:rPr>
            </w:pPr>
            <w:r w:rsidRPr="00BC7267">
              <w:rPr>
                <w:rFonts w:ascii="Tahoma" w:hAnsi="Tahoma" w:cs="Tahoma"/>
                <w:b/>
                <w:bCs/>
              </w:rPr>
              <w:t>Compliant</w:t>
            </w:r>
          </w:p>
        </w:tc>
        <w:tc>
          <w:tcPr>
            <w:tcW w:w="3928" w:type="dxa"/>
            <w:shd w:val="clear" w:color="auto" w:fill="F2F2F2"/>
            <w:tcMar>
              <w:top w:w="80" w:type="dxa"/>
              <w:left w:w="100" w:type="dxa"/>
              <w:bottom w:w="80" w:type="dxa"/>
              <w:right w:w="100" w:type="dxa"/>
            </w:tcMar>
            <w:vAlign w:val="center"/>
          </w:tcPr>
          <w:p w14:paraId="04A06D1C" w14:textId="77777777" w:rsidR="00111D2F" w:rsidRPr="00BC7267" w:rsidRDefault="00E9729A" w:rsidP="00BC7267">
            <w:pPr>
              <w:jc w:val="both"/>
              <w:rPr>
                <w:rFonts w:ascii="Tahoma" w:hAnsi="Tahoma" w:cs="Tahoma"/>
              </w:rPr>
            </w:pPr>
            <w:r w:rsidRPr="00BC7267">
              <w:rPr>
                <w:rFonts w:ascii="Tahoma" w:hAnsi="Tahoma" w:cs="Tahoma"/>
              </w:rPr>
              <w:t>Joint IFRS 9 ECL regulatory transformation engagement referenced in Section 7.3; further references available on request.</w:t>
            </w:r>
          </w:p>
        </w:tc>
      </w:tr>
      <w:tr w:rsidR="00111D2F" w:rsidRPr="00BC7267" w14:paraId="1A7EFFD9" w14:textId="77777777" w:rsidTr="00BC7267">
        <w:trPr>
          <w:trHeight w:val="20"/>
        </w:trPr>
        <w:tc>
          <w:tcPr>
            <w:tcW w:w="4135" w:type="dxa"/>
            <w:tcMar>
              <w:top w:w="80" w:type="dxa"/>
              <w:left w:w="100" w:type="dxa"/>
              <w:bottom w:w="80" w:type="dxa"/>
              <w:right w:w="100" w:type="dxa"/>
            </w:tcMar>
            <w:vAlign w:val="center"/>
          </w:tcPr>
          <w:p w14:paraId="568A856D" w14:textId="77777777" w:rsidR="00111D2F" w:rsidRPr="00BC7267" w:rsidRDefault="00E9729A" w:rsidP="00BC7267">
            <w:pPr>
              <w:jc w:val="both"/>
              <w:rPr>
                <w:rFonts w:ascii="Tahoma" w:hAnsi="Tahoma" w:cs="Tahoma"/>
              </w:rPr>
            </w:pPr>
            <w:r w:rsidRPr="00BC7267">
              <w:rPr>
                <w:rFonts w:ascii="Tahoma" w:hAnsi="Tahoma" w:cs="Tahoma"/>
              </w:rPr>
              <w:t xml:space="preserve">Familiarity with relevant </w:t>
            </w:r>
            <w:r w:rsidRPr="00BC7267">
              <w:rPr>
                <w:rFonts w:ascii="Tahoma" w:hAnsi="Tahoma" w:cs="Tahoma"/>
              </w:rPr>
              <w:t>regulatory and risk frameworks applicable to AI in financial services, including Bangladesh</w:t>
            </w:r>
          </w:p>
        </w:tc>
        <w:tc>
          <w:tcPr>
            <w:tcW w:w="1493" w:type="dxa"/>
            <w:tcMar>
              <w:top w:w="80" w:type="dxa"/>
              <w:left w:w="100" w:type="dxa"/>
              <w:bottom w:w="80" w:type="dxa"/>
              <w:right w:w="100" w:type="dxa"/>
            </w:tcMar>
            <w:vAlign w:val="center"/>
          </w:tcPr>
          <w:p w14:paraId="1B2D8695" w14:textId="77777777" w:rsidR="00111D2F" w:rsidRPr="00BC7267" w:rsidRDefault="00E9729A" w:rsidP="00BC7267">
            <w:pPr>
              <w:jc w:val="both"/>
              <w:rPr>
                <w:rFonts w:ascii="Tahoma" w:hAnsi="Tahoma" w:cs="Tahoma"/>
              </w:rPr>
            </w:pPr>
            <w:r w:rsidRPr="00BC7267">
              <w:rPr>
                <w:rFonts w:ascii="Tahoma" w:hAnsi="Tahoma" w:cs="Tahoma"/>
                <w:b/>
                <w:bCs/>
              </w:rPr>
              <w:t>Compliant</w:t>
            </w:r>
          </w:p>
        </w:tc>
        <w:tc>
          <w:tcPr>
            <w:tcW w:w="3928" w:type="dxa"/>
            <w:tcMar>
              <w:top w:w="80" w:type="dxa"/>
              <w:left w:w="100" w:type="dxa"/>
              <w:bottom w:w="80" w:type="dxa"/>
              <w:right w:w="100" w:type="dxa"/>
            </w:tcMar>
            <w:vAlign w:val="center"/>
          </w:tcPr>
          <w:p w14:paraId="3C90CFC1" w14:textId="77777777" w:rsidR="00111D2F" w:rsidRPr="00BC7267" w:rsidRDefault="00E9729A" w:rsidP="00BC7267">
            <w:pPr>
              <w:jc w:val="both"/>
              <w:rPr>
                <w:rFonts w:ascii="Tahoma" w:hAnsi="Tahoma" w:cs="Tahoma"/>
              </w:rPr>
            </w:pPr>
            <w:r w:rsidRPr="00BC7267">
              <w:rPr>
                <w:rFonts w:ascii="Tahoma" w:hAnsi="Tahoma" w:cs="Tahoma"/>
              </w:rPr>
              <w:t xml:space="preserve">ACNABIN's Bangladesh Bank-facing audit practice combined with </w:t>
            </w:r>
            <w:proofErr w:type="spellStart"/>
            <w:r w:rsidRPr="00BC7267">
              <w:rPr>
                <w:rFonts w:ascii="Tahoma" w:hAnsi="Tahoma" w:cs="Tahoma"/>
              </w:rPr>
              <w:t>CipherShield's</w:t>
            </w:r>
            <w:proofErr w:type="spellEnd"/>
            <w:r w:rsidRPr="00BC7267">
              <w:rPr>
                <w:rFonts w:ascii="Tahoma" w:hAnsi="Tahoma" w:cs="Tahoma"/>
              </w:rPr>
              <w:t xml:space="preserve"> ISO/IEC 42001, NIST AI RMF, and regional GRC expertise.</w:t>
            </w:r>
          </w:p>
        </w:tc>
      </w:tr>
      <w:tr w:rsidR="00111D2F" w:rsidRPr="00BC7267" w14:paraId="32751FDA" w14:textId="77777777" w:rsidTr="00BC7267">
        <w:trPr>
          <w:trHeight w:val="20"/>
        </w:trPr>
        <w:tc>
          <w:tcPr>
            <w:tcW w:w="4135" w:type="dxa"/>
            <w:shd w:val="clear" w:color="auto" w:fill="F2F2F2"/>
            <w:tcMar>
              <w:top w:w="80" w:type="dxa"/>
              <w:left w:w="100" w:type="dxa"/>
              <w:bottom w:w="80" w:type="dxa"/>
              <w:right w:w="100" w:type="dxa"/>
            </w:tcMar>
            <w:vAlign w:val="center"/>
          </w:tcPr>
          <w:p w14:paraId="1529EE6B" w14:textId="77777777" w:rsidR="00111D2F" w:rsidRPr="00BC7267" w:rsidRDefault="00E9729A" w:rsidP="00BC7267">
            <w:pPr>
              <w:jc w:val="both"/>
              <w:rPr>
                <w:rFonts w:ascii="Tahoma" w:hAnsi="Tahoma" w:cs="Tahoma"/>
              </w:rPr>
            </w:pPr>
            <w:r w:rsidRPr="00BC7267">
              <w:rPr>
                <w:rFonts w:ascii="Tahoma" w:hAnsi="Tahoma" w:cs="Tahoma"/>
              </w:rPr>
              <w:t xml:space="preserve">Named </w:t>
            </w:r>
            <w:r w:rsidRPr="00BC7267">
              <w:rPr>
                <w:rFonts w:ascii="Tahoma" w:hAnsi="Tahoma" w:cs="Tahoma"/>
              </w:rPr>
              <w:t>engagement team with relevant AI strategy, governance, risk, data, and architecture expertise, including senior management involvement</w:t>
            </w:r>
          </w:p>
        </w:tc>
        <w:tc>
          <w:tcPr>
            <w:tcW w:w="1493" w:type="dxa"/>
            <w:shd w:val="clear" w:color="auto" w:fill="F2F2F2"/>
            <w:tcMar>
              <w:top w:w="80" w:type="dxa"/>
              <w:left w:w="100" w:type="dxa"/>
              <w:bottom w:w="80" w:type="dxa"/>
              <w:right w:w="100" w:type="dxa"/>
            </w:tcMar>
            <w:vAlign w:val="center"/>
          </w:tcPr>
          <w:p w14:paraId="04AC3666" w14:textId="77777777" w:rsidR="00111D2F" w:rsidRPr="00BC7267" w:rsidRDefault="00E9729A" w:rsidP="00BC7267">
            <w:pPr>
              <w:jc w:val="both"/>
              <w:rPr>
                <w:rFonts w:ascii="Tahoma" w:hAnsi="Tahoma" w:cs="Tahoma"/>
              </w:rPr>
            </w:pPr>
            <w:r w:rsidRPr="00BC7267">
              <w:rPr>
                <w:rFonts w:ascii="Tahoma" w:hAnsi="Tahoma" w:cs="Tahoma"/>
                <w:b/>
                <w:bCs/>
              </w:rPr>
              <w:t>Compliant</w:t>
            </w:r>
          </w:p>
        </w:tc>
        <w:tc>
          <w:tcPr>
            <w:tcW w:w="3928" w:type="dxa"/>
            <w:shd w:val="clear" w:color="auto" w:fill="F2F2F2"/>
            <w:tcMar>
              <w:top w:w="80" w:type="dxa"/>
              <w:left w:w="100" w:type="dxa"/>
              <w:bottom w:w="80" w:type="dxa"/>
              <w:right w:w="100" w:type="dxa"/>
            </w:tcMar>
            <w:vAlign w:val="center"/>
          </w:tcPr>
          <w:p w14:paraId="5DAF8B05" w14:textId="77777777" w:rsidR="00111D2F" w:rsidRPr="00BC7267" w:rsidRDefault="00E9729A" w:rsidP="00BC7267">
            <w:pPr>
              <w:jc w:val="both"/>
              <w:rPr>
                <w:rFonts w:ascii="Tahoma" w:hAnsi="Tahoma" w:cs="Tahoma"/>
              </w:rPr>
            </w:pPr>
            <w:r w:rsidRPr="00BC7267">
              <w:rPr>
                <w:rFonts w:ascii="Tahoma" w:hAnsi="Tahoma" w:cs="Tahoma"/>
              </w:rPr>
              <w:t>Named sponsors and workstream leads set out in Section 6; full delivery-team CVs provided upon shortlisting.</w:t>
            </w:r>
          </w:p>
        </w:tc>
      </w:tr>
      <w:tr w:rsidR="00111D2F" w:rsidRPr="00BC7267" w14:paraId="1429CB48" w14:textId="77777777" w:rsidTr="00BC7267">
        <w:trPr>
          <w:trHeight w:val="20"/>
        </w:trPr>
        <w:tc>
          <w:tcPr>
            <w:tcW w:w="4135" w:type="dxa"/>
            <w:tcMar>
              <w:top w:w="80" w:type="dxa"/>
              <w:left w:w="100" w:type="dxa"/>
              <w:bottom w:w="80" w:type="dxa"/>
              <w:right w:w="100" w:type="dxa"/>
            </w:tcMar>
            <w:vAlign w:val="center"/>
          </w:tcPr>
          <w:p w14:paraId="5253AA49" w14:textId="77777777" w:rsidR="00111D2F" w:rsidRPr="00BC7267" w:rsidRDefault="00E9729A" w:rsidP="00BC7267">
            <w:pPr>
              <w:jc w:val="both"/>
              <w:rPr>
                <w:rFonts w:ascii="Tahoma" w:hAnsi="Tahoma" w:cs="Tahoma"/>
              </w:rPr>
            </w:pPr>
            <w:r w:rsidRPr="00BC7267">
              <w:rPr>
                <w:rFonts w:ascii="Tahoma" w:hAnsi="Tahoma" w:cs="Tahoma"/>
              </w:rPr>
              <w:t>Clear approach to knowledge transfer and uplift of Bank-side capability</w:t>
            </w:r>
          </w:p>
        </w:tc>
        <w:tc>
          <w:tcPr>
            <w:tcW w:w="1493" w:type="dxa"/>
            <w:tcMar>
              <w:top w:w="80" w:type="dxa"/>
              <w:left w:w="100" w:type="dxa"/>
              <w:bottom w:w="80" w:type="dxa"/>
              <w:right w:w="100" w:type="dxa"/>
            </w:tcMar>
            <w:vAlign w:val="center"/>
          </w:tcPr>
          <w:p w14:paraId="6EB8A648" w14:textId="77777777" w:rsidR="00111D2F" w:rsidRPr="00BC7267" w:rsidRDefault="00E9729A" w:rsidP="00BC7267">
            <w:pPr>
              <w:jc w:val="both"/>
              <w:rPr>
                <w:rFonts w:ascii="Tahoma" w:hAnsi="Tahoma" w:cs="Tahoma"/>
              </w:rPr>
            </w:pPr>
            <w:r w:rsidRPr="00BC7267">
              <w:rPr>
                <w:rFonts w:ascii="Tahoma" w:hAnsi="Tahoma" w:cs="Tahoma"/>
                <w:b/>
                <w:bCs/>
              </w:rPr>
              <w:t>Compliant</w:t>
            </w:r>
          </w:p>
        </w:tc>
        <w:tc>
          <w:tcPr>
            <w:tcW w:w="3928" w:type="dxa"/>
            <w:tcMar>
              <w:top w:w="80" w:type="dxa"/>
              <w:left w:w="100" w:type="dxa"/>
              <w:bottom w:w="80" w:type="dxa"/>
              <w:right w:w="100" w:type="dxa"/>
            </w:tcMar>
            <w:vAlign w:val="center"/>
          </w:tcPr>
          <w:p w14:paraId="3CD00A59" w14:textId="77777777" w:rsidR="00111D2F" w:rsidRPr="00BC7267" w:rsidRDefault="00E9729A" w:rsidP="00BC7267">
            <w:pPr>
              <w:jc w:val="both"/>
              <w:rPr>
                <w:rFonts w:ascii="Tahoma" w:hAnsi="Tahoma" w:cs="Tahoma"/>
              </w:rPr>
            </w:pPr>
            <w:r w:rsidRPr="00BC7267">
              <w:rPr>
                <w:rFonts w:ascii="Tahoma" w:hAnsi="Tahoma" w:cs="Tahoma"/>
              </w:rPr>
              <w:t>Continuous, embedded knowledge transfer approach detailed in Sections 6.4 and 8; no black-box deliverables.</w:t>
            </w:r>
          </w:p>
        </w:tc>
      </w:tr>
      <w:tr w:rsidR="00111D2F" w:rsidRPr="00BC7267" w14:paraId="03BB32AD" w14:textId="77777777" w:rsidTr="00BC7267">
        <w:trPr>
          <w:trHeight w:val="20"/>
        </w:trPr>
        <w:tc>
          <w:tcPr>
            <w:tcW w:w="4135" w:type="dxa"/>
            <w:shd w:val="clear" w:color="auto" w:fill="F2F2F2"/>
            <w:tcMar>
              <w:top w:w="80" w:type="dxa"/>
              <w:left w:w="100" w:type="dxa"/>
              <w:bottom w:w="80" w:type="dxa"/>
              <w:right w:w="100" w:type="dxa"/>
            </w:tcMar>
            <w:vAlign w:val="center"/>
          </w:tcPr>
          <w:p w14:paraId="22683F8E" w14:textId="77777777" w:rsidR="00111D2F" w:rsidRPr="00BC7267" w:rsidRDefault="00E9729A" w:rsidP="00BC7267">
            <w:pPr>
              <w:jc w:val="both"/>
              <w:rPr>
                <w:rFonts w:ascii="Tahoma" w:hAnsi="Tahoma" w:cs="Tahoma"/>
              </w:rPr>
            </w:pPr>
            <w:r w:rsidRPr="00BC7267">
              <w:rPr>
                <w:rFonts w:ascii="Tahoma" w:hAnsi="Tahoma" w:cs="Tahoma"/>
              </w:rPr>
              <w:t xml:space="preserve">Proposed approach and delivery plan achieving required </w:t>
            </w:r>
            <w:r w:rsidRPr="00BC7267">
              <w:rPr>
                <w:rFonts w:ascii="Tahoma" w:hAnsi="Tahoma" w:cs="Tahoma"/>
              </w:rPr>
              <w:t>outcomes, with indicative timeline and milestones</w:t>
            </w:r>
          </w:p>
        </w:tc>
        <w:tc>
          <w:tcPr>
            <w:tcW w:w="1493" w:type="dxa"/>
            <w:shd w:val="clear" w:color="auto" w:fill="F2F2F2"/>
            <w:tcMar>
              <w:top w:w="80" w:type="dxa"/>
              <w:left w:w="100" w:type="dxa"/>
              <w:bottom w:w="80" w:type="dxa"/>
              <w:right w:w="100" w:type="dxa"/>
            </w:tcMar>
            <w:vAlign w:val="center"/>
          </w:tcPr>
          <w:p w14:paraId="145AFF7C" w14:textId="77777777" w:rsidR="00111D2F" w:rsidRPr="00BC7267" w:rsidRDefault="00E9729A" w:rsidP="00BC7267">
            <w:pPr>
              <w:jc w:val="both"/>
              <w:rPr>
                <w:rFonts w:ascii="Tahoma" w:hAnsi="Tahoma" w:cs="Tahoma"/>
              </w:rPr>
            </w:pPr>
            <w:r w:rsidRPr="00BC7267">
              <w:rPr>
                <w:rFonts w:ascii="Tahoma" w:hAnsi="Tahoma" w:cs="Tahoma"/>
                <w:b/>
                <w:bCs/>
              </w:rPr>
              <w:t>Compliant</w:t>
            </w:r>
          </w:p>
        </w:tc>
        <w:tc>
          <w:tcPr>
            <w:tcW w:w="3928" w:type="dxa"/>
            <w:shd w:val="clear" w:color="auto" w:fill="F2F2F2"/>
            <w:tcMar>
              <w:top w:w="80" w:type="dxa"/>
              <w:left w:w="100" w:type="dxa"/>
              <w:bottom w:w="80" w:type="dxa"/>
              <w:right w:w="100" w:type="dxa"/>
            </w:tcMar>
            <w:vAlign w:val="center"/>
          </w:tcPr>
          <w:p w14:paraId="0207E3CF" w14:textId="77777777" w:rsidR="00111D2F" w:rsidRPr="00BC7267" w:rsidRDefault="00E9729A" w:rsidP="00BC7267">
            <w:pPr>
              <w:jc w:val="both"/>
              <w:rPr>
                <w:rFonts w:ascii="Tahoma" w:hAnsi="Tahoma" w:cs="Tahoma"/>
              </w:rPr>
            </w:pPr>
            <w:r w:rsidRPr="00BC7267">
              <w:rPr>
                <w:rFonts w:ascii="Tahoma" w:hAnsi="Tahoma" w:cs="Tahoma"/>
              </w:rPr>
              <w:t>Three-workstream approach and indicative five-month timeline set out in Section 4.</w:t>
            </w:r>
          </w:p>
        </w:tc>
      </w:tr>
      <w:tr w:rsidR="00111D2F" w:rsidRPr="00BC7267" w14:paraId="3A3D97F1" w14:textId="77777777" w:rsidTr="00BC7267">
        <w:trPr>
          <w:trHeight w:val="20"/>
        </w:trPr>
        <w:tc>
          <w:tcPr>
            <w:tcW w:w="4135" w:type="dxa"/>
            <w:tcMar>
              <w:top w:w="80" w:type="dxa"/>
              <w:left w:w="100" w:type="dxa"/>
              <w:bottom w:w="80" w:type="dxa"/>
              <w:right w:w="100" w:type="dxa"/>
            </w:tcMar>
            <w:vAlign w:val="center"/>
          </w:tcPr>
          <w:p w14:paraId="3F93CC59" w14:textId="77777777" w:rsidR="00111D2F" w:rsidRPr="00BC7267" w:rsidRDefault="00E9729A" w:rsidP="00BC7267">
            <w:pPr>
              <w:jc w:val="both"/>
              <w:rPr>
                <w:rFonts w:ascii="Tahoma" w:hAnsi="Tahoma" w:cs="Tahoma"/>
              </w:rPr>
            </w:pPr>
            <w:r w:rsidRPr="00BC7267">
              <w:rPr>
                <w:rFonts w:ascii="Tahoma" w:hAnsi="Tahoma" w:cs="Tahoma"/>
              </w:rPr>
              <w:t>Clear articulation of how each deliverable and the roadmap deliver measurable business value</w:t>
            </w:r>
          </w:p>
        </w:tc>
        <w:tc>
          <w:tcPr>
            <w:tcW w:w="1493" w:type="dxa"/>
            <w:tcMar>
              <w:top w:w="80" w:type="dxa"/>
              <w:left w:w="100" w:type="dxa"/>
              <w:bottom w:w="80" w:type="dxa"/>
              <w:right w:w="100" w:type="dxa"/>
            </w:tcMar>
            <w:vAlign w:val="center"/>
          </w:tcPr>
          <w:p w14:paraId="24135754" w14:textId="77777777" w:rsidR="00111D2F" w:rsidRPr="00BC7267" w:rsidRDefault="00E9729A" w:rsidP="00BC7267">
            <w:pPr>
              <w:jc w:val="both"/>
              <w:rPr>
                <w:rFonts w:ascii="Tahoma" w:hAnsi="Tahoma" w:cs="Tahoma"/>
              </w:rPr>
            </w:pPr>
            <w:r w:rsidRPr="00BC7267">
              <w:rPr>
                <w:rFonts w:ascii="Tahoma" w:hAnsi="Tahoma" w:cs="Tahoma"/>
                <w:b/>
                <w:bCs/>
              </w:rPr>
              <w:t>Compliant</w:t>
            </w:r>
          </w:p>
        </w:tc>
        <w:tc>
          <w:tcPr>
            <w:tcW w:w="3928" w:type="dxa"/>
            <w:tcMar>
              <w:top w:w="80" w:type="dxa"/>
              <w:left w:w="100" w:type="dxa"/>
              <w:bottom w:w="80" w:type="dxa"/>
              <w:right w:w="100" w:type="dxa"/>
            </w:tcMar>
            <w:vAlign w:val="center"/>
          </w:tcPr>
          <w:p w14:paraId="1509F661" w14:textId="77777777" w:rsidR="00111D2F" w:rsidRPr="00BC7267" w:rsidRDefault="00E9729A" w:rsidP="00BC7267">
            <w:pPr>
              <w:jc w:val="both"/>
              <w:rPr>
                <w:rFonts w:ascii="Tahoma" w:hAnsi="Tahoma" w:cs="Tahoma"/>
              </w:rPr>
            </w:pPr>
            <w:r w:rsidRPr="00BC7267">
              <w:rPr>
                <w:rFonts w:ascii="Tahoma" w:hAnsi="Tahoma" w:cs="Tahoma"/>
              </w:rPr>
              <w:t>Business value linkage embedded in the deliverables mapping (Section 5) and the Outcome C business case and executive readout.</w:t>
            </w:r>
          </w:p>
        </w:tc>
      </w:tr>
      <w:tr w:rsidR="00111D2F" w:rsidRPr="00BC7267" w14:paraId="5B001E72" w14:textId="77777777" w:rsidTr="00BC7267">
        <w:trPr>
          <w:trHeight w:val="20"/>
        </w:trPr>
        <w:tc>
          <w:tcPr>
            <w:tcW w:w="4135" w:type="dxa"/>
            <w:shd w:val="clear" w:color="auto" w:fill="F2F2F2"/>
            <w:tcMar>
              <w:top w:w="80" w:type="dxa"/>
              <w:left w:w="100" w:type="dxa"/>
              <w:bottom w:w="80" w:type="dxa"/>
              <w:right w:w="100" w:type="dxa"/>
            </w:tcMar>
            <w:vAlign w:val="center"/>
          </w:tcPr>
          <w:p w14:paraId="67FAD4EF" w14:textId="77777777" w:rsidR="00111D2F" w:rsidRPr="00BC7267" w:rsidRDefault="00E9729A" w:rsidP="00BC7267">
            <w:pPr>
              <w:jc w:val="both"/>
              <w:rPr>
                <w:rFonts w:ascii="Tahoma" w:hAnsi="Tahoma" w:cs="Tahoma"/>
              </w:rPr>
            </w:pPr>
            <w:r w:rsidRPr="00BC7267">
              <w:rPr>
                <w:rFonts w:ascii="Tahoma" w:hAnsi="Tahoma" w:cs="Tahoma"/>
              </w:rPr>
              <w:t>Approach anchored on existing technology, data, and private-cloud investments; avoids parallel governance structures</w:t>
            </w:r>
          </w:p>
        </w:tc>
        <w:tc>
          <w:tcPr>
            <w:tcW w:w="1493" w:type="dxa"/>
            <w:shd w:val="clear" w:color="auto" w:fill="F2F2F2"/>
            <w:tcMar>
              <w:top w:w="80" w:type="dxa"/>
              <w:left w:w="100" w:type="dxa"/>
              <w:bottom w:w="80" w:type="dxa"/>
              <w:right w:w="100" w:type="dxa"/>
            </w:tcMar>
            <w:vAlign w:val="center"/>
          </w:tcPr>
          <w:p w14:paraId="1CC7D39B" w14:textId="77777777" w:rsidR="00111D2F" w:rsidRPr="00BC7267" w:rsidRDefault="00E9729A" w:rsidP="00BC7267">
            <w:pPr>
              <w:jc w:val="both"/>
              <w:rPr>
                <w:rFonts w:ascii="Tahoma" w:hAnsi="Tahoma" w:cs="Tahoma"/>
              </w:rPr>
            </w:pPr>
            <w:r w:rsidRPr="00BC7267">
              <w:rPr>
                <w:rFonts w:ascii="Tahoma" w:hAnsi="Tahoma" w:cs="Tahoma"/>
                <w:b/>
                <w:bCs/>
              </w:rPr>
              <w:t>Compliant</w:t>
            </w:r>
          </w:p>
        </w:tc>
        <w:tc>
          <w:tcPr>
            <w:tcW w:w="3928" w:type="dxa"/>
            <w:shd w:val="clear" w:color="auto" w:fill="F2F2F2"/>
            <w:tcMar>
              <w:top w:w="80" w:type="dxa"/>
              <w:left w:w="100" w:type="dxa"/>
              <w:bottom w:w="80" w:type="dxa"/>
              <w:right w:w="100" w:type="dxa"/>
            </w:tcMar>
            <w:vAlign w:val="center"/>
          </w:tcPr>
          <w:p w14:paraId="390DA1AC" w14:textId="77777777" w:rsidR="00111D2F" w:rsidRPr="00BC7267" w:rsidRDefault="00E9729A" w:rsidP="00BC7267">
            <w:pPr>
              <w:jc w:val="both"/>
              <w:rPr>
                <w:rFonts w:ascii="Tahoma" w:hAnsi="Tahoma" w:cs="Tahoma"/>
              </w:rPr>
            </w:pPr>
            <w:r w:rsidRPr="00BC7267">
              <w:rPr>
                <w:rFonts w:ascii="Tahoma" w:hAnsi="Tahoma" w:cs="Tahoma"/>
              </w:rPr>
              <w:t>Explicit guiding principle (Section 4.1); Outcome B operating model is designed to extend, not duplicate, existing governance.</w:t>
            </w:r>
          </w:p>
        </w:tc>
      </w:tr>
    </w:tbl>
    <w:p w14:paraId="2E9CE8E3" w14:textId="77777777" w:rsidR="00111D2F" w:rsidRPr="00BC7267" w:rsidRDefault="00E9729A" w:rsidP="00BC7267">
      <w:pPr>
        <w:jc w:val="both"/>
        <w:rPr>
          <w:rFonts w:ascii="Tahoma" w:hAnsi="Tahoma" w:cs="Tahoma"/>
        </w:rPr>
      </w:pPr>
      <w:r w:rsidRPr="00BC7267">
        <w:rPr>
          <w:rFonts w:ascii="Tahoma" w:hAnsi="Tahoma" w:cs="Tahoma"/>
        </w:rPr>
        <w:br w:type="page"/>
      </w:r>
    </w:p>
    <w:p w14:paraId="549F0E67" w14:textId="77777777" w:rsidR="00111D2F" w:rsidRPr="00BC7267" w:rsidRDefault="00E9729A" w:rsidP="00BC7267">
      <w:pPr>
        <w:pStyle w:val="Heading1"/>
        <w:jc w:val="both"/>
        <w:rPr>
          <w:rFonts w:ascii="Tahoma" w:hAnsi="Tahoma" w:cs="Tahoma"/>
        </w:rPr>
      </w:pPr>
      <w:bookmarkStart w:id="29" w:name="_Toc234500212"/>
      <w:r w:rsidRPr="00BC7267">
        <w:rPr>
          <w:rFonts w:ascii="Tahoma" w:hAnsi="Tahoma" w:cs="Tahoma"/>
        </w:rPr>
        <w:t>11. Confidentiality &amp; Conflict of Interest Declaration</w:t>
      </w:r>
      <w:bookmarkEnd w:id="29"/>
    </w:p>
    <w:p w14:paraId="74F85943"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ACNABIN and </w:t>
      </w:r>
      <w:proofErr w:type="spellStart"/>
      <w:r w:rsidRPr="00BC7267">
        <w:rPr>
          <w:rFonts w:ascii="Tahoma" w:hAnsi="Tahoma" w:cs="Tahoma"/>
        </w:rPr>
        <w:t>CipherShield</w:t>
      </w:r>
      <w:proofErr w:type="spellEnd"/>
      <w:r w:rsidRPr="00BC7267">
        <w:rPr>
          <w:rFonts w:ascii="Tahoma" w:hAnsi="Tahoma" w:cs="Tahoma"/>
        </w:rPr>
        <w:t xml:space="preserve"> declare that all information provided by BRAC Bank PLC in connection with this </w:t>
      </w:r>
      <w:proofErr w:type="spellStart"/>
      <w:r w:rsidRPr="00BC7267">
        <w:rPr>
          <w:rFonts w:ascii="Tahoma" w:hAnsi="Tahoma" w:cs="Tahoma"/>
        </w:rPr>
        <w:t>ToR</w:t>
      </w:r>
      <w:proofErr w:type="spellEnd"/>
      <w:r w:rsidRPr="00BC7267">
        <w:rPr>
          <w:rFonts w:ascii="Tahoma" w:hAnsi="Tahoma" w:cs="Tahoma"/>
        </w:rPr>
        <w:t xml:space="preserve"> and any subsequent engagement will be treated as strictly confidential and used solely for the purpose of this engagement. Both firms confirm that, to the best of their knowledge, there is no conflict of interest in undertaking this advisory role. A completed Supplier's Relationship Declaration Form (Annexure 2) will be submitted alongside this technical proposal, and any relationships identified will be disclosed in full an</w:t>
      </w:r>
      <w:r w:rsidRPr="00BC7267">
        <w:rPr>
          <w:rFonts w:ascii="Tahoma" w:hAnsi="Tahoma" w:cs="Tahoma"/>
        </w:rPr>
        <w:t>d in advance of engagement commencement.</w:t>
      </w:r>
    </w:p>
    <w:p w14:paraId="768542FE"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We have reviewed the Draft Agreement (Annexure 4) provided with the </w:t>
      </w:r>
      <w:proofErr w:type="spellStart"/>
      <w:r w:rsidRPr="00BC7267">
        <w:rPr>
          <w:rFonts w:ascii="Tahoma" w:hAnsi="Tahoma" w:cs="Tahoma"/>
        </w:rPr>
        <w:t>ToR</w:t>
      </w:r>
      <w:proofErr w:type="spellEnd"/>
      <w:r w:rsidRPr="00BC7267">
        <w:rPr>
          <w:rFonts w:ascii="Tahoma" w:hAnsi="Tahoma" w:cs="Tahoma"/>
        </w:rPr>
        <w:t xml:space="preserve"> and confirm our general acceptance of its structure; any specific comments will be raised through the Bank's designated negotiation process prior to contract execution. We acknowledge the submission process set out in Annexure 3 (Participation Manual) and will submit this technical proposal accordingly, excluding all pricing information as instructed in </w:t>
      </w:r>
      <w:proofErr w:type="spellStart"/>
      <w:r w:rsidRPr="00BC7267">
        <w:rPr>
          <w:rFonts w:ascii="Tahoma" w:hAnsi="Tahoma" w:cs="Tahoma"/>
        </w:rPr>
        <w:t>ToR</w:t>
      </w:r>
      <w:proofErr w:type="spellEnd"/>
      <w:r w:rsidRPr="00BC7267">
        <w:rPr>
          <w:rFonts w:ascii="Tahoma" w:hAnsi="Tahoma" w:cs="Tahoma"/>
        </w:rPr>
        <w:t xml:space="preserve"> Section 2.3.</w:t>
      </w:r>
    </w:p>
    <w:p w14:paraId="3D05577C" w14:textId="512C67CE" w:rsidR="00111D2F" w:rsidRPr="00BC7267" w:rsidRDefault="00E9729A" w:rsidP="00BC7267">
      <w:pPr>
        <w:pStyle w:val="Heading1"/>
        <w:jc w:val="both"/>
        <w:rPr>
          <w:rFonts w:ascii="Tahoma" w:hAnsi="Tahoma" w:cs="Tahoma"/>
        </w:rPr>
      </w:pPr>
      <w:bookmarkStart w:id="30" w:name="_Toc234500213"/>
      <w:r w:rsidRPr="00BC7267">
        <w:rPr>
          <w:rFonts w:ascii="Tahoma" w:hAnsi="Tahoma" w:cs="Tahoma"/>
        </w:rPr>
        <w:t>12. Closing Statement</w:t>
      </w:r>
      <w:bookmarkEnd w:id="30"/>
    </w:p>
    <w:p w14:paraId="10FA07CB"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 xml:space="preserve">ACNABIN and </w:t>
      </w:r>
      <w:proofErr w:type="spellStart"/>
      <w:r w:rsidRPr="00BC7267">
        <w:rPr>
          <w:rFonts w:ascii="Tahoma" w:hAnsi="Tahoma" w:cs="Tahoma"/>
        </w:rPr>
        <w:t>CipherShield</w:t>
      </w:r>
      <w:proofErr w:type="spellEnd"/>
      <w:r w:rsidRPr="00BC7267">
        <w:rPr>
          <w:rFonts w:ascii="Tahoma" w:hAnsi="Tahoma" w:cs="Tahoma"/>
        </w:rPr>
        <w:t xml:space="preserve"> welcome the opportunity to partner with BRAC Bank PLC on this important </w:t>
      </w:r>
      <w:proofErr w:type="spellStart"/>
      <w:r w:rsidRPr="00BC7267">
        <w:rPr>
          <w:rFonts w:ascii="Tahoma" w:hAnsi="Tahoma" w:cs="Tahoma"/>
        </w:rPr>
        <w:t>programme</w:t>
      </w:r>
      <w:proofErr w:type="spellEnd"/>
      <w:r w:rsidRPr="00BC7267">
        <w:rPr>
          <w:rFonts w:ascii="Tahoma" w:hAnsi="Tahoma" w:cs="Tahoma"/>
        </w:rPr>
        <w:t xml:space="preserve">. We believe our combined regulatory, banking, and AI/cyber technology expertise — already tested through joint delivery in the Bangladeshi banking sector — positions this consortium to deliver all three required outcomes to a standard the Bank can rely on for Board-level decision-making, while leaving the Bank fully equipped to own and evolve its AI </w:t>
      </w:r>
      <w:proofErr w:type="spellStart"/>
      <w:r w:rsidRPr="00BC7267">
        <w:rPr>
          <w:rFonts w:ascii="Tahoma" w:hAnsi="Tahoma" w:cs="Tahoma"/>
        </w:rPr>
        <w:t>programme</w:t>
      </w:r>
      <w:proofErr w:type="spellEnd"/>
      <w:r w:rsidRPr="00BC7267">
        <w:rPr>
          <w:rFonts w:ascii="Tahoma" w:hAnsi="Tahoma" w:cs="Tahoma"/>
        </w:rPr>
        <w:t xml:space="preserve"> independently.</w:t>
      </w:r>
    </w:p>
    <w:p w14:paraId="63099EC2" w14:textId="77777777" w:rsidR="00111D2F" w:rsidRPr="00BC7267" w:rsidRDefault="00E9729A" w:rsidP="00BC7267">
      <w:pPr>
        <w:spacing w:after="160" w:line="276" w:lineRule="auto"/>
        <w:jc w:val="both"/>
        <w:rPr>
          <w:rFonts w:ascii="Tahoma" w:hAnsi="Tahoma" w:cs="Tahoma"/>
        </w:rPr>
      </w:pPr>
      <w:r w:rsidRPr="00BC7267">
        <w:rPr>
          <w:rFonts w:ascii="Tahoma" w:hAnsi="Tahoma" w:cs="Tahoma"/>
        </w:rPr>
        <w:t>We look forward to discussing this proposal further and to answering any questions the Bank's evaluation committee may have.</w:t>
      </w:r>
    </w:p>
    <w:sectPr w:rsidR="00111D2F" w:rsidRPr="00BC7267" w:rsidSect="00BC7267">
      <w:headerReference w:type="even" r:id="rId7"/>
      <w:headerReference w:type="default" r:id="rId8"/>
      <w:footerReference w:type="even" r:id="rId9"/>
      <w:footerReference w:type="default" r:id="rId10"/>
      <w:headerReference w:type="first" r:id="rId11"/>
      <w:footerReference w:type="first" r:id="rId12"/>
      <w:pgSz w:w="11906" w:h="16838"/>
      <w:pgMar w:top="1440" w:right="1152" w:bottom="1296" w:left="1152"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DB33C" w14:textId="77777777" w:rsidR="001F38F6" w:rsidRDefault="001F38F6">
      <w:r>
        <w:separator/>
      </w:r>
    </w:p>
  </w:endnote>
  <w:endnote w:type="continuationSeparator" w:id="0">
    <w:p w14:paraId="45227940" w14:textId="77777777" w:rsidR="001F38F6" w:rsidRDefault="001F3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6E004" w14:textId="77777777" w:rsidR="00E9729A" w:rsidRDefault="00E972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81D5B" w14:textId="1E20CE1B" w:rsidR="00111D2F" w:rsidRDefault="00BC7267" w:rsidP="00BC7267">
    <w:pPr>
      <w:jc w:val="center"/>
    </w:pPr>
    <w:r w:rsidRPr="00BC7267">
      <w:rPr>
        <w:noProof/>
        <w:color w:val="808080"/>
        <w:sz w:val="16"/>
        <w:szCs w:val="16"/>
      </w:rPr>
      <w:drawing>
        <wp:anchor distT="0" distB="0" distL="114300" distR="114300" simplePos="0" relativeHeight="251660288" behindDoc="1" locked="0" layoutInCell="1" allowOverlap="1" wp14:anchorId="7A86BB6E" wp14:editId="46377950">
          <wp:simplePos x="0" y="0"/>
          <wp:positionH relativeFrom="column">
            <wp:posOffset>5329978</wp:posOffset>
          </wp:positionH>
          <wp:positionV relativeFrom="paragraph">
            <wp:posOffset>-41275</wp:posOffset>
          </wp:positionV>
          <wp:extent cx="956310" cy="324477"/>
          <wp:effectExtent l="0" t="0" r="0" b="0"/>
          <wp:wrapNone/>
          <wp:docPr id="25" name="Picture 24">
            <a:extLst xmlns:a="http://schemas.openxmlformats.org/drawingml/2006/main">
              <a:ext uri="{FF2B5EF4-FFF2-40B4-BE49-F238E27FC236}">
                <a16:creationId xmlns:a16="http://schemas.microsoft.com/office/drawing/2014/main" id="{CCE3DD5C-CC8E-4762-5A77-FA645F09DC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CCE3DD5C-CC8E-4762-5A77-FA645F09DC15}"/>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956310" cy="324477"/>
                  </a:xfrm>
                  <a:prstGeom prst="rect">
                    <a:avLst/>
                  </a:prstGeom>
                </pic:spPr>
              </pic:pic>
            </a:graphicData>
          </a:graphic>
          <wp14:sizeRelH relativeFrom="margin">
            <wp14:pctWidth>0</wp14:pctWidth>
          </wp14:sizeRelH>
          <wp14:sizeRelV relativeFrom="margin">
            <wp14:pctHeight>0</wp14:pctHeight>
          </wp14:sizeRelV>
        </wp:anchor>
      </w:drawing>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Pr>
        <w:noProof/>
        <w:color w:val="808080"/>
        <w:sz w:val="16"/>
        <w:szCs w:val="16"/>
      </w:rPr>
      <w:t>2</w:t>
    </w:r>
    <w:r>
      <w:rPr>
        <w:color w:val="808080"/>
        <w:sz w:val="16"/>
        <w:szCs w:val="16"/>
      </w:rPr>
      <w:fldChar w:fldCharType="end"/>
    </w:r>
    <w:r w:rsidRPr="00BC7267">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8BB79" w14:textId="77777777" w:rsidR="00E9729A" w:rsidRDefault="00E972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F7AA8" w14:textId="77777777" w:rsidR="001F38F6" w:rsidRDefault="001F38F6">
      <w:r>
        <w:separator/>
      </w:r>
    </w:p>
  </w:footnote>
  <w:footnote w:type="continuationSeparator" w:id="0">
    <w:p w14:paraId="26DF5E2F" w14:textId="77777777" w:rsidR="001F38F6" w:rsidRDefault="001F3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0F428" w14:textId="77777777" w:rsidR="00E9729A" w:rsidRDefault="00E972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874B2" w14:textId="589C266A" w:rsidR="00111D2F" w:rsidRPr="00BC7267" w:rsidRDefault="00BC7267" w:rsidP="00E9729A">
    <w:pPr>
      <w:pStyle w:val="Header"/>
      <w:tabs>
        <w:tab w:val="clear" w:pos="4680"/>
        <w:tab w:val="clear" w:pos="9360"/>
        <w:tab w:val="right" w:pos="7973"/>
      </w:tabs>
    </w:pPr>
    <w:r>
      <w:rPr>
        <w:noProof/>
      </w:rPr>
      <w:drawing>
        <wp:anchor distT="0" distB="0" distL="114300" distR="114300" simplePos="0" relativeHeight="251658240" behindDoc="1" locked="0" layoutInCell="1" allowOverlap="1" wp14:anchorId="3B7B9667" wp14:editId="38B15234">
          <wp:simplePos x="0" y="0"/>
          <wp:positionH relativeFrom="column">
            <wp:posOffset>5238750</wp:posOffset>
          </wp:positionH>
          <wp:positionV relativeFrom="paragraph">
            <wp:posOffset>-78105</wp:posOffset>
          </wp:positionV>
          <wp:extent cx="1273810" cy="321001"/>
          <wp:effectExtent l="0" t="0" r="254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810" cy="3210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267">
      <w:rPr>
        <w:noProof/>
      </w:rPr>
      <w:drawing>
        <wp:anchor distT="0" distB="0" distL="114300" distR="114300" simplePos="0" relativeHeight="251659264" behindDoc="1" locked="0" layoutInCell="1" allowOverlap="1" wp14:anchorId="7EBFEDEC" wp14:editId="0976C80C">
          <wp:simplePos x="0" y="0"/>
          <wp:positionH relativeFrom="column">
            <wp:posOffset>-241300</wp:posOffset>
          </wp:positionH>
          <wp:positionV relativeFrom="paragraph">
            <wp:posOffset>-90805</wp:posOffset>
          </wp:positionV>
          <wp:extent cx="1205865" cy="377825"/>
          <wp:effectExtent l="0" t="0" r="0" b="3175"/>
          <wp:wrapTight wrapText="bothSides">
            <wp:wrapPolygon edited="0">
              <wp:start x="1706" y="0"/>
              <wp:lineTo x="341" y="6534"/>
              <wp:lineTo x="341" y="13069"/>
              <wp:lineTo x="1706" y="20692"/>
              <wp:lineTo x="4777" y="20692"/>
              <wp:lineTo x="20815" y="18514"/>
              <wp:lineTo x="20815" y="3267"/>
              <wp:lineTo x="4777" y="0"/>
              <wp:lineTo x="1706" y="0"/>
            </wp:wrapPolygon>
          </wp:wrapTight>
          <wp:docPr id="24" name="Picture 23">
            <a:extLst xmlns:a="http://schemas.openxmlformats.org/drawingml/2006/main">
              <a:ext uri="{FF2B5EF4-FFF2-40B4-BE49-F238E27FC236}">
                <a16:creationId xmlns:a16="http://schemas.microsoft.com/office/drawing/2014/main" id="{06D7DDB1-7BE1-C288-C9BC-8D53B02F2D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06D7DDB1-7BE1-C288-C9BC-8D53B02F2D90}"/>
                      </a:ext>
                    </a:extLst>
                  </pic:cNvPr>
                  <pic:cNvPicPr>
                    <a:picLocks noChangeAspect="1"/>
                  </pic:cNvPicPr>
                </pic:nvPicPr>
                <pic:blipFill rotWithShape="1">
                  <a:blip r:embed="rId2">
                    <a:extLst>
                      <a:ext uri="{28A0092B-C50C-407E-A947-70E740481C1C}">
                        <a14:useLocalDpi xmlns:a14="http://schemas.microsoft.com/office/drawing/2010/main" val="0"/>
                      </a:ext>
                    </a:extLst>
                  </a:blip>
                  <a:srcRect t="10778" b="17693"/>
                  <a:stretch/>
                </pic:blipFill>
                <pic:spPr>
                  <a:xfrm>
                    <a:off x="0" y="0"/>
                    <a:ext cx="1205865" cy="377825"/>
                  </a:xfrm>
                  <a:prstGeom prst="rect">
                    <a:avLst/>
                  </a:prstGeom>
                </pic:spPr>
              </pic:pic>
            </a:graphicData>
          </a:graphic>
          <wp14:sizeRelH relativeFrom="margin">
            <wp14:pctWidth>0</wp14:pctWidth>
          </wp14:sizeRelH>
          <wp14:sizeRelV relativeFrom="margin">
            <wp14:pctHeight>0</wp14:pctHeight>
          </wp14:sizeRelV>
        </wp:anchor>
      </w:drawing>
    </w:r>
    <w:r w:rsidR="00E9729A">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CB3F7" w14:textId="77777777" w:rsidR="00E9729A" w:rsidRDefault="00E972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0D37C6"/>
    <w:multiLevelType w:val="hybridMultilevel"/>
    <w:tmpl w:val="B77453A4"/>
    <w:lvl w:ilvl="0" w:tplc="0DC2246E">
      <w:start w:val="1"/>
      <w:numFmt w:val="bullet"/>
      <w:lvlText w:val="●"/>
      <w:lvlJc w:val="left"/>
      <w:pPr>
        <w:ind w:left="720" w:hanging="360"/>
      </w:pPr>
    </w:lvl>
    <w:lvl w:ilvl="1" w:tplc="F9C80FDE">
      <w:start w:val="1"/>
      <w:numFmt w:val="bullet"/>
      <w:lvlText w:val="○"/>
      <w:lvlJc w:val="left"/>
      <w:pPr>
        <w:ind w:left="1440" w:hanging="360"/>
      </w:pPr>
    </w:lvl>
    <w:lvl w:ilvl="2" w:tplc="2E56DF96">
      <w:start w:val="1"/>
      <w:numFmt w:val="bullet"/>
      <w:lvlText w:val="■"/>
      <w:lvlJc w:val="left"/>
      <w:pPr>
        <w:ind w:left="2160" w:hanging="360"/>
      </w:pPr>
    </w:lvl>
    <w:lvl w:ilvl="3" w:tplc="FC04E2E6">
      <w:start w:val="1"/>
      <w:numFmt w:val="bullet"/>
      <w:lvlText w:val="●"/>
      <w:lvlJc w:val="left"/>
      <w:pPr>
        <w:ind w:left="2880" w:hanging="360"/>
      </w:pPr>
    </w:lvl>
    <w:lvl w:ilvl="4" w:tplc="54F49AA8">
      <w:start w:val="1"/>
      <w:numFmt w:val="bullet"/>
      <w:lvlText w:val="○"/>
      <w:lvlJc w:val="left"/>
      <w:pPr>
        <w:ind w:left="3600" w:hanging="360"/>
      </w:pPr>
    </w:lvl>
    <w:lvl w:ilvl="5" w:tplc="8BEA0D06">
      <w:start w:val="1"/>
      <w:numFmt w:val="bullet"/>
      <w:lvlText w:val="■"/>
      <w:lvlJc w:val="left"/>
      <w:pPr>
        <w:ind w:left="4320" w:hanging="360"/>
      </w:pPr>
    </w:lvl>
    <w:lvl w:ilvl="6" w:tplc="0C022D40">
      <w:start w:val="1"/>
      <w:numFmt w:val="bullet"/>
      <w:lvlText w:val="●"/>
      <w:lvlJc w:val="left"/>
      <w:pPr>
        <w:ind w:left="5040" w:hanging="360"/>
      </w:pPr>
    </w:lvl>
    <w:lvl w:ilvl="7" w:tplc="433CBE74">
      <w:start w:val="1"/>
      <w:numFmt w:val="bullet"/>
      <w:lvlText w:val="●"/>
      <w:lvlJc w:val="left"/>
      <w:pPr>
        <w:ind w:left="5760" w:hanging="360"/>
      </w:pPr>
    </w:lvl>
    <w:lvl w:ilvl="8" w:tplc="03C4D194">
      <w:start w:val="1"/>
      <w:numFmt w:val="bullet"/>
      <w:lvlText w:val="●"/>
      <w:lvlJc w:val="left"/>
      <w:pPr>
        <w:ind w:left="6480" w:hanging="360"/>
      </w:pPr>
    </w:lvl>
  </w:abstractNum>
  <w:num w:numId="1" w16cid:durableId="1814902744">
    <w:abstractNumId w:val="0"/>
    <w:lvlOverride w:ilvl="0">
      <w:startOverride w:val="1"/>
    </w:lvlOverride>
  </w:num>
  <w:num w:numId="2" w16cid:durableId="1787850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D2F"/>
    <w:rsid w:val="00111D2F"/>
    <w:rsid w:val="00123DA6"/>
    <w:rsid w:val="001F38F6"/>
    <w:rsid w:val="002A4B16"/>
    <w:rsid w:val="00AC262A"/>
    <w:rsid w:val="00BC7267"/>
    <w:rsid w:val="00E9729A"/>
    <w:rsid w:val="00F56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C72EE"/>
  <w15:docId w15:val="{7064BB50-AA32-4C4E-92A1-4B5287AB1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180" w:after="100"/>
      <w:outlineLvl w:val="2"/>
    </w:pPr>
    <w:rPr>
      <w:b/>
      <w:bCs/>
      <w:color w:val="B792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C7267"/>
    <w:pPr>
      <w:spacing w:after="100"/>
    </w:pPr>
  </w:style>
  <w:style w:type="paragraph" w:styleId="TOC2">
    <w:name w:val="toc 2"/>
    <w:basedOn w:val="Normal"/>
    <w:next w:val="Normal"/>
    <w:autoRedefine/>
    <w:uiPriority w:val="39"/>
    <w:unhideWhenUsed/>
    <w:rsid w:val="00BC7267"/>
    <w:pPr>
      <w:spacing w:after="100"/>
      <w:ind w:left="220"/>
    </w:pPr>
  </w:style>
  <w:style w:type="paragraph" w:styleId="TOC3">
    <w:name w:val="toc 3"/>
    <w:basedOn w:val="Normal"/>
    <w:next w:val="Normal"/>
    <w:autoRedefine/>
    <w:uiPriority w:val="39"/>
    <w:unhideWhenUsed/>
    <w:rsid w:val="00BC7267"/>
    <w:pPr>
      <w:spacing w:after="100"/>
      <w:ind w:left="440"/>
    </w:pPr>
  </w:style>
  <w:style w:type="paragraph" w:styleId="Header">
    <w:name w:val="header"/>
    <w:basedOn w:val="Normal"/>
    <w:link w:val="HeaderChar"/>
    <w:uiPriority w:val="99"/>
    <w:unhideWhenUsed/>
    <w:rsid w:val="00BC7267"/>
    <w:pPr>
      <w:tabs>
        <w:tab w:val="center" w:pos="4680"/>
        <w:tab w:val="right" w:pos="9360"/>
      </w:tabs>
    </w:pPr>
  </w:style>
  <w:style w:type="character" w:customStyle="1" w:styleId="HeaderChar">
    <w:name w:val="Header Char"/>
    <w:basedOn w:val="DefaultParagraphFont"/>
    <w:link w:val="Header"/>
    <w:uiPriority w:val="99"/>
    <w:rsid w:val="00BC7267"/>
  </w:style>
  <w:style w:type="paragraph" w:styleId="Footer">
    <w:name w:val="footer"/>
    <w:basedOn w:val="Normal"/>
    <w:link w:val="FooterChar"/>
    <w:uiPriority w:val="99"/>
    <w:unhideWhenUsed/>
    <w:rsid w:val="00BC7267"/>
    <w:pPr>
      <w:tabs>
        <w:tab w:val="center" w:pos="4680"/>
        <w:tab w:val="right" w:pos="9360"/>
      </w:tabs>
    </w:pPr>
  </w:style>
  <w:style w:type="character" w:customStyle="1" w:styleId="FooterChar">
    <w:name w:val="Footer Char"/>
    <w:basedOn w:val="DefaultParagraphFont"/>
    <w:link w:val="Footer"/>
    <w:uiPriority w:val="99"/>
    <w:rsid w:val="00BC7267"/>
  </w:style>
  <w:style w:type="table" w:styleId="ListTable3-Accent1">
    <w:name w:val="List Table 3 Accent 1"/>
    <w:basedOn w:val="TableNormal"/>
    <w:uiPriority w:val="48"/>
    <w:rsid w:val="00AC262A"/>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4820</Words>
  <Characters>27480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Sakibur Rahman</cp:lastModifiedBy>
  <cp:revision>3</cp:revision>
  <dcterms:created xsi:type="dcterms:W3CDTF">2026-07-09T08:33:00Z</dcterms:created>
  <dcterms:modified xsi:type="dcterms:W3CDTF">2026-07-19T10:44:00Z</dcterms:modified>
</cp:coreProperties>
</file>