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0B2545"/>
          <w:sz w:val="36"/>
          <w:szCs w:val="36"/>
        </w:rPr>
        <w:t xml:space="preserve">ACNABIN</w:t>
      </w:r>
    </w:p>
    <w:p>
      <w:pPr>
        <w:spacing w:after="20"/>
        <w:jc w:val="center"/>
      </w:pPr>
      <w:r>
        <w:rPr>
          <w:i/>
          <w:iCs/>
          <w:color w:val="444444"/>
          <w:sz w:val="18"/>
          <w:szCs w:val="18"/>
        </w:rPr>
        <w:t xml:space="preserve">Chartered Accountants — A Member of Baker Tilly International</w:t>
      </w:r>
    </w:p>
    <w:p>
      <w:pPr>
        <w:spacing w:after="20"/>
        <w:jc w:val="center"/>
      </w:pPr>
      <w:r>
        <w:rPr>
          <w:i/>
          <w:iCs/>
          <w:color w:val="444444"/>
          <w:sz w:val="18"/>
          <w:szCs w:val="18"/>
        </w:rPr>
        <w:t xml:space="preserve">in consortium with</w:t>
      </w:r>
    </w:p>
    <w:p>
      <w:pPr>
        <w:spacing w:after="200"/>
        <w:jc w:val="center"/>
      </w:pPr>
      <w:r>
        <w:rPr>
          <w:b/>
          <w:bCs/>
          <w:color w:val="B08D57"/>
          <w:sz w:val="30"/>
          <w:szCs w:val="30"/>
        </w:rPr>
        <w:t xml:space="preserve">CipherShield</w:t>
      </w:r>
    </w:p>
    <w:p>
      <w:pPr>
        <w:pBdr>
          <w:bottom w:val="single" w:color="B08D57" w:sz="10" w:space="8"/>
        </w:pBdr>
        <w:spacing w:after="300"/>
      </w:pPr>
      <w:r>
        <w:t xml:space="preserve"/>
      </w:r>
    </w:p>
    <w:p>
      <w:pPr>
        <w:spacing w:after="100" w:before="100"/>
        <w:jc w:val="center"/>
      </w:pPr>
      <w:r>
        <w:rPr>
          <w:b/>
          <w:bCs/>
          <w:color w:val="0B2545"/>
          <w:sz w:val="32"/>
          <w:szCs w:val="32"/>
        </w:rPr>
        <w:t xml:space="preserve">COMMERCIAL PROPOSAL</w:t>
      </w:r>
    </w:p>
    <w:p>
      <w:pPr>
        <w:spacing w:after="200"/>
        <w:jc w:val="center"/>
      </w:pPr>
      <w:r>
        <w:rPr>
          <w:b/>
          <w:bCs/>
          <w:color w:val="444444"/>
          <w:sz w:val="21"/>
          <w:szCs w:val="21"/>
        </w:rPr>
        <w:t xml:space="preserve">Consulting, Implementing &amp; Re-Certification of PCI DSS to NCC Bank PLC</w:t>
      </w:r>
    </w:p>
    <w:p>
      <w:pPr>
        <w:spacing w:after="200" w:before="200"/>
        <w:jc w:val="center"/>
      </w:pPr>
      <w:r>
        <w:rPr>
          <w:b/>
          <w:bCs/>
          <w:color w:val="0B2545"/>
          <w:sz w:val="20"/>
          <w:szCs w:val="20"/>
        </w:rPr>
        <w:t xml:space="preserve">Envelope 2: ORIGINAL — Commercial Proposal</w:t>
      </w:r>
    </w:p>
    <w:tbl>
      <w:tblPr>
        <w:tblW w:type="dxa" w:w="85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b/>
                <w:bCs/>
                <w:color w:val="0B2545"/>
                <w:sz w:val="19"/>
                <w:szCs w:val="19"/>
              </w:rPr>
              <w:t xml:space="preserve">Reference Number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NCCBPLC/CSD/Y26/009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b/>
                <w:bCs/>
                <w:color w:val="0B2545"/>
                <w:sz w:val="19"/>
                <w:szCs w:val="19"/>
              </w:rPr>
              <w:t xml:space="preserve">Prime Bidder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ACNABIN, Chartered Accountants (Baker Tilly International)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b/>
                <w:bCs/>
                <w:color w:val="0B2545"/>
                <w:sz w:val="19"/>
                <w:szCs w:val="19"/>
              </w:rPr>
              <w:t xml:space="preserve">Consortium Partner (QSA)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CipherShield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b/>
                <w:bCs/>
                <w:color w:val="0B2545"/>
                <w:sz w:val="19"/>
                <w:szCs w:val="19"/>
              </w:rPr>
              <w:t xml:space="preserve">Submission Date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On or before 28 July 2026, 03:00 PM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0B2545"/>
          <w:sz w:val="27"/>
          <w:szCs w:val="27"/>
        </w:rPr>
        <w:t xml:space="preserve">Declaration of Financial Proposal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color w:val="444444"/>
          <w:sz w:val="21"/>
          <w:szCs w:val="21"/>
        </w:rPr>
        <w:t xml:space="preserve">I / We declare that we accept all the Terms and Conditions (including technical, functional &amp; contract) as mentioned in the RFP Document, and that this Financial Proposal is submitted without any conditions, strictly as per the RFP.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color w:val="444444"/>
          <w:sz w:val="21"/>
          <w:szCs w:val="21"/>
        </w:rPr>
        <w:t xml:space="preserve">Signature of the Bidder with Seal
Name of Authorized Signatory: _____________________
Title: _____________________
Name of Bidder/Company: ACNABIN (Prime Bidder), for the ACNABIN–CipherShield Consortium
Date: _____________________          Phone/Mobile: _____________________          Email: _____________________</w:t>
      </w:r>
    </w:p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0B2545"/>
          <w:sz w:val="27"/>
          <w:szCs w:val="27"/>
        </w:rPr>
        <w:t xml:space="preserve">Price Form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color w:val="444444"/>
          <w:sz w:val="21"/>
          <w:szCs w:val="21"/>
        </w:rPr>
        <w:t xml:space="preserve">To the Head of Common Services Division, National Credit and Commerce Bank PLC — we submit our Proposal per Annexure-II, within the time specified and per RFP Terms and Conditions. Rates quoted below.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900"/>
        <w:gridCol w:w="1850"/>
        <w:gridCol w:w="1850"/>
      </w:tblGrid>
      <w:tr>
        <w:trPr>
          <w:tblHeader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 Description / Scope of Work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Unit Cost (BDT, incl. VAT)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Cost (BDT, incl. VAT)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7"/>
                <w:szCs w:val="17"/>
              </w:rPr>
              <w:t xml:space="preserve">PCI DSS Consulting, Implementation and Certification —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Gap ID vs PCI DSS v4.0.1 • Scope finalization • Gap remediation consultancy • Pre-assessment • Final QSA assessment &amp; ROC/AOC/COC • Internal &amp; external VA (quarterly) • Quarterly external ASV scan • Card Data Discovery • Re-scan/re-validation • Internal &amp; external PT and segmentation testing • Configuration review • Application/API PT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Bundle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32,00,000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32,00,000</w:t>
            </w:r>
          </w:p>
        </w:tc>
      </w:tr>
    </w:tbl>
    <w:p>
      <w:pPr>
        <w:spacing w:after="100" w:before="1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2600"/>
      </w:tblGrid>
      <w:tr>
        <w:trPr>
          <w:tblHeader/>
        </w:trPr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Grand Total — 1st Year (BDT, incl. VAT/Taxes)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BDT 32,00,000</w:t>
            </w:r>
          </w:p>
        </w:tc>
      </w:tr>
      <w:tr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Quoted in Words (1st Year)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Taka Thirty-Two Lakh only</w:t>
            </w:r>
          </w:p>
        </w:tc>
      </w:tr>
      <w:tr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Grand Total — 2nd Year (BDT, incl. VAT/Taxes)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BDT 26,00,000</w:t>
            </w:r>
          </w:p>
        </w:tc>
      </w:tr>
      <w:tr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Quoted in Words (2nd Year)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Taka Twenty-Six Lakh only</w:t>
            </w:r>
          </w:p>
        </w:tc>
      </w:tr>
      <w:tr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Grand Total — 3rd Year (BDT, incl. VAT/Taxes)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BDT 26,00,000</w:t>
            </w:r>
          </w:p>
        </w:tc>
      </w:tr>
      <w:tr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Quoted in Words (3rd Year)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Taka Twenty-Six Lakh only</w:t>
            </w:r>
          </w:p>
        </w:tc>
      </w:tr>
    </w:tbl>
    <w:p>
      <w:pPr>
        <w:spacing w:before="120"/>
      </w:pPr>
      <w:r>
        <w:rPr>
          <w:i/>
          <w:iCs/>
          <w:color w:val="444444"/>
          <w:sz w:val="18"/>
          <w:szCs w:val="18"/>
        </w:rPr>
        <w:t xml:space="preserve">Note: PCI SSC ISA Certification support (1 employee) additionally quoted at USD 3,000 or at actual, whichever is higher, per year, consistent with standard QSA/ISA certification cost practice.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color w:val="444444"/>
          <w:sz w:val="21"/>
          <w:szCs w:val="21"/>
        </w:rPr>
        <w:t xml:space="preserve">VAT, Taxes &amp; Duties: Included   |   Gap Remediation &amp; Training Lead Time: 45 working days from PO   |   Certificate Delivery Lead Time: 30 working days from Gap Remediation   |   Offer Validity: 180 days</w:t>
      </w:r>
    </w:p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0B2545"/>
          <w:sz w:val="27"/>
          <w:szCs w:val="27"/>
        </w:rPr>
        <w:t xml:space="preserve">Payment Terms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color w:val="444444"/>
          <w:sz w:val="21"/>
          <w:szCs w:val="21"/>
        </w:rPr>
        <w:t xml:space="preserve">Year 1: 30% on PO issuance &amp; sign-off of Project Plan/Scope/Gap Assessment Report; 30% on completion of Gap Remediation &amp; Training; 40% after delivering the Re-Certificate of PCI DSS.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color w:val="444444"/>
          <w:sz w:val="21"/>
          <w:szCs w:val="21"/>
        </w:rPr>
        <w:t xml:space="preserve">Years 2–3: 30% after completion of 1st &amp; 2nd Quarter activities; 70% after delivering the Certificate (AOC, ROC, COC).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color w:val="444444"/>
          <w:sz w:val="21"/>
          <w:szCs w:val="21"/>
        </w:rPr>
        <w:t xml:space="preserve">Payment Currency: BDT, paid to ACNABIN as Bangladesh-registered Prime Bidder.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color w:val="444444"/>
          <w:sz w:val="21"/>
          <w:szCs w:val="21"/>
        </w:rPr>
        <w:t xml:space="preserve">Penalty: 0.05% of PO/Contract value per calendar day of delay, capped at 25% of PO/Contract value, or cancellation of the PO.</w:t>
      </w:r>
    </w:p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0B2545"/>
          <w:sz w:val="27"/>
          <w:szCs w:val="27"/>
        </w:rPr>
        <w:t xml:space="preserve">Eligibility Criteria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color w:val="444444"/>
          <w:sz w:val="21"/>
          <w:szCs w:val="21"/>
        </w:rPr>
        <w:t xml:space="preserve">Supporting documents proving eligibility per Annexure-I, Part-B, SL#1 are submitted with the Technical Proposal (Envelope 1), as pricing is excluded from that envelope per RFP instructions.</w:t>
      </w:r>
    </w:p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0B2545"/>
          <w:sz w:val="27"/>
          <w:szCs w:val="27"/>
        </w:rPr>
        <w:t xml:space="preserve">Project Time Schedule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00"/>
      </w:tblGrid>
      <w:tr>
        <w:trPr>
          <w:tblHeader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Working Days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Identify gap against PCI DSS latest 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Consultancy for Gap Remediation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Pre-Audit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Final Audit and Issuing RoC, AoC, CoC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Internal &amp; External VA (Quarterly)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10 per cycle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Card Data Discovery (CDD) Scan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Internal &amp; External PT with Segmentation Testing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Delivering Certificate of PCI DSS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Maximum time frame — PO date to Go-Live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120</w:t>
            </w:r>
          </w:p>
        </w:tc>
      </w:tr>
    </w:tbl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0B2545"/>
          <w:sz w:val="27"/>
          <w:szCs w:val="27"/>
        </w:rPr>
        <w:t xml:space="preserve">Bid Security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color w:val="444444"/>
          <w:sz w:val="21"/>
          <w:szCs w:val="21"/>
        </w:rPr>
        <w:t xml:space="preserve">BDT 1,00,000 Bank Guarantee favouring National Credit and Commerce Bank PLC, valid 6 months from bid opening date, attached in original with this Commercial Proposal (photocopy submitted with Technical Proposal).</w:t>
      </w:r>
    </w:p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0B2545"/>
          <w:sz w:val="27"/>
          <w:szCs w:val="27"/>
        </w:rPr>
        <w:t xml:space="preserve">Data / Information with Supporting Documents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700"/>
        <w:gridCol w:w="2400"/>
        <w:gridCol w:w="20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S/N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 of Organization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Organization 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 of Product/Services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Contact Person &amp; Mobile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ACNABIN, Chartered Accountants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Prime Bidder / Local Partner (CA Firm)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Local project governance, assurance &amp; coordination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[Contact / Number]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CipherShield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Consortium Partner — PCI SSC QSA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PCI DSS consulting, gap assessment, CDD, PT, ROC/AOC/COC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Ruman Sarawer</w:t>
            </w:r>
          </w:p>
        </w:tc>
      </w:tr>
    </w:tbl>
    <w:p>
      <w:pPr>
        <w:spacing w:after="60" w:before="160"/>
      </w:pPr>
      <w:r>
        <w:rPr>
          <w:b/>
          <w:bCs/>
          <w:color w:val="0B2545"/>
          <w:sz w:val="20"/>
          <w:szCs w:val="20"/>
        </w:rPr>
        <w:t xml:space="preserve">Financial Strength — Last 3 Years' Revenue (BDT)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270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Financial Year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Principal (CipherShield)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Local Partner (ACNABIN)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2025–26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[______]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[______]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2024–25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[______]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[______]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2023–24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[______]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[______]</w:t>
            </w:r>
          </w:p>
        </w:tc>
      </w:tr>
    </w:tbl>
    <w:p>
      <w:pPr>
        <w:spacing w:after="60" w:before="160"/>
      </w:pPr>
      <w:r>
        <w:rPr>
          <w:b/>
          <w:bCs/>
          <w:color w:val="0B2545"/>
          <w:sz w:val="20"/>
          <w:szCs w:val="20"/>
        </w:rPr>
        <w:t xml:space="preserve">Resource Strength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270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ACNABIN (Local Partner)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CipherShield (Principal)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Management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8 Partners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[__]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Professional Staff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184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[__]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Articled Students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373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Total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493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[__]</w:t>
            </w:r>
          </w:p>
        </w:tc>
      </w:tr>
    </w:tbl>
    <w:p>
      <w:pPr>
        <w:spacing w:after="60" w:before="160"/>
      </w:pPr>
      <w:r>
        <w:rPr>
          <w:b/>
          <w:bCs/>
          <w:color w:val="0B2545"/>
          <w:sz w:val="20"/>
          <w:szCs w:val="20"/>
        </w:rPr>
        <w:t xml:space="preserve">Company Establishment &amp; Footprint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9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ACNABIN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CipherShield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Establishment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1985 (41+ years)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[Year]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Footprint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Dhaka, Bangladesh; Baker Tilly International network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Australia HQ; APAC incl. Bangladesh (NRB Bank)</w:t>
            </w:r>
          </w:p>
        </w:tc>
      </w:tr>
    </w:tbl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0B2545"/>
          <w:sz w:val="27"/>
          <w:szCs w:val="27"/>
        </w:rPr>
        <w:t xml:space="preserve">List of Technical Resources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17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Resource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Certified PCI QSA Resources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Other Certifications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Non-Certified Resources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5 (CipherShield core team)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Muhammad Asaduzzaman, Haidar Memon, Fouzan Shaikh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CISSP, CISA, CISM, CRISC, CDPSE, ISO 27001/27701/42001 Lead Auditor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9"/>
                <w:szCs w:val="19"/>
              </w:rPr>
              <w:t xml:space="preserve">Sabah Ali, Ruman Sarawer</w:t>
            </w:r>
          </w:p>
        </w:tc>
      </w:tr>
    </w:tbl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0B2545"/>
          <w:sz w:val="27"/>
          <w:szCs w:val="27"/>
        </w:rPr>
        <w:t xml:space="preserve">Evaluation Parameters — Acknowledged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color w:val="444444"/>
          <w:sz w:val="21"/>
          <w:szCs w:val="21"/>
        </w:rPr>
        <w:t xml:space="preserve">Technology &amp; Platform • Project Management Approach • Support Matrix &amp; SLA • Past Bank Experience • Information Security Approach • BCP &amp; Resource Capability • Warranty • Delivery Lead Time • Client References • Escalation Matrix • Governance &amp; Financial Capability.</w:t>
      </w:r>
    </w:p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0B2545"/>
          <w:sz w:val="27"/>
          <w:szCs w:val="27"/>
        </w:rPr>
        <w:t xml:space="preserve">Declaration and Signature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color w:val="444444"/>
          <w:sz w:val="21"/>
          <w:szCs w:val="21"/>
        </w:rPr>
        <w:t xml:space="preserve">Submitted strictly per RFP Terms and Conditions; all figures inclusive of VAT, Taxes, and applicable duties per the laws of Bangladesh.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color w:val="444444"/>
          <w:sz w:val="21"/>
          <w:szCs w:val="21"/>
        </w:rPr>
        <w:t xml:space="preserve">Signature of the Bidder with Seal
Name: _____________________     Title: _____________________
Company: ACNABIN, for the ACNABIN–CipherShield Consortium
Date: _____________________</w:t>
      </w:r>
    </w:p>
    <w:sectPr>
      <w:headerReference w:type="default" r:id="rId7"/>
      <w:footerReference w:type="default" r:id="rId8"/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8D57" w:sz="4" w:space="4"/>
      </w:pBdr>
      <w:tabs>
        <w:tab w:val="right" w:pos="9026"/>
      </w:tabs>
    </w:pPr>
    <w:r>
      <w:rPr>
        <w:color w:val="444444"/>
        <w:sz w:val="16"/>
        <w:szCs w:val="16"/>
      </w:rPr>
      <w:t xml:space="preserve">Confidential — Commercial</w:t>
    </w:r>
    <w:r>
      <w:rPr>
        <w:color w:val="444444"/>
        <w:sz w:val="16"/>
        <w:szCs w:val="16"/>
      </w:rPr>
      <w:t xml:space="preserve">	Page </w:t>
    </w:r>
    <w:r>
      <w:rPr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4444"/>
        <w:sz w:val="16"/>
        <w:szCs w:val="16"/>
      </w:rPr>
      <w:t xml:space="preserve"> of </w:t>
    </w:r>
    <w:r>
      <w:rPr>
        <w:color w:val="44444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8D57" w:sz="4" w:space="4"/>
      </w:pBdr>
      <w:tabs>
        <w:tab w:val="right" w:pos="9026"/>
      </w:tabs>
    </w:pPr>
    <w:r>
      <w:rPr>
        <w:b/>
        <w:bCs/>
        <w:color w:val="0B2545"/>
        <w:sz w:val="16"/>
        <w:szCs w:val="16"/>
      </w:rPr>
      <w:t xml:space="preserve">ACNABIN – CipherShield Consortium</w:t>
    </w:r>
    <w:r>
      <w:rPr>
        <w:color w:val="444444"/>
        <w:sz w:val="16"/>
        <w:szCs w:val="16"/>
      </w:rPr>
      <w:t xml:space="preserve">	NCCBPLC/CSD/Y26/009 — Envelope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2026-07-23T07:33:29.115Z</dcterms:created>
  <dcterms:modified xsi:type="dcterms:W3CDTF">2026-07-23T07:33:29.130Z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