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500"/>
        <w:jc w:val="center"/>
      </w:pPr>
      <w:r>
        <w:drawing>
          <wp:inline distT="0" distB="0" distL="0" distR="0">
            <wp:extent cx="2667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790575"/>
                    </a:xfrm>
                    <a:prstGeom prst="rect">
                      <a:avLst/>
                    </a:prstGeom>
                  </pic:spPr>
                </pic:pic>
              </a:graphicData>
            </a:graphic>
          </wp:inline>
        </w:drawing>
      </w:r>
    </w:p>
    <w:p>
      <w:pPr>
        <w:spacing w:after="300"/>
        <w:jc w:val="center"/>
      </w:pPr>
      <w:r>
        <w:rPr>
          <w:rFonts w:ascii="Times New Roman" w:cs="Times New Roman" w:eastAsia="Times New Roman" w:hAnsi="Times New Roman"/>
          <w:b/>
          <w:bCs/>
          <w:color w:val="1F3864"/>
          <w:sz w:val="40"/>
          <w:szCs w:val="40"/>
        </w:rPr>
        <w:t xml:space="preserve">TECHNICAL PROPOSAL</w:t>
      </w:r>
    </w:p>
    <w:p>
      <w:pPr>
        <w:spacing w:after="200"/>
        <w:jc w:val="center"/>
      </w:pPr>
      <w:r>
        <w:rPr>
          <w:rFonts w:ascii="Times New Roman" w:cs="Times New Roman" w:eastAsia="Times New Roman" w:hAnsi="Times New Roman"/>
          <w:i/>
          <w:iCs/>
          <w:sz w:val="24"/>
          <w:szCs w:val="24"/>
        </w:rPr>
        <w:t xml:space="preserve">for</w:t>
      </w:r>
    </w:p>
    <w:p>
      <w:pPr>
        <w:spacing w:after="100"/>
        <w:jc w:val="center"/>
      </w:pPr>
      <w:r>
        <w:rPr>
          <w:rFonts w:ascii="Times New Roman" w:cs="Times New Roman" w:eastAsia="Times New Roman" w:hAnsi="Times New Roman"/>
          <w:b/>
          <w:bCs/>
          <w:sz w:val="26"/>
          <w:szCs w:val="26"/>
        </w:rPr>
        <w:t xml:space="preserve">Consultancy for Strengthening the Governance and Institutional Framework of</w:t>
      </w:r>
    </w:p>
    <w:p>
      <w:pPr>
        <w:spacing w:after="400"/>
        <w:jc w:val="center"/>
      </w:pPr>
      <w:r>
        <w:rPr>
          <w:rFonts w:ascii="Times New Roman" w:cs="Times New Roman" w:eastAsia="Times New Roman" w:hAnsi="Times New Roman"/>
          <w:b/>
          <w:bCs/>
          <w:color w:val="1F3864"/>
          <w:sz w:val="30"/>
          <w:szCs w:val="30"/>
        </w:rPr>
        <w:t xml:space="preserve">BANGLADESH YOUTH COALITION (BYC)</w:t>
      </w:r>
    </w:p>
    <w:p>
      <w:pPr>
        <w:spacing w:after="500"/>
        <w:jc w:val="center"/>
      </w:pPr>
      <w:r>
        <w:rPr>
          <w:rFonts w:ascii="Times New Roman" w:cs="Times New Roman" w:eastAsia="Times New Roman" w:hAnsi="Times New Roman"/>
          <w:i/>
          <w:iCs/>
          <w:sz w:val="22"/>
          <w:szCs w:val="22"/>
        </w:rPr>
        <w:t xml:space="preserve">Development of a Signature-Ready Memorandum of Understanding and an Annexure-Based Governance Package (Annexures 1–8)</w:t>
      </w:r>
    </w:p>
    <w:p>
      <w:pPr>
        <w:spacing w:after="80"/>
        <w:jc w:val="center"/>
      </w:pPr>
      <w:r>
        <w:rPr>
          <w:rFonts w:ascii="Times New Roman" w:cs="Times New Roman" w:eastAsia="Times New Roman" w:hAnsi="Times New Roman"/>
          <w:sz w:val="22"/>
          <w:szCs w:val="22"/>
        </w:rPr>
        <w:t xml:space="preserve">Submitted to:</w:t>
      </w:r>
    </w:p>
    <w:p>
      <w:pPr>
        <w:spacing w:after="20"/>
        <w:jc w:val="center"/>
      </w:pPr>
      <w:r>
        <w:rPr>
          <w:rFonts w:ascii="Times New Roman" w:cs="Times New Roman" w:eastAsia="Times New Roman" w:hAnsi="Times New Roman"/>
          <w:b/>
          <w:bCs/>
          <w:sz w:val="24"/>
          <w:szCs w:val="24"/>
        </w:rPr>
        <w:t xml:space="preserve">Youth For Change Bangladesh Foundation (YFC-BD)</w:t>
      </w:r>
    </w:p>
    <w:p>
      <w:pPr>
        <w:spacing w:after="20"/>
        <w:jc w:val="center"/>
      </w:pPr>
      <w:r>
        <w:rPr>
          <w:rFonts w:ascii="Times New Roman" w:cs="Times New Roman" w:eastAsia="Times New Roman" w:hAnsi="Times New Roman"/>
          <w:sz w:val="22"/>
          <w:szCs w:val="22"/>
        </w:rPr>
        <w:t xml:space="preserve">Secretariat, Bangladesh Youth Coalition (BYC)</w:t>
      </w:r>
    </w:p>
    <w:p>
      <w:pPr>
        <w:spacing w:after="400"/>
        <w:jc w:val="center"/>
      </w:pPr>
      <w:r>
        <w:rPr>
          <w:rFonts w:ascii="Times New Roman" w:cs="Times New Roman" w:eastAsia="Times New Roman" w:hAnsi="Times New Roman"/>
          <w:sz w:val="20"/>
          <w:szCs w:val="20"/>
        </w:rPr>
        <w:t xml:space="preserve">3rd Floor, House No. 33, Road No. 02, Janata Housing Society, Adabor, Dhaka-1207</w:t>
      </w:r>
    </w:p>
    <w:p>
      <w:pPr>
        <w:spacing w:after="80"/>
        <w:jc w:val="center"/>
      </w:pPr>
      <w:r>
        <w:rPr>
          <w:rFonts w:ascii="Times New Roman" w:cs="Times New Roman" w:eastAsia="Times New Roman" w:hAnsi="Times New Roman"/>
          <w:sz w:val="22"/>
          <w:szCs w:val="22"/>
        </w:rPr>
        <w:t xml:space="preserve">Submitted by:</w:t>
      </w:r>
    </w:p>
    <w:p>
      <w:pPr>
        <w:spacing w:after="20"/>
        <w:jc w:val="center"/>
      </w:pPr>
      <w:r>
        <w:rPr>
          <w:rFonts w:ascii="Times New Roman" w:cs="Times New Roman" w:eastAsia="Times New Roman" w:hAnsi="Times New Roman"/>
          <w:b/>
          <w:bCs/>
          <w:sz w:val="24"/>
          <w:szCs w:val="24"/>
        </w:rPr>
        <w:t xml:space="preserve">ACNABIN, Chartered Accountants</w:t>
      </w:r>
    </w:p>
    <w:p>
      <w:pPr>
        <w:spacing w:after="20"/>
        <w:jc w:val="center"/>
      </w:pPr>
      <w:r>
        <w:rPr>
          <w:rFonts w:ascii="Times New Roman" w:cs="Times New Roman" w:eastAsia="Times New Roman" w:hAnsi="Times New Roman"/>
          <w:i/>
          <w:iCs/>
          <w:sz w:val="20"/>
          <w:szCs w:val="20"/>
        </w:rPr>
        <w:t xml:space="preserve">An Independent Member Firm of Baker Tilly International</w:t>
      </w:r>
    </w:p>
    <w:p>
      <w:pPr>
        <w:spacing w:after="400"/>
        <w:jc w:val="center"/>
      </w:pPr>
      <w:r>
        <w:rPr>
          <w:rFonts w:ascii="Times New Roman" w:cs="Times New Roman" w:eastAsia="Times New Roman" w:hAnsi="Times New Roman"/>
          <w:sz w:val="20"/>
          <w:szCs w:val="20"/>
        </w:rPr>
        <w:t xml:space="preserve">BDBL Bhaban (Level-13 &amp; 15), 12 Kawran Bazar Commercial Area, Dhaka-1215</w:t>
      </w:r>
    </w:p>
    <w:tbl>
      <w:tblPr>
        <w:tblW w:type="dxa" w:w="9360"/>
        <w:tblBorders>
          <w:top w:val="single" w:color="1F3864" w:sz="6"/>
          <w:left w:val="single" w:color="1F3864" w:sz="6"/>
          <w:bottom w:val="single" w:color="1F3864" w:sz="6"/>
          <w:right w:val="single" w:color="1F3864" w:sz="6"/>
          <w:insideH w:val="single" w:color="999999" w:sz="4"/>
          <w:insideV w:val="single" w:color="999999" w:sz="4"/>
        </w:tblBorders>
      </w:tblPr>
      <w:tblGrid>
        <w:gridCol w:w="4680"/>
        <w:gridCol w:w="4680"/>
      </w:tblGrid>
      <w:tr>
        <w:tc>
          <w:tcPr>
            <w:tcW w:type="dxa" w:w="468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Contact Info</w:t>
            </w:r>
          </w:p>
        </w:tc>
        <w:tc>
          <w:tcPr>
            <w:tcW w:type="dxa" w:w="468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Secondary Contact</w:t>
            </w:r>
          </w:p>
        </w:tc>
      </w:tr>
      <w:tr>
        <w:tc>
          <w:tcPr>
            <w:tcW w:type="dxa" w:w="4680"/>
            <w:tcMar>
              <w:top w:type="dxa" w:w="80"/>
              <w:left w:type="dxa" w:w="100"/>
              <w:bottom w:type="dxa" w:w="80"/>
              <w:right w:type="dxa" w:w="100"/>
            </w:tcMar>
            <w:vAlign w:val="center"/>
          </w:tcPr>
          <w:p>
            <w:pPr>
              <w:spacing w:after="60"/>
              <w:jc w:val="center"/>
            </w:pPr>
            <w:r>
              <w:rPr>
                <w:rFonts w:ascii="Times New Roman" w:cs="Times New Roman" w:eastAsia="Times New Roman" w:hAnsi="Times New Roman"/>
                <w:sz w:val="20"/>
                <w:szCs w:val="20"/>
              </w:rPr>
              <w:t xml:space="preserve">[Partner/Director Name, FCA] — TO BE PROVIDED</w:t>
            </w:r>
          </w:p>
          <w:p>
            <w:pPr>
              <w:spacing w:after="60"/>
              <w:jc w:val="center"/>
            </w:pPr>
            <w:r>
              <w:rPr>
                <w:rFonts w:ascii="Times New Roman" w:cs="Times New Roman" w:eastAsia="Times New Roman" w:hAnsi="Times New Roman"/>
                <w:sz w:val="20"/>
                <w:szCs w:val="20"/>
              </w:rPr>
              <w:t xml:space="preserve">Designation — TO BE PROVIDED</w:t>
            </w:r>
          </w:p>
          <w:p>
            <w:pPr>
              <w:spacing w:after="60"/>
              <w:jc w:val="center"/>
            </w:pPr>
            <w:r>
              <w:rPr>
                <w:rFonts w:ascii="Times New Roman" w:cs="Times New Roman" w:eastAsia="Times New Roman" w:hAnsi="Times New Roman"/>
                <w:sz w:val="20"/>
                <w:szCs w:val="20"/>
              </w:rPr>
              <w:t xml:space="preserve">ACNABIN, Chartered Accountants</w:t>
            </w:r>
          </w:p>
          <w:p>
            <w:pPr>
              <w:spacing w:after="60"/>
              <w:jc w:val="center"/>
            </w:pPr>
            <w:r>
              <w:rPr>
                <w:rFonts w:ascii="Times New Roman" w:cs="Times New Roman" w:eastAsia="Times New Roman" w:hAnsi="Times New Roman"/>
                <w:sz w:val="20"/>
                <w:szCs w:val="20"/>
              </w:rPr>
              <w:t xml:space="preserve">Email: [TO BE PROVIDED]</w:t>
            </w:r>
          </w:p>
          <w:p>
            <w:pPr>
              <w:spacing w:after="60"/>
              <w:jc w:val="center"/>
            </w:pPr>
            <w:r>
              <w:rPr>
                <w:rFonts w:ascii="Times New Roman" w:cs="Times New Roman" w:eastAsia="Times New Roman" w:hAnsi="Times New Roman"/>
                <w:sz w:val="20"/>
                <w:szCs w:val="20"/>
              </w:rPr>
              <w:t xml:space="preserve">Phone: [TO BE PROVIDED]</w:t>
            </w:r>
          </w:p>
        </w:tc>
        <w:tc>
          <w:tcPr>
            <w:tcW w:type="dxa" w:w="4680"/>
            <w:tcMar>
              <w:top w:type="dxa" w:w="80"/>
              <w:left w:type="dxa" w:w="100"/>
              <w:bottom w:type="dxa" w:w="80"/>
              <w:right w:type="dxa" w:w="100"/>
            </w:tcMar>
            <w:vAlign w:val="center"/>
          </w:tcPr>
          <w:p>
            <w:pPr>
              <w:spacing w:after="60"/>
              <w:jc w:val="center"/>
            </w:pPr>
            <w:r>
              <w:rPr>
                <w:rFonts w:ascii="Times New Roman" w:cs="Times New Roman" w:eastAsia="Times New Roman" w:hAnsi="Times New Roman"/>
                <w:sz w:val="20"/>
                <w:szCs w:val="20"/>
              </w:rPr>
              <w:t xml:space="preserve">[Name] — TO BE PROVIDED</w:t>
            </w:r>
          </w:p>
          <w:p>
            <w:pPr>
              <w:spacing w:after="60"/>
              <w:jc w:val="center"/>
            </w:pPr>
            <w:r>
              <w:rPr>
                <w:rFonts w:ascii="Times New Roman" w:cs="Times New Roman" w:eastAsia="Times New Roman" w:hAnsi="Times New Roman"/>
                <w:sz w:val="20"/>
                <w:szCs w:val="20"/>
              </w:rPr>
              <w:t xml:space="preserve">Designation — TO BE PROVIDED</w:t>
            </w:r>
          </w:p>
          <w:p>
            <w:pPr>
              <w:spacing w:after="60"/>
              <w:jc w:val="center"/>
            </w:pPr>
            <w:r>
              <w:rPr>
                <w:rFonts w:ascii="Times New Roman" w:cs="Times New Roman" w:eastAsia="Times New Roman" w:hAnsi="Times New Roman"/>
                <w:sz w:val="20"/>
                <w:szCs w:val="20"/>
              </w:rPr>
              <w:t xml:space="preserve">ACNABIN, Chartered Accountants</w:t>
            </w:r>
          </w:p>
          <w:p>
            <w:pPr>
              <w:spacing w:after="60"/>
              <w:jc w:val="center"/>
            </w:pPr>
            <w:r>
              <w:rPr>
                <w:rFonts w:ascii="Times New Roman" w:cs="Times New Roman" w:eastAsia="Times New Roman" w:hAnsi="Times New Roman"/>
                <w:sz w:val="20"/>
                <w:szCs w:val="20"/>
              </w:rPr>
              <w:t xml:space="preserve">Email: [TO BE PROVIDED]</w:t>
            </w:r>
          </w:p>
          <w:p>
            <w:pPr>
              <w:spacing w:after="60"/>
              <w:jc w:val="center"/>
            </w:pPr>
            <w:r>
              <w:rPr>
                <w:rFonts w:ascii="Times New Roman" w:cs="Times New Roman" w:eastAsia="Times New Roman" w:hAnsi="Times New Roman"/>
                <w:sz w:val="20"/>
                <w:szCs w:val="20"/>
              </w:rPr>
              <w:t xml:space="preserve">Phone: [TO BE PROVIDED]</w:t>
            </w:r>
          </w:p>
        </w:tc>
      </w:tr>
    </w:tbl>
    <w:p>
      <w:r>
        <w:br w:type="page"/>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spacing w:after="160" w:before="320"/>
      </w:pPr>
      <w:r>
        <w:rPr>
          <w:rFonts w:ascii="Times New Roman" w:cs="Times New Roman" w:eastAsia="Times New Roman" w:hAnsi="Times New Roman"/>
          <w:b/>
          <w:bCs/>
          <w:color w:val="2E74B5"/>
          <w:sz w:val="32"/>
          <w:szCs w:val="32"/>
        </w:rPr>
        <w:t xml:space="preserve">Letter of Submission</w:t>
      </w:r>
    </w:p>
    <w:p>
      <w:pPr>
        <w:spacing w:after="40"/>
        <w:jc w:val="left"/>
      </w:pPr>
      <w:r>
        <w:rPr>
          <w:rFonts w:ascii="Times New Roman" w:cs="Times New Roman" w:eastAsia="Times New Roman" w:hAnsi="Times New Roman"/>
          <w:b w:val="false"/>
          <w:bCs w:val="false"/>
          <w:i w:val="false"/>
          <w:iCs w:val="false"/>
          <w:sz w:val="22"/>
          <w:szCs w:val="22"/>
        </w:rPr>
        <w:t xml:space="preserve">Ref: [TO BE PROVIDED]</w:t>
      </w:r>
    </w:p>
    <w:p>
      <w:pPr>
        <w:spacing w:after="240"/>
        <w:jc w:val="left"/>
      </w:pPr>
      <w:r>
        <w:rPr>
          <w:rFonts w:ascii="Times New Roman" w:cs="Times New Roman" w:eastAsia="Times New Roman" w:hAnsi="Times New Roman"/>
          <w:b w:val="false"/>
          <w:bCs w:val="false"/>
          <w:i w:val="false"/>
          <w:iCs w:val="false"/>
          <w:sz w:val="22"/>
          <w:szCs w:val="22"/>
        </w:rPr>
        <w:t xml:space="preserve">Date: [To be finalized on submission]</w:t>
      </w:r>
    </w:p>
    <w:p>
      <w:pPr>
        <w:spacing w:after="20"/>
        <w:jc w:val="left"/>
      </w:pPr>
      <w:r>
        <w:rPr>
          <w:rFonts w:ascii="Times New Roman" w:cs="Times New Roman" w:eastAsia="Times New Roman" w:hAnsi="Times New Roman"/>
          <w:b w:val="false"/>
          <w:bCs w:val="false"/>
          <w:i w:val="false"/>
          <w:iCs w:val="false"/>
          <w:sz w:val="22"/>
          <w:szCs w:val="22"/>
        </w:rPr>
        <w:t xml:space="preserve">To</w:t>
      </w:r>
    </w:p>
    <w:p>
      <w:pPr>
        <w:spacing w:after="20"/>
        <w:jc w:val="left"/>
      </w:pPr>
      <w:r>
        <w:rPr>
          <w:rFonts w:ascii="Times New Roman" w:cs="Times New Roman" w:eastAsia="Times New Roman" w:hAnsi="Times New Roman"/>
          <w:b/>
          <w:bCs/>
          <w:i w:val="false"/>
          <w:iCs w:val="false"/>
          <w:sz w:val="22"/>
          <w:szCs w:val="22"/>
        </w:rPr>
        <w:t xml:space="preserve">Youth For Change Bangladesh Foundation (YFC-BD)</w:t>
      </w:r>
    </w:p>
    <w:p>
      <w:pPr>
        <w:spacing w:after="20"/>
        <w:jc w:val="left"/>
      </w:pPr>
      <w:r>
        <w:rPr>
          <w:rFonts w:ascii="Times New Roman" w:cs="Times New Roman" w:eastAsia="Times New Roman" w:hAnsi="Times New Roman"/>
          <w:b w:val="false"/>
          <w:bCs w:val="false"/>
          <w:i w:val="false"/>
          <w:iCs w:val="false"/>
          <w:sz w:val="22"/>
          <w:szCs w:val="22"/>
        </w:rPr>
        <w:t xml:space="preserve">Secretariat, Bangladesh Youth Coalition (BYC)</w:t>
      </w:r>
    </w:p>
    <w:p>
      <w:pPr>
        <w:spacing w:after="20"/>
        <w:jc w:val="left"/>
      </w:pPr>
      <w:r>
        <w:rPr>
          <w:rFonts w:ascii="Times New Roman" w:cs="Times New Roman" w:eastAsia="Times New Roman" w:hAnsi="Times New Roman"/>
          <w:b w:val="false"/>
          <w:bCs w:val="false"/>
          <w:i w:val="false"/>
          <w:iCs w:val="false"/>
          <w:sz w:val="22"/>
          <w:szCs w:val="22"/>
        </w:rPr>
        <w:t xml:space="preserve">3rd Floor, House No. 33, Road No. 02, Janata Housing Society, Adabor, Dhaka-1207.</w:t>
      </w:r>
    </w:p>
    <w:p>
      <w:pPr>
        <w:spacing w:after="240"/>
        <w:jc w:val="left"/>
      </w:pPr>
      <w:r>
        <w:rPr>
          <w:rFonts w:ascii="Times New Roman" w:cs="Times New Roman" w:eastAsia="Times New Roman" w:hAnsi="Times New Roman"/>
          <w:b w:val="false"/>
          <w:bCs w:val="false"/>
          <w:i w:val="false"/>
          <w:iCs w:val="false"/>
          <w:sz w:val="22"/>
          <w:szCs w:val="22"/>
        </w:rPr>
        <w:t xml:space="preserve">Attention: Md Jahid Kabir, Lead – Field Implementation &amp; Local Engagement</w:t>
      </w:r>
    </w:p>
    <w:p>
      <w:pPr>
        <w:spacing w:after="200"/>
        <w:jc w:val="left"/>
      </w:pPr>
      <w:r>
        <w:rPr>
          <w:rFonts w:ascii="Times New Roman" w:cs="Times New Roman" w:eastAsia="Times New Roman" w:hAnsi="Times New Roman"/>
          <w:b w:val="false"/>
          <w:bCs w:val="false"/>
          <w:i w:val="false"/>
          <w:iCs w:val="false"/>
          <w:sz w:val="22"/>
          <w:szCs w:val="22"/>
        </w:rPr>
        <w:t xml:space="preserve">Dear Sir,</w:t>
      </w:r>
    </w:p>
    <w:p>
      <w:pPr>
        <w:spacing w:after="160"/>
        <w:jc w:val="both"/>
      </w:pPr>
      <w:r>
        <w:rPr>
          <w:rFonts w:ascii="Times New Roman" w:cs="Times New Roman" w:eastAsia="Times New Roman" w:hAnsi="Times New Roman"/>
          <w:b w:val="false"/>
          <w:bCs w:val="false"/>
          <w:i w:val="false"/>
          <w:iCs w:val="false"/>
          <w:sz w:val="22"/>
          <w:szCs w:val="22"/>
        </w:rPr>
        <w:t xml:space="preserve">We, the undersigned, offer to provide consultancy services for Strengthening the Governance and Institutional Framework of Bangladesh Youth Coalition (BYC), comprising the review of BYC's existing governance arrangements and the development of a signature-ready Memorandum of Understanding together with an annexure-based governance package (Annexures 1 to 8), in accordance with the Terms of Reference issued by YFC-BD and our enclosed Technical Proposal. Our Financial Proposal is submitted separately, as required.</w:t>
      </w:r>
    </w:p>
    <w:p>
      <w:pPr>
        <w:spacing w:after="160"/>
        <w:jc w:val="both"/>
      </w:pPr>
      <w:r>
        <w:rPr>
          <w:rFonts w:ascii="Times New Roman" w:cs="Times New Roman" w:eastAsia="Times New Roman" w:hAnsi="Times New Roman"/>
          <w:b w:val="false"/>
          <w:bCs w:val="false"/>
          <w:i w:val="false"/>
          <w:iCs w:val="false"/>
          <w:sz w:val="22"/>
          <w:szCs w:val="22"/>
        </w:rPr>
        <w:t xml:space="preserve">If our Proposal is accepted, we undertake to commence the assignment within the timeframe agreed with YFC-BD following formal engagement, and our Proposal shall remain binding upon us, subject to any modifications resulting from discussions with YFC-BD.</w:t>
      </w:r>
    </w:p>
    <w:p>
      <w:pPr>
        <w:spacing w:after="160"/>
        <w:jc w:val="both"/>
      </w:pPr>
      <w:r>
        <w:rPr>
          <w:rFonts w:ascii="Times New Roman" w:cs="Times New Roman" w:eastAsia="Times New Roman" w:hAnsi="Times New Roman"/>
          <w:b w:val="false"/>
          <w:bCs w:val="false"/>
          <w:i w:val="false"/>
          <w:iCs w:val="false"/>
          <w:sz w:val="22"/>
          <w:szCs w:val="22"/>
        </w:rPr>
        <w:t xml:space="preserve">We confirm that, to the best of our knowledge, no actual or potential conflict of interest exists between ACNABIN and Bangladesh Youth Coalition or its member organizations in relation to this assignment. A formal Declaration of No Conflict of Interest is enclosed as an appendix to this Proposal.</w:t>
      </w:r>
    </w:p>
    <w:p>
      <w:pPr>
        <w:spacing w:after="160"/>
        <w:jc w:val="both"/>
      </w:pPr>
      <w:r>
        <w:rPr>
          <w:rFonts w:ascii="Times New Roman" w:cs="Times New Roman" w:eastAsia="Times New Roman" w:hAnsi="Times New Roman"/>
          <w:b w:val="false"/>
          <w:bCs w:val="false"/>
          <w:i w:val="false"/>
          <w:iCs w:val="false"/>
          <w:sz w:val="22"/>
          <w:szCs w:val="22"/>
        </w:rPr>
        <w:t xml:space="preserve">We understand that YFC-BD is not bound to accept any proposal it receives, and we accept YFC-BD's right to modify the terms of engagement, revise the scope of work, or cancel this procurement process without assigning any reason, subject to applicable internal procedures.</w:t>
      </w:r>
    </w:p>
    <w:p>
      <w:pPr>
        <w:spacing w:after="300" w:before="200"/>
        <w:jc w:val="both"/>
      </w:pPr>
      <w:r>
        <w:rPr>
          <w:rFonts w:ascii="Times New Roman" w:cs="Times New Roman" w:eastAsia="Times New Roman" w:hAnsi="Times New Roman"/>
          <w:b w:val="false"/>
          <w:bCs w:val="false"/>
          <w:i w:val="false"/>
          <w:iCs w:val="false"/>
          <w:sz w:val="22"/>
          <w:szCs w:val="22"/>
        </w:rPr>
        <w:t xml:space="preserve">Yours sincerely,</w:t>
      </w:r>
    </w:p>
    <w:p>
      <w:pPr>
        <w:spacing w:after="200"/>
        <w:jc w:val="both"/>
      </w:pPr>
      <w:r>
        <w:rPr>
          <w:rFonts w:ascii="Times New Roman" w:cs="Times New Roman" w:eastAsia="Times New Roman" w:hAnsi="Times New Roman"/>
          <w:b/>
          <w:bCs/>
          <w:i w:val="false"/>
          <w:iCs w:val="false"/>
          <w:sz w:val="22"/>
          <w:szCs w:val="22"/>
        </w:rPr>
        <w:t xml:space="preserve">On behalf of ACNABIN, Chartered Accountants</w:t>
      </w:r>
    </w:p>
    <w:p>
      <w:pPr>
        <w:spacing w:after="20"/>
        <w:jc w:val="both"/>
      </w:pPr>
      <w:r>
        <w:rPr>
          <w:rFonts w:ascii="Times New Roman" w:cs="Times New Roman" w:eastAsia="Times New Roman" w:hAnsi="Times New Roman"/>
          <w:b w:val="false"/>
          <w:bCs w:val="false"/>
          <w:i w:val="false"/>
          <w:iCs w:val="false"/>
          <w:sz w:val="22"/>
          <w:szCs w:val="22"/>
        </w:rPr>
        <w:t xml:space="preserve">[Partner Name, FCA] — TO BE PROVIDED</w:t>
      </w:r>
    </w:p>
    <w:p>
      <w:pPr>
        <w:spacing w:after="20"/>
        <w:jc w:val="both"/>
      </w:pPr>
      <w:r>
        <w:rPr>
          <w:rFonts w:ascii="Times New Roman" w:cs="Times New Roman" w:eastAsia="Times New Roman" w:hAnsi="Times New Roman"/>
          <w:b w:val="false"/>
          <w:bCs w:val="false"/>
          <w:i w:val="false"/>
          <w:iCs w:val="false"/>
          <w:sz w:val="22"/>
          <w:szCs w:val="22"/>
        </w:rPr>
        <w:t xml:space="preserve">Partner</w:t>
      </w:r>
    </w:p>
    <w:p>
      <w:pPr>
        <w:spacing w:after="20"/>
        <w:jc w:val="both"/>
      </w:pPr>
      <w:r>
        <w:rPr>
          <w:rFonts w:ascii="Times New Roman" w:cs="Times New Roman" w:eastAsia="Times New Roman" w:hAnsi="Times New Roman"/>
          <w:b w:val="false"/>
          <w:bCs w:val="false"/>
          <w:i w:val="false"/>
          <w:iCs w:val="false"/>
          <w:sz w:val="22"/>
          <w:szCs w:val="22"/>
        </w:rPr>
        <w:t xml:space="preserve">ACNABIN, Chartered Accountants</w:t>
      </w:r>
    </w:p>
    <w:p>
      <w:pPr>
        <w:spacing w:after="20"/>
        <w:jc w:val="both"/>
      </w:pPr>
      <w:r>
        <w:rPr>
          <w:rFonts w:ascii="Times New Roman" w:cs="Times New Roman" w:eastAsia="Times New Roman" w:hAnsi="Times New Roman"/>
          <w:b w:val="false"/>
          <w:bCs w:val="false"/>
          <w:i w:val="false"/>
          <w:iCs w:val="false"/>
          <w:sz w:val="22"/>
          <w:szCs w:val="22"/>
        </w:rPr>
        <w:t xml:space="preserve">BDBL Bhaban (Level-13 &amp; 15), 12 Kawran Bazar Commercial Area, Dhaka-1215</w:t>
      </w:r>
    </w:p>
    <w:p>
      <w:r>
        <w:br w:type="page"/>
      </w:r>
    </w:p>
    <w:p>
      <w:pPr>
        <w:pStyle w:val="Heading1"/>
        <w:spacing w:after="200" w:before="0"/>
      </w:pPr>
      <w:r>
        <w:rPr>
          <w:rFonts w:ascii="Times New Roman" w:cs="Times New Roman" w:eastAsia="Times New Roman" w:hAnsi="Times New Roman"/>
          <w:b/>
          <w:bCs/>
          <w:color w:val="2E74B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Times New Roman" w:cs="Times New Roman" w:eastAsia="Times New Roman" w:hAnsi="Times New Roman"/>
          <w:b/>
          <w:bCs/>
          <w:color w:val="2E74B5"/>
          <w:sz w:val="32"/>
          <w:szCs w:val="32"/>
        </w:rPr>
        <w:t xml:space="preserve">Executive Summary</w:t>
      </w:r>
    </w:p>
    <w:p>
      <w:pPr>
        <w:spacing w:after="160"/>
        <w:jc w:val="both"/>
      </w:pPr>
      <w:r>
        <w:rPr>
          <w:rFonts w:ascii="Times New Roman" w:cs="Times New Roman" w:eastAsia="Times New Roman" w:hAnsi="Times New Roman"/>
          <w:b w:val="false"/>
          <w:bCs w:val="false"/>
          <w:i w:val="false"/>
          <w:iCs w:val="false"/>
          <w:sz w:val="22"/>
          <w:szCs w:val="22"/>
        </w:rPr>
        <w:t xml:space="preserve">ACNABIN, Chartered Accountants, is pleased to submit this Technical Proposal for the Consultancy for Strengthening the Governance and Institutional Framework of Bangladesh Youth Coalition (BYC), in response to the Terms of Reference issued by Youth For Change Bangladesh Foundation (YFC-BD) as the Secretariat of BYC, under the initiative "Strengthening Bangladesh Youth Coalition (BYC)" implemented in collaboration with the Shomotay Tarunno: Youth For Equality Project and supported by Plan International Bangladesh and The Embassy of the Kingdom of the Netherlands.</w:t>
      </w:r>
    </w:p>
    <w:p>
      <w:pPr>
        <w:spacing w:after="160"/>
        <w:jc w:val="both"/>
      </w:pPr>
      <w:r>
        <w:rPr>
          <w:rFonts w:ascii="Times New Roman" w:cs="Times New Roman" w:eastAsia="Times New Roman" w:hAnsi="Times New Roman"/>
          <w:b w:val="false"/>
          <w:bCs w:val="false"/>
          <w:i w:val="false"/>
          <w:iCs w:val="false"/>
          <w:sz w:val="22"/>
          <w:szCs w:val="22"/>
        </w:rPr>
        <w:t xml:space="preserve">We understand that BYC has grown, within little more than a year, into a national platform of 102 youth-led member organizations spanning all eight divisions and 64 districts of Bangladesh, and that it is now moving beyond its formation phase toward a formal, signature-ready governance framework. This assignment calls for the development of one integrated Memorandum of Understanding (MoU) and eight cross-referenced annexures covering governance and coordination, Executive Committee elections and accountability, the Secretariat's duties and limits, membership, financial governance, communication, day-to-day operations and risk management, and safeguarding and ethical conduct.</w:t>
      </w:r>
    </w:p>
    <w:p>
      <w:pPr>
        <w:spacing w:after="160"/>
        <w:jc w:val="both"/>
      </w:pPr>
      <w:r>
        <w:rPr>
          <w:rFonts w:ascii="Times New Roman" w:cs="Times New Roman" w:eastAsia="Times New Roman" w:hAnsi="Times New Roman"/>
          <w:b w:val="false"/>
          <w:bCs w:val="false"/>
          <w:i w:val="false"/>
          <w:iCs w:val="false"/>
          <w:sz w:val="22"/>
          <w:szCs w:val="22"/>
        </w:rPr>
        <w:t xml:space="preserve">ACNABIN's Advisory &amp; Consultancy practice supports assurance, internal control, business process development, and institutional strengthening engagements for corporate, public-sector, and development-sector clients across Bangladesh, drawing on more than four decades of the Firm's professional experience as an independent member of Baker Tilly International. The disciplines this assignment calls for — structured document review, rigorous stakeholder consultation, clear allocation of authority and accountability, and disciplined, cross-referenced drafting — sit at the core of how our Advisory &amp; Consultancy team approaches institutional and governance assignments.</w:t>
      </w:r>
    </w:p>
    <w:p>
      <w:pPr>
        <w:spacing w:after="160"/>
        <w:jc w:val="both"/>
      </w:pPr>
      <w:r>
        <w:rPr>
          <w:rFonts w:ascii="Times New Roman" w:cs="Times New Roman" w:eastAsia="Times New Roman" w:hAnsi="Times New Roman"/>
          <w:b w:val="false"/>
          <w:bCs w:val="false"/>
          <w:i w:val="false"/>
          <w:iCs w:val="false"/>
          <w:sz w:val="22"/>
          <w:szCs w:val="22"/>
        </w:rPr>
        <w:t xml:space="preserve">This Proposal sets out our understanding of the assignment, proposed methodology and work plan, engagement team, quality assurance and risk management approach, deliverables and timeline, and relevant Firm experience. Our Financial Proposal has been submitted separately, in accordance with the Terms of Reference.</w:t>
      </w:r>
    </w:p>
    <w:p>
      <w:r>
        <w:br w:type="page"/>
      </w:r>
    </w:p>
    <w:p>
      <w:pPr>
        <w:pStyle w:val="Heading1"/>
        <w:spacing w:after="160" w:before="320"/>
      </w:pPr>
      <w:r>
        <w:rPr>
          <w:rFonts w:ascii="Times New Roman" w:cs="Times New Roman" w:eastAsia="Times New Roman" w:hAnsi="Times New Roman"/>
          <w:b/>
          <w:bCs/>
          <w:color w:val="2E74B5"/>
          <w:sz w:val="32"/>
          <w:szCs w:val="32"/>
        </w:rPr>
        <w:t xml:space="preserve">Response to Proposal Submission Requirements</w:t>
      </w:r>
    </w:p>
    <w:p>
      <w:pPr>
        <w:spacing w:after="160"/>
        <w:jc w:val="both"/>
      </w:pPr>
      <w:r>
        <w:rPr>
          <w:rFonts w:ascii="Times New Roman" w:cs="Times New Roman" w:eastAsia="Times New Roman" w:hAnsi="Times New Roman"/>
          <w:b w:val="false"/>
          <w:bCs w:val="false"/>
          <w:i w:val="false"/>
          <w:iCs w:val="false"/>
          <w:sz w:val="22"/>
          <w:szCs w:val="22"/>
        </w:rPr>
        <w:t xml:space="preserve">The table below cross-references the submission requirements set out in Section 10 of the Terms of Reference with the corresponding section of this Proposal or the appendix in which the supporting document is, or will be, provided.</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6100"/>
        <w:gridCol w:w="3260"/>
      </w:tblGrid>
      <w:tr>
        <w:trPr>
          <w:tblHeader/>
        </w:trPr>
        <w:tc>
          <w:tcPr>
            <w:tcW w:type="dxa" w:w="61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Submission Requirement (TOR Section 10)</w:t>
            </w:r>
          </w:p>
        </w:tc>
        <w:tc>
          <w:tcPr>
            <w:tcW w:type="dxa" w:w="326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Addressed In</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1. Technical proposal demonstrating understanding and methodology</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This document (Sections 1–5)</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2. Detailed work plan and timeline</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Sections 5 and 10</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3. Financial proposal with budget breakdown</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Submitted separately, under sealed cover</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4. CV/profile of the consultant or consulting team</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Appendix A — [TO BE PROVIDED]</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5. Organizational profile (applying as a firm)</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Section 12 and Appendix B — [TO BE PROVIDED]</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6. Examples of similar previous work (minimum 3 recent assignments)</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Appendix C — [TO BE PROVIDED]</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7. Relevant experience in governance, coalition management, youth-led organizations, membership agreements, or partnership frameworks</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Section 11</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8. Tax/VAT documents, where applicable</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Appendix D — [TO BE PROVIDED]</w:t>
            </w:r>
          </w:p>
        </w:tc>
      </w:tr>
      <w:tr>
        <w:tc>
          <w:tcPr>
            <w:tcW w:type="dxa" w:w="6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9. Declaration of no conflict of interest</w:t>
            </w:r>
          </w:p>
        </w:tc>
        <w:tc>
          <w:tcPr>
            <w:tcW w:type="dxa" w:w="32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Letter of Submission and Appendix E — [TO BE PROVIDED, signed]</w:t>
            </w:r>
          </w:p>
        </w:tc>
      </w:tr>
    </w:tbl>
    <w:p>
      <w:r>
        <w:br w:type="page"/>
      </w:r>
    </w:p>
    <w:p>
      <w:pPr>
        <w:pStyle w:val="Heading1"/>
        <w:spacing w:after="160" w:before="320"/>
      </w:pPr>
      <w:r>
        <w:rPr>
          <w:rFonts w:ascii="Times New Roman" w:cs="Times New Roman" w:eastAsia="Times New Roman" w:hAnsi="Times New Roman"/>
          <w:b/>
          <w:bCs/>
          <w:color w:val="2E74B5"/>
          <w:sz w:val="32"/>
          <w:szCs w:val="32"/>
        </w:rPr>
        <w:t xml:space="preserve">1. Understanding of the Assignment and the Client</w:t>
      </w:r>
    </w:p>
    <w:p>
      <w:pPr>
        <w:pStyle w:val="Heading2"/>
        <w:spacing w:after="120" w:before="240"/>
      </w:pPr>
      <w:r>
        <w:rPr>
          <w:rFonts w:ascii="Times New Roman" w:cs="Times New Roman" w:eastAsia="Times New Roman" w:hAnsi="Times New Roman"/>
          <w:b/>
          <w:bCs/>
          <w:color w:val="2E74B5"/>
          <w:sz w:val="26"/>
          <w:szCs w:val="26"/>
        </w:rPr>
        <w:t xml:space="preserve">1.1 Understanding of the Assignment</w:t>
      </w:r>
    </w:p>
    <w:p>
      <w:pPr>
        <w:spacing w:after="160"/>
        <w:jc w:val="both"/>
      </w:pPr>
      <w:r>
        <w:rPr>
          <w:rFonts w:ascii="Times New Roman" w:cs="Times New Roman" w:eastAsia="Times New Roman" w:hAnsi="Times New Roman"/>
          <w:b w:val="false"/>
          <w:bCs w:val="false"/>
          <w:i w:val="false"/>
          <w:iCs w:val="false"/>
          <w:sz w:val="22"/>
          <w:szCs w:val="22"/>
        </w:rPr>
        <w:t xml:space="preserve">ACNABIN understands that Bangladesh Youth Coalition (BYC) — a national platform of youth-led organizations operating under the motto "One Voice - One Nation" — has grown, since its formation in 2025, into a coalition of 102 member organizations across all eight divisions and 64 districts of Bangladesh. BYC is now past its formation phase, and its preliminary Terms of Reference must be replaced with a formal, signature-ready Memorandum of Understanding (MoU) and a practical, annexure-based governance package that each member organization will sign individually with YFC-BD as the Secretariat.</w:t>
      </w:r>
    </w:p>
    <w:p>
      <w:pPr>
        <w:spacing w:after="160"/>
        <w:jc w:val="both"/>
      </w:pPr>
      <w:r>
        <w:rPr>
          <w:rFonts w:ascii="Times New Roman" w:cs="Times New Roman" w:eastAsia="Times New Roman" w:hAnsi="Times New Roman"/>
          <w:b w:val="false"/>
          <w:bCs w:val="false"/>
          <w:i w:val="false"/>
          <w:iCs w:val="false"/>
          <w:sz w:val="22"/>
          <w:szCs w:val="22"/>
        </w:rPr>
        <w:t xml:space="preserve">The assignment requires the development of one integrated package — not a collection of disconnected documents — comprising the core MoU (Annexure 1, with five supporting Annexes A–E) and seven further annexures covering Executive Committee elections and accountability, the Secretariat's duties and authority, membership categories and responsibilities, financial governance, communication and coordination rules, day-to-day operations and risk management, and safeguarding, integrity, and ethical conduct. The package must use consistent terminology throughout, avoid conflicting provisions, clearly assign authority for each function, and cross-reference related detail across the MoU and annexures.</w:t>
      </w:r>
    </w:p>
    <w:p>
      <w:pPr>
        <w:spacing w:after="160"/>
        <w:jc w:val="both"/>
      </w:pPr>
      <w:r>
        <w:rPr>
          <w:rFonts w:ascii="Times New Roman" w:cs="Times New Roman" w:eastAsia="Times New Roman" w:hAnsi="Times New Roman"/>
          <w:b w:val="false"/>
          <w:bCs w:val="false"/>
          <w:i w:val="false"/>
          <w:iCs w:val="false"/>
          <w:sz w:val="22"/>
          <w:szCs w:val="22"/>
        </w:rPr>
        <w:t xml:space="preserve">We further understand that the assignment is participatory in nature: the final framework must be grounded in document review, analysis of relevant Bangladeshi and international coalition models, and Key Informant Interviews and consultations with a representative mix of BYC's member organizations, Executive Committee representatives, Thematic Groups, Divisional/Regional structures, and the BYC MoU Development Committee, with the drafts validated in a phased, three-batch process over a three-month period.</w:t>
      </w:r>
    </w:p>
    <w:p>
      <w:pPr>
        <w:pStyle w:val="Heading2"/>
        <w:spacing w:after="120" w:before="240"/>
      </w:pPr>
      <w:r>
        <w:rPr>
          <w:rFonts w:ascii="Times New Roman" w:cs="Times New Roman" w:eastAsia="Times New Roman" w:hAnsi="Times New Roman"/>
          <w:b/>
          <w:bCs/>
          <w:color w:val="2E74B5"/>
          <w:sz w:val="26"/>
          <w:szCs w:val="26"/>
        </w:rPr>
        <w:t xml:space="preserve">1.2 Understanding of the Client</w:t>
      </w:r>
    </w:p>
    <w:p>
      <w:pPr>
        <w:spacing w:after="160"/>
        <w:jc w:val="both"/>
      </w:pPr>
      <w:r>
        <w:rPr>
          <w:rFonts w:ascii="Times New Roman" w:cs="Times New Roman" w:eastAsia="Times New Roman" w:hAnsi="Times New Roman"/>
          <w:b w:val="false"/>
          <w:bCs w:val="false"/>
          <w:i w:val="false"/>
          <w:iCs w:val="false"/>
          <w:sz w:val="22"/>
          <w:szCs w:val="22"/>
        </w:rPr>
        <w:t xml:space="preserve">Youth For Change Bangladesh Foundation (YFC-BD) is the Secretariat and institutional home of BYC. We understand that YFC-BD's coordinating and hosting role must be defined clearly enough to support the coalition's day-to-day functioning, without being written as unrestricted control over member organizations or over the elected Executive Committee, which currently has only 3 of its 11 governing positions filled. Member organizations must retain their legal and operational independence except for commitments they expressly accept under the MoU or under a separate funded programme agreement, and financial obligations arising from joint grants or funded programmes must be kept clearly distinct from ordinary BYC membership.</w:t>
      </w:r>
    </w:p>
    <w:p>
      <w:pPr>
        <w:spacing w:after="160"/>
        <w:jc w:val="both"/>
      </w:pPr>
      <w:r>
        <w:rPr>
          <w:rFonts w:ascii="Times New Roman" w:cs="Times New Roman" w:eastAsia="Times New Roman" w:hAnsi="Times New Roman"/>
          <w:b w:val="false"/>
          <w:bCs w:val="false"/>
          <w:i w:val="false"/>
          <w:iCs w:val="false"/>
          <w:sz w:val="22"/>
          <w:szCs w:val="22"/>
        </w:rPr>
        <w:t xml:space="preserve">Given the diversity of BYC's membership — 102 organizations of varying size and capacity spread across all eight divisions — we understand that the governance package must be practical and readily understandable for organizations with differing levels of institutional capacity, while reflecting BYC's youth-led, inclusive, accountable, and non-partisan character and the safeguarding obligations relevant to youth participation.</w:t>
      </w:r>
    </w:p>
    <w:p>
      <w:r>
        <w:br w:type="page"/>
      </w:r>
    </w:p>
    <w:p>
      <w:pPr>
        <w:pStyle w:val="Heading1"/>
        <w:spacing w:after="160" w:before="320"/>
      </w:pPr>
      <w:r>
        <w:rPr>
          <w:rFonts w:ascii="Times New Roman" w:cs="Times New Roman" w:eastAsia="Times New Roman" w:hAnsi="Times New Roman"/>
          <w:b/>
          <w:bCs/>
          <w:color w:val="2E74B5"/>
          <w:sz w:val="32"/>
          <w:szCs w:val="32"/>
        </w:rPr>
        <w:t xml:space="preserve">2. Objectives of the Assignment</w:t>
      </w:r>
    </w:p>
    <w:p>
      <w:pPr>
        <w:spacing w:after="160"/>
        <w:jc w:val="both"/>
      </w:pPr>
      <w:r>
        <w:rPr>
          <w:rFonts w:ascii="Times New Roman" w:cs="Times New Roman" w:eastAsia="Times New Roman" w:hAnsi="Times New Roman"/>
          <w:b w:val="false"/>
          <w:bCs w:val="false"/>
          <w:i w:val="false"/>
          <w:iCs w:val="false"/>
          <w:sz w:val="22"/>
          <w:szCs w:val="22"/>
        </w:rPr>
        <w:t xml:space="preserve">In line with the Terms of Reference, ACNABIN will work toward the following objectives: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Review BYC's existing ToR, governance and partnership documents, previous election-related materials, and relevant reference models, and identify what should be retained, revised, or replaced in the new MoU package.</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a signature-ready BYC Memorandum of Understanding (MoU) for individual signature by each member organization with the BYC Secretariat.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Organize the governance and operational frameworks as one annexure-based package, with clear cross-references between the main MoU and Annexures 1 to 8.</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a governance and coordination architecture defining the roles, responsibilities, authority, accountability, reporting lines, and working relationships among the Executive Committee, Secretariat, member organizations, Thematic Groups, and Divisional/Regional structures.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an Executive Committee and election framework covering composition, eligibility, nomination, election, roles, accountability, decision-making, transition, and handover.</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Define the Secretariat's mandate, duties, and limits, including what YFC-BD may coordinate or administer on behalf of the coalition and what falls outside its authority.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membership categories, tiers, rights, responsibilities, eligibility, application, due diligence, approval, collaboration, independence, suspension, termination, and review arrangements.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a financial governance framework for joint work within the BYC network, covering budgeting, fund management and flow, spending approval, financial reporting, compliance, and accountability.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internal and external communication and coordination rules, including representation, information sharing, reporting, visibility, and use of the BYC name and branding.</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Develop practical arrangements for day-to-day operations, joint activities, grievances, disputes, risk management, monitoring, learning, review, and follow-up, and identify future policies BYC will need.</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Include safeguarding, conflict of interest, confidentiality, ethical conduct, responsible communication, neutrality, integrity, and independence provisions that protect BYC and its members.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Present the draft package to BYC stakeholders and the BYC MoU Development Committee for validation, incorporate feedback, and submit the final MoU and annexure package in editable and PDF formats.</w:t>
      </w:r>
    </w:p>
    <w:p>
      <w:r>
        <w:br w:type="page"/>
      </w:r>
    </w:p>
    <w:p>
      <w:pPr>
        <w:pStyle w:val="Heading1"/>
        <w:spacing w:after="160" w:before="320"/>
      </w:pPr>
      <w:r>
        <w:rPr>
          <w:rFonts w:ascii="Times New Roman" w:cs="Times New Roman" w:eastAsia="Times New Roman" w:hAnsi="Times New Roman"/>
          <w:b/>
          <w:bCs/>
          <w:color w:val="2E74B5"/>
          <w:sz w:val="32"/>
          <w:szCs w:val="32"/>
        </w:rPr>
        <w:t xml:space="preserve">3. Scope of Work</w:t>
      </w:r>
    </w:p>
    <w:p>
      <w:pPr>
        <w:spacing w:after="160"/>
        <w:jc w:val="both"/>
      </w:pPr>
      <w:r>
        <w:rPr>
          <w:rFonts w:ascii="Times New Roman" w:cs="Times New Roman" w:eastAsia="Times New Roman" w:hAnsi="Times New Roman"/>
          <w:b w:val="false"/>
          <w:bCs w:val="false"/>
          <w:i w:val="false"/>
          <w:iCs w:val="false"/>
          <w:sz w:val="22"/>
          <w:szCs w:val="22"/>
        </w:rPr>
        <w:t xml:space="preserve">ACNABIN's proposed scope follows the structure of the Terms of Reference and is organized around a single, integrated MoU and annexure package. Our approach to each component is set out below.</w:t>
      </w:r>
    </w:p>
    <w:p>
      <w:pPr>
        <w:pStyle w:val="Heading2"/>
        <w:spacing w:after="120" w:before="240"/>
      </w:pPr>
      <w:r>
        <w:rPr>
          <w:rFonts w:ascii="Times New Roman" w:cs="Times New Roman" w:eastAsia="Times New Roman" w:hAnsi="Times New Roman"/>
          <w:b/>
          <w:bCs/>
          <w:color w:val="2E74B5"/>
          <w:sz w:val="26"/>
          <w:szCs w:val="26"/>
        </w:rPr>
        <w:t xml:space="preserve">3.1 Document Review and Inception</w:t>
      </w:r>
    </w:p>
    <w:p>
      <w:pPr>
        <w:spacing w:after="160"/>
        <w:jc w:val="both"/>
      </w:pPr>
      <w:r>
        <w:rPr>
          <w:rFonts w:ascii="Times New Roman" w:cs="Times New Roman" w:eastAsia="Times New Roman" w:hAnsi="Times New Roman"/>
          <w:b w:val="false"/>
          <w:bCs w:val="false"/>
          <w:i w:val="false"/>
          <w:iCs w:val="false"/>
          <w:sz w:val="22"/>
          <w:szCs w:val="22"/>
        </w:rPr>
        <w:t xml:space="preserve">We will review BYC's existing ToR, governance and partnership documents, relevant meeting decisions, membership information, election-related documents, thematic and divisional structure information, safeguarding materials, and the reference coalition models identified in the Terms of Reference. On this basis, we will prepare our methodology, KII/consultation plan, analytical framework, drafting approach, and detailed work plan, and issue an inception note confirming the proposed approach, stakeholders to be consulted, the drafting sequence for Annexures 1 to 8, the validation process, and any information gaps requiring clarification from the Secretariat.</w:t>
      </w:r>
    </w:p>
    <w:p>
      <w:pPr>
        <w:pStyle w:val="Heading2"/>
        <w:spacing w:after="120" w:before="240"/>
      </w:pPr>
      <w:r>
        <w:rPr>
          <w:rFonts w:ascii="Times New Roman" w:cs="Times New Roman" w:eastAsia="Times New Roman" w:hAnsi="Times New Roman"/>
          <w:b/>
          <w:bCs/>
          <w:color w:val="2E74B5"/>
          <w:sz w:val="26"/>
          <w:szCs w:val="26"/>
        </w:rPr>
        <w:t xml:space="preserve">3.2 KII and Stakeholder Consultation</w:t>
      </w:r>
    </w:p>
    <w:p>
      <w:pPr>
        <w:spacing w:after="160"/>
        <w:jc w:val="both"/>
      </w:pPr>
      <w:r>
        <w:rPr>
          <w:rFonts w:ascii="Times New Roman" w:cs="Times New Roman" w:eastAsia="Times New Roman" w:hAnsi="Times New Roman"/>
          <w:b w:val="false"/>
          <w:bCs w:val="false"/>
          <w:i w:val="false"/>
          <w:iCs w:val="false"/>
          <w:sz w:val="22"/>
          <w:szCs w:val="22"/>
        </w:rPr>
        <w:t xml:space="preserve">We will conduct Key Informant Interviews and consultations with a representative mix of BYC member organizations, Executive Committee representatives, Thematic Groups, Divisional/Regional structures, the BYC MoU Development Committee, and relevant Secretariat representatives, gathering practical input on governance, management, decision-making, elections, member participation, finances, communication, collaboration, safeguarding, accountability, grievances, risks, and future policy needs. We will consolidate these findings and show clearly how stakeholder input has informed the drafting of the MoU and each annexure.</w:t>
      </w:r>
    </w:p>
    <w:p>
      <w:pPr>
        <w:pStyle w:val="Heading2"/>
        <w:spacing w:after="120" w:before="240"/>
      </w:pPr>
      <w:r>
        <w:rPr>
          <w:rFonts w:ascii="Times New Roman" w:cs="Times New Roman" w:eastAsia="Times New Roman" w:hAnsi="Times New Roman"/>
          <w:b/>
          <w:bCs/>
          <w:color w:val="2E74B5"/>
          <w:sz w:val="26"/>
          <w:szCs w:val="26"/>
        </w:rPr>
        <w:t xml:space="preserve">3.3 Development Principles</w:t>
      </w:r>
    </w:p>
    <w:p>
      <w:pPr>
        <w:spacing w:after="160"/>
        <w:jc w:val="both"/>
      </w:pPr>
      <w:r>
        <w:rPr>
          <w:rFonts w:ascii="Times New Roman" w:cs="Times New Roman" w:eastAsia="Times New Roman" w:hAnsi="Times New Roman"/>
          <w:b w:val="false"/>
          <w:bCs w:val="false"/>
          <w:i w:val="false"/>
          <w:iCs w:val="false"/>
          <w:sz w:val="22"/>
          <w:szCs w:val="22"/>
        </w:rPr>
        <w:t xml:space="preserve">The main MoU and all annexures will be drafted as one integrated package, applying the following principles throughout: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Consistent terminology and no conflicting provisions across the MoU and annexures.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Clear statement of which body holds authority for each function, with cross-references where detail sits elsewhere.</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practical, understandable MoU that is ready for formal signature by organizations of differing size and capacity.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Member organizations retain full legal and operational independence, except for commitments expressly accepted under the MoU or a separate funded programme agreement.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The Secretariat's coordination and institutional-hosting role is not written as unrestricted control over member organizations or elected coalition bodies.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Financial obligations arising from joint grants or funded programmes are distinguished from ordinary BYC membership.</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Procedures likely to need future amendment are placed in annexures or schedules, with a defined approval process for updates.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The drafting reflects BYC's youth-led, inclusive, accountable, and non-partisan character and its safeguarding obligations.</w:t>
      </w:r>
    </w:p>
    <w:p>
      <w:pPr>
        <w:pStyle w:val="Heading2"/>
        <w:spacing w:after="120" w:before="240"/>
      </w:pPr>
      <w:r>
        <w:rPr>
          <w:rFonts w:ascii="Times New Roman" w:cs="Times New Roman" w:eastAsia="Times New Roman" w:hAnsi="Times New Roman"/>
          <w:b/>
          <w:bCs/>
          <w:color w:val="2E74B5"/>
          <w:sz w:val="26"/>
          <w:szCs w:val="26"/>
        </w:rPr>
        <w:t xml:space="preserve">3.4 Annexure 1: Memorandum of Understanding (MoU)</w:t>
      </w:r>
    </w:p>
    <w:p>
      <w:pPr>
        <w:spacing w:after="160"/>
        <w:jc w:val="both"/>
      </w:pPr>
      <w:r>
        <w:rPr>
          <w:rFonts w:ascii="Times New Roman" w:cs="Times New Roman" w:eastAsia="Times New Roman" w:hAnsi="Times New Roman"/>
          <w:b w:val="false"/>
          <w:bCs w:val="false"/>
          <w:i w:val="false"/>
          <w:iCs w:val="false"/>
          <w:sz w:val="22"/>
          <w:szCs w:val="22"/>
        </w:rPr>
        <w:t xml:space="preserve">We will draft the core signable MoU between each BYC member organization and the BYC Secretariat, covering the purpose of the relationship, the commitments of both sides, the independence of member organizations, how the agreement starts, continues, is reviewed, amended, suspended, or ended, and simple provisions on confidentiality, dispute handling, transition, and signatures. Annexure 1 will include five supporting parts:</w:t>
      </w:r>
    </w:p>
    <w:p>
      <w:pPr>
        <w:pStyle w:val="ListParagraph"/>
        <w:numPr>
          <w:ilvl w:val="0"/>
          <w:numId w:val="2"/>
        </w:numPr>
        <w:spacing w:after="100"/>
        <w:jc w:val="both"/>
      </w:pPr>
      <w:r>
        <w:rPr>
          <w:rFonts w:ascii="Times New Roman" w:cs="Times New Roman" w:eastAsia="Times New Roman" w:hAnsi="Times New Roman"/>
          <w:sz w:val="22"/>
          <w:szCs w:val="22"/>
        </w:rPr>
        <w:t xml:space="preserve">Annex A — Governance and Coordination Structure: how the Executive Committee, Secretariat, member organizations, Thematic Groups, Divisional/Regional structures, and other BYC bodies fit together and coordinate.</w:t>
      </w:r>
    </w:p>
    <w:p>
      <w:pPr>
        <w:pStyle w:val="ListParagraph"/>
        <w:numPr>
          <w:ilvl w:val="0"/>
          <w:numId w:val="2"/>
        </w:numPr>
        <w:spacing w:after="100"/>
        <w:jc w:val="both"/>
      </w:pPr>
      <w:r>
        <w:rPr>
          <w:rFonts w:ascii="Times New Roman" w:cs="Times New Roman" w:eastAsia="Times New Roman" w:hAnsi="Times New Roman"/>
          <w:sz w:val="22"/>
          <w:szCs w:val="22"/>
        </w:rPr>
        <w:t xml:space="preserve">Annex B — Member Collaboration Framework: how members can work together on campaigns, advocacy, programmes, events, and representation while keeping their independence.</w:t>
      </w:r>
    </w:p>
    <w:p>
      <w:pPr>
        <w:pStyle w:val="ListParagraph"/>
        <w:numPr>
          <w:ilvl w:val="0"/>
          <w:numId w:val="2"/>
        </w:numPr>
        <w:spacing w:after="100"/>
        <w:jc w:val="both"/>
      </w:pPr>
      <w:r>
        <w:rPr>
          <w:rFonts w:ascii="Times New Roman" w:cs="Times New Roman" w:eastAsia="Times New Roman" w:hAnsi="Times New Roman"/>
          <w:sz w:val="22"/>
          <w:szCs w:val="22"/>
        </w:rPr>
        <w:t xml:space="preserve">Annex C — Decision-Making Framework: how decisions are discussed, approved, recorded, and followed up, including quorum, consensus or voting, and escalation.</w:t>
      </w:r>
    </w:p>
    <w:p>
      <w:pPr>
        <w:pStyle w:val="ListParagraph"/>
        <w:numPr>
          <w:ilvl w:val="0"/>
          <w:numId w:val="2"/>
        </w:numPr>
        <w:spacing w:after="100"/>
        <w:jc w:val="both"/>
      </w:pPr>
      <w:r>
        <w:rPr>
          <w:rFonts w:ascii="Times New Roman" w:cs="Times New Roman" w:eastAsia="Times New Roman" w:hAnsi="Times New Roman"/>
          <w:sz w:val="22"/>
          <w:szCs w:val="22"/>
        </w:rPr>
        <w:t xml:space="preserve">Annex D — Roles, Responsibilities and Accountability Matrix: who is responsible for what, where each body's authority starts and ends, and how accountability and coordination work.</w:t>
      </w:r>
    </w:p>
    <w:p>
      <w:pPr>
        <w:pStyle w:val="ListParagraph"/>
        <w:numPr>
          <w:ilvl w:val="0"/>
          <w:numId w:val="2"/>
        </w:numPr>
        <w:spacing w:after="100"/>
        <w:jc w:val="both"/>
      </w:pPr>
      <w:r>
        <w:rPr>
          <w:rFonts w:ascii="Times New Roman" w:cs="Times New Roman" w:eastAsia="Times New Roman" w:hAnsi="Times New Roman"/>
          <w:sz w:val="22"/>
          <w:szCs w:val="22"/>
        </w:rPr>
        <w:t xml:space="preserve">Annex E — Money and Resource Management Principles: basic rules for handling shared funds, resources, grants, assets, and in-kind support, with detailed procedures in Annexure 5.</w:t>
      </w:r>
    </w:p>
    <w:p>
      <w:pPr>
        <w:pStyle w:val="Heading2"/>
        <w:spacing w:after="120" w:before="240"/>
      </w:pPr>
      <w:r>
        <w:rPr>
          <w:rFonts w:ascii="Times New Roman" w:cs="Times New Roman" w:eastAsia="Times New Roman" w:hAnsi="Times New Roman"/>
          <w:b/>
          <w:bCs/>
          <w:color w:val="2E74B5"/>
          <w:sz w:val="26"/>
          <w:szCs w:val="26"/>
        </w:rPr>
        <w:t xml:space="preserve">3.5 Annexure 2: Executive Committee Elections and Accountability</w:t>
      </w:r>
    </w:p>
    <w:p>
      <w:pPr>
        <w:spacing w:after="160"/>
        <w:jc w:val="both"/>
      </w:pPr>
      <w:r>
        <w:rPr>
          <w:rFonts w:ascii="Times New Roman" w:cs="Times New Roman" w:eastAsia="Times New Roman" w:hAnsi="Times New Roman"/>
          <w:b w:val="false"/>
          <w:bCs w:val="false"/>
          <w:i w:val="false"/>
          <w:iCs w:val="false"/>
          <w:sz w:val="22"/>
          <w:szCs w:val="22"/>
        </w:rPr>
        <w:t xml:space="preserve">We will develop a framework, building on BYC's existing 11-member governing body, that keeps future elections fair, transparent, and repeatable, comprising: Annex A — the Executive Committee Election Framework (structure, eligibility, nominations, voting, results, vacancies and ties, transition and handover), and Annex B — the Executive Committee Accountability Framework (responsibilities, decision-making and documentation, reporting to members, conflicts of interest and non-performance, and accountability through transition).</w:t>
      </w:r>
    </w:p>
    <w:p>
      <w:pPr>
        <w:pStyle w:val="Heading2"/>
        <w:spacing w:after="120" w:before="240"/>
      </w:pPr>
      <w:r>
        <w:rPr>
          <w:rFonts w:ascii="Times New Roman" w:cs="Times New Roman" w:eastAsia="Times New Roman" w:hAnsi="Times New Roman"/>
          <w:b/>
          <w:bCs/>
          <w:color w:val="2E74B5"/>
          <w:sz w:val="26"/>
          <w:szCs w:val="26"/>
        </w:rPr>
        <w:t xml:space="preserve">3.6 Annexure 3: Secretariat Duties and Authority</w:t>
      </w:r>
    </w:p>
    <w:p>
      <w:pPr>
        <w:spacing w:after="160"/>
        <w:jc w:val="both"/>
      </w:pPr>
      <w:r>
        <w:rPr>
          <w:rFonts w:ascii="Times New Roman" w:cs="Times New Roman" w:eastAsia="Times New Roman" w:hAnsi="Times New Roman"/>
          <w:b w:val="false"/>
          <w:bCs w:val="false"/>
          <w:i w:val="false"/>
          <w:iCs w:val="false"/>
          <w:sz w:val="22"/>
          <w:szCs w:val="22"/>
        </w:rPr>
        <w:t xml:space="preserve">We will define the Secretariat's role, responsibilities, and limits — covering meeting organization, administration, documentation, communication, programme support, partnership liaison, and financial oversight where relevant — together with how the Secretariat works with the Executive Committee, member organizations, and Thematic Groups, and its reporting, accountability, record-keeping, continuity, and transition arrangements.</w:t>
      </w:r>
    </w:p>
    <w:p>
      <w:pPr>
        <w:pStyle w:val="Heading2"/>
        <w:spacing w:after="120" w:before="240"/>
      </w:pPr>
      <w:r>
        <w:rPr>
          <w:rFonts w:ascii="Times New Roman" w:cs="Times New Roman" w:eastAsia="Times New Roman" w:hAnsi="Times New Roman"/>
          <w:b/>
          <w:bCs/>
          <w:color w:val="2E74B5"/>
          <w:sz w:val="26"/>
          <w:szCs w:val="26"/>
        </w:rPr>
        <w:t xml:space="preserve">3.7 Annexure 4: Membership Categories, Roles and Responsibilities</w:t>
      </w:r>
    </w:p>
    <w:p>
      <w:pPr>
        <w:spacing w:after="160"/>
        <w:jc w:val="both"/>
      </w:pPr>
      <w:r>
        <w:rPr>
          <w:rFonts w:ascii="Times New Roman" w:cs="Times New Roman" w:eastAsia="Times New Roman" w:hAnsi="Times New Roman"/>
          <w:b w:val="false"/>
          <w:bCs w:val="false"/>
          <w:i w:val="false"/>
          <w:iCs w:val="false"/>
          <w:sz w:val="22"/>
          <w:szCs w:val="22"/>
        </w:rPr>
        <w:t xml:space="preserve">We will set out who can become a BYC member, appropriate membership categories or tiers, and a fair, practical process for application, due diligence, approval, participation, and periodic review — together with members' rights, responsibilities, independence, expectations for collaboration, and proportionate arrangements for conflict of interest, suspension, resignation, termination, review or appeal, and re-entry, accounting for the diversity of BYC's 102 member organizations across all eight divisions.</w:t>
      </w:r>
    </w:p>
    <w:p>
      <w:pPr>
        <w:pStyle w:val="Heading2"/>
        <w:spacing w:after="120" w:before="240"/>
      </w:pPr>
      <w:r>
        <w:rPr>
          <w:rFonts w:ascii="Times New Roman" w:cs="Times New Roman" w:eastAsia="Times New Roman" w:hAnsi="Times New Roman"/>
          <w:b/>
          <w:bCs/>
          <w:color w:val="2E74B5"/>
          <w:sz w:val="26"/>
          <w:szCs w:val="26"/>
        </w:rPr>
        <w:t xml:space="preserve">3.8 Annexure 5: Financial Governance Framework</w:t>
      </w:r>
    </w:p>
    <w:p>
      <w:pPr>
        <w:spacing w:after="160"/>
        <w:jc w:val="both"/>
      </w:pPr>
      <w:r>
        <w:rPr>
          <w:rFonts w:ascii="Times New Roman" w:cs="Times New Roman" w:eastAsia="Times New Roman" w:hAnsi="Times New Roman"/>
          <w:b w:val="false"/>
          <w:bCs w:val="false"/>
          <w:i w:val="false"/>
          <w:iCs w:val="false"/>
          <w:sz w:val="22"/>
          <w:szCs w:val="22"/>
        </w:rPr>
        <w:t xml:space="preserve">We will set out how money and shared resources are handled when BYC and its members work together on funded activities — who prepares and approves budgets, how funds are received, transferred, and spent, required documentation and reporting, and accountability at each stage — together with relevant donor, legal, tax, and VAT considerations, financial checks, advances, unspent balances, assets, in-kind contributions, and corrective action, aligned with YFC-BD's own financial policies and procedures where applicable. The framework will state clearly that ordinary BYC membership does not, by itself, create a financial entitlement or liability.</w:t>
      </w:r>
    </w:p>
    <w:p>
      <w:pPr>
        <w:pStyle w:val="Heading2"/>
        <w:spacing w:after="120" w:before="240"/>
      </w:pPr>
      <w:r>
        <w:rPr>
          <w:rFonts w:ascii="Times New Roman" w:cs="Times New Roman" w:eastAsia="Times New Roman" w:hAnsi="Times New Roman"/>
          <w:b/>
          <w:bCs/>
          <w:color w:val="2E74B5"/>
          <w:sz w:val="26"/>
          <w:szCs w:val="26"/>
        </w:rPr>
        <w:t xml:space="preserve">3.9 Annexure 6: Communication and Coordination Rules</w:t>
      </w:r>
    </w:p>
    <w:p>
      <w:pPr>
        <w:spacing w:after="160"/>
        <w:jc w:val="both"/>
      </w:pPr>
      <w:r>
        <w:rPr>
          <w:rFonts w:ascii="Times New Roman" w:cs="Times New Roman" w:eastAsia="Times New Roman" w:hAnsi="Times New Roman"/>
          <w:b w:val="false"/>
          <w:bCs w:val="false"/>
          <w:i w:val="false"/>
          <w:iCs w:val="false"/>
          <w:sz w:val="22"/>
          <w:szCs w:val="22"/>
        </w:rPr>
        <w:t xml:space="preserve">We will set simple, practical rules for internal and external communication and coordination — channels for routine coordination, how meeting notices, minutes, follow-up, and reporting are managed, who may speak on behalf of BYC, use of the BYC name, logo, and branding, external representation, media engagement, donor/partner visibility, confidentiality, and the distinction between informal member communication and official coalition communication.</w:t>
      </w:r>
    </w:p>
    <w:p>
      <w:pPr>
        <w:pStyle w:val="Heading2"/>
        <w:spacing w:after="120" w:before="240"/>
      </w:pPr>
      <w:r>
        <w:rPr>
          <w:rFonts w:ascii="Times New Roman" w:cs="Times New Roman" w:eastAsia="Times New Roman" w:hAnsi="Times New Roman"/>
          <w:b/>
          <w:bCs/>
          <w:color w:val="2E74B5"/>
          <w:sz w:val="26"/>
          <w:szCs w:val="26"/>
        </w:rPr>
        <w:t xml:space="preserve">3.10 Annexure 7: Day-to-Day Operations, Grievance and Risk Management</w:t>
      </w:r>
    </w:p>
    <w:p>
      <w:pPr>
        <w:spacing w:after="160"/>
        <w:jc w:val="both"/>
      </w:pPr>
      <w:r>
        <w:rPr>
          <w:rFonts w:ascii="Times New Roman" w:cs="Times New Roman" w:eastAsia="Times New Roman" w:hAnsi="Times New Roman"/>
          <w:b w:val="false"/>
          <w:bCs w:val="false"/>
          <w:i w:val="false"/>
          <w:iCs w:val="false"/>
          <w:sz w:val="22"/>
          <w:szCs w:val="22"/>
        </w:rPr>
        <w:t xml:space="preserve">We will describe practical arrangements for BYC's regular meetings, working groups, Thematic Groups, Divisional/Regional coordination, joint campaigns and events; simple, fair ways to raise and address grievances, complaints, and conflicts; and basic arrangements for identifying, managing, reporting, and responding to governance, financial, operational, safeguarding, partnership, and reputational risks — flagging areas where BYC will need more detailed future policies.</w:t>
      </w:r>
    </w:p>
    <w:p>
      <w:pPr>
        <w:pStyle w:val="Heading2"/>
        <w:spacing w:after="120" w:before="240"/>
      </w:pPr>
      <w:r>
        <w:rPr>
          <w:rFonts w:ascii="Times New Roman" w:cs="Times New Roman" w:eastAsia="Times New Roman" w:hAnsi="Times New Roman"/>
          <w:b/>
          <w:bCs/>
          <w:color w:val="2E74B5"/>
          <w:sz w:val="26"/>
          <w:szCs w:val="26"/>
        </w:rPr>
        <w:t xml:space="preserve">3.11 Annexure 8: Safeguarding, Integrity, Independence and Ethical Conduct</w:t>
      </w:r>
    </w:p>
    <w:p>
      <w:pPr>
        <w:spacing w:after="160"/>
        <w:jc w:val="both"/>
      </w:pPr>
      <w:r>
        <w:rPr>
          <w:rFonts w:ascii="Times New Roman" w:cs="Times New Roman" w:eastAsia="Times New Roman" w:hAnsi="Times New Roman"/>
          <w:b w:val="false"/>
          <w:bCs w:val="false"/>
          <w:i w:val="false"/>
          <w:iCs w:val="false"/>
          <w:sz w:val="22"/>
          <w:szCs w:val="22"/>
        </w:rPr>
        <w:t xml:space="preserve">We will set the basic standards protecting BYC's people, values, credibility, and independence — safeguarding, conflict of interest, confidentiality and privacy, respectful and non-discriminatory conduct, responsible communication, neutrality, prevention of harassment, exploitation, or abuse, and proper use of the BYC name and branding — written so members and representatives can easily understand expected behaviour, how to report concerns, and how BYC will protect its independence while respecting members' own mandates.</w:t>
      </w:r>
    </w:p>
    <w:p>
      <w:pPr>
        <w:pStyle w:val="Heading2"/>
        <w:spacing w:after="120" w:before="240"/>
      </w:pPr>
      <w:r>
        <w:rPr>
          <w:rFonts w:ascii="Times New Roman" w:cs="Times New Roman" w:eastAsia="Times New Roman" w:hAnsi="Times New Roman"/>
          <w:b/>
          <w:bCs/>
          <w:color w:val="2E74B5"/>
          <w:sz w:val="26"/>
          <w:szCs w:val="26"/>
        </w:rPr>
        <w:t xml:space="preserve">3.12 Validation and Finalization</w:t>
      </w:r>
    </w:p>
    <w:p>
      <w:pPr>
        <w:spacing w:after="160"/>
        <w:jc w:val="both"/>
      </w:pPr>
      <w:r>
        <w:rPr>
          <w:rFonts w:ascii="Times New Roman" w:cs="Times New Roman" w:eastAsia="Times New Roman" w:hAnsi="Times New Roman"/>
          <w:b w:val="false"/>
          <w:bCs w:val="false"/>
          <w:i w:val="false"/>
          <w:iCs w:val="false"/>
          <w:sz w:val="22"/>
          <w:szCs w:val="22"/>
        </w:rPr>
        <w:t xml:space="preserve">We will submit and present the MoU package in phased deliverable batches for review by the BYC Secretariat, the BYC MoU Development Committee, and other designated stakeholders, checking each annexure for clarity, workability, inclusiveness, internal consistency, and alignment with BYC's governance needs, and its consistency with annexures developed in earlier phases. We will maintain a feedback and revision matrix throughout the assignment, incorporate agreed comments after each phase, resolve cross-annexure inconsistencies, and consolidate all eight annexures into one final BYC MoU package in editable MS Word and PDF formats, with Annexure 1 carrying signature blocks for the member organization and the BYC Secretariat.</w:t>
      </w:r>
    </w:p>
    <w:p>
      <w:pPr>
        <w:pStyle w:val="Heading2"/>
        <w:spacing w:after="120" w:before="240"/>
      </w:pPr>
      <w:r>
        <w:rPr>
          <w:rFonts w:ascii="Times New Roman" w:cs="Times New Roman" w:eastAsia="Times New Roman" w:hAnsi="Times New Roman"/>
          <w:b/>
          <w:bCs/>
          <w:color w:val="2E74B5"/>
          <w:sz w:val="26"/>
          <w:szCs w:val="26"/>
        </w:rPr>
        <w:t xml:space="preserve">3.13 Final Consultancy Report and Future Policy Roadmap</w:t>
      </w:r>
    </w:p>
    <w:p>
      <w:pPr>
        <w:spacing w:after="160"/>
        <w:jc w:val="both"/>
      </w:pPr>
      <w:r>
        <w:rPr>
          <w:rFonts w:ascii="Times New Roman" w:cs="Times New Roman" w:eastAsia="Times New Roman" w:hAnsi="Times New Roman"/>
          <w:b w:val="false"/>
          <w:bCs w:val="false"/>
          <w:i w:val="false"/>
          <w:iCs w:val="false"/>
          <w:sz w:val="22"/>
          <w:szCs w:val="22"/>
        </w:rPr>
        <w:t xml:space="preserve">We will submit a concise final report covering our methodology, document review, reference-model analysis, KII and consultation process, key findings, major governance choices made in the draft, validation feedback, final outputs, any unresolved issues, and recommendations for future BYC policy and guideline development.</w:t>
      </w:r>
    </w:p>
    <w:p>
      <w:pPr>
        <w:pStyle w:val="Heading2"/>
        <w:spacing w:after="120" w:before="240"/>
      </w:pPr>
      <w:r>
        <w:rPr>
          <w:rFonts w:ascii="Times New Roman" w:cs="Times New Roman" w:eastAsia="Times New Roman" w:hAnsi="Times New Roman"/>
          <w:b/>
          <w:bCs/>
          <w:color w:val="2E74B5"/>
          <w:sz w:val="26"/>
          <w:szCs w:val="26"/>
        </w:rPr>
        <w:t xml:space="preserve">3.14 Out of Scope</w:t>
      </w:r>
    </w:p>
    <w:p>
      <w:pPr>
        <w:spacing w:after="160"/>
        <w:jc w:val="both"/>
      </w:pPr>
      <w:r>
        <w:rPr>
          <w:rFonts w:ascii="Times New Roman" w:cs="Times New Roman" w:eastAsia="Times New Roman" w:hAnsi="Times New Roman"/>
          <w:b w:val="false"/>
          <w:bCs w:val="false"/>
          <w:i w:val="false"/>
          <w:iCs w:val="false"/>
          <w:sz w:val="22"/>
          <w:szCs w:val="22"/>
        </w:rPr>
        <w:t xml:space="preserve">In line with the Terms of Reference, the following fall outside this assignment: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Internal governance, policies, or management of individual member organizations.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Donor-specific programme agreements, sub-grant contracts, or funding proposals.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Detailed financial manuals, accounting systems, or audit frameworks for YFC-BD or member organizations.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Human resource policies for the Secretariat or member organizations.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Fundraising strategy or donor engagement plans for BYC.</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Legal incorporation of BYC as a separate registered entity.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Implementation, rollout, signing facilitation, or training on the MoU after delivery.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Individual capacity assessments of member organizations.</w:t>
      </w:r>
    </w:p>
    <w:p>
      <w:r>
        <w:br w:type="page"/>
      </w:r>
    </w:p>
    <w:p>
      <w:pPr>
        <w:pStyle w:val="Heading1"/>
        <w:spacing w:after="160" w:before="320"/>
      </w:pPr>
      <w:r>
        <w:rPr>
          <w:rFonts w:ascii="Times New Roman" w:cs="Times New Roman" w:eastAsia="Times New Roman" w:hAnsi="Times New Roman"/>
          <w:b/>
          <w:bCs/>
          <w:color w:val="2E74B5"/>
          <w:sz w:val="32"/>
          <w:szCs w:val="32"/>
        </w:rPr>
        <w:t xml:space="preserve">4. Proposed Methodology</w:t>
      </w:r>
    </w:p>
    <w:p>
      <w:pPr>
        <w:spacing w:after="160"/>
        <w:jc w:val="both"/>
      </w:pPr>
      <w:r>
        <w:rPr>
          <w:rFonts w:ascii="Times New Roman" w:cs="Times New Roman" w:eastAsia="Times New Roman" w:hAnsi="Times New Roman"/>
          <w:b w:val="false"/>
          <w:bCs w:val="false"/>
          <w:i w:val="false"/>
          <w:iCs w:val="false"/>
          <w:sz w:val="22"/>
          <w:szCs w:val="22"/>
        </w:rPr>
        <w:t xml:space="preserve">Our methodology is designed to translate BYC's lived governance practice and the experience of comparable coalitions into one coherent, signature-ready package, through a structured and iterative sequence of review, consultation, drafting, and validation.</w:t>
      </w:r>
    </w:p>
    <w:p>
      <w:pPr>
        <w:pStyle w:val="Heading2"/>
        <w:spacing w:after="120" w:before="240"/>
      </w:pPr>
      <w:r>
        <w:rPr>
          <w:rFonts w:ascii="Times New Roman" w:cs="Times New Roman" w:eastAsia="Times New Roman" w:hAnsi="Times New Roman"/>
          <w:b/>
          <w:bCs/>
          <w:color w:val="2E74B5"/>
          <w:sz w:val="26"/>
          <w:szCs w:val="26"/>
        </w:rPr>
        <w:t xml:space="preserve">4.1 Methodology Flow</w:t>
      </w:r>
    </w:p>
    <w:p>
      <w:pPr>
        <w:pStyle w:val="ListParagraph"/>
        <w:numPr>
          <w:ilvl w:val="0"/>
          <w:numId w:val="2"/>
        </w:numPr>
        <w:spacing w:after="10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Inception &amp; Document Review — review existing ToR, governance documents, meeting decisions, membership and election records, and safeguarding materials; confirm scope and information gaps with the Secretariat.</w:t>
      </w:r>
    </w:p>
    <w:p>
      <w:pPr>
        <w:pStyle w:val="ListParagraph"/>
        <w:numPr>
          <w:ilvl w:val="0"/>
          <w:numId w:val="2"/>
        </w:numPr>
        <w:spacing w:after="10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Reference Model Analysis — structured review of the Bangladeshi and international coalition models identified in the Terms of Reference, extracting lessons on membership design, tiering, governance bodies, authority flow, resource management, communication and representation, divisional coordination, and elections.</w:t>
      </w:r>
    </w:p>
    <w:p>
      <w:pPr>
        <w:pStyle w:val="ListParagraph"/>
        <w:numPr>
          <w:ilvl w:val="0"/>
          <w:numId w:val="2"/>
        </w:numPr>
        <w:spacing w:after="10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Stakeholder Mapping &amp; KII Planning — design of a KII and consultation plan reaching a representative mix of member organizations across all eight divisions, Executive Committee representatives, Thematic Groups, and the BYC MoU Development Committee.</w:t>
      </w:r>
    </w:p>
    <w:p>
      <w:pPr>
        <w:pStyle w:val="ListParagraph"/>
        <w:numPr>
          <w:ilvl w:val="0"/>
          <w:numId w:val="2"/>
        </w:numPr>
        <w:spacing w:after="10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Rolling KIIs &amp; Consultations — conducted throughout the assignment to inform each annexure batch and pressure-test proposed governance arrangements before drafting is finalized.</w:t>
      </w:r>
    </w:p>
    <w:p>
      <w:pPr>
        <w:pStyle w:val="ListParagraph"/>
        <w:numPr>
          <w:ilvl w:val="0"/>
          <w:numId w:val="2"/>
        </w:numPr>
        <w:spacing w:after="100"/>
        <w:jc w:val="both"/>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Phase 1 Drafting — Annexures 1 (MoU with Annexes A–E) and 2 (Executive Committee Elections and Accountability).</w:t>
      </w:r>
    </w:p>
    <w:p>
      <w:pPr>
        <w:pStyle w:val="ListParagraph"/>
        <w:numPr>
          <w:ilvl w:val="0"/>
          <w:numId w:val="2"/>
        </w:numPr>
        <w:spacing w:after="100"/>
        <w:jc w:val="both"/>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Validation Meeting 1 &amp; Revision — feedback from the Secretariat and BYC MoU Development Committee incorporated into the final Phase 1 drafts.</w:t>
      </w:r>
    </w:p>
    <w:p>
      <w:pPr>
        <w:pStyle w:val="ListParagraph"/>
        <w:numPr>
          <w:ilvl w:val="0"/>
          <w:numId w:val="2"/>
        </w:numPr>
        <w:spacing w:after="100"/>
        <w:jc w:val="both"/>
      </w:pP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Phase 2 Drafting — Annexures 3 (Secretariat Duties and Authority), 4 (Membership Categories), and 5 (Financial Governance Framework).</w:t>
      </w:r>
    </w:p>
    <w:p>
      <w:pPr>
        <w:pStyle w:val="ListParagraph"/>
        <w:numPr>
          <w:ilvl w:val="0"/>
          <w:numId w:val="2"/>
        </w:numPr>
        <w:spacing w:after="100"/>
        <w:jc w:val="both"/>
      </w:pP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Validation Meeting 2 &amp; Revision — feedback incorporated and cross-checked for consistency with Phase 1 outputs.</w:t>
      </w:r>
    </w:p>
    <w:p>
      <w:pPr>
        <w:pStyle w:val="ListParagraph"/>
        <w:numPr>
          <w:ilvl w:val="0"/>
          <w:numId w:val="2"/>
        </w:numPr>
        <w:spacing w:after="100"/>
        <w:jc w:val="both"/>
      </w:pP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Phase 3 Drafting — Annexures 6 (Communication and Coordination Rules), 7 (Day-to-Day Operations, Grievance and Risk Management), and 8 (Safeguarding, Integrity, Independence and Ethical Conduct).</w:t>
      </w:r>
    </w:p>
    <w:p>
      <w:pPr>
        <w:pStyle w:val="ListParagraph"/>
        <w:numPr>
          <w:ilvl w:val="0"/>
          <w:numId w:val="2"/>
        </w:numPr>
        <w:spacing w:after="100"/>
        <w:jc w:val="both"/>
      </w:pP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Validation Meeting 3 &amp; Revision — feedback incorporated and cross-checked against all preceding annexures.</w:t>
      </w:r>
    </w:p>
    <w:p>
      <w:pPr>
        <w:pStyle w:val="ListParagraph"/>
        <w:numPr>
          <w:ilvl w:val="0"/>
          <w:numId w:val="2"/>
        </w:numPr>
        <w:spacing w:after="100"/>
        <w:jc w:val="both"/>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Consolidation &amp; Cross-Consistency Review — all eight annexures reconciled into one internally consistent package with common terminology and complete cross-referencing.</w:t>
      </w:r>
    </w:p>
    <w:p>
      <w:pPr>
        <w:pStyle w:val="ListParagraph"/>
        <w:numPr>
          <w:ilvl w:val="0"/>
          <w:numId w:val="2"/>
        </w:numPr>
        <w:spacing w:after="100"/>
        <w:jc w:val="both"/>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Final Package &amp; Consultancy Report — submission of the consolidated MoU package (editable MS Word and PDF, Annexure 1 signature-ready), the feedback and revision matrix, and the final consultancy report with a future policy roadmap.</w:t>
      </w:r>
    </w:p>
    <w:p>
      <w:r>
        <w:br w:type="page"/>
      </w:r>
    </w:p>
    <w:p>
      <w:pPr>
        <w:pStyle w:val="Heading1"/>
        <w:spacing w:after="160" w:before="320"/>
      </w:pPr>
      <w:r>
        <w:rPr>
          <w:rFonts w:ascii="Times New Roman" w:cs="Times New Roman" w:eastAsia="Times New Roman" w:hAnsi="Times New Roman"/>
          <w:b/>
          <w:bCs/>
          <w:color w:val="2E74B5"/>
          <w:sz w:val="32"/>
          <w:szCs w:val="32"/>
        </w:rPr>
        <w:t xml:space="preserve">5. Detailed Work Plan</w:t>
      </w:r>
    </w:p>
    <w:p>
      <w:pPr>
        <w:spacing w:after="160"/>
        <w:jc w:val="both"/>
      </w:pPr>
      <w:r>
        <w:rPr>
          <w:rFonts w:ascii="Times New Roman" w:cs="Times New Roman" w:eastAsia="Times New Roman" w:hAnsi="Times New Roman"/>
          <w:b w:val="false"/>
          <w:bCs w:val="false"/>
          <w:i w:val="false"/>
          <w:iCs w:val="false"/>
          <w:sz w:val="22"/>
          <w:szCs w:val="22"/>
        </w:rPr>
        <w:t xml:space="preserve">ACNABIN will execute the assignment over three calendar months through a phased approach aligned to the process milestones set out in the Terms of Reference, ensuring timely completion and effective coordination with the BYC Secretariat.</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5100"/>
        <w:gridCol w:w="1860"/>
      </w:tblGrid>
      <w:tr>
        <w:trPr>
          <w:tblHeader/>
        </w:trPr>
        <w:tc>
          <w:tcPr>
            <w:tcW w:type="dxa" w:w="24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Phase</w:t>
            </w:r>
          </w:p>
        </w:tc>
        <w:tc>
          <w:tcPr>
            <w:tcW w:type="dxa" w:w="51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Key Activities</w:t>
            </w:r>
          </w:p>
        </w:tc>
        <w:tc>
          <w:tcPr>
            <w:tcW w:type="dxa" w:w="186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Timeline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Phase 0 — Inception</w:t>
            </w:r>
          </w:p>
        </w:tc>
        <w:tc>
          <w:tcPr>
            <w:tcW w:type="dxa" w:w="5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Document review, methodology and KII/consultation plan, annexure drafting matrix, and detailed work plan, confirmed with the Secretariat.</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By 12 September 2026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Phase 1 — Annexures 1–2</w:t>
            </w:r>
          </w:p>
        </w:tc>
        <w:tc>
          <w:tcPr>
            <w:tcW w:type="dxa" w:w="5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and finalize Annexure 1 (MoU with Annexes A–E) and Annexure 2 (Executive Committee Elections and Accountability); Validation Meeting 1.</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by 16 Sep; Validation 17 Sep; Final by 20 September 2026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Phase 2 — Annexures 3–5</w:t>
            </w:r>
          </w:p>
        </w:tc>
        <w:tc>
          <w:tcPr>
            <w:tcW w:type="dxa" w:w="5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and finalize Annexure 3 (Secretariat Duties and Authority), Annexure 4 (Membership), and Annexure 5 (Financial Governance); Validation Meeting 2.</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13–17 Oct; Validation 25 Oct; Final 28–29 October 2026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Phase 3 — Annexures 6–8</w:t>
            </w:r>
          </w:p>
        </w:tc>
        <w:tc>
          <w:tcPr>
            <w:tcW w:type="dxa" w:w="5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and finalize Annexure 6 (Communication), Annexure 7 (Operations, Grievance &amp; Risk), and Annexure 8 (Safeguarding &amp; Ethics); Validation Meeting 3.</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 11 Nov; Validation 12–15 Nov; Final 18–19 November 2026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Final Consolidation &amp; Close-out</w:t>
            </w:r>
          </w:p>
        </w:tc>
        <w:tc>
          <w:tcPr>
            <w:tcW w:type="dxa" w:w="51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Incorporate agreed feedback from all three phases; final consistency and quality review; submit consolidated Annexures 1–8, final MoU package, feedback matrix, and final consultancy report.</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By 24 November 2026</w:t>
            </w:r>
          </w:p>
        </w:tc>
      </w:tr>
    </w:tbl>
    <w:p>
      <w:pPr>
        <w:spacing w:after="160"/>
      </w:pPr>
    </w:p>
    <w:p>
      <w:pPr>
        <w:spacing w:after="160"/>
        <w:jc w:val="both"/>
      </w:pPr>
      <w:r>
        <w:rPr>
          <w:rFonts w:ascii="Times New Roman" w:cs="Times New Roman" w:eastAsia="Times New Roman" w:hAnsi="Times New Roman"/>
          <w:b w:val="false"/>
          <w:bCs w:val="false"/>
          <w:i w:val="false"/>
          <w:iCs w:val="false"/>
          <w:sz w:val="22"/>
          <w:szCs w:val="22"/>
        </w:rPr>
        <w:t xml:space="preserve">Rolling KIIs and stakeholder consultations will run throughout the assignment period, in parallel with each drafting phase, to keep the emerging framework grounded in the practical experience of BYC's member organizations and governance bodies.</w:t>
      </w:r>
    </w:p>
    <w:p>
      <w:r>
        <w:br w:type="page"/>
      </w:r>
    </w:p>
    <w:p>
      <w:pPr>
        <w:pStyle w:val="Heading1"/>
        <w:spacing w:after="160" w:before="320"/>
      </w:pPr>
      <w:r>
        <w:rPr>
          <w:rFonts w:ascii="Times New Roman" w:cs="Times New Roman" w:eastAsia="Times New Roman" w:hAnsi="Times New Roman"/>
          <w:b/>
          <w:bCs/>
          <w:color w:val="2E74B5"/>
          <w:sz w:val="32"/>
          <w:szCs w:val="32"/>
        </w:rPr>
        <w:t xml:space="preserve">6. Team Composition and Key Experts</w:t>
      </w:r>
    </w:p>
    <w:p>
      <w:pPr>
        <w:spacing w:after="160"/>
        <w:jc w:val="both"/>
      </w:pPr>
      <w:r>
        <w:rPr>
          <w:rFonts w:ascii="Times New Roman" w:cs="Times New Roman" w:eastAsia="Times New Roman" w:hAnsi="Times New Roman"/>
          <w:b w:val="false"/>
          <w:bCs w:val="false"/>
          <w:i w:val="false"/>
          <w:iCs w:val="false"/>
          <w:sz w:val="22"/>
          <w:szCs w:val="22"/>
        </w:rPr>
        <w:t xml:space="preserve">ACNABIN will field a multidisciplinary engagement team from its Advisory &amp; Consultancy practice, combining Chartered Accountants experienced in governance, internal control, and financial-framework design with dedicated institutional and drafting expertise engaged specifically for this assignment's legal and governance-drafting requirements. Specific individuals will be confirmed by the Firm prior to contract signing; the roles below reflect the profile the Terms of Reference requires.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000"/>
        <w:gridCol w:w="1800"/>
        <w:gridCol w:w="2900"/>
        <w:gridCol w:w="2660"/>
      </w:tblGrid>
      <w:tr>
        <w:trPr>
          <w:tblHeader/>
        </w:trPr>
        <w:tc>
          <w:tcPr>
            <w:tcW w:type="dxa" w:w="20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Proposed Role</w:t>
            </w:r>
          </w:p>
        </w:tc>
        <w:tc>
          <w:tcPr>
            <w:tcW w:type="dxa" w:w="18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Name</w:t>
            </w:r>
          </w:p>
        </w:tc>
        <w:tc>
          <w:tcPr>
            <w:tcW w:type="dxa" w:w="29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Profile</w:t>
            </w:r>
          </w:p>
        </w:tc>
        <w:tc>
          <w:tcPr>
            <w:tcW w:type="dxa" w:w="266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Key Responsibilities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Team Leader / Governance Lead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[Name — TO BE PROVIDED]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Partner or Senior Director, ACNABIN Advisory &amp; Consultancy, with experience in institutional advisory, governance, and risk consulting engagements.</w:t>
            </w:r>
          </w:p>
        </w:tc>
        <w:tc>
          <w:tcPr>
            <w:tcW w:type="dxa" w:w="26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Overall engagement leadership, quality review, client coordination, and final sign-off on all annexures.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Institutional &amp; Legal Drafting Specialist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[Name — TO BE PROVIDED]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Specialist engaged for this assignment with experience in MoU, constitution, or governance-framework drafting for coalitions, networks, or NGOs/CSOs.</w:t>
            </w:r>
          </w:p>
        </w:tc>
        <w:tc>
          <w:tcPr>
            <w:tcW w:type="dxa" w:w="26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Primary drafting of the MoU and annexures; ensuring legal clarity, consistency, and cross-referencing across the package.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Stakeholder Engagement &amp; KII Lead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[Name — TO BE PROVIDED]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ACNABIN Advisory &amp; Consultancy team member experienced in facilitation, stakeholder consultation, and participatory assessment.</w:t>
            </w:r>
          </w:p>
        </w:tc>
        <w:tc>
          <w:tcPr>
            <w:tcW w:type="dxa" w:w="26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Design and delivery of the KII/consultation plan; synthesis of stakeholder input into each drafting phase.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Financial Governance Specialist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[Name — TO BE PROVIDED]</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Chartered Accountant with experience in financial reporting, compliance, and internal control frameworks.</w:t>
            </w:r>
          </w:p>
        </w:tc>
        <w:tc>
          <w:tcPr>
            <w:tcW w:type="dxa" w:w="26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Lead drafting of Annexure 5 (Financial Governance Framework) and Annex E of Annexure 1.</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Documentation &amp; Research Associate(s)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To be assigned based on project requirements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Members of ACNABIN's Advisory &amp; Assurance team / articled students.</w:t>
            </w:r>
          </w:p>
        </w:tc>
        <w:tc>
          <w:tcPr>
            <w:tcW w:type="dxa" w:w="266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Reference-model research, KII documentation, cross-referencing, and working-paper preparation under senior team supervision.</w:t>
            </w:r>
          </w:p>
        </w:tc>
      </w:tr>
    </w:tbl>
    <w:p>
      <w:r>
        <w:br w:type="page"/>
      </w:r>
    </w:p>
    <w:p>
      <w:pPr>
        <w:pStyle w:val="Heading1"/>
        <w:spacing w:after="160" w:before="320"/>
      </w:pPr>
      <w:r>
        <w:rPr>
          <w:rFonts w:ascii="Times New Roman" w:cs="Times New Roman" w:eastAsia="Times New Roman" w:hAnsi="Times New Roman"/>
          <w:b/>
          <w:bCs/>
          <w:color w:val="2E74B5"/>
          <w:sz w:val="32"/>
          <w:szCs w:val="32"/>
        </w:rPr>
        <w:t xml:space="preserve">7. Responsibility Matrix</w:t>
      </w:r>
    </w:p>
    <w:p>
      <w:pPr>
        <w:spacing w:after="160"/>
        <w:jc w:val="both"/>
      </w:pPr>
      <w:r>
        <w:rPr>
          <w:rFonts w:ascii="Times New Roman" w:cs="Times New Roman" w:eastAsia="Times New Roman" w:hAnsi="Times New Roman"/>
          <w:b w:val="false"/>
          <w:bCs w:val="false"/>
          <w:i w:val="false"/>
          <w:iCs w:val="false"/>
          <w:sz w:val="22"/>
          <w:szCs w:val="22"/>
        </w:rPr>
        <w:t xml:space="preserve">The assignment will be executed through clearly defined roles and responsibilities between ACNABIN and YFC-BD as the BYC Secretariat, ensuring effective coordination, robust quality control, and timely delivery of all outputs.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6000"/>
        <w:gridCol w:w="1680"/>
        <w:gridCol w:w="1680"/>
      </w:tblGrid>
      <w:tr>
        <w:trPr>
          <w:tblHeader/>
        </w:trPr>
        <w:tc>
          <w:tcPr>
            <w:tcW w:type="dxa" w:w="60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Activity</w:t>
            </w:r>
          </w:p>
        </w:tc>
        <w:tc>
          <w:tcPr>
            <w:tcW w:type="dxa" w:w="168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ACNABIN</w:t>
            </w:r>
          </w:p>
        </w:tc>
        <w:tc>
          <w:tcPr>
            <w:tcW w:type="dxa" w:w="168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YFC-BD / BYC</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Inception meeting and confirmation of scope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Provision of existing ToR, governance documents, membership, and election records</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Document review, reference-model analysis, and methodology development</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Design of the KII/consultation plan</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Coordination of participant availability and consultation logistics</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Conduct of KIIs and stakeholder consultations</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Drafting of the MoU and all eight annexures</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Review and feedback on each phased draft batch</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Facilitation of validation meetings with the BYC MoU Development Committee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Maintenance of the feedback and revision matrix</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Engagement Partner review and quality assurance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Consolidation of the final MoU package and final consultancy report</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r>
      <w:tr>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Review, acceptance, and approval of each deliverable batch</w:t>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
            </w:r>
          </w:p>
        </w:tc>
        <w:tc>
          <w:tcPr>
            <w:tcW w:type="dxa" w:w="168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t>
            </w:r>
          </w:p>
        </w:tc>
      </w:tr>
    </w:tbl>
    <w:p>
      <w:r>
        <w:br w:type="page"/>
      </w:r>
    </w:p>
    <w:p>
      <w:pPr>
        <w:pStyle w:val="Heading1"/>
        <w:spacing w:after="160" w:before="320"/>
      </w:pPr>
      <w:r>
        <w:rPr>
          <w:rFonts w:ascii="Times New Roman" w:cs="Times New Roman" w:eastAsia="Times New Roman" w:hAnsi="Times New Roman"/>
          <w:b/>
          <w:bCs/>
          <w:color w:val="2E74B5"/>
          <w:sz w:val="32"/>
          <w:szCs w:val="32"/>
        </w:rPr>
        <w:t xml:space="preserve">8. Quality Assurance and Risk Management</w:t>
      </w:r>
    </w:p>
    <w:p>
      <w:pPr>
        <w:pStyle w:val="Heading2"/>
        <w:spacing w:after="120" w:before="240"/>
      </w:pPr>
      <w:r>
        <w:rPr>
          <w:rFonts w:ascii="Times New Roman" w:cs="Times New Roman" w:eastAsia="Times New Roman" w:hAnsi="Times New Roman"/>
          <w:b/>
          <w:bCs/>
          <w:color w:val="2E74B5"/>
          <w:sz w:val="26"/>
          <w:szCs w:val="26"/>
        </w:rPr>
        <w:t xml:space="preserve">8.1 Quality Assurance</w:t>
      </w:r>
    </w:p>
    <w:p>
      <w:pPr>
        <w:spacing w:after="160"/>
        <w:jc w:val="both"/>
      </w:pPr>
      <w:r>
        <w:rPr>
          <w:rFonts w:ascii="Times New Roman" w:cs="Times New Roman" w:eastAsia="Times New Roman" w:hAnsi="Times New Roman"/>
          <w:b w:val="false"/>
          <w:bCs w:val="false"/>
          <w:i w:val="false"/>
          <w:iCs w:val="false"/>
          <w:sz w:val="22"/>
          <w:szCs w:val="22"/>
        </w:rPr>
        <w:t xml:space="preserve">This assignment will be subject to ACNABIN's established quality assurance framework, comprising continuous supervision by the Engagement Partner and an independent review of each phase's drafts prior to submission, consistent with the Firm's quality management policies and Baker Tilly International's quality assurance framework. A feedback and revision matrix will be maintained throughout the assignment, as required under the Terms of Reference, to track comments received, resolutions agreed, and consistency across annexures developed in earlier phases.</w:t>
      </w:r>
    </w:p>
    <w:p>
      <w:pPr>
        <w:pStyle w:val="Heading2"/>
        <w:spacing w:after="120" w:before="240"/>
      </w:pPr>
      <w:r>
        <w:rPr>
          <w:rFonts w:ascii="Times New Roman" w:cs="Times New Roman" w:eastAsia="Times New Roman" w:hAnsi="Times New Roman"/>
          <w:b/>
          <w:bCs/>
          <w:color w:val="2E74B5"/>
          <w:sz w:val="26"/>
          <w:szCs w:val="26"/>
        </w:rPr>
        <w:t xml:space="preserve">8.2 Risk Assessment and Mitigation</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2350"/>
        <w:gridCol w:w="4410"/>
      </w:tblGrid>
      <w:tr>
        <w:trPr>
          <w:tblHeader/>
        </w:trPr>
        <w:tc>
          <w:tcPr>
            <w:tcW w:type="dxa" w:w="26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Risk</w:t>
            </w:r>
          </w:p>
        </w:tc>
        <w:tc>
          <w:tcPr>
            <w:tcW w:type="dxa" w:w="235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Potential Impact</w:t>
            </w:r>
          </w:p>
        </w:tc>
        <w:tc>
          <w:tcPr>
            <w:tcW w:type="dxa" w:w="441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Mitigation Strategy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Only 3 of BYC's 11 Executive Committee positions are currently elected</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Reduced governing-body representation during validation of Annexure 2</w:t>
            </w:r>
          </w:p>
        </w:tc>
        <w:tc>
          <w:tcPr>
            <w:tcW w:type="dxa" w:w="441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Engage available Executive Committee members and the BYC MoU Development Committee throughout, and flag the vacancy position clearly in the inception note and election framework.</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Diversity of 102 member organizations across 8 divisions and varying capacity</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Uneven participation in KIIs and consultations</w:t>
            </w:r>
          </w:p>
        </w:tc>
        <w:tc>
          <w:tcPr>
            <w:tcW w:type="dxa" w:w="441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Stratified KII sampling across all divisions and organization types, supported by a hybrid (in-person and remote) consultation format.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Distinguishing ordinary membership from funded-programme financial obligations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Ambiguity or disputes over financial liability</w:t>
            </w:r>
          </w:p>
        </w:tc>
        <w:tc>
          <w:tcPr>
            <w:tcW w:type="dxa" w:w="441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Explicit, unambiguous provisions in Annexure 5 and Annex E confirming that ordinary BYC membership creates no financial entitlement or liability by itself.</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Compressed three-month timeline for eight cross-referenced annexures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Drafting delays or rushed validation</w:t>
            </w:r>
          </w:p>
        </w:tc>
        <w:tc>
          <w:tcPr>
            <w:tcW w:type="dxa" w:w="441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Phased batching, rolling KIIs run in parallel with drafting, and early flagging of any information gaps or scheduling constraints to the Secretariat.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Sensitive subject matter (elections, safeguarding, grievances)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Stakeholder disagreement or delayed sign-off</w:t>
            </w:r>
          </w:p>
        </w:tc>
        <w:tc>
          <w:tcPr>
            <w:tcW w:type="dxa" w:w="441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Structured validation meetings, a maintained feedback and revision matrix, and clear escalation provisions within the Decision-Making Framework (Annex C).</w:t>
            </w:r>
          </w:p>
        </w:tc>
      </w:tr>
    </w:tbl>
    <w:p>
      <w:r>
        <w:br w:type="page"/>
      </w:r>
    </w:p>
    <w:p>
      <w:pPr>
        <w:pStyle w:val="Heading1"/>
        <w:spacing w:after="160" w:before="320"/>
      </w:pPr>
      <w:r>
        <w:rPr>
          <w:rFonts w:ascii="Times New Roman" w:cs="Times New Roman" w:eastAsia="Times New Roman" w:hAnsi="Times New Roman"/>
          <w:b/>
          <w:bCs/>
          <w:color w:val="2E74B5"/>
          <w:sz w:val="32"/>
          <w:szCs w:val="32"/>
        </w:rPr>
        <w:t xml:space="preserve">9. Deliverables of the Assignment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Inception note, methodology, KII/stakeholder consultation plan, and detailed work plan.</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Batch 1: Final Annexure 1 (MoU with Annexes A–E) and Annexure 2 (Executive Committee Elections and Accountability).</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Batch 2: Final Annexure 3 (Secretariat Duties and Authority), Annexure 4 (Membership Categories, Roles and Responsibilities), and Annexure 5 (Financial Governance Framework).</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Batch 3: Final Annexure 6 (Communication and Coordination Rules), Annexure 7 (Day-to-Day Operations, Grievance and Risk Management), and Annexure 8 (Safeguarding, Integrity, Independence and Ethical Conduct).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Feedback and revision matrix, maintained and updated throughout the assignment.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Consolidated final BYC MoU package (Annexures 1–8), in editable MS Word and PDF formats, with Annexure 1 carrying signature blocks for the member organization and the BYC Secretariat.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Final consultancy report covering methodology, findings, validation feedback, and a future policy and guideline roadmap.</w:t>
      </w:r>
    </w:p>
    <w:p>
      <w:r>
        <w:br w:type="page"/>
      </w:r>
    </w:p>
    <w:p>
      <w:pPr>
        <w:pStyle w:val="Heading1"/>
        <w:spacing w:after="160" w:before="320"/>
      </w:pPr>
      <w:r>
        <w:rPr>
          <w:rFonts w:ascii="Times New Roman" w:cs="Times New Roman" w:eastAsia="Times New Roman" w:hAnsi="Times New Roman"/>
          <w:b/>
          <w:bCs/>
          <w:color w:val="2E74B5"/>
          <w:sz w:val="32"/>
          <w:szCs w:val="32"/>
        </w:rPr>
        <w:t xml:space="preserve">10. Timeline of the Assignment</w:t>
      </w:r>
    </w:p>
    <w:p>
      <w:pPr>
        <w:spacing w:after="160"/>
        <w:jc w:val="both"/>
      </w:pPr>
      <w:r>
        <w:rPr>
          <w:rFonts w:ascii="Times New Roman" w:cs="Times New Roman" w:eastAsia="Times New Roman" w:hAnsi="Times New Roman"/>
          <w:b w:val="false"/>
          <w:bCs w:val="false"/>
          <w:i w:val="false"/>
          <w:iCs w:val="false"/>
          <w:sz w:val="22"/>
          <w:szCs w:val="22"/>
        </w:rPr>
        <w:t xml:space="preserve">The assignment will be implemented over a three-month period, from September to November 2026, through the phased approach summarized below.</w:t>
      </w:r>
    </w:p>
    <w:tbl>
      <w:tblPr>
        <w:tblW w:type="dxa" w:w="828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490"/>
        <w:gridCol w:w="490"/>
        <w:gridCol w:w="490"/>
        <w:gridCol w:w="490"/>
        <w:gridCol w:w="490"/>
        <w:gridCol w:w="490"/>
        <w:gridCol w:w="490"/>
        <w:gridCol w:w="490"/>
        <w:gridCol w:w="490"/>
        <w:gridCol w:w="490"/>
        <w:gridCol w:w="490"/>
        <w:gridCol w:w="490"/>
      </w:tblGrid>
      <w:tr>
        <w:trPr>
          <w:tblHeader/>
        </w:trPr>
        <w:tc>
          <w:tcPr>
            <w:tcW w:type="dxa" w:w="24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Activity</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W1</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W2</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W3</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W4</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W5</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W6</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W7</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W8</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W9</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W10</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W11</w:t>
            </w:r>
          </w:p>
        </w:tc>
        <w:tc>
          <w:tcPr>
            <w:tcW w:type="dxa" w:w="49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W12</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Inception &amp; Document Review</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KII &amp; Stakeholder Consultation (rolling)</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1–2 Drafting</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Validation Meeting 1</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1–2 Finalization</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3–5 Drafting</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Validation Meeting 2</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3–5 Finalization</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6–8 Drafting</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Validation Meeting 3</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Annexures 6–8 Finalization</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Final Consolidation &amp; Report</w:t>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
            </w:r>
          </w:p>
        </w:tc>
        <w:tc>
          <w:tcPr>
            <w:tcW w:type="dxa" w:w="490"/>
            <w:shd w:fill="E8E8E8" w:color="auto" w:val="clear"/>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w:t>
            </w:r>
          </w:p>
        </w:tc>
      </w:tr>
    </w:tbl>
    <w:p>
      <w:pPr>
        <w:spacing w:after="160"/>
      </w:pPr>
    </w:p>
    <w:p>
      <w:pPr>
        <w:spacing w:after="160"/>
        <w:jc w:val="both"/>
      </w:pPr>
      <w:r>
        <w:rPr>
          <w:rFonts w:ascii="Times New Roman" w:cs="Times New Roman" w:eastAsia="Times New Roman" w:hAnsi="Times New Roman"/>
          <w:b w:val="false"/>
          <w:bCs w:val="false"/>
          <w:i w:val="false"/>
          <w:iCs w:val="false"/>
          <w:sz w:val="22"/>
          <w:szCs w:val="22"/>
        </w:rPr>
        <w:t xml:space="preserve">As noted in the Terms of Reference, this timeline is indicative and may be adjusted by mutual agreement between YFC-BD and ACNABIN based on stakeholder availability or other relevant circumstances, without compromising the required Annexure 1–8 outputs.</w:t>
      </w:r>
    </w:p>
    <w:p>
      <w:r>
        <w:br w:type="page"/>
      </w:r>
    </w:p>
    <w:p>
      <w:pPr>
        <w:pStyle w:val="Heading1"/>
        <w:spacing w:after="160" w:before="320"/>
      </w:pPr>
      <w:r>
        <w:rPr>
          <w:rFonts w:ascii="Times New Roman" w:cs="Times New Roman" w:eastAsia="Times New Roman" w:hAnsi="Times New Roman"/>
          <w:b/>
          <w:bCs/>
          <w:color w:val="2E74B5"/>
          <w:sz w:val="32"/>
          <w:szCs w:val="32"/>
        </w:rPr>
        <w:t xml:space="preserve">11. Relevant Experience</w:t>
      </w:r>
    </w:p>
    <w:p>
      <w:pPr>
        <w:spacing w:after="160"/>
        <w:jc w:val="both"/>
      </w:pPr>
      <w:r>
        <w:rPr>
          <w:rFonts w:ascii="Times New Roman" w:cs="Times New Roman" w:eastAsia="Times New Roman" w:hAnsi="Times New Roman"/>
          <w:b w:val="false"/>
          <w:bCs w:val="false"/>
          <w:i w:val="false"/>
          <w:iCs w:val="false"/>
          <w:sz w:val="22"/>
          <w:szCs w:val="22"/>
        </w:rPr>
        <w:t xml:space="preserve">ACNABIN's Advisory &amp; Consultancy practice regularly undertakes governance, internal control, standard operating procedure, and business process development assignments for corporate, public-sector, and development-sector clients in Bangladesh, alongside the Firm's core audit, assurance, taxation, and risk consulting services. This combination of institutional advisory and structured, standards-based drafting discipline is directly applicable to the document architecture, cross-referencing, and accountability design this assignment requires.</w:t>
      </w:r>
    </w:p>
    <w:p>
      <w:pPr>
        <w:spacing w:after="160"/>
        <w:jc w:val="both"/>
      </w:pPr>
      <w:r>
        <w:rPr>
          <w:rFonts w:ascii="Times New Roman" w:cs="Times New Roman" w:eastAsia="Times New Roman" w:hAnsi="Times New Roman"/>
          <w:b w:val="false"/>
          <w:bCs w:val="false"/>
          <w:i w:val="false"/>
          <w:iCs w:val="false"/>
          <w:sz w:val="22"/>
          <w:szCs w:val="22"/>
        </w:rPr>
        <w:t xml:space="preserve">[TO BE PROVIDED: ACNABIN to insert a minimum of three recent, directly comparable assignments — for example, MoU or governance-framework drafting, coalition or network membership agreements, or institutional strengthening work for NGOs, CSOs, or youth-led organizations — with client name, scope, and scale, together with the CVs of the proposed team, as required under Section 10 of the Terms of Reference.]</w:t>
      </w:r>
    </w:p>
    <w:p>
      <w:r>
        <w:br w:type="page"/>
      </w:r>
    </w:p>
    <w:p>
      <w:pPr>
        <w:pStyle w:val="Heading1"/>
        <w:spacing w:after="160" w:before="320"/>
      </w:pPr>
      <w:r>
        <w:rPr>
          <w:rFonts w:ascii="Times New Roman" w:cs="Times New Roman" w:eastAsia="Times New Roman" w:hAnsi="Times New Roman"/>
          <w:b/>
          <w:bCs/>
          <w:color w:val="2E74B5"/>
          <w:sz w:val="32"/>
          <w:szCs w:val="32"/>
        </w:rPr>
        <w:t xml:space="preserve">12. About ACNABIN Chartered Accountants</w:t>
      </w:r>
    </w:p>
    <w:p>
      <w:pPr>
        <w:pStyle w:val="Heading2"/>
        <w:spacing w:after="120" w:before="240"/>
      </w:pPr>
      <w:r>
        <w:rPr>
          <w:rFonts w:ascii="Times New Roman" w:cs="Times New Roman" w:eastAsia="Times New Roman" w:hAnsi="Times New Roman"/>
          <w:b/>
          <w:bCs/>
          <w:color w:val="2E74B5"/>
          <w:sz w:val="26"/>
          <w:szCs w:val="26"/>
        </w:rPr>
        <w:t xml:space="preserve">12.1 About ACNABIN</w:t>
      </w:r>
    </w:p>
    <w:p>
      <w:pPr>
        <w:spacing w:after="160"/>
        <w:jc w:val="both"/>
      </w:pPr>
      <w:r>
        <w:rPr>
          <w:rFonts w:ascii="Times New Roman" w:cs="Times New Roman" w:eastAsia="Times New Roman" w:hAnsi="Times New Roman"/>
          <w:b w:val="false"/>
          <w:bCs w:val="false"/>
          <w:i w:val="false"/>
          <w:iCs w:val="false"/>
          <w:sz w:val="22"/>
          <w:szCs w:val="22"/>
        </w:rPr>
        <w:t xml:space="preserve">ACNABIN Chartered Accountants, established in 1985, is one of Bangladesh's leading professional services firms, providing audit, assurance, advisory, taxation, risk consulting, and business support services to clients across the public and private sectors. With over four decades of professional experience as an independent member firm of Baker Tilly International, ACNABIN has built a strong reputation for delivering high-quality, technically sound, and practical solutions to complex business, institutional, and governance-related engagements.</w:t>
      </w:r>
    </w:p>
    <w:p>
      <w:pPr>
        <w:pStyle w:val="Heading2"/>
        <w:spacing w:after="120" w:before="240"/>
      </w:pPr>
      <w:r>
        <w:rPr>
          <w:rFonts w:ascii="Times New Roman" w:cs="Times New Roman" w:eastAsia="Times New Roman" w:hAnsi="Times New Roman"/>
          <w:b/>
          <w:bCs/>
          <w:color w:val="2E74B5"/>
          <w:sz w:val="26"/>
          <w:szCs w:val="26"/>
        </w:rPr>
        <w:t xml:space="preserve">12.2 Why ACNABIN for This Assignment</w:t>
      </w:r>
    </w:p>
    <w:p>
      <w:pPr>
        <w:spacing w:after="160"/>
        <w:jc w:val="both"/>
      </w:pPr>
      <w:r>
        <w:rPr>
          <w:rFonts w:ascii="Times New Roman" w:cs="Times New Roman" w:eastAsia="Times New Roman" w:hAnsi="Times New Roman"/>
          <w:b w:val="false"/>
          <w:bCs w:val="false"/>
          <w:i w:val="false"/>
          <w:iCs w:val="false"/>
          <w:sz w:val="22"/>
          <w:szCs w:val="22"/>
        </w:rPr>
        <w:t xml:space="preserve">ACNABIN offers a combination of institutional advisory experience, structured drafting discipline, and implementation capability aligned with the requirements of this assignment. Our key strengths include:</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An Advisory &amp; Consultancy practice experienced in governance frameworks, internal control design, and business process documentation for complex, multi-stakeholder organizations.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quality assurance framework combining continuous Engagement Partner supervision with independent review, consistent with Baker Tilly International's quality standards.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Established experience coordinating with government organizations, development-sector clients, and large, multi-site organizations, supporting efficient stakeholder engagement and structured consultation.</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The organizational capacity to run structured document review, KIIs, and phased, validated drafting processes while maintaining rigorous quality control and meeting agreed timelines.</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dedicated institutional and legal drafting resource engaged specifically for this assignment's MoU and governance-framework requirements, working alongside ACNABIN's Chartered Accountants.</w:t>
      </w:r>
    </w:p>
    <w:p>
      <w:pPr>
        <w:pStyle w:val="Heading2"/>
        <w:spacing w:after="120" w:before="240"/>
      </w:pPr>
      <w:r>
        <w:rPr>
          <w:rFonts w:ascii="Times New Roman" w:cs="Times New Roman" w:eastAsia="Times New Roman" w:hAnsi="Times New Roman"/>
          <w:b/>
          <w:bCs/>
          <w:color w:val="2E74B5"/>
          <w:sz w:val="26"/>
          <w:szCs w:val="26"/>
        </w:rPr>
        <w:t xml:space="preserve">12.3 Value Addition</w:t>
      </w:r>
    </w:p>
    <w:p>
      <w:pPr>
        <w:spacing w:after="160"/>
        <w:jc w:val="both"/>
      </w:pPr>
      <w:r>
        <w:rPr>
          <w:rFonts w:ascii="Times New Roman" w:cs="Times New Roman" w:eastAsia="Times New Roman" w:hAnsi="Times New Roman"/>
          <w:b w:val="false"/>
          <w:bCs w:val="false"/>
          <w:i w:val="false"/>
          <w:iCs w:val="false"/>
          <w:sz w:val="22"/>
          <w:szCs w:val="22"/>
        </w:rPr>
        <w:t xml:space="preserve">In addition to the required deliverables, ACNABIN will provide practical value supporting BYC's long-term institutional sustainability, including:</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structured, plain-language MoU package that BYC's Secretariat and member organizations of varying capacity can readily understand, sign, and maintain.</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feedback and revision matrix template that BYC can reuse for future policy and guideline development beyond this assignment.</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 knowledge-sharing session with designated YFC-BD Secretariat personnel on maintaining and periodically updating the governance package.</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Practical recommendations, drawn from the KII process, for the future policies and guidelines identified in Annexure 7 and the final consultancy report's policy roadmap.</w:t>
      </w:r>
    </w:p>
    <w:p>
      <w:r>
        <w:br w:type="page"/>
      </w:r>
    </w:p>
    <w:p>
      <w:pPr>
        <w:pStyle w:val="Heading1"/>
        <w:spacing w:after="160" w:before="320"/>
      </w:pPr>
      <w:r>
        <w:rPr>
          <w:rFonts w:ascii="Times New Roman" w:cs="Times New Roman" w:eastAsia="Times New Roman" w:hAnsi="Times New Roman"/>
          <w:b/>
          <w:bCs/>
          <w:color w:val="2E74B5"/>
          <w:sz w:val="32"/>
          <w:szCs w:val="32"/>
        </w:rPr>
        <w:t xml:space="preserve">13. Conclusion</w:t>
      </w:r>
    </w:p>
    <w:p>
      <w:pPr>
        <w:spacing w:after="160"/>
        <w:jc w:val="both"/>
      </w:pPr>
      <w:r>
        <w:rPr>
          <w:rFonts w:ascii="Times New Roman" w:cs="Times New Roman" w:eastAsia="Times New Roman" w:hAnsi="Times New Roman"/>
          <w:b w:val="false"/>
          <w:bCs w:val="false"/>
          <w:i w:val="false"/>
          <w:iCs w:val="false"/>
          <w:sz w:val="22"/>
          <w:szCs w:val="22"/>
        </w:rPr>
        <w:t xml:space="preserve">ACNABIN appreciates the opportunity to submit this Technical Proposal for Strengthening the Governance and Institutional Framework of Bangladesh Youth Coalition (BYC). Drawing on our Advisory &amp; Consultancy practice's experience in governance, internal control, and institutional documentation, together with a dedicated drafting specialist engaged for this assignment and a structured, participatory methodology, we are confident in our ability to deliver a practical, signature-ready MoU and governance package that reflects BYC's youth-led character and supports its continued growth.</w:t>
      </w:r>
    </w:p>
    <w:p>
      <w:pPr>
        <w:spacing w:after="160"/>
        <w:jc w:val="both"/>
      </w:pPr>
      <w:r>
        <w:rPr>
          <w:rFonts w:ascii="Times New Roman" w:cs="Times New Roman" w:eastAsia="Times New Roman" w:hAnsi="Times New Roman"/>
          <w:b w:val="false"/>
          <w:bCs w:val="false"/>
          <w:i w:val="false"/>
          <w:iCs w:val="false"/>
          <w:sz w:val="22"/>
          <w:szCs w:val="22"/>
        </w:rPr>
        <w:t xml:space="preserve">We look forward to the opportunity to work with Youth For Change Bangladesh Foundation and the Bangladesh Youth Coalition, and to contribute to strengthening the coalition's governance, accountability, and institutional sustainability.</w:t>
      </w:r>
    </w:p>
    <w:p>
      <w:r>
        <w:br w:type="page"/>
      </w:r>
    </w:p>
    <w:p>
      <w:pPr>
        <w:pStyle w:val="Heading1"/>
        <w:spacing w:after="160" w:before="320"/>
      </w:pPr>
      <w:r>
        <w:rPr>
          <w:rFonts w:ascii="Times New Roman" w:cs="Times New Roman" w:eastAsia="Times New Roman" w:hAnsi="Times New Roman"/>
          <w:b/>
          <w:bCs/>
          <w:color w:val="2E74B5"/>
          <w:sz w:val="32"/>
          <w:szCs w:val="32"/>
        </w:rPr>
        <w:t xml:space="preserve">Appendices</w:t>
      </w:r>
    </w:p>
    <w:p>
      <w:pPr>
        <w:spacing w:after="160"/>
        <w:jc w:val="both"/>
      </w:pPr>
      <w:r>
        <w:rPr>
          <w:rFonts w:ascii="Times New Roman" w:cs="Times New Roman" w:eastAsia="Times New Roman" w:hAnsi="Times New Roman"/>
          <w:b w:val="false"/>
          <w:bCs w:val="false"/>
          <w:i w:val="false"/>
          <w:iCs w:val="false"/>
          <w:sz w:val="22"/>
          <w:szCs w:val="22"/>
        </w:rPr>
        <w:t xml:space="preserve">The following documents form part of this Technical Proposal:</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Appendix A — CVs of the Proposed Team [TO BE PROVIDED]</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Appendix B — ACNABIN Organizational Profile [TO BE PROVIDED]</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Appendix C — Examples of Similar Previous Work, minimum 3 recent assignments [TO BE PROVIDED]</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Appendix D — Trade License, Tax Registration Certificate, and VAT Registration Certificate [TO BE PROVIDED]</w:t>
      </w:r>
    </w:p>
    <w:p>
      <w:pPr>
        <w:pStyle w:val="ListParagraph"/>
        <w:numPr>
          <w:ilvl w:val="0"/>
          <w:numId w:val="2"/>
        </w:numPr>
        <w:spacing w:after="100"/>
        <w:jc w:val="both"/>
      </w:pPr>
      <w:r>
        <w:rPr>
          <w:rFonts w:ascii="Times New Roman" w:cs="Times New Roman" w:eastAsia="Times New Roman" w:hAnsi="Times New Roman"/>
          <w:b w:val="false"/>
          <w:bCs w:val="false"/>
          <w:sz w:val="22"/>
          <w:szCs w:val="22"/>
        </w:rPr>
        <w:t xml:space="preserve">Appendix E — Signed Declaration of No Conflict of Interest [TO BE PROVIDED]</w:t>
      </w:r>
    </w:p>
    <w:p>
      <w:pPr>
        <w:spacing w:after="200"/>
      </w:pPr>
    </w:p>
    <w:p>
      <w:pPr>
        <w:spacing w:after="160"/>
        <w:jc w:val="both"/>
      </w:pPr>
      <w:r>
        <w:rPr>
          <w:rFonts w:ascii="Times New Roman" w:cs="Times New Roman" w:eastAsia="Times New Roman" w:hAnsi="Times New Roman"/>
          <w:b/>
          <w:bCs/>
          <w:i w:val="false"/>
          <w:iCs w:val="false"/>
          <w:sz w:val="22"/>
          <w:szCs w:val="22"/>
        </w:rPr>
        <w:t xml:space="preserve">The Financial Proposal has been submitted separately in accordance with the requirements of the Terms of Reference.</w:t>
      </w:r>
    </w:p>
    <w:sectPr>
      <w:headerReference w:type="default" r:id="rId9"/>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555555"/>
        <w:sz w:val="16"/>
        <w:szCs w:val="16"/>
      </w:rPr>
      <w:t xml:space="preserve">Page </w:t>
    </w:r>
    <w:r>
      <w:rPr>
        <w:rFonts w:ascii="Tahoma" w:cs="Tahoma" w:eastAsia="Tahoma" w:hAnsi="Tahoma"/>
        <w:color w:val="555555"/>
        <w:sz w:val="16"/>
        <w:szCs w:val="16"/>
      </w:rPr>
      <w:fldChar w:fldCharType="begin"/>
      <w:instrText xml:space="preserve">PAGE</w:instrText>
      <w:fldChar w:fldCharType="separate"/>
      <w:fldChar w:fldCharType="end"/>
    </w:r>
    <w:r>
      <w:rPr>
        <w:rFonts w:ascii="Tahoma" w:cs="Tahoma" w:eastAsia="Tahoma" w:hAnsi="Tahoma"/>
        <w:color w:val="555555"/>
        <w:sz w:val="16"/>
        <w:szCs w:val="16"/>
      </w:rPr>
      <w:t xml:space="preserve"> of </w:t>
    </w:r>
    <w:r>
      <w:rPr>
        <w:rFonts w:ascii="Tahoma" w:cs="Tahoma" w:eastAsia="Tahoma" w:hAnsi="Tahoma"/>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ahoma" w:cs="Tahoma" w:eastAsia="Tahoma" w:hAnsi="Tahoma"/>
        <w:color w:val="555555"/>
        <w:sz w:val="16"/>
        <w:szCs w:val="16"/>
      </w:rPr>
      <w:t xml:space="preserve">PROPOSAL FOR </w:t>
    </w:r>
    <w:r>
      <w:rPr>
        <w:rFonts w:ascii="Tahoma" w:cs="Tahoma" w:eastAsia="Tahoma" w:hAnsi="Tahoma"/>
        <w:b/>
        <w:bCs/>
        <w:color w:val="555555"/>
        <w:sz w:val="16"/>
        <w:szCs w:val="16"/>
      </w:rPr>
      <w:t xml:space="preserve">BANGLADESH YOUTH COALITION (BYC)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515d2ea7bb34e72ddef38cd3546291d75ba6e4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2026-09-06T09:11:01.725Z</dcterms:created>
  <dcterms:modified xsi:type="dcterms:W3CDTF">2026-09-06T09:11:01.725Z</dcterms:modified>
</cp:coreProperties>
</file>

<file path=docProps/custom.xml><?xml version="1.0" encoding="utf-8"?>
<Properties xmlns="http://schemas.openxmlformats.org/officeDocument/2006/custom-properties" xmlns:vt="http://schemas.openxmlformats.org/officeDocument/2006/docPropsVTypes"/>
</file>