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20326">
      <w:pPr>
        <w:spacing w:line="264" w:lineRule="auto"/>
        <w:rPr>
          <w:rFonts w:ascii="Arial"/>
          <w:sz w:val="21"/>
        </w:rPr>
      </w:pPr>
    </w:p>
    <w:p w14:paraId="5DF8B169">
      <w:pPr>
        <w:spacing w:line="264" w:lineRule="auto"/>
        <w:rPr>
          <w:rFonts w:ascii="Arial"/>
          <w:sz w:val="21"/>
        </w:rPr>
      </w:pPr>
    </w:p>
    <w:p w14:paraId="4EFFAC95">
      <w:pPr>
        <w:spacing w:line="264" w:lineRule="auto"/>
        <w:rPr>
          <w:rFonts w:ascii="Arial"/>
          <w:sz w:val="21"/>
        </w:rPr>
      </w:pPr>
    </w:p>
    <w:p w14:paraId="263C462E">
      <w:pPr>
        <w:spacing w:line="264" w:lineRule="auto"/>
        <w:rPr>
          <w:rFonts w:ascii="Arial"/>
          <w:sz w:val="21"/>
        </w:rPr>
      </w:pPr>
    </w:p>
    <w:p w14:paraId="79648AD5">
      <w:pPr>
        <w:spacing w:line="264" w:lineRule="auto"/>
        <w:rPr>
          <w:rFonts w:ascii="Arial"/>
          <w:sz w:val="21"/>
        </w:rPr>
      </w:pPr>
    </w:p>
    <w:p w14:paraId="4D0442EC">
      <w:pPr>
        <w:spacing w:before="83" w:line="182" w:lineRule="auto"/>
        <w:ind w:left="32"/>
        <w:outlineLvl w:val="0"/>
        <w:rPr>
          <w:rFonts w:ascii="Comic Sans MS" w:hAnsi="Comic Sans MS" w:eastAsia="Comic Sans MS" w:cs="Comic Sans MS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4445</wp:posOffset>
                </wp:positionV>
                <wp:extent cx="1442085" cy="209550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683" y="4892"/>
                          <a:ext cx="1442085" cy="20955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" o:spid="_x0000_s1026" o:spt="1" style="position:absolute;left:0pt;margin-left:0.75pt;margin-top:0.35pt;height:16.5pt;width:113.55pt;z-index:-251657216;mso-width-relative:page;mso-height-relative:page;" fillcolor="#D3D3D3" filled="t" stroked="f" coordsize="21600,21600" o:gfxdata="UEsDBAoAAAAAAIdO4kAAAAAAAAAAAAAAAAAEAAAAZHJzL1BLAwQUAAAACACHTuJAbgu+g9YAAAAF&#10;AQAADwAAAGRycy9kb3ducmV2LnhtbE2OwU7DMBBE70j8g7VIXBB1moq2SuP0AEKVEJcGDu3NjZc4&#10;NF5Httumf89yguNoRm9euR5dL84YYudJwXSSgUBqvOmoVfD58fq4BBGTJqN7T6jgihHW1e1NqQvj&#10;L7TFc51awRCKhVZgUxoKKWNj0ek48QMSd18+OJ04hlaaoC8Md73Ms2wune6IH6we8Nlic6xPTsEm&#10;yZfjcH3Y7Ci875p63H6/7a1S93fTbAUi4Zj+xvCrz+pQsdPBn8hE0XN+4qGCBQgu83w5B3FQMJst&#10;QFal/G9f/QBQSwMEFAAAAAgAh07iQJgNvqIwAgAAaAQAAA4AAABkcnMvZTJvRG9jLnhtbK1UUW/b&#10;IBB+n7T/gHhf7KRJlUZ1qqhRpknVGq2b9kwwjpGAYweJk/36HThut24PfZgs4Q/f8R3fx+Hbu5M1&#10;7KgwaHAVH49KzpSTUGu3r/i3r5sPc85CFK4WBpyq+FkFfrd8/+628ws1gRZMrZARiQuLzle8jdEv&#10;iiLIVlkRRuCVo2ADaEWkKe6LGkVH7NYUk7K8LjrA2iNIFQJ9XfdBfmHEtxBC02ip1iAPVrnYs6Iy&#10;IpKk0Gof+DLvtmmUjI9NE1RkpuKkNOaRihDepbFY3orFHoVvtbxsQbxlC680WaEdFX2mWoso2AH1&#10;X1RWS4QATRxJsEUvJDtCKsblK2+eWuFV1kJWB/9sevh/tPLzcYtM1xWfcOaEpQP/QqaxSXKm82FB&#10;CU9+i5dZIJhknhq06U0C2KniN9fzK87OFZ/Ob/JKsVCnyCSFxtPppJzPOJMUnpQ3s1k2vXjh8Bji&#10;RwWWJVBxpPLZSnF8CJHqUuqQkkoGMLreaGPyBPe7e4PsKOh811fpSRunJX+kGce6dNppiYO0uE8y&#10;jnKTyl5XQjuoz+QIQt8qwcuNpn09iBC3Aqk3qHPo9sRHGhoDRAsXxFkL+PNf31M+HRlFOeuo1yoe&#10;fhwEKs7MJ0eHmRpzADiA3QDcwd4DyRvTvfQyQ1qA0QywQbDf6VKtUhUKCSepVsXjAO9j3/F0KaVa&#10;rXIStZ8X8cE9eZmoe2dWhwiNzqa/eHGxiBowG3u5LKnDf5/nrJcfxP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gu+g9YAAAAFAQAADwAAAAAAAAABACAAAAAiAAAAZHJzL2Rvd25yZXYueG1sUEsB&#10;AhQAFAAAAAgAh07iQJgNvqIwAgAAaAQAAA4AAAAAAAAAAQAgAAAAJQ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Comic Sans MS" w:hAnsi="Comic Sans MS" w:eastAsia="Comic Sans MS" w:cs="Comic Sans MS"/>
          <w:b/>
          <w:bCs/>
          <w:spacing w:val="-3"/>
          <w:sz w:val="24"/>
          <w:szCs w:val="24"/>
        </w:rPr>
        <w:t>Dr. VIBHA</w:t>
      </w:r>
      <w:r>
        <w:rPr>
          <w:rFonts w:ascii="Comic Sans MS" w:hAnsi="Comic Sans MS" w:eastAsia="Comic Sans MS" w:cs="Comic Sans MS"/>
          <w:b/>
          <w:bCs/>
          <w:spacing w:val="19"/>
          <w:sz w:val="24"/>
          <w:szCs w:val="24"/>
        </w:rPr>
        <w:t xml:space="preserve"> </w:t>
      </w:r>
      <w:r>
        <w:rPr>
          <w:rFonts w:ascii="Comic Sans MS" w:hAnsi="Comic Sans MS" w:eastAsia="Comic Sans MS" w:cs="Comic Sans MS"/>
          <w:b/>
          <w:bCs/>
          <w:spacing w:val="-3"/>
          <w:sz w:val="24"/>
          <w:szCs w:val="24"/>
        </w:rPr>
        <w:t>KUMAR</w:t>
      </w:r>
    </w:p>
    <w:p w14:paraId="10EF313F">
      <w:pPr>
        <w:spacing w:line="287" w:lineRule="auto"/>
        <w:rPr>
          <w:rFonts w:ascii="Arial"/>
          <w:sz w:val="21"/>
        </w:rPr>
      </w:pPr>
    </w:p>
    <w:p w14:paraId="203BD0F0">
      <w:pPr>
        <w:spacing w:line="287" w:lineRule="auto"/>
        <w:rPr>
          <w:rFonts w:ascii="Arial"/>
          <w:sz w:val="21"/>
        </w:rPr>
      </w:pPr>
    </w:p>
    <w:p w14:paraId="24B4F850">
      <w:pPr>
        <w:spacing w:line="30" w:lineRule="exact"/>
        <w:ind w:firstLine="63"/>
      </w:pPr>
      <w:r>
        <w:pict>
          <v:shape id="_x0000_s1027" o:spid="_x0000_s1027" style="height:1.5pt;width:447pt;" filled="f" stroked="t" coordsize="8940,30" path="m0,15l8940,15e">
            <v:fill on="f" focussize="0,0"/>
            <v:stroke weight="1.5pt" color="#4472C4" miterlimit="10" joinstyle="miter"/>
            <v:imagedata o:title=""/>
            <o:lock v:ext="edit"/>
            <w10:wrap type="none"/>
            <w10:anchorlock/>
          </v:shape>
        </w:pict>
      </w:r>
    </w:p>
    <w:p w14:paraId="561D2423">
      <w:pPr>
        <w:spacing w:line="459" w:lineRule="auto"/>
        <w:rPr>
          <w:rFonts w:ascii="Arial"/>
          <w:sz w:val="21"/>
        </w:rPr>
      </w:pPr>
    </w:p>
    <w:p w14:paraId="7E1FBF55">
      <w:pPr>
        <w:spacing w:line="323" w:lineRule="auto"/>
        <w:rPr>
          <w:rFonts w:hint="default" w:ascii="Arial"/>
          <w:sz w:val="21"/>
          <w:lang w:val="en-US"/>
        </w:rPr>
      </w:pPr>
      <w:r>
        <w:rPr>
          <w:rFonts w:hint="default"/>
          <w:position w:val="-6"/>
          <w:lang w:val="en-US"/>
        </w:rPr>
        <w:t>Educational Qualifications :</w:t>
      </w:r>
    </w:p>
    <w:p w14:paraId="2E06F738">
      <w:pPr>
        <w:pStyle w:val="4"/>
        <w:spacing w:before="70" w:line="273" w:lineRule="auto"/>
        <w:ind w:left="1400" w:right="2728" w:hanging="1007"/>
      </w:pPr>
      <w:r>
        <w:rPr>
          <w:position w:val="2"/>
        </w:rPr>
        <w:drawing>
          <wp:inline distT="0" distB="0" distL="0" distR="0">
            <wp:extent cx="112395" cy="10223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737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5"/>
        </w:rPr>
        <w:t xml:space="preserve">  </w:t>
      </w:r>
      <w:r>
        <w:rPr>
          <w:b/>
          <w:bCs/>
          <w:spacing w:val="-6"/>
        </w:rPr>
        <w:t xml:space="preserve">Ph. D. </w:t>
      </w:r>
      <w:r>
        <w:rPr>
          <w:spacing w:val="-6"/>
        </w:rPr>
        <w:t>Indian Institute of</w:t>
      </w:r>
      <w:r>
        <w:rPr>
          <w:spacing w:val="-27"/>
        </w:rPr>
        <w:t xml:space="preserve"> </w:t>
      </w:r>
      <w:r>
        <w:rPr>
          <w:spacing w:val="-6"/>
        </w:rPr>
        <w:t>Tech</w:t>
      </w:r>
      <w:r>
        <w:rPr>
          <w:spacing w:val="-7"/>
        </w:rPr>
        <w:t>nology Roorkee, (IIT)</w:t>
      </w:r>
      <w:r>
        <w:rPr>
          <w:spacing w:val="-11"/>
        </w:rPr>
        <w:t xml:space="preserve"> </w:t>
      </w:r>
      <w:r>
        <w:rPr>
          <w:spacing w:val="-7"/>
        </w:rPr>
        <w:t>Roorkee</w:t>
      </w:r>
      <w:r>
        <w:t xml:space="preserve"> </w:t>
      </w:r>
      <w:r>
        <w:rPr>
          <w:spacing w:val="-1"/>
        </w:rPr>
        <w:t>Supervisor: Dr. P. P. Thankachan</w:t>
      </w:r>
    </w:p>
    <w:p w14:paraId="37C87AED">
      <w:pPr>
        <w:pStyle w:val="4"/>
        <w:spacing w:before="186" w:line="198" w:lineRule="auto"/>
        <w:ind w:left="395"/>
      </w:pPr>
      <w:r>
        <w:rPr>
          <w:position w:val="2"/>
        </w:rPr>
        <w:drawing>
          <wp:inline distT="0" distB="0" distL="0" distR="0">
            <wp:extent cx="122555" cy="11176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6"/>
        </w:rPr>
        <w:t xml:space="preserve">M.Sc. </w:t>
      </w:r>
      <w:r>
        <w:rPr>
          <w:spacing w:val="-6"/>
        </w:rPr>
        <w:t>Indian Institute of</w:t>
      </w:r>
      <w:r>
        <w:rPr>
          <w:spacing w:val="-32"/>
        </w:rPr>
        <w:t xml:space="preserve"> </w:t>
      </w:r>
      <w:r>
        <w:rPr>
          <w:spacing w:val="-6"/>
        </w:rPr>
        <w:t>Technology Roorkee, (IIT) Roorkee, 2003</w:t>
      </w:r>
    </w:p>
    <w:p w14:paraId="3E4FBC47">
      <w:pPr>
        <w:pStyle w:val="4"/>
        <w:spacing w:before="188" w:line="198" w:lineRule="auto"/>
        <w:ind w:left="395"/>
      </w:pPr>
      <w:r>
        <w:rPr>
          <w:position w:val="2"/>
        </w:rPr>
        <w:drawing>
          <wp:inline distT="0" distB="0" distL="0" distR="0">
            <wp:extent cx="122555" cy="11176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</w:rPr>
        <w:t xml:space="preserve">B.Sc. </w:t>
      </w:r>
      <w:r>
        <w:t>KLDAV Degree College, Roorkee, CCS Universit</w:t>
      </w:r>
      <w:r>
        <w:rPr>
          <w:spacing w:val="-1"/>
        </w:rPr>
        <w:t>y, 2001</w:t>
      </w:r>
    </w:p>
    <w:p w14:paraId="3062A0A9">
      <w:pPr>
        <w:spacing w:line="319" w:lineRule="auto"/>
        <w:rPr>
          <w:rFonts w:ascii="Arial"/>
          <w:sz w:val="21"/>
        </w:rPr>
      </w:pPr>
    </w:p>
    <w:p w14:paraId="1E612548">
      <w:pPr>
        <w:spacing w:line="319" w:lineRule="auto"/>
        <w:rPr>
          <w:rFonts w:ascii="Arial"/>
          <w:sz w:val="21"/>
        </w:rPr>
      </w:pPr>
    </w:p>
    <w:p w14:paraId="2A754EB0">
      <w:pPr>
        <w:spacing w:line="319" w:lineRule="auto"/>
        <w:rPr>
          <w:rFonts w:ascii="Arial"/>
          <w:sz w:val="21"/>
        </w:rPr>
      </w:pPr>
    </w:p>
    <w:p w14:paraId="479E5613">
      <w:pPr>
        <w:spacing w:line="341" w:lineRule="exact"/>
        <w:ind w:firstLine="15"/>
      </w:pPr>
      <w:r>
        <w:rPr>
          <w:position w:val="-6"/>
        </w:rPr>
        <w:pict>
          <v:shape id="_x0000_s1029" o:spid="_x0000_s1029" o:spt="202" type="#_x0000_t202" style="height:17.05pt;width:157.3pt;" fillcolor="#D3D3D3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1C7996">
                  <w:pPr>
                    <w:spacing w:before="73" w:line="187" w:lineRule="auto"/>
                    <w:ind w:right="1"/>
                    <w:jc w:val="right"/>
                    <w:rPr>
                      <w:rFonts w:ascii="Comic Sans MS" w:hAnsi="Comic Sans MS" w:eastAsia="Comic Sans MS" w:cs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 w:eastAsia="Comic Sans MS" w:cs="Comic Sans MS"/>
                      <w:b/>
                      <w:bCs/>
                      <w:spacing w:val="-1"/>
                      <w:sz w:val="24"/>
                      <w:szCs w:val="24"/>
                    </w:rPr>
                    <w:t>AWARDS/SCHOLARSHIPS</w:t>
                  </w:r>
                </w:p>
              </w:txbxContent>
            </v:textbox>
            <w10:wrap type="none"/>
            <w10:anchorlock/>
          </v:shape>
        </w:pict>
      </w:r>
    </w:p>
    <w:p w14:paraId="3AEA4DBE">
      <w:pPr>
        <w:pStyle w:val="4"/>
        <w:spacing w:before="270" w:line="305" w:lineRule="auto"/>
        <w:ind w:left="793" w:right="326" w:hanging="408"/>
      </w:pPr>
      <w:r>
        <w:rPr>
          <w:position w:val="2"/>
        </w:rPr>
        <w:drawing>
          <wp:inline distT="0" distB="0" distL="0" distR="0">
            <wp:extent cx="122555" cy="11176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</w:t>
      </w:r>
      <w:r>
        <w:t>Qualified</w:t>
      </w:r>
      <w:r>
        <w:rPr>
          <w:spacing w:val="22"/>
        </w:rPr>
        <w:t xml:space="preserve"> </w:t>
      </w:r>
      <w:r>
        <w:rPr>
          <w:b/>
          <w:bCs/>
        </w:rPr>
        <w:t>NET</w:t>
      </w:r>
      <w:r>
        <w:rPr>
          <w:b/>
          <w:bCs/>
          <w:spacing w:val="18"/>
        </w:rPr>
        <w:t>-</w:t>
      </w:r>
      <w:r>
        <w:rPr>
          <w:b/>
          <w:bCs/>
        </w:rPr>
        <w:t>JRF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8"/>
        </w:rPr>
        <w:t>(</w:t>
      </w:r>
      <w:r>
        <w:rPr>
          <w:b/>
          <w:bCs/>
        </w:rPr>
        <w:t>CSIR</w:t>
      </w:r>
      <w:r>
        <w:rPr>
          <w:b/>
          <w:bCs/>
          <w:spacing w:val="18"/>
        </w:rPr>
        <w:t>)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8"/>
        </w:rPr>
        <w:t>[</w:t>
      </w:r>
      <w:r>
        <w:t>National</w:t>
      </w:r>
      <w:r>
        <w:rPr>
          <w:spacing w:val="23"/>
        </w:rPr>
        <w:t xml:space="preserve"> </w:t>
      </w:r>
      <w:r>
        <w:t>Eligibility</w:t>
      </w:r>
      <w:r>
        <w:rPr>
          <w:spacing w:val="22"/>
        </w:rPr>
        <w:t xml:space="preserve"> </w:t>
      </w:r>
      <w:r>
        <w:t>Test</w:t>
      </w:r>
      <w:r>
        <w:rPr>
          <w:spacing w:val="27"/>
          <w:w w:val="101"/>
        </w:rPr>
        <w:t xml:space="preserve"> </w:t>
      </w:r>
      <w:r>
        <w:rPr>
          <w:spacing w:val="18"/>
        </w:rPr>
        <w:t>(</w:t>
      </w:r>
      <w:r>
        <w:t>Joint</w:t>
      </w:r>
      <w:r>
        <w:rPr>
          <w:spacing w:val="26"/>
          <w:w w:val="101"/>
        </w:rPr>
        <w:t xml:space="preserve"> </w:t>
      </w:r>
      <w:r>
        <w:t>CSIR</w:t>
      </w:r>
      <w:r>
        <w:rPr>
          <w:spacing w:val="18"/>
        </w:rPr>
        <w:t>-</w:t>
      </w:r>
      <w:r>
        <w:t>UGC</w:t>
      </w:r>
      <w:r>
        <w:rPr>
          <w:spacing w:val="18"/>
        </w:rPr>
        <w:t>)]</w:t>
      </w:r>
      <w:r>
        <w:rPr>
          <w:spacing w:val="24"/>
        </w:rPr>
        <w:t xml:space="preserve"> </w:t>
      </w:r>
      <w:r>
        <w:t>for Research</w:t>
      </w:r>
      <w:r>
        <w:rPr>
          <w:spacing w:val="3"/>
        </w:rPr>
        <w:t xml:space="preserve">  </w:t>
      </w:r>
      <w:r>
        <w:t>Fellowship</w:t>
      </w:r>
      <w:r>
        <w:rPr>
          <w:spacing w:val="3"/>
        </w:rPr>
        <w:t xml:space="preserve">  </w:t>
      </w:r>
      <w:r>
        <w:t>and</w:t>
      </w:r>
      <w:r>
        <w:rPr>
          <w:spacing w:val="3"/>
        </w:rPr>
        <w:t xml:space="preserve">  </w:t>
      </w:r>
      <w:r>
        <w:t>Eligibility</w:t>
      </w:r>
      <w:r>
        <w:rPr>
          <w:spacing w:val="3"/>
        </w:rPr>
        <w:t xml:space="preserve">  </w:t>
      </w:r>
      <w:r>
        <w:t>for</w:t>
      </w:r>
      <w:r>
        <w:rPr>
          <w:spacing w:val="3"/>
        </w:rPr>
        <w:t xml:space="preserve">  </w:t>
      </w:r>
      <w:r>
        <w:t>Lectureship</w:t>
      </w:r>
      <w:r>
        <w:rPr>
          <w:spacing w:val="3"/>
        </w:rPr>
        <w:t xml:space="preserve">  </w:t>
      </w:r>
      <w:r>
        <w:t>under</w:t>
      </w:r>
      <w:r>
        <w:rPr>
          <w:spacing w:val="9"/>
        </w:rPr>
        <w:t xml:space="preserve">  </w:t>
      </w:r>
      <w:r>
        <w:rPr>
          <w:b/>
          <w:bCs/>
        </w:rPr>
        <w:t>CSIR</w:t>
      </w:r>
      <w:r>
        <w:rPr>
          <w:b/>
          <w:bCs/>
          <w:spacing w:val="3"/>
        </w:rPr>
        <w:t xml:space="preserve">  </w:t>
      </w:r>
      <w:r>
        <w:t>Fellowship</w:t>
      </w:r>
      <w:r>
        <w:rPr>
          <w:spacing w:val="1"/>
        </w:rPr>
        <w:t xml:space="preserve"> </w:t>
      </w:r>
      <w:r>
        <w:rPr>
          <w:spacing w:val="-1"/>
        </w:rPr>
        <w:t>Scheme in the year 2003.</w:t>
      </w:r>
    </w:p>
    <w:p w14:paraId="47A80933">
      <w:pPr>
        <w:pStyle w:val="4"/>
        <w:spacing w:before="242" w:line="198" w:lineRule="auto"/>
        <w:ind w:left="385"/>
      </w:pPr>
      <w:r>
        <w:rPr>
          <w:position w:val="2"/>
        </w:rPr>
        <w:drawing>
          <wp:inline distT="0" distB="0" distL="0" distR="0">
            <wp:extent cx="122555" cy="11176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 </w:t>
      </w:r>
      <w:r>
        <w:rPr>
          <w:spacing w:val="-1"/>
        </w:rPr>
        <w:t xml:space="preserve">Qualified </w:t>
      </w:r>
      <w:r>
        <w:rPr>
          <w:b/>
          <w:bCs/>
          <w:spacing w:val="-1"/>
        </w:rPr>
        <w:t xml:space="preserve">All INDIA - GATE </w:t>
      </w:r>
      <w:r>
        <w:rPr>
          <w:spacing w:val="-1"/>
        </w:rPr>
        <w:t>(Graduate Aptitude Test in Engineering), 2003 with</w:t>
      </w:r>
    </w:p>
    <w:p w14:paraId="296A8810">
      <w:pPr>
        <w:pStyle w:val="4"/>
        <w:spacing w:before="192" w:line="190" w:lineRule="auto"/>
        <w:ind w:left="804"/>
      </w:pPr>
      <w:r>
        <w:rPr>
          <w:spacing w:val="-2"/>
        </w:rPr>
        <w:t>87.23 percentile.</w:t>
      </w:r>
    </w:p>
    <w:p w14:paraId="3E6FDB49">
      <w:pPr>
        <w:pStyle w:val="4"/>
        <w:spacing w:before="218" w:line="215" w:lineRule="auto"/>
        <w:ind w:left="385"/>
      </w:pPr>
      <w:r>
        <w:rPr>
          <w:position w:val="1"/>
        </w:rPr>
        <w:drawing>
          <wp:inline distT="0" distB="0" distL="0" distR="0">
            <wp:extent cx="122555" cy="11176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 </w:t>
      </w:r>
      <w:r>
        <w:t>Secured 4</w:t>
      </w:r>
      <w:r>
        <w:rPr>
          <w:position w:val="8"/>
          <w:sz w:val="16"/>
          <w:szCs w:val="16"/>
        </w:rPr>
        <w:t>th</w:t>
      </w:r>
      <w:r>
        <w:rPr>
          <w:spacing w:val="22"/>
          <w:position w:val="8"/>
          <w:sz w:val="16"/>
          <w:szCs w:val="16"/>
        </w:rPr>
        <w:t xml:space="preserve"> </w:t>
      </w:r>
      <w:r>
        <w:t>rank in All India Entrance Examination of</w:t>
      </w:r>
      <w:r>
        <w:rPr>
          <w:spacing w:val="-21"/>
        </w:rPr>
        <w:t xml:space="preserve"> </w:t>
      </w:r>
      <w:r>
        <w:t>M.Sc. held by U.O.R 2001.</w:t>
      </w:r>
    </w:p>
    <w:p w14:paraId="1F92D90D">
      <w:pPr>
        <w:pStyle w:val="4"/>
        <w:spacing w:before="212" w:line="215" w:lineRule="auto"/>
        <w:ind w:left="385"/>
      </w:pPr>
      <w:r>
        <w:rPr>
          <w:position w:val="1"/>
        </w:rPr>
        <w:drawing>
          <wp:inline distT="0" distB="0" distL="0" distR="0">
            <wp:extent cx="122555" cy="11176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 </w:t>
      </w:r>
      <w:r>
        <w:t>Secured 5</w:t>
      </w:r>
      <w:r>
        <w:rPr>
          <w:position w:val="8"/>
          <w:sz w:val="16"/>
          <w:szCs w:val="16"/>
        </w:rPr>
        <w:t>th</w:t>
      </w:r>
      <w:r>
        <w:rPr>
          <w:spacing w:val="22"/>
          <w:w w:val="102"/>
          <w:position w:val="8"/>
          <w:sz w:val="16"/>
          <w:szCs w:val="16"/>
        </w:rPr>
        <w:t xml:space="preserve"> </w:t>
      </w:r>
      <w:r>
        <w:t>rank in M.Sc Che</w:t>
      </w:r>
      <w:r>
        <w:rPr>
          <w:spacing w:val="-1"/>
        </w:rPr>
        <w:t>mistry, IIT Roorkee.</w:t>
      </w:r>
    </w:p>
    <w:p w14:paraId="4EB815B2">
      <w:pPr>
        <w:pStyle w:val="4"/>
        <w:spacing w:before="242" w:line="199" w:lineRule="auto"/>
        <w:ind w:left="385"/>
      </w:pPr>
      <w:r>
        <w:rPr>
          <w:position w:val="2"/>
        </w:rPr>
        <w:drawing>
          <wp:inline distT="0" distB="0" distL="0" distR="0">
            <wp:extent cx="122555" cy="11176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w w:val="101"/>
        </w:rPr>
        <w:t xml:space="preserve">   </w:t>
      </w:r>
      <w:r>
        <w:rPr>
          <w:spacing w:val="-1"/>
        </w:rPr>
        <w:t>Scholarship in M.Sc.</w:t>
      </w:r>
    </w:p>
    <w:p w14:paraId="112C7DAE">
      <w:pPr>
        <w:spacing w:line="424" w:lineRule="auto"/>
        <w:rPr>
          <w:rFonts w:ascii="Arial"/>
          <w:sz w:val="21"/>
        </w:rPr>
      </w:pPr>
    </w:p>
    <w:p w14:paraId="5DDA1841">
      <w:pPr>
        <w:spacing w:before="1" w:line="410" w:lineRule="exact"/>
        <w:ind w:firstLine="375"/>
      </w:pPr>
      <w:r>
        <w:rPr>
          <w:position w:val="-8"/>
        </w:rPr>
        <w:pict>
          <v:shape id="_x0000_s1030" o:spid="_x0000_s1030" o:spt="202" type="#_x0000_t202" style="height:20.5pt;width:153.65pt;" fillcolor="#D3D3D3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25954F3">
                  <w:pPr>
                    <w:spacing w:before="138" w:line="186" w:lineRule="auto"/>
                    <w:jc w:val="right"/>
                    <w:rPr>
                      <w:rFonts w:ascii="Comic Sans MS" w:hAnsi="Comic Sans MS" w:eastAsia="Comic Sans MS" w:cs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 w:eastAsia="Comic Sans MS" w:cs="Comic Sans MS"/>
                      <w:b/>
                      <w:bCs/>
                      <w:spacing w:val="-1"/>
                      <w:sz w:val="24"/>
                      <w:szCs w:val="24"/>
                    </w:rPr>
                    <w:t>Research Papers Published</w:t>
                  </w:r>
                </w:p>
              </w:txbxContent>
            </v:textbox>
            <w10:wrap type="none"/>
            <w10:anchorlock/>
          </v:shape>
        </w:pict>
      </w:r>
    </w:p>
    <w:p w14:paraId="462E85DB">
      <w:pPr>
        <w:spacing w:line="247" w:lineRule="auto"/>
        <w:rPr>
          <w:rFonts w:ascii="Arial"/>
          <w:sz w:val="21"/>
        </w:rPr>
      </w:pPr>
    </w:p>
    <w:p w14:paraId="3AB74B43">
      <w:pPr>
        <w:spacing w:line="248" w:lineRule="auto"/>
        <w:rPr>
          <w:rFonts w:ascii="Arial"/>
          <w:sz w:val="21"/>
        </w:rPr>
      </w:pPr>
    </w:p>
    <w:p w14:paraId="6D283EF9">
      <w:pPr>
        <w:pStyle w:val="4"/>
        <w:spacing w:before="69" w:line="328" w:lineRule="auto"/>
        <w:ind w:left="378" w:right="368" w:hanging="349"/>
      </w:pPr>
      <w:r>
        <w:rPr>
          <w:i/>
          <w:iCs/>
        </w:rPr>
        <w:t>1.   Vibha Kumar, P.P.Thankachan</w:t>
      </w:r>
      <w:r>
        <w:t>, “ Investigation of</w:t>
      </w:r>
      <w:r>
        <w:rPr>
          <w:spacing w:val="-16"/>
        </w:rPr>
        <w:t xml:space="preserve"> </w:t>
      </w:r>
      <w:r>
        <w:t>closo-carboranes isoele</w:t>
      </w:r>
      <w:r>
        <w:rPr>
          <w:spacing w:val="-1"/>
        </w:rPr>
        <w:t>ctronic with</w:t>
      </w:r>
      <w:r>
        <w:t xml:space="preserve"> </w:t>
      </w:r>
      <w:r>
        <w:rPr>
          <w:spacing w:val="-1"/>
        </w:rPr>
        <w:t>B</w:t>
      </w:r>
      <w:r>
        <w:rPr>
          <w:spacing w:val="-1"/>
          <w:position w:val="-2"/>
          <w:sz w:val="16"/>
          <w:szCs w:val="16"/>
        </w:rPr>
        <w:t>11</w:t>
      </w:r>
      <w:r>
        <w:rPr>
          <w:spacing w:val="-1"/>
        </w:rPr>
        <w:t>H</w:t>
      </w:r>
      <w:r>
        <w:rPr>
          <w:spacing w:val="-1"/>
          <w:position w:val="-2"/>
          <w:sz w:val="16"/>
          <w:szCs w:val="16"/>
        </w:rPr>
        <w:t>11</w:t>
      </w:r>
      <w:r>
        <w:rPr>
          <w:spacing w:val="-1"/>
          <w:position w:val="8"/>
          <w:sz w:val="16"/>
          <w:szCs w:val="16"/>
        </w:rPr>
        <w:t>2-</w:t>
      </w:r>
      <w:r>
        <w:rPr>
          <w:spacing w:val="32"/>
          <w:w w:val="101"/>
          <w:position w:val="8"/>
          <w:sz w:val="16"/>
          <w:szCs w:val="16"/>
        </w:rPr>
        <w:t xml:space="preserve"> </w:t>
      </w:r>
      <w:r>
        <w:rPr>
          <w:spacing w:val="-1"/>
        </w:rPr>
        <w:t>”, Physical Chemistry, 9(4),</w:t>
      </w:r>
      <w:r>
        <w:rPr>
          <w:spacing w:val="28"/>
        </w:rPr>
        <w:t xml:space="preserve"> </w:t>
      </w:r>
      <w:r>
        <w:rPr>
          <w:spacing w:val="-1"/>
        </w:rPr>
        <w:t>130-136, 2014.</w:t>
      </w:r>
    </w:p>
    <w:p w14:paraId="0978C797">
      <w:pPr>
        <w:spacing w:line="328" w:lineRule="auto"/>
        <w:sectPr>
          <w:headerReference r:id="rId5" w:type="default"/>
          <w:pgSz w:w="11905" w:h="16840"/>
          <w:pgMar w:top="400" w:right="1110" w:bottom="0" w:left="1785" w:header="0" w:footer="0" w:gutter="0"/>
          <w:cols w:space="720" w:num="1"/>
        </w:sectPr>
      </w:pPr>
    </w:p>
    <w:p w14:paraId="118889B6">
      <w:pPr>
        <w:spacing w:line="255" w:lineRule="auto"/>
        <w:rPr>
          <w:rFonts w:ascii="Arial"/>
          <w:sz w:val="21"/>
        </w:rPr>
      </w:pPr>
    </w:p>
    <w:p w14:paraId="5A4A77E6">
      <w:pPr>
        <w:spacing w:line="255" w:lineRule="auto"/>
        <w:rPr>
          <w:rFonts w:ascii="Arial"/>
          <w:sz w:val="21"/>
        </w:rPr>
      </w:pPr>
    </w:p>
    <w:p w14:paraId="1B26F81C">
      <w:pPr>
        <w:spacing w:line="255" w:lineRule="auto"/>
        <w:rPr>
          <w:rFonts w:ascii="Arial"/>
          <w:sz w:val="21"/>
        </w:rPr>
      </w:pPr>
    </w:p>
    <w:p w14:paraId="4C87FC97">
      <w:pPr>
        <w:spacing w:line="255" w:lineRule="auto"/>
        <w:rPr>
          <w:rFonts w:ascii="Arial"/>
          <w:sz w:val="21"/>
        </w:rPr>
      </w:pPr>
    </w:p>
    <w:p w14:paraId="19054997">
      <w:pPr>
        <w:pStyle w:val="4"/>
        <w:spacing w:before="69" w:line="277" w:lineRule="auto"/>
        <w:ind w:left="379" w:right="585" w:hanging="360"/>
      </w:pPr>
      <w:r>
        <w:rPr>
          <w:i/>
          <w:iCs/>
        </w:rPr>
        <w:t>2.   Vibha Kumar and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 xml:space="preserve">Hitendra Singh, </w:t>
      </w:r>
      <w:r>
        <w:t>“Barriers to internal rotation and geometry</w:t>
      </w:r>
      <w:r>
        <w:rPr>
          <w:spacing w:val="8"/>
        </w:rPr>
        <w:t xml:space="preserve"> </w:t>
      </w:r>
      <w:r>
        <w:t>of Hydrazine”, IJRAR, 4(</w:t>
      </w:r>
      <w:r>
        <w:rPr>
          <w:spacing w:val="-1"/>
        </w:rPr>
        <w:t>4), 2017.</w:t>
      </w:r>
    </w:p>
    <w:p w14:paraId="14EF0119">
      <w:pPr>
        <w:pStyle w:val="4"/>
        <w:spacing w:before="161" w:line="285" w:lineRule="auto"/>
        <w:ind w:left="381" w:right="240" w:hanging="358"/>
      </w:pPr>
      <w:r>
        <w:rPr>
          <w:i/>
          <w:iCs/>
        </w:rPr>
        <w:t xml:space="preserve">3.   Vibha Kumar, Hitendra Singh and Seema Baniwal, </w:t>
      </w:r>
      <w:r>
        <w:t xml:space="preserve">“Structural </w:t>
      </w:r>
      <w:r>
        <w:rPr>
          <w:spacing w:val="-1"/>
        </w:rPr>
        <w:t>Studies on B</w:t>
      </w:r>
      <w:r>
        <w:rPr>
          <w:spacing w:val="-1"/>
          <w:position w:val="-2"/>
          <w:sz w:val="16"/>
          <w:szCs w:val="16"/>
        </w:rPr>
        <w:t>8</w:t>
      </w:r>
      <w:r>
        <w:rPr>
          <w:spacing w:val="-1"/>
        </w:rPr>
        <w:t>H</w:t>
      </w:r>
      <w:r>
        <w:rPr>
          <w:spacing w:val="-1"/>
          <w:position w:val="-2"/>
          <w:sz w:val="16"/>
          <w:szCs w:val="16"/>
        </w:rPr>
        <w:t>8</w:t>
      </w:r>
      <w:r>
        <w:rPr>
          <w:spacing w:val="-1"/>
          <w:position w:val="8"/>
          <w:sz w:val="16"/>
          <w:szCs w:val="16"/>
        </w:rPr>
        <w:t>2-</w:t>
      </w:r>
      <w:r>
        <w:rPr>
          <w:spacing w:val="-1"/>
        </w:rPr>
        <w:t>”,</w:t>
      </w:r>
      <w:r>
        <w:t xml:space="preserve">  International Research Journal of</w:t>
      </w:r>
      <w:r>
        <w:rPr>
          <w:spacing w:val="-15"/>
        </w:rPr>
        <w:t xml:space="preserve"> </w:t>
      </w:r>
      <w:r>
        <w:t>Natural and Applied Sciences, 5(10), pg-42,</w:t>
      </w:r>
      <w:r>
        <w:rPr>
          <w:spacing w:val="5"/>
        </w:rPr>
        <w:t xml:space="preserve"> </w:t>
      </w:r>
      <w:r>
        <w:t>2018.</w:t>
      </w:r>
    </w:p>
    <w:p w14:paraId="1E20CAA5">
      <w:pPr>
        <w:pStyle w:val="4"/>
        <w:spacing w:before="194" w:line="192" w:lineRule="auto"/>
        <w:ind w:left="22"/>
      </w:pPr>
      <w:r>
        <w:rPr>
          <w:i/>
          <w:iCs/>
        </w:rPr>
        <w:t>4.</w:t>
      </w:r>
      <w:r>
        <w:rPr>
          <w:i/>
          <w:iCs/>
          <w:spacing w:val="17"/>
        </w:rPr>
        <w:t xml:space="preserve">   </w:t>
      </w:r>
      <w:r>
        <w:rPr>
          <w:i/>
          <w:iCs/>
        </w:rPr>
        <w:t>Seema Baniwal,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Vib</w:t>
      </w:r>
      <w:r>
        <w:rPr>
          <w:i/>
          <w:iCs/>
          <w:spacing w:val="-1"/>
        </w:rPr>
        <w:t>ha Kumar and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1"/>
        </w:rPr>
        <w:t>Hitendra Singh,</w:t>
      </w:r>
      <w:r>
        <w:rPr>
          <w:i/>
          <w:iCs/>
          <w:spacing w:val="16"/>
        </w:rPr>
        <w:t xml:space="preserve"> </w:t>
      </w:r>
      <w:r>
        <w:rPr>
          <w:spacing w:val="-1"/>
        </w:rPr>
        <w:t>“Tetraaza Macrocylic</w:t>
      </w:r>
    </w:p>
    <w:p w14:paraId="6D57303F">
      <w:pPr>
        <w:pStyle w:val="4"/>
        <w:spacing w:before="192" w:line="277" w:lineRule="auto"/>
        <w:ind w:left="384" w:right="243" w:hanging="1"/>
      </w:pPr>
      <w:r>
        <w:t>Complexes: Synthesis, Characterization and their Antimicrobial Ac</w:t>
      </w:r>
      <w:r>
        <w:rPr>
          <w:spacing w:val="-1"/>
        </w:rPr>
        <w:t>tivities”, IJRAR,</w:t>
      </w:r>
      <w:r>
        <w:t xml:space="preserve"> </w:t>
      </w:r>
      <w:r>
        <w:rPr>
          <w:spacing w:val="-1"/>
        </w:rPr>
        <w:t>6(1), pg-68, 2019.</w:t>
      </w:r>
    </w:p>
    <w:p w14:paraId="40E871F3">
      <w:pPr>
        <w:pStyle w:val="4"/>
        <w:spacing w:before="197" w:line="306" w:lineRule="auto"/>
        <w:ind w:left="383" w:right="392" w:hanging="360"/>
      </w:pPr>
      <w:r>
        <w:rPr>
          <w:i/>
          <w:iCs/>
        </w:rPr>
        <w:t>5.</w:t>
      </w:r>
      <w:r>
        <w:rPr>
          <w:i/>
          <w:iCs/>
          <w:spacing w:val="25"/>
          <w:w w:val="101"/>
        </w:rPr>
        <w:t xml:space="preserve">  </w:t>
      </w:r>
      <w:r>
        <w:rPr>
          <w:i/>
          <w:iCs/>
        </w:rPr>
        <w:t>Seema Baniwal,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Vibha Ku</w:t>
      </w:r>
      <w:r>
        <w:rPr>
          <w:i/>
          <w:iCs/>
          <w:spacing w:val="-1"/>
        </w:rPr>
        <w:t xml:space="preserve">mar and Shalini Rawat, </w:t>
      </w:r>
      <w:r>
        <w:rPr>
          <w:spacing w:val="-1"/>
        </w:rPr>
        <w:t>Lanthanide complexes derived</w:t>
      </w:r>
      <w:r>
        <w:t xml:space="preserve">  from tetradentate macrocyclic ligand: synthesis, characterization</w:t>
      </w:r>
      <w:r>
        <w:rPr>
          <w:spacing w:val="-1"/>
        </w:rPr>
        <w:t xml:space="preserve"> and antimicrobial</w:t>
      </w:r>
      <w:r>
        <w:t xml:space="preserve"> studies”, Annals of Science and Allied Research, Vol.1, 44-4</w:t>
      </w:r>
      <w:r>
        <w:rPr>
          <w:spacing w:val="-1"/>
        </w:rPr>
        <w:t>8, 2023.</w:t>
      </w:r>
    </w:p>
    <w:p w14:paraId="0F222095">
      <w:pPr>
        <w:spacing w:before="176" w:line="214" w:lineRule="auto"/>
        <w:ind w:left="386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doi.org/10.5281/zenodo.10447092</w:t>
      </w:r>
    </w:p>
    <w:p w14:paraId="5DBA071F">
      <w:pPr>
        <w:pStyle w:val="4"/>
        <w:spacing w:before="190" w:line="192" w:lineRule="auto"/>
        <w:ind w:left="30"/>
      </w:pPr>
      <w:r>
        <w:rPr>
          <w:i/>
          <w:iCs/>
        </w:rPr>
        <w:t>6.</w:t>
      </w:r>
      <w:r>
        <w:rPr>
          <w:i/>
          <w:iCs/>
          <w:spacing w:val="21"/>
          <w:w w:val="101"/>
        </w:rPr>
        <w:t xml:space="preserve">  </w:t>
      </w:r>
      <w:r>
        <w:rPr>
          <w:i/>
          <w:iCs/>
        </w:rPr>
        <w:t>Deepa Saini,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V. Kumar, N. Panday, S. Sharma</w:t>
      </w:r>
      <w:r>
        <w:rPr>
          <w:i/>
          <w:iCs/>
          <w:spacing w:val="-1"/>
        </w:rPr>
        <w:t xml:space="preserve">  and C. K. Jain “ </w:t>
      </w:r>
      <w:r>
        <w:rPr>
          <w:spacing w:val="-1"/>
        </w:rPr>
        <w:t>Ground water quality</w:t>
      </w:r>
    </w:p>
    <w:p w14:paraId="7709E39E">
      <w:pPr>
        <w:pStyle w:val="4"/>
        <w:spacing w:before="194" w:line="192" w:lineRule="auto"/>
        <w:ind w:left="383"/>
      </w:pPr>
      <w:r>
        <w:t>assessment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industrial</w:t>
      </w:r>
      <w:r>
        <w:rPr>
          <w:spacing w:val="5"/>
        </w:rPr>
        <w:t xml:space="preserve"> </w:t>
      </w:r>
      <w:r>
        <w:t>area</w:t>
      </w:r>
      <w:r>
        <w:rPr>
          <w:spacing w:val="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Bhagwanpur</w:t>
      </w:r>
      <w:r>
        <w:rPr>
          <w:spacing w:val="5"/>
        </w:rPr>
        <w:t xml:space="preserve"> </w:t>
      </w:r>
      <w:r>
        <w:t>block</w:t>
      </w:r>
      <w:r>
        <w:rPr>
          <w:spacing w:val="5"/>
        </w:rPr>
        <w:t xml:space="preserve">, </w:t>
      </w:r>
      <w:r>
        <w:t>district</w:t>
      </w:r>
      <w:r>
        <w:rPr>
          <w:spacing w:val="5"/>
        </w:rPr>
        <w:t xml:space="preserve"> </w:t>
      </w:r>
      <w:r>
        <w:t>Haridwar</w:t>
      </w:r>
      <w:r>
        <w:rPr>
          <w:spacing w:val="5"/>
        </w:rPr>
        <w:t xml:space="preserve">, </w:t>
      </w:r>
      <w:r>
        <w:t>Uttarakhand</w:t>
      </w:r>
      <w:r>
        <w:rPr>
          <w:spacing w:val="5"/>
        </w:rPr>
        <w:t>”</w:t>
      </w:r>
    </w:p>
    <w:p w14:paraId="6486C243">
      <w:pPr>
        <w:pStyle w:val="4"/>
        <w:spacing w:before="192" w:line="190" w:lineRule="auto"/>
        <w:ind w:left="369"/>
      </w:pPr>
      <w:r>
        <w:rPr>
          <w:i/>
          <w:iCs/>
        </w:rPr>
        <w:t>Biochem.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Cell.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 xml:space="preserve">Arch. </w:t>
      </w:r>
      <w:r>
        <w:t>Vol. 2</w:t>
      </w:r>
      <w:r>
        <w:rPr>
          <w:spacing w:val="-1"/>
        </w:rPr>
        <w:t>4, No.</w:t>
      </w:r>
      <w:r>
        <w:rPr>
          <w:spacing w:val="28"/>
          <w:w w:val="101"/>
        </w:rPr>
        <w:t xml:space="preserve"> </w:t>
      </w:r>
      <w:r>
        <w:rPr>
          <w:spacing w:val="-1"/>
        </w:rPr>
        <w:t>1, pp. 257-261, 2024</w:t>
      </w:r>
    </w:p>
    <w:p w14:paraId="25881A95">
      <w:pPr>
        <w:pStyle w:val="4"/>
        <w:spacing w:before="196" w:line="190" w:lineRule="auto"/>
        <w:ind w:left="379"/>
      </w:pPr>
      <w:r>
        <w:t>DOI</w:t>
      </w:r>
      <w:r>
        <w:rPr>
          <w:spacing w:val="2"/>
        </w:rPr>
        <w:t>:</w:t>
      </w:r>
      <w:r>
        <w:fldChar w:fldCharType="begin"/>
      </w:r>
      <w:r>
        <w:instrText xml:space="preserve"> HYPERLINK "https://doi.org/10.51470/bca.2024.24.1.257" </w:instrText>
      </w:r>
      <w:r>
        <w:fldChar w:fldCharType="separate"/>
      </w:r>
      <w:r>
        <w:t>https</w:t>
      </w:r>
      <w:r>
        <w:rPr>
          <w:spacing w:val="2"/>
        </w:rPr>
        <w:t>://</w:t>
      </w:r>
      <w:r>
        <w:t>doi</w:t>
      </w:r>
      <w:r>
        <w:rPr>
          <w:spacing w:val="2"/>
        </w:rPr>
        <w:t>.</w:t>
      </w:r>
      <w:r>
        <w:t>org</w:t>
      </w:r>
      <w:r>
        <w:rPr>
          <w:spacing w:val="2"/>
        </w:rPr>
        <w:t>/10.51470/</w:t>
      </w:r>
      <w:r>
        <w:t>bca</w:t>
      </w:r>
      <w:r>
        <w:rPr>
          <w:spacing w:val="2"/>
        </w:rPr>
        <w:t>.2024.2</w:t>
      </w:r>
      <w:r>
        <w:rPr>
          <w:spacing w:val="1"/>
        </w:rPr>
        <w:t>4.1.257</w:t>
      </w:r>
      <w:r>
        <w:rPr>
          <w:spacing w:val="1"/>
        </w:rPr>
        <w:fldChar w:fldCharType="end"/>
      </w:r>
    </w:p>
    <w:p w14:paraId="35989D5D">
      <w:pPr>
        <w:pStyle w:val="4"/>
        <w:spacing w:before="197" w:line="190" w:lineRule="auto"/>
        <w:ind w:left="42"/>
      </w:pPr>
      <w:r>
        <w:rPr>
          <w:i/>
          <w:iCs/>
        </w:rPr>
        <w:t>7.</w:t>
      </w:r>
      <w:r>
        <w:rPr>
          <w:i/>
          <w:iCs/>
          <w:spacing w:val="22"/>
          <w:w w:val="101"/>
        </w:rPr>
        <w:t xml:space="preserve">  </w:t>
      </w:r>
      <w:r>
        <w:rPr>
          <w:i/>
          <w:iCs/>
        </w:rPr>
        <w:t>Ravinder Sharma, Indra Bahadur, Lebogang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Katata-Seru, Faruq Moh</w:t>
      </w:r>
      <w:r>
        <w:rPr>
          <w:i/>
          <w:iCs/>
          <w:spacing w:val="-1"/>
        </w:rPr>
        <w:t>ammad,</w:t>
      </w:r>
    </w:p>
    <w:p w14:paraId="312E889B">
      <w:pPr>
        <w:pStyle w:val="4"/>
        <w:spacing w:before="194" w:line="346" w:lineRule="auto"/>
        <w:ind w:left="376" w:right="397"/>
      </w:pPr>
      <w:r>
        <w:rPr>
          <w:i/>
          <w:iCs/>
        </w:rPr>
        <w:t>Shailendra Kumar Singh, Prashant Singh,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 xml:space="preserve">Vibha Kumar </w:t>
      </w:r>
      <w:r>
        <w:t>“Structural</w:t>
      </w:r>
      <w:r>
        <w:rPr>
          <w:spacing w:val="-1"/>
        </w:rPr>
        <w:t xml:space="preserve"> elucidation of</w:t>
      </w:r>
      <w:r>
        <w:t xml:space="preserve"> ternary</w:t>
      </w:r>
      <w:r>
        <w:rPr>
          <w:spacing w:val="2"/>
        </w:rPr>
        <w:t xml:space="preserve"> </w:t>
      </w:r>
      <w:r>
        <w:t>mixtures</w:t>
      </w:r>
      <w:r>
        <w:rPr>
          <w:spacing w:val="2"/>
        </w:rPr>
        <w:t xml:space="preserve"> </w:t>
      </w:r>
      <w:r>
        <w:t>ofL</w:t>
      </w:r>
      <w:r>
        <w:rPr>
          <w:spacing w:val="2"/>
        </w:rPr>
        <w:t>-</w:t>
      </w:r>
      <w:r>
        <w:t>valine</w:t>
      </w:r>
      <w:r>
        <w:rPr>
          <w:spacing w:val="2"/>
        </w:rPr>
        <w:t xml:space="preserve">/ </w:t>
      </w:r>
      <w:r>
        <w:t>glycyl</w:t>
      </w:r>
      <w:r>
        <w:rPr>
          <w:spacing w:val="2"/>
        </w:rPr>
        <w:t>-L-</w:t>
      </w:r>
      <w:r>
        <w:t>valine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water</w:t>
      </w:r>
      <w:r>
        <w:rPr>
          <w:spacing w:val="2"/>
        </w:rPr>
        <w:t xml:space="preserve"> +</w:t>
      </w:r>
      <w:r>
        <w:rPr>
          <w:spacing w:val="33"/>
          <w:w w:val="101"/>
        </w:rPr>
        <w:t xml:space="preserve"> </w:t>
      </w:r>
      <w:r>
        <w:rPr>
          <w:spacing w:val="2"/>
        </w:rPr>
        <w:t>1-</w:t>
      </w:r>
      <w:r>
        <w:t>decyl</w:t>
      </w:r>
      <w:r>
        <w:rPr>
          <w:spacing w:val="2"/>
        </w:rPr>
        <w:t>-3-</w:t>
      </w:r>
    </w:p>
    <w:p w14:paraId="3C66D618">
      <w:pPr>
        <w:pStyle w:val="4"/>
        <w:spacing w:before="32" w:line="345" w:lineRule="auto"/>
        <w:ind w:left="383" w:right="736" w:hanging="6"/>
      </w:pPr>
      <w:r>
        <w:t>methylimidazolium bromide: Apparent molar properties at infinite dil</w:t>
      </w:r>
      <w:r>
        <w:rPr>
          <w:spacing w:val="-1"/>
        </w:rPr>
        <w:t>ution and</w:t>
      </w:r>
      <w:r>
        <w:t xml:space="preserve"> expansivities” Asia-Pacific Journal of</w:t>
      </w:r>
      <w:r>
        <w:rPr>
          <w:spacing w:val="-15"/>
        </w:rPr>
        <w:t xml:space="preserve"> </w:t>
      </w:r>
      <w:r>
        <w:t>Chemical Engineering, 2024</w:t>
      </w:r>
    </w:p>
    <w:p w14:paraId="0A2754AA">
      <w:pPr>
        <w:pStyle w:val="4"/>
        <w:spacing w:before="37" w:line="190" w:lineRule="auto"/>
        <w:ind w:left="383"/>
      </w:pPr>
      <w:r>
        <w:rPr>
          <w:spacing w:val="-1"/>
        </w:rPr>
        <w:t>doi.org/10.1002/apj.3086</w:t>
      </w:r>
    </w:p>
    <w:p w14:paraId="1CF16D82">
      <w:pPr>
        <w:pStyle w:val="4"/>
        <w:spacing w:before="195" w:line="303" w:lineRule="auto"/>
        <w:ind w:left="377" w:right="149" w:hanging="353"/>
      </w:pPr>
      <w:r>
        <w:rPr>
          <w:i/>
          <w:iCs/>
        </w:rPr>
        <w:t>8.</w:t>
      </w:r>
      <w:r>
        <w:rPr>
          <w:i/>
          <w:iCs/>
          <w:spacing w:val="21"/>
        </w:rPr>
        <w:t xml:space="preserve">  </w:t>
      </w:r>
      <w:r>
        <w:rPr>
          <w:i/>
          <w:iCs/>
        </w:rPr>
        <w:t>Dr.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Arpit Singh, Dr.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Aishwarya Singh, Dr.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Vibha Kumar</w:t>
      </w:r>
      <w:r>
        <w:t>, “A Compre</w:t>
      </w:r>
      <w:r>
        <w:rPr>
          <w:spacing w:val="-1"/>
        </w:rPr>
        <w:t>hensive Review</w:t>
      </w:r>
      <w:r>
        <w:t xml:space="preserve"> of</w:t>
      </w:r>
      <w:r>
        <w:rPr>
          <w:spacing w:val="-15"/>
        </w:rPr>
        <w:t xml:space="preserve"> </w:t>
      </w:r>
      <w:r>
        <w:t>Potentiometric</w:t>
      </w:r>
      <w:r>
        <w:rPr>
          <w:spacing w:val="3"/>
        </w:rPr>
        <w:t xml:space="preserve"> </w:t>
      </w:r>
      <w:r>
        <w:t>Biosensors</w:t>
      </w:r>
      <w:r>
        <w:rPr>
          <w:spacing w:val="3"/>
        </w:rPr>
        <w:t xml:space="preserve">”, </w:t>
      </w:r>
      <w:r>
        <w:t>International</w:t>
      </w:r>
      <w:r>
        <w:rPr>
          <w:spacing w:val="3"/>
        </w:rPr>
        <w:t xml:space="preserve"> </w:t>
      </w:r>
      <w:r>
        <w:t>Journal</w:t>
      </w:r>
      <w:r>
        <w:rPr>
          <w:spacing w:val="3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Psychosocial</w:t>
      </w:r>
      <w:r>
        <w:rPr>
          <w:spacing w:val="3"/>
        </w:rPr>
        <w:t xml:space="preserve"> </w:t>
      </w:r>
      <w:r>
        <w:t>Rehabilitation</w:t>
      </w:r>
      <w:r>
        <w:rPr>
          <w:spacing w:val="3"/>
        </w:rPr>
        <w:t>,</w:t>
      </w:r>
      <w:r>
        <w:t xml:space="preserve"> Vol. 28, Issue 03, 2024 ISSN:</w:t>
      </w:r>
      <w:r>
        <w:rPr>
          <w:spacing w:val="26"/>
          <w:w w:val="101"/>
        </w:rPr>
        <w:t xml:space="preserve"> </w:t>
      </w:r>
      <w:r>
        <w:t>1475-</w:t>
      </w:r>
      <w:r>
        <w:rPr>
          <w:spacing w:val="-1"/>
        </w:rPr>
        <w:t>7192. DOI-</w:t>
      </w:r>
      <w:r>
        <w:fldChar w:fldCharType="begin"/>
      </w:r>
      <w:r>
        <w:instrText xml:space="preserve"> HYPERLINK "https://doi.org/10.61841/V28I3/400434" </w:instrText>
      </w:r>
      <w:r>
        <w:fldChar w:fldCharType="separate"/>
      </w:r>
      <w:r>
        <w:rPr>
          <w:spacing w:val="-1"/>
          <w:u w:val="single" w:color="auto"/>
        </w:rPr>
        <w:t>10.61841/V28I3/400434</w:t>
      </w:r>
      <w:r>
        <w:rPr>
          <w:spacing w:val="-1"/>
          <w:u w:val="single" w:color="auto"/>
        </w:rPr>
        <w:fldChar w:fldCharType="end"/>
      </w:r>
    </w:p>
    <w:p w14:paraId="3BAFC73B">
      <w:pPr>
        <w:pStyle w:val="4"/>
        <w:spacing w:before="198" w:line="275" w:lineRule="auto"/>
        <w:ind w:left="383" w:right="85" w:hanging="361"/>
      </w:pPr>
      <w:r>
        <w:rPr>
          <w:i/>
          <w:iCs/>
        </w:rPr>
        <w:t>9.   Vibha Kumar, Seema Baniwal and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Deepa Saini</w:t>
      </w:r>
      <w:r>
        <w:t>, “</w:t>
      </w:r>
      <w:r>
        <w:fldChar w:fldCharType="begin"/>
      </w:r>
      <w:r>
        <w:instrText xml:space="preserve"> HYPERLINK "https://sdsuv.co.in/science_journal/wp-content/uploads/2024/06/PAPER-1-VIBHA-ET-AL-1-9.pdf" </w:instrText>
      </w:r>
      <w:r>
        <w:fldChar w:fldCharType="separate"/>
      </w:r>
      <w:r>
        <w:rPr>
          <w:u w:val="single" w:color="auto"/>
        </w:rPr>
        <w:t>Computational studies on cage/non-</w:t>
      </w:r>
      <w:r>
        <w:rPr>
          <w:u w:val="single" w:color="auto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"https://sdsuv.co.in/science_journal/wp-content/uploads/2024/06/PAPER-1-VIBHA-ET-AL-1-9.pdf" </w:instrText>
      </w:r>
      <w:r>
        <w:fldChar w:fldCharType="separate"/>
      </w:r>
      <w:r>
        <w:rPr>
          <w:u w:val="single" w:color="auto"/>
        </w:rPr>
        <w:t>cage structures of</w:t>
      </w:r>
      <w:r>
        <w:rPr>
          <w:spacing w:val="-12"/>
          <w:u w:val="single" w:color="auto"/>
        </w:rPr>
        <w:t xml:space="preserve"> </w:t>
      </w:r>
      <w:r>
        <w:rPr>
          <w:u w:val="single" w:color="auto"/>
        </w:rPr>
        <w:t>octacarborane dianion series</w:t>
      </w:r>
      <w:r>
        <w:rPr>
          <w:u w:val="single" w:color="auto"/>
        </w:rPr>
        <w:fldChar w:fldCharType="end"/>
      </w:r>
      <w:r>
        <w:t>”, Annals of Science and Allied</w:t>
      </w:r>
    </w:p>
    <w:p w14:paraId="02EB22FC">
      <w:pPr>
        <w:pStyle w:val="4"/>
        <w:spacing w:before="197" w:line="190" w:lineRule="auto"/>
        <w:ind w:left="379"/>
      </w:pPr>
      <w:r>
        <w:t>Research Vol. 2 (1) Ju</w:t>
      </w:r>
      <w:r>
        <w:rPr>
          <w:spacing w:val="-1"/>
        </w:rPr>
        <w:t>ne, 2024:</w:t>
      </w:r>
      <w:r>
        <w:rPr>
          <w:spacing w:val="26"/>
          <w:w w:val="101"/>
        </w:rPr>
        <w:t xml:space="preserve"> </w:t>
      </w:r>
      <w:r>
        <w:rPr>
          <w:spacing w:val="-1"/>
        </w:rPr>
        <w:t>1-9. ISSN – 2584-2307,</w:t>
      </w:r>
    </w:p>
    <w:p w14:paraId="1CF0C77A">
      <w:pPr>
        <w:pStyle w:val="4"/>
        <w:spacing w:before="197" w:line="190" w:lineRule="auto"/>
        <w:ind w:left="383"/>
      </w:pPr>
      <w:r>
        <w:rPr>
          <w:spacing w:val="-1"/>
        </w:rPr>
        <w:t>doi.org/10.5281/zenodo.12596721</w:t>
      </w:r>
    </w:p>
    <w:p w14:paraId="2E295FA6">
      <w:pPr>
        <w:pStyle w:val="4"/>
        <w:spacing w:before="189" w:line="351" w:lineRule="auto"/>
        <w:ind w:left="375" w:hanging="346"/>
      </w:pPr>
      <w:r>
        <w:rPr>
          <w:i/>
          <w:iCs/>
          <w:spacing w:val="1"/>
        </w:rPr>
        <w:t>10.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Deepa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Saini</w:t>
      </w:r>
      <w:r>
        <w:rPr>
          <w:i/>
          <w:iCs/>
          <w:spacing w:val="1"/>
        </w:rPr>
        <w:t>,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Vibha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Kumar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Sugandha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Sharma</w:t>
      </w:r>
      <w:r>
        <w:rPr>
          <w:i/>
          <w:iCs/>
          <w:spacing w:val="1"/>
        </w:rPr>
        <w:t>,</w:t>
      </w:r>
      <w:r>
        <w:rPr>
          <w:i/>
          <w:iCs/>
          <w:spacing w:val="17"/>
          <w:w w:val="101"/>
        </w:rPr>
        <w:t xml:space="preserve"> </w:t>
      </w:r>
      <w:r>
        <w:rPr>
          <w:spacing w:val="1"/>
        </w:rPr>
        <w:t>“</w:t>
      </w:r>
      <w:r>
        <w:t>Analysis</w:t>
      </w:r>
      <w:r>
        <w:rPr>
          <w:spacing w:val="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of groundwater   using    ion   chromatography    techniques   near    ind</w:t>
      </w:r>
      <w:r>
        <w:rPr>
          <w:spacing w:val="-1"/>
        </w:rPr>
        <w:t>ustrial    areas   in</w:t>
      </w:r>
      <w:r>
        <w:t xml:space="preserve"> Utarakhand”, </w:t>
      </w:r>
      <w:r>
        <w:rPr>
          <w:i/>
          <w:iCs/>
        </w:rPr>
        <w:t>Annals of Science and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Allied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 xml:space="preserve">Research </w:t>
      </w:r>
      <w:r>
        <w:t>Vol. 2 (1) June, 2024:</w:t>
      </w:r>
      <w:r>
        <w:rPr>
          <w:spacing w:val="27"/>
        </w:rPr>
        <w:t xml:space="preserve"> </w:t>
      </w:r>
      <w:r>
        <w:t>126-131</w:t>
      </w:r>
    </w:p>
    <w:p w14:paraId="0BE2940B">
      <w:pPr>
        <w:pStyle w:val="4"/>
        <w:spacing w:before="37" w:line="190" w:lineRule="auto"/>
        <w:ind w:left="376"/>
      </w:pPr>
      <w:r>
        <w:fldChar w:fldCharType="begin"/>
      </w:r>
      <w:r>
        <w:instrText xml:space="preserve"> HYPERLINK "https://doi.org/10.5281/zenodo.13709646" </w:instrText>
      </w:r>
      <w:r>
        <w:fldChar w:fldCharType="separate"/>
      </w:r>
      <w:r>
        <w:rPr>
          <w:u w:val="single" w:color="auto"/>
        </w:rPr>
        <w:t>https://doi.org/10.5281/zenodo.13709646</w:t>
      </w:r>
      <w:r>
        <w:rPr>
          <w:u w:val="single" w:color="auto"/>
        </w:rPr>
        <w:fldChar w:fldCharType="end"/>
      </w:r>
      <w:r>
        <w:t>, ISSN – 2584-2307</w:t>
      </w:r>
    </w:p>
    <w:p w14:paraId="1B9453C9">
      <w:pPr>
        <w:spacing w:line="190" w:lineRule="auto"/>
        <w:sectPr>
          <w:headerReference r:id="rId6" w:type="default"/>
          <w:pgSz w:w="11905" w:h="16840"/>
          <w:pgMar w:top="400" w:right="1415" w:bottom="0" w:left="1785" w:header="0" w:footer="0" w:gutter="0"/>
          <w:cols w:space="720" w:num="1"/>
        </w:sectPr>
      </w:pPr>
    </w:p>
    <w:p w14:paraId="1F5EB251">
      <w:pPr>
        <w:spacing w:line="255" w:lineRule="auto"/>
        <w:rPr>
          <w:rFonts w:ascii="Arial"/>
          <w:sz w:val="21"/>
        </w:rPr>
      </w:pPr>
    </w:p>
    <w:p w14:paraId="7408EE6A">
      <w:pPr>
        <w:spacing w:line="255" w:lineRule="auto"/>
        <w:rPr>
          <w:rFonts w:ascii="Arial"/>
          <w:sz w:val="21"/>
        </w:rPr>
      </w:pPr>
    </w:p>
    <w:p w14:paraId="711E1A81">
      <w:pPr>
        <w:spacing w:line="256" w:lineRule="auto"/>
        <w:rPr>
          <w:rFonts w:ascii="Arial"/>
          <w:sz w:val="21"/>
        </w:rPr>
      </w:pPr>
    </w:p>
    <w:p w14:paraId="4F82E775">
      <w:pPr>
        <w:spacing w:line="256" w:lineRule="auto"/>
        <w:rPr>
          <w:rFonts w:ascii="Arial"/>
          <w:sz w:val="21"/>
        </w:rPr>
      </w:pPr>
    </w:p>
    <w:p w14:paraId="0A80AB09">
      <w:pPr>
        <w:spacing w:line="292" w:lineRule="auto"/>
        <w:rPr>
          <w:rFonts w:ascii="Arial"/>
          <w:sz w:val="21"/>
        </w:rPr>
      </w:pPr>
    </w:p>
    <w:p w14:paraId="2E9B4DEB">
      <w:pPr>
        <w:spacing w:line="293" w:lineRule="auto"/>
        <w:rPr>
          <w:rFonts w:ascii="Arial"/>
          <w:sz w:val="21"/>
        </w:rPr>
      </w:pPr>
    </w:p>
    <w:p w14:paraId="24EAB474">
      <w:pPr>
        <w:spacing w:line="435" w:lineRule="auto"/>
        <w:rPr>
          <w:rFonts w:ascii="Arial"/>
          <w:sz w:val="21"/>
        </w:rPr>
      </w:pPr>
    </w:p>
    <w:p w14:paraId="2B3E3D81">
      <w:pPr>
        <w:spacing w:before="1" w:line="410" w:lineRule="exact"/>
      </w:pPr>
      <w:r>
        <w:rPr>
          <w:position w:val="-8"/>
        </w:rPr>
        <w:pict>
          <v:shape id="_x0000_s1032" o:spid="_x0000_s1032" o:spt="202" type="#_x0000_t202" style="height:20.5pt;width:90.8pt;" fillcolor="#D3D3D3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6A4325">
                  <w:pPr>
                    <w:spacing w:before="141" w:line="185" w:lineRule="auto"/>
                    <w:ind w:left="15"/>
                    <w:rPr>
                      <w:rFonts w:ascii="Comic Sans MS" w:hAnsi="Comic Sans MS" w:eastAsia="Comic Sans MS" w:cs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 w:eastAsia="Comic Sans MS" w:cs="Comic Sans MS"/>
                      <w:b/>
                      <w:bCs/>
                      <w:spacing w:val="-2"/>
                      <w:sz w:val="24"/>
                      <w:szCs w:val="24"/>
                    </w:rPr>
                    <w:t>Books Published</w:t>
                  </w:r>
                </w:p>
              </w:txbxContent>
            </v:textbox>
            <w10:wrap type="none"/>
            <w10:anchorlock/>
          </v:shape>
        </w:pict>
      </w:r>
    </w:p>
    <w:p w14:paraId="2A6D5F00">
      <w:pPr>
        <w:spacing w:line="388" w:lineRule="auto"/>
        <w:rPr>
          <w:rFonts w:ascii="Arial"/>
          <w:sz w:val="21"/>
        </w:rPr>
      </w:pPr>
    </w:p>
    <w:p w14:paraId="4A57865D">
      <w:pPr>
        <w:pStyle w:val="4"/>
        <w:spacing w:before="70" w:line="277" w:lineRule="auto"/>
        <w:ind w:left="725" w:right="384" w:hanging="337"/>
      </w:pPr>
      <w:r>
        <w:t>1.   Dr. Vibha Kumar, Prof. Hitendra Sin</w:t>
      </w:r>
      <w:r>
        <w:rPr>
          <w:spacing w:val="-1"/>
        </w:rPr>
        <w:t>gh, “Inorganic Chemistry”,</w:t>
      </w:r>
      <w:r>
        <w:rPr>
          <w:spacing w:val="4"/>
        </w:rPr>
        <w:t xml:space="preserve"> </w:t>
      </w:r>
      <w:r>
        <w:rPr>
          <w:spacing w:val="-1"/>
        </w:rPr>
        <w:t>Pragati</w:t>
      </w:r>
      <w:r>
        <w:rPr>
          <w:spacing w:val="2"/>
        </w:rPr>
        <w:t xml:space="preserve"> </w:t>
      </w:r>
      <w:r>
        <w:rPr>
          <w:spacing w:val="-1"/>
        </w:rPr>
        <w:t>Prakashan</w:t>
      </w:r>
      <w:r>
        <w:t xml:space="preserve"> ISSN: 978-93-6962-031-9 (202</w:t>
      </w:r>
      <w:r>
        <w:rPr>
          <w:spacing w:val="-1"/>
        </w:rPr>
        <w:t>2)</w:t>
      </w:r>
    </w:p>
    <w:p w14:paraId="0EBBC466">
      <w:pPr>
        <w:pStyle w:val="4"/>
        <w:spacing w:before="193" w:line="277" w:lineRule="auto"/>
        <w:ind w:left="725" w:right="529" w:hanging="360"/>
      </w:pPr>
      <w:r>
        <w:t>2.   Dr. Vibha Kumar, Prof. Hitendra Singh, “Organic Chemistry”, Praga</w:t>
      </w:r>
      <w:r>
        <w:rPr>
          <w:spacing w:val="-1"/>
        </w:rPr>
        <w:t>ti Prakashan</w:t>
      </w:r>
      <w:r>
        <w:t xml:space="preserve"> ISSN: 978-93-6962-674-8 (202</w:t>
      </w:r>
      <w:r>
        <w:rPr>
          <w:spacing w:val="-1"/>
        </w:rPr>
        <w:t>3)</w:t>
      </w:r>
    </w:p>
    <w:p w14:paraId="60B61F0B">
      <w:pPr>
        <w:spacing w:line="277" w:lineRule="auto"/>
      </w:pPr>
    </w:p>
    <w:p w14:paraId="6A51DEBD">
      <w:pPr>
        <w:spacing w:line="277" w:lineRule="auto"/>
      </w:pPr>
    </w:p>
    <w:p w14:paraId="4AAAA542">
      <w:pPr>
        <w:spacing w:line="277" w:lineRule="auto"/>
        <w:rPr>
          <w:position w:val="-6"/>
        </w:rPr>
      </w:pPr>
      <w:r>
        <w:rPr>
          <w:position w:val="-6"/>
        </w:rPr>
        <mc:AlternateContent>
          <mc:Choice Requires="wps">
            <w:drawing>
              <wp:inline distT="0" distB="0" distL="114300" distR="114300">
                <wp:extent cx="1797685" cy="224790"/>
                <wp:effectExtent l="0" t="0" r="12065" b="381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85" cy="224790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199498">
                            <w:pPr>
                              <w:spacing w:before="73" w:line="186" w:lineRule="auto"/>
                              <w:rPr>
                                <w:rFonts w:ascii="Comic Sans MS" w:hAnsi="Comic Sans MS" w:eastAsia="Comic Sans MS" w:cs="Comic Sans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 w:eastAsia="Comic Sans MS" w:cs="Comic Sans MS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Book Chapters Published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7.7pt;width:141.55pt;" fillcolor="#D3D3D3" filled="t" stroked="f" coordsize="21600,21600" o:gfxdata="UEsDBAoAAAAAAIdO4kAAAAAAAAAAAAAAAAAEAAAAZHJzL1BLAwQUAAAACACHTuJAk1jVVtMAAAAE&#10;AQAADwAAAGRycy9kb3ducmV2LnhtbE2PzU7DMBCE70i8g7VIXBB10jRNFeL0ULUP0NLet/ESR8Tr&#10;yHZ/eHsMF7isNJrRzLfN+m5HcSUfBscK8lkGgrhzeuBewfF997oCESKyxtExKfiiAOv28aHBWrsb&#10;7+l6iL1IJRxqVGBinGopQ2fIYpi5iTh5H85bjEn6XmqPt1RuRznPsqW0OHBaMDjRxlD3ebhYBS6v&#10;sFq8bMvjafDLqij3283OKPX8lGdvICLd418YfvATOrSJ6ewurIMYFaRH4u9N3nxV5CDOCopyAbJt&#10;5H/49htQSwMEFAAAAAgAh07iQM2DqMbCAQAAmgMAAA4AAABkcnMvZTJvRG9jLnhtbK1T227bMAx9&#10;H7B/EPS+OMm6pjXiFFiDDgWGbUC7D5Bl2RYgiQKlxM7fl5KddOte+jAYsCleDnmO6O3daA07Kgwa&#10;XMVXiyVnyklotOsq/vv54dMNZyEK1wgDTlX8pAK/2338sB18qdbQg2kUMgJxoRx8xfsYfVkUQfbK&#10;irAArxwFW0ArIh2xKxoUA6FbU6yXy+tiAGw8glQhkHc/BfmMiO8BhLbVUu1BHqxycUJFZUQkSqHX&#10;PvBdnrZtlYw/2zaoyEzFiWnMb2pCdp3exW4ryg6F77WcRxDvGeENJyu0o6YXqL2Igh1Q/wNltUQI&#10;0MaFBFtMRLIixGK1fKPNUy+8ylxI6uAvoof/Byt/HH8h0w1tAmdOWLrwZzVG9hVGtkrqDD6UlPTk&#10;KS2O5E6Zsz+QM5EeW7TpS3QYxUnb00XbBCZT0eZ2c33zhTNJsfX6anObxS9eqz2G+E2BZcmoONLd&#10;ZUnF8XuI1JFSzympWQCjmwdtTD5gV98bZEdB97z/nJ40JJX8lWZcSnaQyqZw8hSJ48QlWXGsx5lg&#10;Dc2JeJtHR5Kn9TkbeDbqs3HwqLue5s7qZEi6sjzCvF5pJ/4858avv9Tu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NY1VbTAAAABAEAAA8AAAAAAAAAAQAgAAAAIgAAAGRycy9kb3ducmV2LnhtbFBL&#10;AQIUABQAAAAIAIdO4kDNg6jGwgEAAJoDAAAOAAAAAAAAAAEAIAAAACIBAABkcnMvZTJvRG9jLnht&#10;bFBLBQYAAAAABgAGAFkBAABW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B199498">
                      <w:pPr>
                        <w:spacing w:before="73" w:line="186" w:lineRule="auto"/>
                        <w:rPr>
                          <w:rFonts w:ascii="Comic Sans MS" w:hAnsi="Comic Sans MS" w:eastAsia="Comic Sans MS" w:cs="Comic Sans MS"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 w:eastAsia="Comic Sans MS" w:cs="Comic Sans MS"/>
                          <w:b/>
                          <w:bCs/>
                          <w:spacing w:val="-1"/>
                          <w:sz w:val="24"/>
                          <w:szCs w:val="24"/>
                        </w:rPr>
                        <w:t>Book Chapters Published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E5B25A1">
      <w:pPr>
        <w:spacing w:line="277" w:lineRule="auto"/>
        <w:rPr>
          <w:position w:val="-6"/>
        </w:rPr>
      </w:pPr>
    </w:p>
    <w:p w14:paraId="3879D6BF">
      <w:pPr>
        <w:spacing w:line="277" w:lineRule="auto"/>
        <w:rPr>
          <w:position w:val="-6"/>
        </w:rPr>
      </w:pPr>
    </w:p>
    <w:p w14:paraId="60C648F3">
      <w:pPr>
        <w:pStyle w:val="4"/>
        <w:spacing w:before="69" w:line="192" w:lineRule="auto"/>
        <w:ind w:left="729"/>
      </w:pPr>
      <w:r>
        <w:t>Chapter on “Various Types of</w:t>
      </w:r>
      <w:r>
        <w:rPr>
          <w:spacing w:val="-18"/>
        </w:rPr>
        <w:t xml:space="preserve"> </w:t>
      </w:r>
      <w:r>
        <w:t>Environmental pollution Pollution”, in the Book</w:t>
      </w:r>
    </w:p>
    <w:p w14:paraId="7D5F0F92">
      <w:pPr>
        <w:pStyle w:val="4"/>
        <w:spacing w:before="193" w:line="336" w:lineRule="auto"/>
        <w:ind w:left="730" w:right="102" w:hanging="6"/>
        <w:rPr>
          <w:position w:val="-6"/>
        </w:rPr>
        <w:sectPr>
          <w:pgSz w:w="11905" w:h="16840"/>
          <w:pgMar w:top="400" w:right="1408" w:bottom="0" w:left="1440" w:header="0" w:footer="0" w:gutter="0"/>
          <w:cols w:space="720" w:num="1"/>
        </w:sectPr>
      </w:pPr>
      <w:r>
        <w:t>Ramifications of</w:t>
      </w:r>
      <w:r>
        <w:rPr>
          <w:spacing w:val="-7"/>
        </w:rPr>
        <w:t xml:space="preserve"> </w:t>
      </w:r>
      <w:r>
        <w:t xml:space="preserve">Environmental Change on Human Health, ISBN: 978-93-94424-90- </w:t>
      </w:r>
      <w:r>
        <w:rPr>
          <w:spacing w:val="-1"/>
        </w:rPr>
        <w:t>6, pg- 74-88, 202</w:t>
      </w:r>
    </w:p>
    <w:p w14:paraId="234849EF">
      <w:pPr>
        <w:spacing w:line="260" w:lineRule="auto"/>
        <w:rPr>
          <w:rFonts w:ascii="Arial"/>
          <w:sz w:val="21"/>
        </w:rPr>
      </w:pPr>
      <w:bookmarkStart w:id="0" w:name="_GoBack"/>
      <w:bookmarkEnd w:id="0"/>
    </w:p>
    <w:sectPr>
      <w:pgSz w:w="11905" w:h="16840"/>
      <w:pgMar w:top="400" w:right="1434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D5BC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BBD3D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4BF30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7"/>
    <customShpInfo spid="_x0000_s1029"/>
    <customShpInfo spid="_x0000_s1030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972</Words>
  <Characters>6042</Characters>
  <TotalTime>12</TotalTime>
  <ScaleCrop>false</ScaleCrop>
  <LinksUpToDate>false</LinksUpToDate>
  <CharactersWithSpaces>7101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2026-01-16T07:15:00Z</dcterms:created>
  <dc:creator>vibha</dc:creator>
  <cp:lastModifiedBy>ashishbindal169</cp:lastModifiedBy>
  <dcterms:modified xsi:type="dcterms:W3CDTF">2026-04-09T06:11:28Z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2026-04-09T11:23:08Z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EC208F1417034835B8AEB2795430E73B_12</vt:lpwstr>
  </property>
</Properties>
</file>