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On top of that data we trained five kinds of model. Three are classical and were introduced in the midterm project, namely Naive Bayes, logistic regression and a linear support vector machine, each under both bag-of-words and TF-IDF.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1 gives the results.</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r>
        <w:rPr>
          <w:rFonts w:ascii="Times New Roman" w:hAnsi="Times New Roman" w:eastAsia="Times New Roman"/>
          <w:b w:val="0"/>
          <w:sz w:val="20"/>
        </w:rPr>
        <w:t>Table 1.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rPr>
          <w:cantSplit w:val="true"/>
        </w:trP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2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r>
        <w:rPr>
          <w:rFonts w:ascii="Times New Roman" w:hAnsi="Times New Roman" w:eastAsia="Times New Roman"/>
          <w:b w:val="0"/>
          <w:sz w:val="20"/>
        </w:rPr>
        <w:t>Table 2. Final-term fine-tuning experiments. Eight configurations for each model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cantSplit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cantSplit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rPr>
          <w:cantSplit w:val="true"/>
        </w:trP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rPr>
          <w:cantSplit w:val="true"/>
        </w:trPr>
        <w:tc>
          <w:tcPr>
            <w:tcW w:type="dxa" w:w="752"/>
            <w:vMerge w:val="restart"/>
          </w:tcPr>
          <w:p>
            <w:pPr>
              <w:spacing w:before="20" w:after="20"/>
              <w:jc w:val="center"/>
            </w:pPr>
            <w:r>
              <w:rPr>
                <w:rFonts w:ascii="Times New Roman" w:hAnsi="Times New Roman" w:eastAsia="Times New Roman"/>
                <w:b w:val="0"/>
                <w:sz w:val="13"/>
              </w:rPr>
              <w:t>DeBERTa</w:t>
              <w:br/>
              <w:t>(BERT variation)</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rPr>
          <w:cantSplit w:val="true"/>
        </w:trP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Three properties made it the right choice for this problem rather than simply a newer model. First, its attention mechanism keeps the representation of a word and the representation of its position separate, which suits a task where the way text is written may matter as much as which words appear. Second, it is pretrained with a replaced-token objective that is more efficient than ordinary masked language modelling at a similar size, so it tends to do better after only a few epochs of fine-tuning, which is what our budget allowed. Third, its tokeniser treats a space before a punctuation mark as part of the token, whereas the BERT tokeniser discards that distinction entirely. That gives the two models genuinely different views of the same text, which turned out to matter and is discussed in Section 6.</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2 lists all eight runs per dataset alongside the BERT ones.</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3 brings everything together in the form the project specification asks for. Every row comes from the full balanced corpora and the same fixed split. Each classical row is shown with whichever of the two text representations worked better on that dataset, which the Rep. column names. The transformers read raw text, so no representation applies to them.</w:t>
      </w:r>
    </w:p>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r>
        <w:rPr>
          <w:rFonts w:ascii="Times New Roman" w:hAnsi="Times New Roman" w:eastAsia="Times New Roman"/>
          <w:b w:val="0"/>
          <w:sz w:val="20"/>
        </w:rPr>
        <w:t>Table 3. Final comparison. Every row comes from the full balanced corpora and the same fixed split. Each classical row is shown with whichever text representation performed better on that dataset, which the Rep. column names. The transformers read raw text, so no representation applies to them. The ENSEMBLE row uses the weight chosen on validation.</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Model</w:t>
            </w:r>
          </w:p>
        </w:tc>
        <w:tc>
          <w:tcPr>
            <w:tcW w:type="dxa" w:w="4105"/>
            <w:gridSpan w:val="5"/>
          </w:tcPr>
          <w:p>
            <w:pPr>
              <w:spacing w:before="20" w:after="20"/>
              <w:jc w:val="center"/>
            </w:pPr>
            <w:r>
              <w:rPr>
                <w:rFonts w:ascii="Times New Roman" w:hAnsi="Times New Roman" w:eastAsia="Times New Roman"/>
                <w:b/>
                <w:sz w:val="14"/>
              </w:rPr>
              <w:t>Dataset 1 (DAIGT V2)</w:t>
            </w:r>
          </w:p>
        </w:tc>
        <w:tc>
          <w:tcPr>
            <w:tcW w:type="dxa" w:w="4105"/>
            <w:gridSpan w:val="5"/>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Naive Bayes</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0.9603</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0.8715</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0.8713</w:t>
            </w:r>
          </w:p>
        </w:tc>
      </w:tr>
      <w:tr>
        <w:trPr>
          <w:cantSplit w:val="true"/>
        </w:trPr>
        <w:tc>
          <w:tcPr>
            <w:tcW w:type="dxa" w:w="821"/>
          </w:tcPr>
          <w:p>
            <w:pPr>
              <w:spacing w:before="20" w:after="20"/>
              <w:jc w:val="left"/>
            </w:pPr>
            <w:r/>
            <w:r>
              <w:rPr>
                <w:rFonts w:ascii="Times New Roman" w:hAnsi="Times New Roman" w:eastAsia="Times New Roman"/>
                <w:b w:val="0"/>
                <w:sz w:val="14"/>
              </w:rPr>
              <w:t>Logistic Regression</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r>
      <w:tr>
        <w:trPr>
          <w:cantSplit w:val="true"/>
        </w:trPr>
        <w:tc>
          <w:tcPr>
            <w:tcW w:type="dxa" w:w="821"/>
          </w:tcPr>
          <w:p>
            <w:pPr>
              <w:spacing w:before="20" w:after="20"/>
              <w:jc w:val="left"/>
            </w:pPr>
            <w:r/>
            <w:r>
              <w:rPr>
                <w:rFonts w:ascii="Times New Roman" w:hAnsi="Times New Roman" w:eastAsia="Times New Roman"/>
                <w:b w:val="0"/>
                <w:sz w:val="14"/>
              </w:rPr>
              <w:t>Support Vector Machine</w:t>
            </w:r>
          </w:p>
        </w:tc>
        <w:tc>
          <w:tcPr>
            <w:tcW w:type="dxa" w:w="821"/>
          </w:tcPr>
          <w:p>
            <w:pPr>
              <w:spacing w:before="20" w:after="20"/>
              <w:jc w:val="center"/>
            </w:pPr>
            <w:r/>
            <w:r>
              <w:rPr>
                <w:rFonts w:ascii="Times New Roman" w:hAnsi="Times New Roman" w:eastAsia="Times New Roman"/>
                <w:b w:val="0"/>
                <w:sz w:val="14"/>
              </w:rPr>
              <w:t>TF-IDF</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0.9476</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0.9475</w:t>
            </w:r>
          </w:p>
        </w:tc>
      </w:tr>
      <w:tr>
        <w:trPr>
          <w:cantSplit w:val="true"/>
        </w:trPr>
        <w:tc>
          <w:tcPr>
            <w:tcW w:type="dxa" w:w="821"/>
          </w:tcPr>
          <w:p>
            <w:pPr>
              <w:spacing w:before="20" w:after="20"/>
              <w:jc w:val="left"/>
            </w:pPr>
            <w:r/>
            <w:r>
              <w:rPr>
                <w:rFonts w:ascii="Times New Roman" w:hAnsi="Times New Roman" w:eastAsia="Times New Roman"/>
                <w:b w:val="0"/>
                <w:sz w:val="14"/>
              </w:rPr>
              <w:t>BERT</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rPr>
          <w:cantSplit w:val="true"/>
        </w:trPr>
        <w:tc>
          <w:tcPr>
            <w:tcW w:type="dxa" w:w="821"/>
          </w:tcPr>
          <w:p>
            <w:pPr>
              <w:spacing w:before="20" w:after="20"/>
              <w:jc w:val="left"/>
            </w:pPr>
            <w:r/>
            <w:r>
              <w:rPr>
                <w:rFonts w:ascii="Times New Roman" w:hAnsi="Times New Roman" w:eastAsia="Times New Roman"/>
                <w:b w:val="0"/>
                <w:sz w:val="14"/>
              </w:rPr>
              <w:t>DeBERTa (BERT variation)</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rPr>
          <w:cantSplit w:val="true"/>
        </w:trPr>
        <w:tc>
          <w:tcPr>
            <w:tcW w:type="dxa" w:w="821"/>
          </w:tcPr>
          <w:p>
            <w:pPr>
              <w:spacing w:before="20" w:after="20"/>
              <w:jc w:val="left"/>
            </w:pPr>
            <w:r/>
            <w:r>
              <w:rPr>
                <w:rFonts w:ascii="Times New Roman" w:hAnsi="Times New Roman" w:eastAsia="Times New Roman"/>
                <w:b w:val="0"/>
                <w:sz w:val="14"/>
              </w:rPr>
              <w:t>ENSEMBLE</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bl>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