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and all six combinations were re-run here on the full corpora.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Those first experiments used a reduced sample of 6,000 rows per dataset so that they would finish without a GPU. For the final term we re-ran all six of those model and representation combinations on the full balanced corpora, using exactly the same split the transformers use, so that every number in this report comes from the same data. Table 1 gives those full-corpus results, and they are the ones we analyse and carry forward.</w:t>
      </w:r>
    </w:p>
    <w:p>
      <w:pPr>
        <w:jc w:val="both"/>
      </w:pPr>
      <w:r>
        <w:rPr>
          <w:rFonts w:ascii="Times New Roman" w:hAnsi="Times New Roman" w:eastAsia="Times New Roman"/>
          <w:b w:val="0"/>
          <w:sz w:val="24"/>
        </w:rPr>
        <w:t>The clearest pattern is that the two datasets are not equally difficult, and they were not equally difficult at the midterm either.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r>
        <w:rPr>
          <w:rFonts w:ascii="Times New Roman" w:hAnsi="Times New Roman" w:eastAsia="Times New Roman"/>
          <w:b w:val="0"/>
          <w:sz w:val="20"/>
        </w:rPr>
        <w:t>Table 1. The midterm models re-run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2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r>
        <w:rPr>
          <w:rFonts w:ascii="Times New Roman" w:hAnsi="Times New Roman" w:eastAsia="Times New Roman"/>
          <w:b w:val="0"/>
          <w:sz w:val="20"/>
        </w:rPr>
        <w:t>Table 2.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Three properties made it the right choice for this problem rather than simply a newer model. First, its attention mechanism keeps the representation of a word and the representation of its position separate, which suits a task where the way text is written may matter as much as which words appear. Second, it is pretrained with a replaced-token objective that is more efficient than ordinary masked language modelling at a similar size, so it tends to do better after only a few epochs of fine-tuning, which is what our budget allowed. Third, its tokeniser treats a space before a punctuation mark as part of the token, whereas the BERT tokeniser discards that distinction entirely. That gives the two models genuinely different views of the same text, which turned out to matter and is discussed in Section 6.</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2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3 brings everything together in the form the project specification asks for. Every row now comes from the full balanced corpora and the same fixed split, so unlike an earlier version of this report the comparison is not mixing two dataset sizes. The three classical rows are the midterm models re-run at full scale, each shown with whichever of the two representations worked better for that dataset.</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r>
        <w:rPr>
          <w:rFonts w:ascii="Times New Roman" w:hAnsi="Times New Roman" w:eastAsia="Times New Roman"/>
          <w:b w:val="0"/>
          <w:sz w:val="20"/>
        </w:rPr>
        <w:t>Table 3. Final comparison. Every row comes from the full balanced corpora and the same fixed split. The three classical rows are the midterm models re-run at full scale, each using whichever representation was better for that dataset, which is bag-of-words everywhere except the support vector machine on DAIGT V2. The ENSEMBLE row uses the weight chosen on validation.</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rPr>
          <w:tblHeader w:val="true"/>
        </w:trPr>
        <w:tc>
          <w:tcPr>
            <w:tcW w:type="dxa" w:w="1003"/>
            <w:vMerge w:val="restart"/>
          </w:tcPr>
          <w:p>
            <w:pPr>
              <w:spacing w:before="20" w:after="20"/>
              <w:jc w:val="center"/>
            </w:pPr>
            <w:r>
              <w:rPr>
                <w:rFonts w:ascii="Times New Roman" w:hAnsi="Times New Roman" w:eastAsia="Times New Roman"/>
                <w:b/>
                <w:sz w:val="15"/>
              </w:rPr>
              <w:t>Model</w:t>
            </w:r>
          </w:p>
        </w:tc>
        <w:tc>
          <w:tcPr>
            <w:tcW w:type="dxa" w:w="4012"/>
            <w:gridSpan w:val="4"/>
          </w:tcPr>
          <w:p>
            <w:pPr>
              <w:spacing w:before="20" w:after="20"/>
              <w:jc w:val="center"/>
            </w:pPr>
            <w:r>
              <w:rPr>
                <w:rFonts w:ascii="Times New Roman" w:hAnsi="Times New Roman" w:eastAsia="Times New Roman"/>
                <w:b/>
                <w:sz w:val="15"/>
              </w:rPr>
              <w:t>Dataset 1 (DAIGT V2)</w:t>
            </w:r>
          </w:p>
        </w:tc>
        <w:tc>
          <w:tcPr>
            <w:tcW w:type="dxa" w:w="4012"/>
            <w:gridSpan w:val="4"/>
          </w:tcPr>
          <w:p>
            <w:pPr>
              <w:spacing w:before="20" w:after="20"/>
              <w:jc w:val="center"/>
            </w:pPr>
            <w:r>
              <w:rPr>
                <w:rFonts w:ascii="Times New Roman" w:hAnsi="Times New Roman" w:eastAsia="Times New Roman"/>
                <w:b/>
                <w:sz w:val="15"/>
              </w:rPr>
              <w:t>Dataset 2 (HC3)</w:t>
            </w:r>
          </w:p>
        </w:tc>
      </w:tr>
      <w:tr>
        <w:trPr>
          <w:tblHeader w:val="true"/>
        </w:trPr>
        <w:tc>
          <w:tcPr>
            <w:tcW w:type="dxa" w:w="1003"/>
            <w:vMerge/>
          </w:tcP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c>
          <w:tcPr>
            <w:tcW w:type="dxa" w:w="1003"/>
          </w:tcPr>
          <w:p>
            <w:pPr>
              <w:spacing w:before="20" w:after="20"/>
              <w:jc w:val="center"/>
            </w:pPr>
            <w:r/>
            <w:r>
              <w:rPr>
                <w:rFonts w:ascii="Times New Roman" w:hAnsi="Times New Roman" w:eastAsia="Times New Roman"/>
                <w:b/>
                <w:sz w:val="15"/>
              </w:rPr>
              <w:t>Acc</w:t>
            </w:r>
          </w:p>
        </w:tc>
        <w:tc>
          <w:tcPr>
            <w:tcW w:type="dxa" w:w="1003"/>
          </w:tcPr>
          <w:p>
            <w:pPr>
              <w:spacing w:before="20" w:after="20"/>
              <w:jc w:val="center"/>
            </w:pPr>
            <w:r/>
            <w:r>
              <w:rPr>
                <w:rFonts w:ascii="Times New Roman" w:hAnsi="Times New Roman" w:eastAsia="Times New Roman"/>
                <w:b/>
                <w:sz w:val="15"/>
              </w:rPr>
              <w:t>Prec</w:t>
            </w:r>
          </w:p>
        </w:tc>
        <w:tc>
          <w:tcPr>
            <w:tcW w:type="dxa" w:w="1003"/>
          </w:tcPr>
          <w:p>
            <w:pPr>
              <w:spacing w:before="20" w:after="20"/>
              <w:jc w:val="center"/>
            </w:pPr>
            <w:r/>
            <w:r>
              <w:rPr>
                <w:rFonts w:ascii="Times New Roman" w:hAnsi="Times New Roman" w:eastAsia="Times New Roman"/>
                <w:b/>
                <w:sz w:val="15"/>
              </w:rPr>
              <w:t>Rec</w:t>
            </w:r>
          </w:p>
        </w:tc>
        <w:tc>
          <w:tcPr>
            <w:tcW w:type="dxa" w:w="1003"/>
          </w:tcPr>
          <w:p>
            <w:pPr>
              <w:spacing w:before="20" w:after="20"/>
              <w:jc w:val="center"/>
            </w:pPr>
            <w:r/>
            <w:r>
              <w:rPr>
                <w:rFonts w:ascii="Times New Roman" w:hAnsi="Times New Roman" w:eastAsia="Times New Roman"/>
                <w:b/>
                <w:sz w:val="15"/>
              </w:rPr>
              <w:t>F1</w:t>
            </w:r>
          </w:p>
        </w:tc>
      </w:tr>
      <w:tr>
        <w:tc>
          <w:tcPr>
            <w:tcW w:type="dxa" w:w="1003"/>
          </w:tcPr>
          <w:p>
            <w:pPr>
              <w:spacing w:before="20" w:after="20"/>
              <w:jc w:val="left"/>
            </w:pPr>
            <w:r/>
            <w:r>
              <w:rPr>
                <w:rFonts w:ascii="Times New Roman" w:hAnsi="Times New Roman" w:eastAsia="Times New Roman"/>
                <w:b w:val="0"/>
                <w:sz w:val="15"/>
              </w:rPr>
              <w:t>Naive Bayes (BoW / BoW)</w:t>
            </w:r>
          </w:p>
        </w:tc>
        <w:tc>
          <w:tcPr>
            <w:tcW w:type="dxa" w:w="1003"/>
          </w:tcPr>
          <w:p>
            <w:pPr>
              <w:spacing w:before="20" w:after="20"/>
              <w:jc w:val="center"/>
            </w:pPr>
            <w:r/>
            <w:r>
              <w:rPr>
                <w:rFonts w:ascii="Times New Roman" w:hAnsi="Times New Roman" w:eastAsia="Times New Roman"/>
                <w:b w:val="0"/>
                <w:sz w:val="15"/>
              </w:rPr>
              <w:t>0.9591</w:t>
            </w:r>
          </w:p>
        </w:tc>
        <w:tc>
          <w:tcPr>
            <w:tcW w:type="dxa" w:w="1003"/>
          </w:tcPr>
          <w:p>
            <w:pPr>
              <w:spacing w:before="20" w:after="20"/>
              <w:jc w:val="center"/>
            </w:pPr>
            <w:r/>
            <w:r>
              <w:rPr>
                <w:rFonts w:ascii="Times New Roman" w:hAnsi="Times New Roman" w:eastAsia="Times New Roman"/>
                <w:b w:val="0"/>
                <w:sz w:val="15"/>
              </w:rPr>
              <w:t>0.9603</w:t>
            </w:r>
          </w:p>
        </w:tc>
        <w:tc>
          <w:tcPr>
            <w:tcW w:type="dxa" w:w="1003"/>
          </w:tcPr>
          <w:p>
            <w:pPr>
              <w:spacing w:before="20" w:after="20"/>
              <w:jc w:val="center"/>
            </w:pPr>
            <w:r/>
            <w:r>
              <w:rPr>
                <w:rFonts w:ascii="Times New Roman" w:hAnsi="Times New Roman" w:eastAsia="Times New Roman"/>
                <w:b w:val="0"/>
                <w:sz w:val="15"/>
              </w:rPr>
              <w:t>0.9591</w:t>
            </w:r>
          </w:p>
        </w:tc>
        <w:tc>
          <w:tcPr>
            <w:tcW w:type="dxa" w:w="1003"/>
          </w:tcPr>
          <w:p>
            <w:pPr>
              <w:spacing w:before="20" w:after="20"/>
              <w:jc w:val="center"/>
            </w:pPr>
            <w:r/>
            <w:r>
              <w:rPr>
                <w:rFonts w:ascii="Times New Roman" w:hAnsi="Times New Roman" w:eastAsia="Times New Roman"/>
                <w:b w:val="0"/>
                <w:sz w:val="15"/>
              </w:rPr>
              <w:t>0.9591</w:t>
            </w:r>
          </w:p>
        </w:tc>
        <w:tc>
          <w:tcPr>
            <w:tcW w:type="dxa" w:w="1003"/>
          </w:tcPr>
          <w:p>
            <w:pPr>
              <w:spacing w:before="20" w:after="20"/>
              <w:jc w:val="center"/>
            </w:pPr>
            <w:r/>
            <w:r>
              <w:rPr>
                <w:rFonts w:ascii="Times New Roman" w:hAnsi="Times New Roman" w:eastAsia="Times New Roman"/>
                <w:b w:val="0"/>
                <w:sz w:val="15"/>
              </w:rPr>
              <w:t>0.8713</w:t>
            </w:r>
          </w:p>
        </w:tc>
        <w:tc>
          <w:tcPr>
            <w:tcW w:type="dxa" w:w="1003"/>
          </w:tcPr>
          <w:p>
            <w:pPr>
              <w:spacing w:before="20" w:after="20"/>
              <w:jc w:val="center"/>
            </w:pPr>
            <w:r/>
            <w:r>
              <w:rPr>
                <w:rFonts w:ascii="Times New Roman" w:hAnsi="Times New Roman" w:eastAsia="Times New Roman"/>
                <w:b w:val="0"/>
                <w:sz w:val="15"/>
              </w:rPr>
              <w:t>0.8715</w:t>
            </w:r>
          </w:p>
        </w:tc>
        <w:tc>
          <w:tcPr>
            <w:tcW w:type="dxa" w:w="1003"/>
          </w:tcPr>
          <w:p>
            <w:pPr>
              <w:spacing w:before="20" w:after="20"/>
              <w:jc w:val="center"/>
            </w:pPr>
            <w:r/>
            <w:r>
              <w:rPr>
                <w:rFonts w:ascii="Times New Roman" w:hAnsi="Times New Roman" w:eastAsia="Times New Roman"/>
                <w:b w:val="0"/>
                <w:sz w:val="15"/>
              </w:rPr>
              <w:t>0.8713</w:t>
            </w:r>
          </w:p>
        </w:tc>
        <w:tc>
          <w:tcPr>
            <w:tcW w:type="dxa" w:w="1003"/>
          </w:tcPr>
          <w:p>
            <w:pPr>
              <w:spacing w:before="20" w:after="20"/>
              <w:jc w:val="center"/>
            </w:pPr>
            <w:r/>
            <w:r>
              <w:rPr>
                <w:rFonts w:ascii="Times New Roman" w:hAnsi="Times New Roman" w:eastAsia="Times New Roman"/>
                <w:b w:val="0"/>
                <w:sz w:val="15"/>
              </w:rPr>
              <w:t>0.8713</w:t>
            </w:r>
          </w:p>
        </w:tc>
      </w:tr>
      <w:tr>
        <w:tc>
          <w:tcPr>
            <w:tcW w:type="dxa" w:w="1003"/>
          </w:tcPr>
          <w:p>
            <w:pPr>
              <w:spacing w:before="20" w:after="20"/>
              <w:jc w:val="left"/>
            </w:pPr>
            <w:r/>
            <w:r>
              <w:rPr>
                <w:rFonts w:ascii="Times New Roman" w:hAnsi="Times New Roman" w:eastAsia="Times New Roman"/>
                <w:b w:val="0"/>
                <w:sz w:val="15"/>
              </w:rPr>
              <w:t>Logistic Regression (BoW / BoW)</w:t>
            </w:r>
          </w:p>
        </w:tc>
        <w:tc>
          <w:tcPr>
            <w:tcW w:type="dxa" w:w="1003"/>
          </w:tcPr>
          <w:p>
            <w:pPr>
              <w:spacing w:before="20" w:after="20"/>
              <w:jc w:val="center"/>
            </w:pPr>
            <w:r/>
            <w:r>
              <w:rPr>
                <w:rFonts w:ascii="Times New Roman" w:hAnsi="Times New Roman" w:eastAsia="Times New Roman"/>
                <w:b w:val="0"/>
                <w:sz w:val="15"/>
              </w:rPr>
              <w:t>0.9893</w:t>
            </w:r>
          </w:p>
        </w:tc>
        <w:tc>
          <w:tcPr>
            <w:tcW w:type="dxa" w:w="1003"/>
          </w:tcPr>
          <w:p>
            <w:pPr>
              <w:spacing w:before="20" w:after="20"/>
              <w:jc w:val="center"/>
            </w:pPr>
            <w:r/>
            <w:r>
              <w:rPr>
                <w:rFonts w:ascii="Times New Roman" w:hAnsi="Times New Roman" w:eastAsia="Times New Roman"/>
                <w:b w:val="0"/>
                <w:sz w:val="15"/>
              </w:rPr>
              <w:t>0.9893</w:t>
            </w:r>
          </w:p>
        </w:tc>
        <w:tc>
          <w:tcPr>
            <w:tcW w:type="dxa" w:w="1003"/>
          </w:tcPr>
          <w:p>
            <w:pPr>
              <w:spacing w:before="20" w:after="20"/>
              <w:jc w:val="center"/>
            </w:pPr>
            <w:r/>
            <w:r>
              <w:rPr>
                <w:rFonts w:ascii="Times New Roman" w:hAnsi="Times New Roman" w:eastAsia="Times New Roman"/>
                <w:b w:val="0"/>
                <w:sz w:val="15"/>
              </w:rPr>
              <w:t>0.9893</w:t>
            </w:r>
          </w:p>
        </w:tc>
        <w:tc>
          <w:tcPr>
            <w:tcW w:type="dxa" w:w="1003"/>
          </w:tcPr>
          <w:p>
            <w:pPr>
              <w:spacing w:before="20" w:after="20"/>
              <w:jc w:val="center"/>
            </w:pPr>
            <w:r/>
            <w:r>
              <w:rPr>
                <w:rFonts w:ascii="Times New Roman" w:hAnsi="Times New Roman" w:eastAsia="Times New Roman"/>
                <w:b w:val="0"/>
                <w:sz w:val="15"/>
              </w:rPr>
              <w:t>0.9893</w:t>
            </w:r>
          </w:p>
        </w:tc>
        <w:tc>
          <w:tcPr>
            <w:tcW w:type="dxa" w:w="1003"/>
          </w:tcPr>
          <w:p>
            <w:pPr>
              <w:spacing w:before="20" w:after="20"/>
              <w:jc w:val="center"/>
            </w:pPr>
            <w:r/>
            <w:r>
              <w:rPr>
                <w:rFonts w:ascii="Times New Roman" w:hAnsi="Times New Roman" w:eastAsia="Times New Roman"/>
                <w:b w:val="0"/>
                <w:sz w:val="15"/>
              </w:rPr>
              <w:t>0.9551</w:t>
            </w:r>
          </w:p>
        </w:tc>
        <w:tc>
          <w:tcPr>
            <w:tcW w:type="dxa" w:w="1003"/>
          </w:tcPr>
          <w:p>
            <w:pPr>
              <w:spacing w:before="20" w:after="20"/>
              <w:jc w:val="center"/>
            </w:pPr>
            <w:r/>
            <w:r>
              <w:rPr>
                <w:rFonts w:ascii="Times New Roman" w:hAnsi="Times New Roman" w:eastAsia="Times New Roman"/>
                <w:b w:val="0"/>
                <w:sz w:val="15"/>
              </w:rPr>
              <w:t>0.9551</w:t>
            </w:r>
          </w:p>
        </w:tc>
        <w:tc>
          <w:tcPr>
            <w:tcW w:type="dxa" w:w="1003"/>
          </w:tcPr>
          <w:p>
            <w:pPr>
              <w:spacing w:before="20" w:after="20"/>
              <w:jc w:val="center"/>
            </w:pPr>
            <w:r/>
            <w:r>
              <w:rPr>
                <w:rFonts w:ascii="Times New Roman" w:hAnsi="Times New Roman" w:eastAsia="Times New Roman"/>
                <w:b w:val="0"/>
                <w:sz w:val="15"/>
              </w:rPr>
              <w:t>0.9551</w:t>
            </w:r>
          </w:p>
        </w:tc>
        <w:tc>
          <w:tcPr>
            <w:tcW w:type="dxa" w:w="1003"/>
          </w:tcPr>
          <w:p>
            <w:pPr>
              <w:spacing w:before="20" w:after="20"/>
              <w:jc w:val="center"/>
            </w:pPr>
            <w:r/>
            <w:r>
              <w:rPr>
                <w:rFonts w:ascii="Times New Roman" w:hAnsi="Times New Roman" w:eastAsia="Times New Roman"/>
                <w:b w:val="0"/>
                <w:sz w:val="15"/>
              </w:rPr>
              <w:t>0.9551</w:t>
            </w:r>
          </w:p>
        </w:tc>
      </w:tr>
      <w:tr>
        <w:tc>
          <w:tcPr>
            <w:tcW w:type="dxa" w:w="1003"/>
          </w:tcPr>
          <w:p>
            <w:pPr>
              <w:spacing w:before="20" w:after="20"/>
              <w:jc w:val="left"/>
            </w:pPr>
            <w:r/>
            <w:r>
              <w:rPr>
                <w:rFonts w:ascii="Times New Roman" w:hAnsi="Times New Roman" w:eastAsia="Times New Roman"/>
                <w:b w:val="0"/>
                <w:sz w:val="15"/>
              </w:rPr>
              <w:t>Support Vector Machine (TF-IDF / BoW)</w:t>
            </w:r>
          </w:p>
        </w:tc>
        <w:tc>
          <w:tcPr>
            <w:tcW w:type="dxa" w:w="1003"/>
          </w:tcPr>
          <w:p>
            <w:pPr>
              <w:spacing w:before="20" w:after="20"/>
              <w:jc w:val="center"/>
            </w:pPr>
            <w:r/>
            <w:r>
              <w:rPr>
                <w:rFonts w:ascii="Times New Roman" w:hAnsi="Times New Roman" w:eastAsia="Times New Roman"/>
                <w:b w:val="0"/>
                <w:sz w:val="15"/>
              </w:rPr>
              <w:t>0.9910</w:t>
            </w:r>
          </w:p>
        </w:tc>
        <w:tc>
          <w:tcPr>
            <w:tcW w:type="dxa" w:w="1003"/>
          </w:tcPr>
          <w:p>
            <w:pPr>
              <w:spacing w:before="20" w:after="20"/>
              <w:jc w:val="center"/>
            </w:pPr>
            <w:r/>
            <w:r>
              <w:rPr>
                <w:rFonts w:ascii="Times New Roman" w:hAnsi="Times New Roman" w:eastAsia="Times New Roman"/>
                <w:b w:val="0"/>
                <w:sz w:val="15"/>
              </w:rPr>
              <w:t>0.9911</w:t>
            </w:r>
          </w:p>
        </w:tc>
        <w:tc>
          <w:tcPr>
            <w:tcW w:type="dxa" w:w="1003"/>
          </w:tcPr>
          <w:p>
            <w:pPr>
              <w:spacing w:before="20" w:after="20"/>
              <w:jc w:val="center"/>
            </w:pPr>
            <w:r/>
            <w:r>
              <w:rPr>
                <w:rFonts w:ascii="Times New Roman" w:hAnsi="Times New Roman" w:eastAsia="Times New Roman"/>
                <w:b w:val="0"/>
                <w:sz w:val="15"/>
              </w:rPr>
              <w:t>0.9910</w:t>
            </w:r>
          </w:p>
        </w:tc>
        <w:tc>
          <w:tcPr>
            <w:tcW w:type="dxa" w:w="1003"/>
          </w:tcPr>
          <w:p>
            <w:pPr>
              <w:spacing w:before="20" w:after="20"/>
              <w:jc w:val="center"/>
            </w:pPr>
            <w:r/>
            <w:r>
              <w:rPr>
                <w:rFonts w:ascii="Times New Roman" w:hAnsi="Times New Roman" w:eastAsia="Times New Roman"/>
                <w:b w:val="0"/>
                <w:sz w:val="15"/>
              </w:rPr>
              <w:t>0.9910</w:t>
            </w:r>
          </w:p>
        </w:tc>
        <w:tc>
          <w:tcPr>
            <w:tcW w:type="dxa" w:w="1003"/>
          </w:tcPr>
          <w:p>
            <w:pPr>
              <w:spacing w:before="20" w:after="20"/>
              <w:jc w:val="center"/>
            </w:pPr>
            <w:r/>
            <w:r>
              <w:rPr>
                <w:rFonts w:ascii="Times New Roman" w:hAnsi="Times New Roman" w:eastAsia="Times New Roman"/>
                <w:b w:val="0"/>
                <w:sz w:val="15"/>
              </w:rPr>
              <w:t>0.9475</w:t>
            </w:r>
          </w:p>
        </w:tc>
        <w:tc>
          <w:tcPr>
            <w:tcW w:type="dxa" w:w="1003"/>
          </w:tcPr>
          <w:p>
            <w:pPr>
              <w:spacing w:before="20" w:after="20"/>
              <w:jc w:val="center"/>
            </w:pPr>
            <w:r/>
            <w:r>
              <w:rPr>
                <w:rFonts w:ascii="Times New Roman" w:hAnsi="Times New Roman" w:eastAsia="Times New Roman"/>
                <w:b w:val="0"/>
                <w:sz w:val="15"/>
              </w:rPr>
              <w:t>0.9476</w:t>
            </w:r>
          </w:p>
        </w:tc>
        <w:tc>
          <w:tcPr>
            <w:tcW w:type="dxa" w:w="1003"/>
          </w:tcPr>
          <w:p>
            <w:pPr>
              <w:spacing w:before="20" w:after="20"/>
              <w:jc w:val="center"/>
            </w:pPr>
            <w:r/>
            <w:r>
              <w:rPr>
                <w:rFonts w:ascii="Times New Roman" w:hAnsi="Times New Roman" w:eastAsia="Times New Roman"/>
                <w:b w:val="0"/>
                <w:sz w:val="15"/>
              </w:rPr>
              <w:t>0.9475</w:t>
            </w:r>
          </w:p>
        </w:tc>
        <w:tc>
          <w:tcPr>
            <w:tcW w:type="dxa" w:w="1003"/>
          </w:tcPr>
          <w:p>
            <w:pPr>
              <w:spacing w:before="20" w:after="20"/>
              <w:jc w:val="center"/>
            </w:pPr>
            <w:r/>
            <w:r>
              <w:rPr>
                <w:rFonts w:ascii="Times New Roman" w:hAnsi="Times New Roman" w:eastAsia="Times New Roman"/>
                <w:b w:val="0"/>
                <w:sz w:val="15"/>
              </w:rPr>
              <w:t>0.9475</w:t>
            </w:r>
          </w:p>
        </w:tc>
      </w:tr>
      <w:tr>
        <w:tc>
          <w:tcPr>
            <w:tcW w:type="dxa" w:w="1003"/>
          </w:tcPr>
          <w:p>
            <w:pPr>
              <w:spacing w:before="20" w:after="20"/>
              <w:jc w:val="left"/>
            </w:pPr>
            <w:r/>
            <w:r>
              <w:rPr>
                <w:rFonts w:ascii="Times New Roman" w:hAnsi="Times New Roman" w:eastAsia="Times New Roman"/>
                <w:b w:val="0"/>
                <w:sz w:val="15"/>
              </w:rPr>
              <w:t>BERT</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0.9916</w:t>
            </w:r>
          </w:p>
        </w:tc>
        <w:tc>
          <w:tcPr>
            <w:tcW w:type="dxa" w:w="1003"/>
          </w:tcPr>
          <w:p>
            <w:pPr>
              <w:spacing w:before="20" w:after="20"/>
              <w:jc w:val="center"/>
            </w:pPr>
            <w:r/>
            <w:r>
              <w:rPr>
                <w:rFonts w:ascii="Times New Roman" w:hAnsi="Times New Roman" w:eastAsia="Times New Roman"/>
                <w:b w:val="0"/>
                <w:sz w:val="15"/>
              </w:rPr>
              <w:t>0.9916</w:t>
            </w:r>
          </w:p>
        </w:tc>
      </w:tr>
      <w:tr>
        <w:tc>
          <w:tcPr>
            <w:tcW w:type="dxa" w:w="1003"/>
          </w:tcPr>
          <w:p>
            <w:pPr>
              <w:spacing w:before="20" w:after="20"/>
              <w:jc w:val="left"/>
            </w:pPr>
            <w:r/>
            <w:r>
              <w:rPr>
                <w:rFonts w:ascii="Times New Roman" w:hAnsi="Times New Roman" w:eastAsia="Times New Roman"/>
                <w:b w:val="0"/>
                <w:sz w:val="15"/>
              </w:rPr>
              <w:t>DeBERTa (BERT variation)</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0.9917</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r>
      <w:tr>
        <w:tc>
          <w:tcPr>
            <w:tcW w:type="dxa" w:w="1003"/>
          </w:tcPr>
          <w:p>
            <w:pPr>
              <w:spacing w:before="20" w:after="20"/>
              <w:jc w:val="left"/>
            </w:pPr>
            <w:r/>
            <w:r>
              <w:rPr>
                <w:rFonts w:ascii="Times New Roman" w:hAnsi="Times New Roman" w:eastAsia="Times New Roman"/>
                <w:b w:val="0"/>
                <w:sz w:val="15"/>
              </w:rPr>
              <w:t>ENSEMBLE</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0.9936</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c>
          <w:tcPr>
            <w:tcW w:type="dxa" w:w="1003"/>
          </w:tcPr>
          <w:p>
            <w:pPr>
              <w:spacing w:before="20" w:after="20"/>
              <w:jc w:val="center"/>
            </w:pPr>
            <w:r/>
            <w:r>
              <w:rPr>
                <w:rFonts w:ascii="Times New Roman" w:hAnsi="Times New Roman" w:eastAsia="Times New Roman"/>
                <w:b w:val="0"/>
                <w:sz w:val="15"/>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