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the synthetic DOCX fixture.</w:t>
      </w:r>
    </w:p>
    <w:p>
      <w:r>
        <w:t>Second paragraph for RAG ingest.</w:t>
      </w:r>
    </w:p>
  </w:body>
</w:document>
</file>