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416" w:rsidRDefault="00DA7984">
      <w:pPr>
        <w:rPr>
          <w:rFonts w:ascii="Times New Roman" w:hAnsi="Times New Roman" w:cs="Times New Roman"/>
          <w:b/>
          <w:sz w:val="24"/>
          <w:szCs w:val="24"/>
        </w:rPr>
      </w:pPr>
      <w:r w:rsidRPr="00DA7984">
        <w:rPr>
          <w:rFonts w:ascii="Times New Roman" w:hAnsi="Times New Roman" w:cs="Times New Roman"/>
          <w:b/>
          <w:sz w:val="24"/>
          <w:szCs w:val="24"/>
        </w:rPr>
        <w:t>Executive authority in relation to property, trade, etc.</w:t>
      </w:r>
    </w:p>
    <w:p w:rsidR="00DA7984" w:rsidRPr="00DA7984" w:rsidRDefault="00DA7984">
      <w:pPr>
        <w:rPr>
          <w:rFonts w:ascii="Times New Roman" w:hAnsi="Times New Roman" w:cs="Times New Roman"/>
          <w:sz w:val="24"/>
          <w:szCs w:val="24"/>
        </w:rPr>
      </w:pPr>
      <w:r w:rsidRPr="00DA7984">
        <w:rPr>
          <w:rFonts w:ascii="Times New Roman" w:hAnsi="Times New Roman" w:cs="Times New Roman"/>
          <w:sz w:val="24"/>
          <w:szCs w:val="24"/>
        </w:rPr>
        <w:t>The executive authority of the Republic shall extend to the acquisition, sale, transfer, mortgage and disposal of property, the carrying on of any trade or business and the making of any contract.</w:t>
      </w:r>
      <w:bookmarkStart w:id="0" w:name="_GoBack"/>
      <w:bookmarkEnd w:id="0"/>
    </w:p>
    <w:sectPr w:rsidR="00DA7984" w:rsidRPr="00DA7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1E"/>
    <w:rsid w:val="004A0416"/>
    <w:rsid w:val="0099771E"/>
    <w:rsid w:val="00DA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D955"/>
  <w15:chartTrackingRefBased/>
  <w15:docId w15:val="{C57F37CD-F210-4523-BB88-4773C6B9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2025-01-24T06:30:00Z</dcterms:created>
  <dcterms:modified xsi:type="dcterms:W3CDTF">2025-01-24T06:31:00Z</dcterms:modified>
</cp:coreProperties>
</file>