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27" w:rsidRDefault="0043487D">
      <w:pPr>
        <w:rPr>
          <w:rFonts w:ascii="Times New Roman" w:hAnsi="Times New Roman" w:cs="Times New Roman"/>
          <w:b/>
          <w:sz w:val="24"/>
          <w:szCs w:val="24"/>
        </w:rPr>
      </w:pPr>
      <w:r w:rsidRPr="0043487D">
        <w:rPr>
          <w:rFonts w:ascii="Times New Roman" w:hAnsi="Times New Roman" w:cs="Times New Roman"/>
          <w:b/>
          <w:sz w:val="24"/>
          <w:szCs w:val="24"/>
        </w:rPr>
        <w:t>Separation of Judiciary from the executive</w:t>
      </w:r>
    </w:p>
    <w:p w:rsidR="0043487D" w:rsidRPr="0043487D" w:rsidRDefault="0043487D">
      <w:pPr>
        <w:rPr>
          <w:rFonts w:ascii="Times New Roman" w:hAnsi="Times New Roman" w:cs="Times New Roman"/>
          <w:sz w:val="24"/>
          <w:szCs w:val="24"/>
        </w:rPr>
      </w:pPr>
      <w:r w:rsidRPr="0043487D">
        <w:rPr>
          <w:rFonts w:ascii="Times New Roman" w:hAnsi="Times New Roman" w:cs="Times New Roman"/>
          <w:sz w:val="24"/>
          <w:szCs w:val="24"/>
        </w:rPr>
        <w:t>The State shall ensure the separation of the judiciary from the executive organs of the State.</w:t>
      </w:r>
      <w:bookmarkStart w:id="0" w:name="_GoBack"/>
      <w:bookmarkEnd w:id="0"/>
    </w:p>
    <w:sectPr w:rsidR="0043487D" w:rsidRPr="0043487D" w:rsidSect="00AF7B10">
      <w:pgSz w:w="11906" w:h="16838"/>
      <w:pgMar w:top="1440" w:right="1440" w:bottom="144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E87"/>
    <w:rsid w:val="003C6E87"/>
    <w:rsid w:val="0043487D"/>
    <w:rsid w:val="004B1527"/>
    <w:rsid w:val="00A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9E28"/>
  <w15:chartTrackingRefBased/>
  <w15:docId w15:val="{A257EFE9-CD32-4F08-A994-75AA3709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2025-01-20T15:08:00Z</dcterms:created>
  <dcterms:modified xsi:type="dcterms:W3CDTF">2025-01-20T15:09:00Z</dcterms:modified>
</cp:coreProperties>
</file>