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CF" w:rsidRDefault="000E6ECF">
      <w:pPr>
        <w:rPr>
          <w:rFonts w:ascii="Times New Roman" w:hAnsi="Times New Roman" w:cs="Times New Roman"/>
          <w:b/>
          <w:sz w:val="24"/>
          <w:szCs w:val="24"/>
        </w:rPr>
      </w:pPr>
      <w:r w:rsidRPr="000E6ECF">
        <w:rPr>
          <w:rFonts w:ascii="Times New Roman" w:hAnsi="Times New Roman" w:cs="Times New Roman"/>
          <w:b/>
          <w:sz w:val="24"/>
          <w:szCs w:val="24"/>
        </w:rPr>
        <w:t>Inapplicability of certain articles</w:t>
      </w:r>
    </w:p>
    <w:p w:rsidR="000E6ECF" w:rsidRPr="000E6ECF" w:rsidRDefault="000E6ECF" w:rsidP="000E6ECF">
      <w:pPr>
        <w:rPr>
          <w:rFonts w:ascii="Times New Roman" w:hAnsi="Times New Roman" w:cs="Times New Roman"/>
          <w:sz w:val="24"/>
          <w:szCs w:val="24"/>
        </w:rPr>
      </w:pPr>
      <w:r w:rsidRPr="000E6ECF">
        <w:rPr>
          <w:rFonts w:ascii="Times New Roman" w:hAnsi="Times New Roman" w:cs="Times New Roman"/>
          <w:sz w:val="24"/>
          <w:szCs w:val="24"/>
        </w:rPr>
        <w:t>(1) The rights guaranteed under article 31, clauses (1) and (3) of article 35 and article 44 shall not apply to any person to whom a law specified in clause (3) of article 47 applies.</w:t>
      </w:r>
    </w:p>
    <w:p w:rsidR="000E6ECF" w:rsidRDefault="000E6ECF" w:rsidP="000E6ECF">
      <w:pPr>
        <w:rPr>
          <w:rFonts w:ascii="Times New Roman" w:hAnsi="Times New Roman" w:cs="Times New Roman"/>
          <w:sz w:val="24"/>
          <w:szCs w:val="24"/>
        </w:rPr>
      </w:pPr>
      <w:r w:rsidRPr="000E6ECF">
        <w:rPr>
          <w:rFonts w:ascii="Times New Roman" w:hAnsi="Times New Roman" w:cs="Times New Roman"/>
          <w:sz w:val="24"/>
          <w:szCs w:val="24"/>
        </w:rPr>
        <w:t>(2) Notwithstanding anything contained in this Constitution, no person to whom a law specified in clause (3) of article 47 applies shall have the right to move the Supreme Court for any of the remedies under this Constitution.</w:t>
      </w:r>
    </w:p>
    <w:p w:rsidR="000E6ECF" w:rsidRPr="000E6ECF" w:rsidRDefault="000E6ECF" w:rsidP="000E6ECF">
      <w:pPr>
        <w:rPr>
          <w:rFonts w:ascii="Times New Roman" w:hAnsi="Times New Roman" w:cs="Times New Roman"/>
          <w:sz w:val="24"/>
          <w:szCs w:val="24"/>
        </w:rPr>
      </w:pPr>
    </w:p>
    <w:p w:rsidR="000E6ECF" w:rsidRDefault="000E6ECF" w:rsidP="000E6ECF">
      <w:pPr>
        <w:rPr>
          <w:rFonts w:ascii="Times New Roman" w:hAnsi="Times New Roman" w:cs="Times New Roman"/>
          <w:sz w:val="24"/>
          <w:szCs w:val="24"/>
        </w:rPr>
      </w:pPr>
    </w:p>
    <w:p w:rsidR="000E6ECF" w:rsidRPr="000E6ECF" w:rsidRDefault="000E6ECF" w:rsidP="000E6E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0E6ECF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0E6ECF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0E6ECF" w:rsidRPr="000E6ECF" w:rsidRDefault="000E6ECF" w:rsidP="000E6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6ECF">
        <w:rPr>
          <w:rFonts w:ascii="Arial" w:eastAsia="Times New Roman" w:hAnsi="Arial" w:cs="Arial"/>
          <w:color w:val="000000"/>
          <w:sz w:val="18"/>
          <w:szCs w:val="18"/>
        </w:rPr>
        <w:t>Article 47A was inserted by section 3 of the Constitution (First Amendment) Act, 1973 (Act No. XV of 1973)</w:t>
      </w:r>
    </w:p>
    <w:p w:rsidR="004B1527" w:rsidRPr="000E6ECF" w:rsidRDefault="004B1527" w:rsidP="000E6E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1527" w:rsidRPr="000E6ECF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F553E"/>
    <w:multiLevelType w:val="multilevel"/>
    <w:tmpl w:val="CA2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B"/>
    <w:rsid w:val="000E6ECF"/>
    <w:rsid w:val="004B1527"/>
    <w:rsid w:val="008C7A7B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0F59"/>
  <w15:chartTrackingRefBased/>
  <w15:docId w15:val="{AA8C305E-1BED-4E7A-9BD0-7034081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E6E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E6ECF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2025-01-21T05:17:00Z</dcterms:created>
  <dcterms:modified xsi:type="dcterms:W3CDTF">2025-01-21T05:18:00Z</dcterms:modified>
</cp:coreProperties>
</file>