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08105" w14:textId="17CF7B44" w:rsidR="002C093C" w:rsidRPr="002C093C" w:rsidRDefault="002C093C">
      <w:pPr>
        <w:rPr>
          <w:rFonts w:ascii="Times New Roman" w:hAnsi="Times New Roman" w:cs="Times New Roman"/>
          <w:b/>
          <w:bCs/>
        </w:rPr>
      </w:pPr>
      <w:r w:rsidRPr="002C093C">
        <w:rPr>
          <w:rFonts w:ascii="Times New Roman" w:hAnsi="Times New Roman" w:cs="Times New Roman"/>
          <w:b/>
          <w:bCs/>
        </w:rPr>
        <w:t>The Attorney-General</w:t>
      </w:r>
    </w:p>
    <w:p w14:paraId="19DFD3B0" w14:textId="33BB0F3D" w:rsidR="002C093C" w:rsidRPr="002C093C" w:rsidRDefault="002C093C" w:rsidP="002C093C">
      <w:pPr>
        <w:rPr>
          <w:rFonts w:ascii="Times New Roman" w:hAnsi="Times New Roman" w:cs="Times New Roman"/>
        </w:rPr>
      </w:pPr>
      <w:r w:rsidRPr="002C093C">
        <w:rPr>
          <w:rFonts w:ascii="Times New Roman" w:hAnsi="Times New Roman" w:cs="Times New Roman"/>
        </w:rPr>
        <w:t>(1) The President shall appoint a person who is qualified to be appointed as a Judge of the Supreme Court to be Attorney-General for Bangladesh.</w:t>
      </w:r>
    </w:p>
    <w:p w14:paraId="2EA1B3D1" w14:textId="538F134E" w:rsidR="002C093C" w:rsidRPr="002C093C" w:rsidRDefault="002C093C" w:rsidP="002C093C">
      <w:pPr>
        <w:rPr>
          <w:rFonts w:ascii="Times New Roman" w:hAnsi="Times New Roman" w:cs="Times New Roman"/>
        </w:rPr>
      </w:pPr>
      <w:r w:rsidRPr="002C093C">
        <w:rPr>
          <w:rFonts w:ascii="Times New Roman" w:hAnsi="Times New Roman" w:cs="Times New Roman"/>
        </w:rPr>
        <w:t>(2) The Attorney-General shall perform such duties as may be assigned to him by the President. </w:t>
      </w:r>
    </w:p>
    <w:p w14:paraId="3BFFF9D9" w14:textId="43E06300" w:rsidR="002C093C" w:rsidRPr="002C093C" w:rsidRDefault="002C093C" w:rsidP="002C093C">
      <w:pPr>
        <w:rPr>
          <w:rFonts w:ascii="Times New Roman" w:hAnsi="Times New Roman" w:cs="Times New Roman"/>
        </w:rPr>
      </w:pPr>
      <w:r w:rsidRPr="002C093C">
        <w:rPr>
          <w:rFonts w:ascii="Times New Roman" w:hAnsi="Times New Roman" w:cs="Times New Roman"/>
        </w:rPr>
        <w:t>(3) In the performance of his duties, the Attorney-General shall have the right of audience in all courts of Bangladesh. </w:t>
      </w:r>
    </w:p>
    <w:p w14:paraId="6620C19D" w14:textId="77777777" w:rsidR="002C093C" w:rsidRPr="002C093C" w:rsidRDefault="002C093C" w:rsidP="002C093C">
      <w:pPr>
        <w:rPr>
          <w:rFonts w:ascii="Times New Roman" w:hAnsi="Times New Roman" w:cs="Times New Roman"/>
        </w:rPr>
      </w:pPr>
      <w:r w:rsidRPr="002C093C">
        <w:rPr>
          <w:rFonts w:ascii="Times New Roman" w:hAnsi="Times New Roman" w:cs="Times New Roman"/>
        </w:rPr>
        <w:t>(4) The Attorney-General shall hold office during the pleasure of the President, and shall receive such remuneration as the President may determine.</w:t>
      </w:r>
    </w:p>
    <w:p w14:paraId="48655EB8" w14:textId="77777777" w:rsidR="002C093C" w:rsidRPr="002C093C" w:rsidRDefault="002C093C">
      <w:pPr>
        <w:rPr>
          <w:rFonts w:ascii="Times New Roman" w:hAnsi="Times New Roman" w:cs="Times New Roman"/>
        </w:rPr>
      </w:pPr>
    </w:p>
    <w:sectPr w:rsidR="002C093C" w:rsidRPr="002C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3C"/>
    <w:rsid w:val="002C093C"/>
    <w:rsid w:val="004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099F7"/>
  <w15:chartTrackingRefBased/>
  <w15:docId w15:val="{913A71F1-8705-4301-8DA1-17838AFA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484</Characters>
  <Application>Microsoft Office Word</Application>
  <DocSecurity>0</DocSecurity>
  <Lines>25</Lines>
  <Paragraphs>26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2025-01-23T06:03:00Z</dcterms:created>
  <dcterms:modified xsi:type="dcterms:W3CDTF">2025-01-23T06:05:00Z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d250f3a8-25f2-489c-94a4-2562be87e752</vt:lpwstr>
  </property>
</Properties>
</file>