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82D1C" w14:textId="4841176C" w:rsidR="0052244A" w:rsidRPr="0052244A" w:rsidRDefault="0052244A">
      <w:pPr>
        <w:rPr>
          <w:rFonts w:ascii="Times New Roman" w:hAnsi="Times New Roman" w:cs="Times New Roman"/>
          <w:b/>
          <w:bCs/>
        </w:rPr>
      </w:pPr>
      <w:r w:rsidRPr="0052244A">
        <w:rPr>
          <w:rFonts w:ascii="Times New Roman" w:hAnsi="Times New Roman" w:cs="Times New Roman"/>
          <w:b/>
          <w:bCs/>
        </w:rPr>
        <w:t>Qualifications and disqualifications for election to Parliament</w:t>
      </w:r>
    </w:p>
    <w:p w14:paraId="59A96254" w14:textId="3F70A5AE" w:rsidR="0052244A" w:rsidRPr="0052244A" w:rsidRDefault="0052244A" w:rsidP="0052244A">
      <w:pPr>
        <w:rPr>
          <w:rFonts w:ascii="Times New Roman" w:hAnsi="Times New Roman" w:cs="Times New Roman"/>
        </w:rPr>
      </w:pPr>
      <w:r w:rsidRPr="0052244A">
        <w:rPr>
          <w:rFonts w:ascii="Times New Roman" w:hAnsi="Times New Roman" w:cs="Times New Roman"/>
        </w:rPr>
        <w:t>(1) A person shall subject to the provisions of clause (2), be qualified to be elected as, and to be, a member of Parliament if he is a citizen of Bangladesh and has attained the age of twenty-five years.</w:t>
      </w:r>
    </w:p>
    <w:p w14:paraId="5BFA8040" w14:textId="0B581A6A" w:rsidR="0052244A" w:rsidRPr="0052244A" w:rsidRDefault="0052244A" w:rsidP="0052244A">
      <w:pPr>
        <w:rPr>
          <w:rFonts w:ascii="Times New Roman" w:hAnsi="Times New Roman" w:cs="Times New Roman"/>
        </w:rPr>
      </w:pPr>
      <w:r w:rsidRPr="0052244A">
        <w:rPr>
          <w:rFonts w:ascii="Times New Roman" w:hAnsi="Times New Roman" w:cs="Times New Roman"/>
        </w:rPr>
        <w:t>(2) A person shall be disqualified for election as, or for being, a member of Parliament who – </w:t>
      </w:r>
    </w:p>
    <w:p w14:paraId="24B3B243" w14:textId="159652EE" w:rsidR="0052244A" w:rsidRPr="0052244A" w:rsidRDefault="0052244A" w:rsidP="0052244A">
      <w:pPr>
        <w:rPr>
          <w:rFonts w:ascii="Times New Roman" w:hAnsi="Times New Roman" w:cs="Times New Roman"/>
        </w:rPr>
      </w:pPr>
      <w:r w:rsidRPr="0052244A">
        <w:rPr>
          <w:rFonts w:ascii="Times New Roman" w:hAnsi="Times New Roman" w:cs="Times New Roman"/>
        </w:rPr>
        <w:t>(a) is declared by a competent court to be of unsound mind;</w:t>
      </w:r>
    </w:p>
    <w:p w14:paraId="55080CC9" w14:textId="76E58560" w:rsidR="0052244A" w:rsidRPr="0052244A" w:rsidRDefault="0052244A" w:rsidP="0052244A">
      <w:pPr>
        <w:rPr>
          <w:rFonts w:ascii="Times New Roman" w:hAnsi="Times New Roman" w:cs="Times New Roman"/>
        </w:rPr>
      </w:pPr>
      <w:r w:rsidRPr="0052244A">
        <w:rPr>
          <w:rFonts w:ascii="Times New Roman" w:hAnsi="Times New Roman" w:cs="Times New Roman"/>
        </w:rPr>
        <w:t>(b) is an undischarged insolvent;</w:t>
      </w:r>
    </w:p>
    <w:p w14:paraId="30DF595B" w14:textId="77777777" w:rsidR="0052244A" w:rsidRPr="0052244A" w:rsidRDefault="0052244A" w:rsidP="0052244A">
      <w:pPr>
        <w:rPr>
          <w:rFonts w:ascii="Times New Roman" w:hAnsi="Times New Roman" w:cs="Times New Roman"/>
        </w:rPr>
      </w:pPr>
      <w:r w:rsidRPr="0052244A">
        <w:rPr>
          <w:rFonts w:ascii="Times New Roman" w:hAnsi="Times New Roman" w:cs="Times New Roman"/>
        </w:rPr>
        <w:t>(c) acquires the citizenship of, or affirms or acknowledges allegiance to, a foreign state;</w:t>
      </w:r>
    </w:p>
    <w:p w14:paraId="65CE4B4B" w14:textId="2BA5E8D6" w:rsidR="0052244A" w:rsidRPr="0052244A" w:rsidRDefault="0052244A" w:rsidP="0052244A">
      <w:pPr>
        <w:rPr>
          <w:rFonts w:ascii="Times New Roman" w:hAnsi="Times New Roman" w:cs="Times New Roman"/>
        </w:rPr>
      </w:pPr>
      <w:r w:rsidRPr="0052244A">
        <w:rPr>
          <w:rFonts w:ascii="Times New Roman" w:hAnsi="Times New Roman" w:cs="Times New Roman"/>
        </w:rPr>
        <w:t>(d) has been, on conviction for a criminal offence involving moral turpitude, sentenced to imprisonment for a term of not less than two years, unless a period of five years has elapsed since his release; </w:t>
      </w:r>
      <w:hyperlink r:id="rId5" w:history="1">
        <w:r w:rsidRPr="0052244A">
          <w:rPr>
            <w:rStyle w:val="Hyperlink"/>
            <w:rFonts w:ascii="Times New Roman" w:hAnsi="Times New Roman" w:cs="Times New Roman"/>
            <w:vertAlign w:val="superscript"/>
          </w:rPr>
          <w:t>1</w:t>
        </w:r>
      </w:hyperlink>
      <w:r w:rsidRPr="0052244A">
        <w:rPr>
          <w:rFonts w:ascii="Times New Roman" w:hAnsi="Times New Roman" w:cs="Times New Roman"/>
        </w:rPr>
        <w:t>[* * *]</w:t>
      </w:r>
    </w:p>
    <w:p w14:paraId="362B600D" w14:textId="77777777" w:rsidR="0052244A" w:rsidRPr="0052244A" w:rsidRDefault="0052244A" w:rsidP="0052244A">
      <w:pPr>
        <w:rPr>
          <w:rFonts w:ascii="Times New Roman" w:hAnsi="Times New Roman" w:cs="Times New Roman"/>
        </w:rPr>
      </w:pPr>
      <w:hyperlink r:id="rId6" w:history="1">
        <w:r w:rsidRPr="0052244A">
          <w:rPr>
            <w:rStyle w:val="Hyperlink"/>
            <w:rFonts w:ascii="Times New Roman" w:hAnsi="Times New Roman" w:cs="Times New Roman"/>
            <w:vertAlign w:val="superscript"/>
          </w:rPr>
          <w:t>2</w:t>
        </w:r>
      </w:hyperlink>
      <w:r w:rsidRPr="0052244A">
        <w:rPr>
          <w:rFonts w:ascii="Times New Roman" w:hAnsi="Times New Roman" w:cs="Times New Roman"/>
        </w:rPr>
        <w:t>[(e) has been convicted of any offence under the </w:t>
      </w:r>
      <w:hyperlink r:id="rId7" w:tooltip="Bangladesh Collaborators (Special Tribunals) Order, 1972" w:history="1">
        <w:r w:rsidRPr="0052244A">
          <w:rPr>
            <w:rStyle w:val="Hyperlink"/>
            <w:rFonts w:ascii="Times New Roman" w:hAnsi="Times New Roman" w:cs="Times New Roman"/>
          </w:rPr>
          <w:t>Bangladesh Collaborators (Special Tribunals) Order, 1972</w:t>
        </w:r>
      </w:hyperlink>
      <w:r w:rsidRPr="0052244A">
        <w:rPr>
          <w:rFonts w:ascii="Times New Roman" w:hAnsi="Times New Roman" w:cs="Times New Roman"/>
        </w:rPr>
        <w:t> ;</w:t>
      </w:r>
    </w:p>
    <w:p w14:paraId="45467A59" w14:textId="77777777" w:rsidR="0052244A" w:rsidRPr="0052244A" w:rsidRDefault="0052244A" w:rsidP="0052244A">
      <w:pPr>
        <w:rPr>
          <w:rFonts w:ascii="Times New Roman" w:hAnsi="Times New Roman" w:cs="Times New Roman"/>
        </w:rPr>
      </w:pPr>
      <w:r w:rsidRPr="0052244A">
        <w:rPr>
          <w:rFonts w:ascii="Times New Roman" w:hAnsi="Times New Roman" w:cs="Times New Roman"/>
        </w:rPr>
        <w:t xml:space="preserve"> (f) holds any office of profit in the service of the Republic other than an office which is declared by law not to be disqualified its </w:t>
      </w:r>
      <w:proofErr w:type="gramStart"/>
      <w:r w:rsidRPr="0052244A">
        <w:rPr>
          <w:rFonts w:ascii="Times New Roman" w:hAnsi="Times New Roman" w:cs="Times New Roman"/>
        </w:rPr>
        <w:t>holder ;</w:t>
      </w:r>
      <w:proofErr w:type="gramEnd"/>
      <w:r w:rsidRPr="0052244A">
        <w:rPr>
          <w:rFonts w:ascii="Times New Roman" w:hAnsi="Times New Roman" w:cs="Times New Roman"/>
        </w:rPr>
        <w:t xml:space="preserve"> or]</w:t>
      </w:r>
    </w:p>
    <w:p w14:paraId="7C8AA51B" w14:textId="78AAF16E" w:rsidR="0052244A" w:rsidRPr="0052244A" w:rsidRDefault="0052244A" w:rsidP="0052244A">
      <w:pPr>
        <w:rPr>
          <w:rFonts w:ascii="Times New Roman" w:hAnsi="Times New Roman" w:cs="Times New Roman"/>
        </w:rPr>
      </w:pPr>
      <w:r w:rsidRPr="0052244A">
        <w:rPr>
          <w:rFonts w:ascii="Times New Roman" w:hAnsi="Times New Roman" w:cs="Times New Roman"/>
        </w:rPr>
        <w:t>(g) is disqualified for such election by or under any law.</w:t>
      </w:r>
    </w:p>
    <w:p w14:paraId="364BDE14" w14:textId="50FCEF50" w:rsidR="0052244A" w:rsidRPr="0052244A" w:rsidRDefault="0052244A" w:rsidP="0052244A">
      <w:pPr>
        <w:rPr>
          <w:rFonts w:ascii="Times New Roman" w:hAnsi="Times New Roman" w:cs="Times New Roman"/>
        </w:rPr>
      </w:pPr>
      <w:hyperlink r:id="rId8" w:history="1">
        <w:r w:rsidRPr="0052244A">
          <w:rPr>
            <w:rStyle w:val="Hyperlink"/>
            <w:rFonts w:ascii="Times New Roman" w:hAnsi="Times New Roman" w:cs="Times New Roman"/>
            <w:vertAlign w:val="superscript"/>
          </w:rPr>
          <w:t>3</w:t>
        </w:r>
      </w:hyperlink>
      <w:r w:rsidRPr="0052244A">
        <w:rPr>
          <w:rFonts w:ascii="Times New Roman" w:hAnsi="Times New Roman" w:cs="Times New Roman"/>
        </w:rPr>
        <w:t>[(2A) Notwithstanding anything contained in sub-clause (c) of clause (2) of this article, if any person being a citizen of Bangladesh by birth acquires the citizenship of a foreign State and thereafter such person- </w:t>
      </w:r>
    </w:p>
    <w:p w14:paraId="4FAF1217" w14:textId="77777777" w:rsidR="0052244A" w:rsidRPr="0052244A" w:rsidRDefault="0052244A" w:rsidP="0052244A">
      <w:pPr>
        <w:rPr>
          <w:rFonts w:ascii="Times New Roman" w:hAnsi="Times New Roman" w:cs="Times New Roman"/>
        </w:rPr>
      </w:pPr>
      <w:r w:rsidRPr="0052244A">
        <w:rPr>
          <w:rFonts w:ascii="Times New Roman" w:hAnsi="Times New Roman" w:cs="Times New Roman"/>
        </w:rPr>
        <w:t>(</w:t>
      </w:r>
      <w:proofErr w:type="spellStart"/>
      <w:r w:rsidRPr="0052244A">
        <w:rPr>
          <w:rFonts w:ascii="Times New Roman" w:hAnsi="Times New Roman" w:cs="Times New Roman"/>
        </w:rPr>
        <w:t>i</w:t>
      </w:r>
      <w:proofErr w:type="spellEnd"/>
      <w:r w:rsidRPr="0052244A">
        <w:rPr>
          <w:rFonts w:ascii="Times New Roman" w:hAnsi="Times New Roman" w:cs="Times New Roman"/>
        </w:rPr>
        <w:t xml:space="preserve">) in the case of dual citizenship, gives up the foreign </w:t>
      </w:r>
      <w:proofErr w:type="gramStart"/>
      <w:r w:rsidRPr="0052244A">
        <w:rPr>
          <w:rFonts w:ascii="Times New Roman" w:hAnsi="Times New Roman" w:cs="Times New Roman"/>
        </w:rPr>
        <w:t>citizenship ;</w:t>
      </w:r>
      <w:proofErr w:type="gramEnd"/>
      <w:r w:rsidRPr="0052244A">
        <w:rPr>
          <w:rFonts w:ascii="Times New Roman" w:hAnsi="Times New Roman" w:cs="Times New Roman"/>
        </w:rPr>
        <w:t xml:space="preserve"> or </w:t>
      </w:r>
    </w:p>
    <w:p w14:paraId="1D39B86C" w14:textId="4B7D441A" w:rsidR="0052244A" w:rsidRPr="0052244A" w:rsidRDefault="0052244A" w:rsidP="0052244A">
      <w:pPr>
        <w:rPr>
          <w:rFonts w:ascii="Times New Roman" w:hAnsi="Times New Roman" w:cs="Times New Roman"/>
        </w:rPr>
      </w:pPr>
      <w:r w:rsidRPr="0052244A">
        <w:rPr>
          <w:rFonts w:ascii="Times New Roman" w:hAnsi="Times New Roman" w:cs="Times New Roman"/>
        </w:rPr>
        <w:t>(ii) in other cases, again accepts the citizenship of Bangladesh- </w:t>
      </w:r>
    </w:p>
    <w:p w14:paraId="01CAF30D" w14:textId="39E7EF22" w:rsidR="0052244A" w:rsidRPr="0052244A" w:rsidRDefault="0052244A" w:rsidP="0052244A">
      <w:pPr>
        <w:rPr>
          <w:rFonts w:ascii="Times New Roman" w:hAnsi="Times New Roman" w:cs="Times New Roman"/>
        </w:rPr>
      </w:pPr>
      <w:r w:rsidRPr="0052244A">
        <w:rPr>
          <w:rFonts w:ascii="Times New Roman" w:hAnsi="Times New Roman" w:cs="Times New Roman"/>
        </w:rPr>
        <w:t>for the purposes of this article, he shall not be deemed to acquire the citizenship of a foreign State.]</w:t>
      </w:r>
    </w:p>
    <w:p w14:paraId="2AEF838A" w14:textId="72D19988" w:rsidR="0052244A" w:rsidRPr="0052244A" w:rsidRDefault="0052244A" w:rsidP="0052244A">
      <w:pPr>
        <w:rPr>
          <w:rFonts w:ascii="Times New Roman" w:hAnsi="Times New Roman" w:cs="Times New Roman"/>
        </w:rPr>
      </w:pPr>
      <w:hyperlink r:id="rId9" w:history="1">
        <w:r w:rsidRPr="0052244A">
          <w:rPr>
            <w:rStyle w:val="Hyperlink"/>
            <w:rFonts w:ascii="Times New Roman" w:hAnsi="Times New Roman" w:cs="Times New Roman"/>
            <w:vertAlign w:val="superscript"/>
          </w:rPr>
          <w:t>4</w:t>
        </w:r>
      </w:hyperlink>
      <w:r w:rsidRPr="0052244A">
        <w:rPr>
          <w:rFonts w:ascii="Times New Roman" w:hAnsi="Times New Roman" w:cs="Times New Roman"/>
        </w:rPr>
        <w:t>[(3) For the purposes of this article, a person shall not be deemed to hold an office of profit in the service of the Republic by reason only that he is the President, the Prime Minister, the Speaker, the Deputy Speaker, a Minister, Minister of State or Deputy Minister.]</w:t>
      </w:r>
    </w:p>
    <w:p w14:paraId="6B5CFB9F" w14:textId="03F97A34" w:rsidR="0052244A" w:rsidRPr="0052244A" w:rsidRDefault="0052244A" w:rsidP="0052244A">
      <w:pPr>
        <w:rPr>
          <w:rFonts w:ascii="Times New Roman" w:hAnsi="Times New Roman" w:cs="Times New Roman"/>
        </w:rPr>
      </w:pPr>
      <w:r w:rsidRPr="0052244A">
        <w:rPr>
          <w:rFonts w:ascii="Times New Roman" w:hAnsi="Times New Roman" w:cs="Times New Roman"/>
        </w:rPr>
        <w:t>(4) If any dispute arises as to whether a member of Parliament has, after his election, become subject to any of the disqualifications mentioned in clause (2) or as to whether a member of Parliament should vacate his seat pursuant to article 70, the dispute shall be referred to the Election Commission to hear and determine it and the decision of the Commission on such reference shall be final.</w:t>
      </w:r>
    </w:p>
    <w:p w14:paraId="692DFFD1" w14:textId="77777777" w:rsidR="0052244A" w:rsidRPr="0052244A" w:rsidRDefault="0052244A" w:rsidP="0052244A">
      <w:pPr>
        <w:rPr>
          <w:rFonts w:ascii="Times New Roman" w:hAnsi="Times New Roman" w:cs="Times New Roman"/>
        </w:rPr>
      </w:pPr>
      <w:r w:rsidRPr="0052244A">
        <w:rPr>
          <w:rFonts w:ascii="Times New Roman" w:hAnsi="Times New Roman" w:cs="Times New Roman"/>
        </w:rPr>
        <w:t> </w:t>
      </w:r>
    </w:p>
    <w:p w14:paraId="60D89672" w14:textId="24BBD4E9" w:rsidR="0052244A" w:rsidRPr="0052244A" w:rsidRDefault="0052244A" w:rsidP="0052244A">
      <w:pPr>
        <w:rPr>
          <w:rFonts w:ascii="Times New Roman" w:hAnsi="Times New Roman" w:cs="Times New Roman"/>
        </w:rPr>
      </w:pPr>
      <w:r w:rsidRPr="0052244A">
        <w:rPr>
          <w:rFonts w:ascii="Times New Roman" w:hAnsi="Times New Roman" w:cs="Times New Roman"/>
        </w:rPr>
        <w:lastRenderedPageBreak/>
        <w:t>(5) Parliament may, by law, make such provision as it deems necessary for empowering the Election Commission to give full effect to the provisions of clause (4).</w:t>
      </w:r>
    </w:p>
    <w:p w14:paraId="421188E7" w14:textId="77777777" w:rsidR="0052244A" w:rsidRDefault="0052244A">
      <w:pPr>
        <w:rPr>
          <w:rFonts w:ascii="Times New Roman" w:hAnsi="Times New Roman" w:cs="Times New Roman"/>
        </w:rPr>
      </w:pPr>
    </w:p>
    <w:p w14:paraId="2B4697C1" w14:textId="77777777" w:rsidR="005A2524" w:rsidRPr="0052244A" w:rsidRDefault="005A2524">
      <w:pPr>
        <w:rPr>
          <w:rFonts w:ascii="Times New Roman" w:hAnsi="Times New Roman" w:cs="Times New Roman"/>
        </w:rPr>
      </w:pPr>
    </w:p>
    <w:p w14:paraId="755B116B" w14:textId="710759EB" w:rsidR="0052244A" w:rsidRPr="0052244A" w:rsidRDefault="0052244A">
      <w:pPr>
        <w:rPr>
          <w:rFonts w:ascii="Times New Roman" w:hAnsi="Times New Roman" w:cs="Times New Roman"/>
        </w:rPr>
      </w:pPr>
      <w:r w:rsidRPr="0052244A">
        <w:rPr>
          <w:rFonts w:ascii="Times New Roman" w:hAnsi="Times New Roman" w:cs="Times New Roman"/>
        </w:rPr>
        <w:drawing>
          <wp:inline distT="0" distB="0" distL="0" distR="0" wp14:anchorId="23E46962" wp14:editId="0AFEEA98">
            <wp:extent cx="5943600" cy="2103120"/>
            <wp:effectExtent l="0" t="0" r="0" b="0"/>
            <wp:docPr id="27541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sectPr w:rsidR="0052244A" w:rsidRPr="00522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53D69"/>
    <w:multiLevelType w:val="multilevel"/>
    <w:tmpl w:val="4A60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858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4A"/>
    <w:rsid w:val="00414E35"/>
    <w:rsid w:val="0052244A"/>
    <w:rsid w:val="005A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0F50D"/>
  <w15:chartTrackingRefBased/>
  <w15:docId w15:val="{6C938FF9-9D28-4BD6-AD7D-0CA57A74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4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24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24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24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24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24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4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4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4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4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24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24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24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24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24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4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4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44A"/>
    <w:rPr>
      <w:rFonts w:eastAsiaTheme="majorEastAsia" w:cstheme="majorBidi"/>
      <w:color w:val="272727" w:themeColor="text1" w:themeTint="D8"/>
    </w:rPr>
  </w:style>
  <w:style w:type="paragraph" w:styleId="Title">
    <w:name w:val="Title"/>
    <w:basedOn w:val="Normal"/>
    <w:next w:val="Normal"/>
    <w:link w:val="TitleChar"/>
    <w:uiPriority w:val="10"/>
    <w:qFormat/>
    <w:rsid w:val="00522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44A"/>
    <w:pPr>
      <w:spacing w:before="160"/>
      <w:jc w:val="center"/>
    </w:pPr>
    <w:rPr>
      <w:i/>
      <w:iCs/>
      <w:color w:val="404040" w:themeColor="text1" w:themeTint="BF"/>
    </w:rPr>
  </w:style>
  <w:style w:type="character" w:customStyle="1" w:styleId="QuoteChar">
    <w:name w:val="Quote Char"/>
    <w:basedOn w:val="DefaultParagraphFont"/>
    <w:link w:val="Quote"/>
    <w:uiPriority w:val="29"/>
    <w:rsid w:val="0052244A"/>
    <w:rPr>
      <w:i/>
      <w:iCs/>
      <w:color w:val="404040" w:themeColor="text1" w:themeTint="BF"/>
    </w:rPr>
  </w:style>
  <w:style w:type="paragraph" w:styleId="ListParagraph">
    <w:name w:val="List Paragraph"/>
    <w:basedOn w:val="Normal"/>
    <w:uiPriority w:val="34"/>
    <w:qFormat/>
    <w:rsid w:val="0052244A"/>
    <w:pPr>
      <w:ind w:left="720"/>
      <w:contextualSpacing/>
    </w:pPr>
  </w:style>
  <w:style w:type="character" w:styleId="IntenseEmphasis">
    <w:name w:val="Intense Emphasis"/>
    <w:basedOn w:val="DefaultParagraphFont"/>
    <w:uiPriority w:val="21"/>
    <w:qFormat/>
    <w:rsid w:val="0052244A"/>
    <w:rPr>
      <w:i/>
      <w:iCs/>
      <w:color w:val="2F5496" w:themeColor="accent1" w:themeShade="BF"/>
    </w:rPr>
  </w:style>
  <w:style w:type="paragraph" w:styleId="IntenseQuote">
    <w:name w:val="Intense Quote"/>
    <w:basedOn w:val="Normal"/>
    <w:next w:val="Normal"/>
    <w:link w:val="IntenseQuoteChar"/>
    <w:uiPriority w:val="30"/>
    <w:qFormat/>
    <w:rsid w:val="005224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244A"/>
    <w:rPr>
      <w:i/>
      <w:iCs/>
      <w:color w:val="2F5496" w:themeColor="accent1" w:themeShade="BF"/>
    </w:rPr>
  </w:style>
  <w:style w:type="character" w:styleId="IntenseReference">
    <w:name w:val="Intense Reference"/>
    <w:basedOn w:val="DefaultParagraphFont"/>
    <w:uiPriority w:val="32"/>
    <w:qFormat/>
    <w:rsid w:val="0052244A"/>
    <w:rPr>
      <w:b/>
      <w:bCs/>
      <w:smallCaps/>
      <w:color w:val="2F5496" w:themeColor="accent1" w:themeShade="BF"/>
      <w:spacing w:val="5"/>
    </w:rPr>
  </w:style>
  <w:style w:type="character" w:styleId="Hyperlink">
    <w:name w:val="Hyperlink"/>
    <w:basedOn w:val="DefaultParagraphFont"/>
    <w:uiPriority w:val="99"/>
    <w:unhideWhenUsed/>
    <w:rsid w:val="0052244A"/>
    <w:rPr>
      <w:color w:val="0563C1" w:themeColor="hyperlink"/>
      <w:u w:val="single"/>
    </w:rPr>
  </w:style>
  <w:style w:type="character" w:styleId="UnresolvedMention">
    <w:name w:val="Unresolved Mention"/>
    <w:basedOn w:val="DefaultParagraphFont"/>
    <w:uiPriority w:val="99"/>
    <w:semiHidden/>
    <w:unhideWhenUsed/>
    <w:rsid w:val="00522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645480">
      <w:bodyDiv w:val="1"/>
      <w:marLeft w:val="0"/>
      <w:marRight w:val="0"/>
      <w:marTop w:val="0"/>
      <w:marBottom w:val="0"/>
      <w:divBdr>
        <w:top w:val="none" w:sz="0" w:space="0" w:color="auto"/>
        <w:left w:val="none" w:sz="0" w:space="0" w:color="auto"/>
        <w:bottom w:val="none" w:sz="0" w:space="0" w:color="auto"/>
        <w:right w:val="none" w:sz="0" w:space="0" w:color="auto"/>
      </w:divBdr>
    </w:div>
    <w:div w:id="1047027650">
      <w:bodyDiv w:val="1"/>
      <w:marLeft w:val="0"/>
      <w:marRight w:val="0"/>
      <w:marTop w:val="0"/>
      <w:marBottom w:val="0"/>
      <w:divBdr>
        <w:top w:val="none" w:sz="0" w:space="0" w:color="auto"/>
        <w:left w:val="none" w:sz="0" w:space="0" w:color="auto"/>
        <w:bottom w:val="none" w:sz="0" w:space="0" w:color="auto"/>
        <w:right w:val="none" w:sz="0" w:space="0" w:color="auto"/>
      </w:divBdr>
    </w:div>
    <w:div w:id="1796944666">
      <w:bodyDiv w:val="1"/>
      <w:marLeft w:val="0"/>
      <w:marRight w:val="0"/>
      <w:marTop w:val="0"/>
      <w:marBottom w:val="0"/>
      <w:divBdr>
        <w:top w:val="none" w:sz="0" w:space="0" w:color="auto"/>
        <w:left w:val="none" w:sz="0" w:space="0" w:color="auto"/>
        <w:bottom w:val="none" w:sz="0" w:space="0" w:color="auto"/>
        <w:right w:val="none" w:sz="0" w:space="0" w:color="auto"/>
      </w:divBdr>
    </w:div>
    <w:div w:id="182245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dlaws.minlaw.gov.bd/act-367/3" TargetMode="External"/><Relationship Id="rId3" Type="http://schemas.openxmlformats.org/officeDocument/2006/relationships/settings" Target="settings.xml"/><Relationship Id="rId7" Type="http://schemas.openxmlformats.org/officeDocument/2006/relationships/hyperlink" Target="http://bdlaws.minlaw.gov.bd/act-1310.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dlaws.minlaw.gov.bd/act-367/2" TargetMode="External"/><Relationship Id="rId11" Type="http://schemas.openxmlformats.org/officeDocument/2006/relationships/fontTable" Target="fontTable.xml"/><Relationship Id="rId5" Type="http://schemas.openxmlformats.org/officeDocument/2006/relationships/hyperlink" Target="http://bdlaws.minlaw.gov.bd/act-367/1"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bdlaws.minlaw.gov.bd/act-3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469</Words>
  <Characters>2246</Characters>
  <Application>Microsoft Office Word</Application>
  <DocSecurity>0</DocSecurity>
  <Lines>41</Lines>
  <Paragraphs>23</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2</cp:revision>
  <dcterms:created xsi:type="dcterms:W3CDTF">2025-01-23T06:11:00Z</dcterms:created>
  <dcterms:modified xsi:type="dcterms:W3CDTF">2025-01-23T06:18:00Z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4a7307b8-d493-4a4f-b9e3-1a635ecf2cb8</vt:lpwstr>
  </property>
</Properties>
</file>