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ACD38" w14:textId="03D12080" w:rsidR="00425B32" w:rsidRPr="008326C9" w:rsidRDefault="00425B32">
      <w:pPr>
        <w:rPr>
          <w:rFonts w:ascii="Times New Roman" w:hAnsi="Times New Roman" w:cs="Times New Roman"/>
          <w:b/>
          <w:bCs/>
        </w:rPr>
      </w:pPr>
      <w:r w:rsidRPr="008326C9">
        <w:rPr>
          <w:rFonts w:ascii="Times New Roman" w:hAnsi="Times New Roman" w:cs="Times New Roman"/>
          <w:b/>
          <w:bCs/>
        </w:rPr>
        <w:t>Charges on Consolidated Fund</w:t>
      </w:r>
    </w:p>
    <w:p w14:paraId="50D926D0" w14:textId="431C2E2F" w:rsidR="00425B32" w:rsidRPr="00425B32" w:rsidRDefault="00425B32" w:rsidP="00425B32">
      <w:pPr>
        <w:rPr>
          <w:rFonts w:ascii="Times New Roman" w:hAnsi="Times New Roman" w:cs="Times New Roman"/>
        </w:rPr>
      </w:pPr>
      <w:r w:rsidRPr="00425B32">
        <w:rPr>
          <w:rFonts w:ascii="Times New Roman" w:hAnsi="Times New Roman" w:cs="Times New Roman"/>
        </w:rPr>
        <w:t>The following expenditure shall be charged upon the Consolidated Fund –</w:t>
      </w:r>
    </w:p>
    <w:p w14:paraId="2112C9B1" w14:textId="2F67E2A4" w:rsidR="00425B32" w:rsidRPr="00425B32" w:rsidRDefault="00425B32" w:rsidP="00425B32">
      <w:pPr>
        <w:rPr>
          <w:rFonts w:ascii="Times New Roman" w:hAnsi="Times New Roman" w:cs="Times New Roman"/>
        </w:rPr>
      </w:pPr>
      <w:r w:rsidRPr="00425B32">
        <w:rPr>
          <w:rFonts w:ascii="Times New Roman" w:hAnsi="Times New Roman" w:cs="Times New Roman"/>
        </w:rPr>
        <w:t>(a) the remuneration payable to the President and other expenditure relating to his office;</w:t>
      </w:r>
    </w:p>
    <w:p w14:paraId="590BF269" w14:textId="2B80F610" w:rsidR="00425B32" w:rsidRPr="00425B32" w:rsidRDefault="00425B32" w:rsidP="00425B32">
      <w:pPr>
        <w:rPr>
          <w:rFonts w:ascii="Times New Roman" w:hAnsi="Times New Roman" w:cs="Times New Roman"/>
        </w:rPr>
      </w:pPr>
      <w:hyperlink r:id="rId4" w:history="1">
        <w:r w:rsidRPr="00425B32">
          <w:rPr>
            <w:rStyle w:val="Hyperlink"/>
            <w:rFonts w:ascii="Times New Roman" w:hAnsi="Times New Roman" w:cs="Times New Roman"/>
            <w:vertAlign w:val="superscript"/>
          </w:rPr>
          <w:t>1</w:t>
        </w:r>
      </w:hyperlink>
      <w:r w:rsidRPr="00425B32">
        <w:rPr>
          <w:rFonts w:ascii="Times New Roman" w:hAnsi="Times New Roman" w:cs="Times New Roman"/>
        </w:rPr>
        <w:t>[* * *]</w:t>
      </w:r>
    </w:p>
    <w:p w14:paraId="1C8B9271" w14:textId="6693B656" w:rsidR="00425B32" w:rsidRPr="00425B32" w:rsidRDefault="00425B32" w:rsidP="00425B32">
      <w:pPr>
        <w:rPr>
          <w:rFonts w:ascii="Times New Roman" w:hAnsi="Times New Roman" w:cs="Times New Roman"/>
        </w:rPr>
      </w:pPr>
      <w:r w:rsidRPr="00425B32">
        <w:rPr>
          <w:rFonts w:ascii="Times New Roman" w:hAnsi="Times New Roman" w:cs="Times New Roman"/>
        </w:rPr>
        <w:t>(b) the remuneration payable to – </w:t>
      </w:r>
    </w:p>
    <w:p w14:paraId="5B91B6FB" w14:textId="7C08D10A" w:rsidR="00425B32" w:rsidRPr="00425B32" w:rsidRDefault="00425B32" w:rsidP="00425B32">
      <w:pPr>
        <w:rPr>
          <w:rFonts w:ascii="Times New Roman" w:hAnsi="Times New Roman" w:cs="Times New Roman"/>
        </w:rPr>
      </w:pPr>
      <w:r w:rsidRPr="00425B32">
        <w:rPr>
          <w:rFonts w:ascii="Times New Roman" w:hAnsi="Times New Roman" w:cs="Times New Roman"/>
        </w:rPr>
        <w:t>(</w:t>
      </w:r>
      <w:proofErr w:type="spellStart"/>
      <w:r w:rsidRPr="00425B32">
        <w:rPr>
          <w:rFonts w:ascii="Times New Roman" w:hAnsi="Times New Roman" w:cs="Times New Roman"/>
        </w:rPr>
        <w:t>i</w:t>
      </w:r>
      <w:proofErr w:type="spellEnd"/>
      <w:r w:rsidRPr="00425B32">
        <w:rPr>
          <w:rFonts w:ascii="Times New Roman" w:hAnsi="Times New Roman" w:cs="Times New Roman"/>
        </w:rPr>
        <w:t>) the Speaker and Deputy Speaker;</w:t>
      </w:r>
    </w:p>
    <w:p w14:paraId="0AE29807" w14:textId="335933FB" w:rsidR="00425B32" w:rsidRPr="00425B32" w:rsidRDefault="00425B32" w:rsidP="00425B32">
      <w:pPr>
        <w:rPr>
          <w:rFonts w:ascii="Times New Roman" w:hAnsi="Times New Roman" w:cs="Times New Roman"/>
        </w:rPr>
      </w:pPr>
      <w:hyperlink r:id="rId5" w:history="1">
        <w:r w:rsidRPr="00425B32">
          <w:rPr>
            <w:rStyle w:val="Hyperlink"/>
            <w:rFonts w:ascii="Times New Roman" w:hAnsi="Times New Roman" w:cs="Times New Roman"/>
            <w:vertAlign w:val="superscript"/>
          </w:rPr>
          <w:t>2</w:t>
        </w:r>
      </w:hyperlink>
      <w:r w:rsidRPr="00425B32">
        <w:rPr>
          <w:rFonts w:ascii="Times New Roman" w:hAnsi="Times New Roman" w:cs="Times New Roman"/>
        </w:rPr>
        <w:t xml:space="preserve">[(ii) the Judges of the Supreme </w:t>
      </w:r>
      <w:proofErr w:type="gramStart"/>
      <w:r w:rsidRPr="00425B32">
        <w:rPr>
          <w:rFonts w:ascii="Times New Roman" w:hAnsi="Times New Roman" w:cs="Times New Roman"/>
        </w:rPr>
        <w:t>Court ;</w:t>
      </w:r>
      <w:proofErr w:type="gramEnd"/>
      <w:r w:rsidRPr="00425B32">
        <w:rPr>
          <w:rFonts w:ascii="Times New Roman" w:hAnsi="Times New Roman" w:cs="Times New Roman"/>
        </w:rPr>
        <w:t>]</w:t>
      </w:r>
    </w:p>
    <w:p w14:paraId="103BA226" w14:textId="5F0F0858" w:rsidR="00425B32" w:rsidRPr="00425B32" w:rsidRDefault="00425B32" w:rsidP="00425B32">
      <w:pPr>
        <w:rPr>
          <w:rFonts w:ascii="Times New Roman" w:hAnsi="Times New Roman" w:cs="Times New Roman"/>
        </w:rPr>
      </w:pPr>
      <w:r w:rsidRPr="00425B32">
        <w:rPr>
          <w:rFonts w:ascii="Times New Roman" w:hAnsi="Times New Roman" w:cs="Times New Roman"/>
        </w:rPr>
        <w:t>(iii) the Comptroller and Auditor General; </w:t>
      </w:r>
    </w:p>
    <w:p w14:paraId="5590A86E" w14:textId="2FF3ACB9" w:rsidR="00425B32" w:rsidRPr="00425B32" w:rsidRDefault="00425B32" w:rsidP="00425B32">
      <w:pPr>
        <w:rPr>
          <w:rFonts w:ascii="Times New Roman" w:hAnsi="Times New Roman" w:cs="Times New Roman"/>
        </w:rPr>
      </w:pPr>
      <w:r w:rsidRPr="00425B32">
        <w:rPr>
          <w:rFonts w:ascii="Times New Roman" w:hAnsi="Times New Roman" w:cs="Times New Roman"/>
        </w:rPr>
        <w:t>(iv) the Election Commissioners;</w:t>
      </w:r>
    </w:p>
    <w:p w14:paraId="11FA0BDC" w14:textId="6C2BFD98" w:rsidR="00425B32" w:rsidRPr="00425B32" w:rsidRDefault="00425B32" w:rsidP="00425B32">
      <w:pPr>
        <w:rPr>
          <w:rFonts w:ascii="Times New Roman" w:hAnsi="Times New Roman" w:cs="Times New Roman"/>
        </w:rPr>
      </w:pPr>
      <w:r w:rsidRPr="00425B32">
        <w:rPr>
          <w:rFonts w:ascii="Times New Roman" w:hAnsi="Times New Roman" w:cs="Times New Roman"/>
        </w:rPr>
        <w:t>(v) the members of the Public Service Commissions;</w:t>
      </w:r>
    </w:p>
    <w:p w14:paraId="614FD4C1" w14:textId="787E6C5C" w:rsidR="00425B32" w:rsidRPr="00425B32" w:rsidRDefault="00425B32" w:rsidP="00425B32">
      <w:pPr>
        <w:rPr>
          <w:rFonts w:ascii="Times New Roman" w:hAnsi="Times New Roman" w:cs="Times New Roman"/>
        </w:rPr>
      </w:pPr>
      <w:hyperlink r:id="rId6" w:history="1">
        <w:r w:rsidRPr="00425B32">
          <w:rPr>
            <w:rStyle w:val="Hyperlink"/>
            <w:rFonts w:ascii="Times New Roman" w:hAnsi="Times New Roman" w:cs="Times New Roman"/>
            <w:vertAlign w:val="superscript"/>
          </w:rPr>
          <w:t>3</w:t>
        </w:r>
      </w:hyperlink>
      <w:r w:rsidRPr="00425B32">
        <w:rPr>
          <w:rFonts w:ascii="Times New Roman" w:hAnsi="Times New Roman" w:cs="Times New Roman"/>
        </w:rPr>
        <w:t>[(c) the administrative expenses of, including remuneration payable to, officers and servants of Parliament, the Supreme Court, the Comptroller and Auditor General, the Election Commission and the Public Service Commissions.]</w:t>
      </w:r>
    </w:p>
    <w:p w14:paraId="685B270A" w14:textId="15668847" w:rsidR="00425B32" w:rsidRPr="00425B32" w:rsidRDefault="00425B32" w:rsidP="00425B32">
      <w:pPr>
        <w:rPr>
          <w:rFonts w:ascii="Times New Roman" w:hAnsi="Times New Roman" w:cs="Times New Roman"/>
        </w:rPr>
      </w:pPr>
      <w:r w:rsidRPr="00425B32">
        <w:rPr>
          <w:rFonts w:ascii="Times New Roman" w:hAnsi="Times New Roman" w:cs="Times New Roman"/>
        </w:rPr>
        <w:t xml:space="preserve">(d) all debt charges for which the Government is liable, including interest, sinking fund charges, the repayment or </w:t>
      </w:r>
      <w:proofErr w:type="spellStart"/>
      <w:r w:rsidRPr="00425B32">
        <w:rPr>
          <w:rFonts w:ascii="Times New Roman" w:hAnsi="Times New Roman" w:cs="Times New Roman"/>
        </w:rPr>
        <w:t>amortisation</w:t>
      </w:r>
      <w:proofErr w:type="spellEnd"/>
      <w:r w:rsidRPr="00425B32">
        <w:rPr>
          <w:rFonts w:ascii="Times New Roman" w:hAnsi="Times New Roman" w:cs="Times New Roman"/>
        </w:rPr>
        <w:t xml:space="preserve"> of capital, and other expenditure in connection with the raising of loans and the service and redemption of debt;</w:t>
      </w:r>
    </w:p>
    <w:p w14:paraId="34951A3E" w14:textId="68DF7661" w:rsidR="00425B32" w:rsidRPr="00425B32" w:rsidRDefault="00425B32" w:rsidP="00425B32">
      <w:pPr>
        <w:rPr>
          <w:rFonts w:ascii="Times New Roman" w:hAnsi="Times New Roman" w:cs="Times New Roman"/>
        </w:rPr>
      </w:pPr>
      <w:r w:rsidRPr="00425B32">
        <w:rPr>
          <w:rFonts w:ascii="Times New Roman" w:hAnsi="Times New Roman" w:cs="Times New Roman"/>
        </w:rPr>
        <w:t>(e) any sums required to satisfy a judgment, decree or award against the Republic by any court or tribunal; and</w:t>
      </w:r>
    </w:p>
    <w:p w14:paraId="364EB7CA" w14:textId="571C9C6E" w:rsidR="00425B32" w:rsidRPr="008326C9" w:rsidRDefault="00425B32" w:rsidP="00425B32">
      <w:pPr>
        <w:rPr>
          <w:rFonts w:ascii="Times New Roman" w:hAnsi="Times New Roman" w:cs="Times New Roman"/>
        </w:rPr>
      </w:pPr>
      <w:r w:rsidRPr="008326C9">
        <w:rPr>
          <w:rFonts w:ascii="Times New Roman" w:hAnsi="Times New Roman" w:cs="Times New Roman"/>
        </w:rPr>
        <w:t>(f) any other expenditure charged upon the Consolidated Fund by this Constitution or by Act of Parliament.</w:t>
      </w:r>
    </w:p>
    <w:sectPr w:rsidR="00425B32" w:rsidRPr="0083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32"/>
    <w:rsid w:val="00093829"/>
    <w:rsid w:val="00425B32"/>
    <w:rsid w:val="0083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F8954"/>
  <w15:chartTrackingRefBased/>
  <w15:docId w15:val="{FCA1D219-4867-45D5-9F60-58F3D52E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B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5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6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dlaws.minlaw.gov.bd/act-367/3" TargetMode="External"/><Relationship Id="rId5" Type="http://schemas.openxmlformats.org/officeDocument/2006/relationships/hyperlink" Target="http://bdlaws.minlaw.gov.bd/act-367/2" TargetMode="External"/><Relationship Id="rId4" Type="http://schemas.openxmlformats.org/officeDocument/2006/relationships/hyperlink" Target="http://bdlaws.minlaw.gov.bd/act-367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1093</Characters>
  <Application>Microsoft Office Word</Application>
  <DocSecurity>0</DocSecurity>
  <Lines>23</Lines>
  <Paragraphs>18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2</cp:revision>
  <dcterms:created xsi:type="dcterms:W3CDTF">2025-01-23T07:46:00Z</dcterms:created>
  <dcterms:modified xsi:type="dcterms:W3CDTF">2025-01-23T07:48:00Z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34bb28af-55df-4eeb-802a-5127ecfdad12</vt:lpwstr>
  </property>
</Properties>
</file>