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7A006" w14:textId="77777777" w:rsidR="00946DF5" w:rsidRPr="00946DF5" w:rsidRDefault="00946DF5" w:rsidP="00946DF5">
      <w:pPr>
        <w:rPr>
          <w:rFonts w:ascii="Times New Roman" w:hAnsi="Times New Roman" w:cs="Times New Roman"/>
          <w:b/>
          <w:bCs/>
        </w:rPr>
      </w:pPr>
      <w:r w:rsidRPr="00946DF5">
        <w:rPr>
          <w:rFonts w:ascii="Times New Roman" w:hAnsi="Times New Roman" w:cs="Times New Roman"/>
          <w:b/>
          <w:bCs/>
        </w:rPr>
        <w:t>Jurisdiction of Appellate Division</w:t>
      </w:r>
    </w:p>
    <w:p w14:paraId="392DCB22" w14:textId="441BA0DD" w:rsidR="00946DF5" w:rsidRPr="00946DF5" w:rsidRDefault="00946DF5" w:rsidP="00946DF5">
      <w:pPr>
        <w:rPr>
          <w:rFonts w:ascii="Times New Roman" w:hAnsi="Times New Roman" w:cs="Times New Roman"/>
        </w:rPr>
      </w:pPr>
      <w:r w:rsidRPr="00946DF5">
        <w:rPr>
          <w:rFonts w:ascii="Times New Roman" w:hAnsi="Times New Roman" w:cs="Times New Roman"/>
        </w:rPr>
        <w:t>(1) The Appellate Division shall have jurisdiction to hear and determine appeals from judgments, decrees, orders or sentences of the High Court Division.</w:t>
      </w:r>
    </w:p>
    <w:p w14:paraId="1897ED8A" w14:textId="00D3CB7E" w:rsidR="00946DF5" w:rsidRPr="00946DF5" w:rsidRDefault="00946DF5" w:rsidP="00946DF5">
      <w:pPr>
        <w:rPr>
          <w:rFonts w:ascii="Times New Roman" w:hAnsi="Times New Roman" w:cs="Times New Roman"/>
        </w:rPr>
      </w:pPr>
      <w:r w:rsidRPr="00946DF5">
        <w:rPr>
          <w:rFonts w:ascii="Times New Roman" w:hAnsi="Times New Roman" w:cs="Times New Roman"/>
        </w:rPr>
        <w:t>(2) An appeal to the Appellate Division from a judgment, decree, order or sentence of the High Court Division shall lie as of right where the High Court Division –</w:t>
      </w:r>
    </w:p>
    <w:p w14:paraId="2D0167BA" w14:textId="77777777" w:rsidR="00946DF5" w:rsidRPr="00946DF5" w:rsidRDefault="00946DF5" w:rsidP="00946DF5">
      <w:pPr>
        <w:rPr>
          <w:rFonts w:ascii="Times New Roman" w:hAnsi="Times New Roman" w:cs="Times New Roman"/>
        </w:rPr>
      </w:pPr>
      <w:r w:rsidRPr="00946DF5">
        <w:rPr>
          <w:rFonts w:ascii="Times New Roman" w:hAnsi="Times New Roman" w:cs="Times New Roman"/>
        </w:rPr>
        <w:t xml:space="preserve">(a) certifies that the case involves a substantial question of law as to the interpretation of this </w:t>
      </w:r>
      <w:proofErr w:type="gramStart"/>
      <w:r w:rsidRPr="00946DF5">
        <w:rPr>
          <w:rFonts w:ascii="Times New Roman" w:hAnsi="Times New Roman" w:cs="Times New Roman"/>
        </w:rPr>
        <w:t>Constitution ;</w:t>
      </w:r>
      <w:proofErr w:type="gramEnd"/>
      <w:r w:rsidRPr="00946DF5">
        <w:rPr>
          <w:rFonts w:ascii="Times New Roman" w:hAnsi="Times New Roman" w:cs="Times New Roman"/>
        </w:rPr>
        <w:t xml:space="preserve"> or</w:t>
      </w:r>
    </w:p>
    <w:p w14:paraId="1269DA25" w14:textId="77777777" w:rsidR="00946DF5" w:rsidRPr="00946DF5" w:rsidRDefault="00946DF5" w:rsidP="00946DF5">
      <w:pPr>
        <w:rPr>
          <w:rFonts w:ascii="Times New Roman" w:hAnsi="Times New Roman" w:cs="Times New Roman"/>
        </w:rPr>
      </w:pPr>
      <w:r w:rsidRPr="00946DF5">
        <w:rPr>
          <w:rFonts w:ascii="Times New Roman" w:hAnsi="Times New Roman" w:cs="Times New Roman"/>
        </w:rPr>
        <w:t xml:space="preserve">(b) has confirmed a sentence of death or sentenced a person to death or to imprisonment for </w:t>
      </w:r>
      <w:proofErr w:type="gramStart"/>
      <w:r w:rsidRPr="00946DF5">
        <w:rPr>
          <w:rFonts w:ascii="Times New Roman" w:hAnsi="Times New Roman" w:cs="Times New Roman"/>
        </w:rPr>
        <w:t>life ;</w:t>
      </w:r>
      <w:proofErr w:type="gramEnd"/>
      <w:r w:rsidRPr="00946DF5">
        <w:rPr>
          <w:rFonts w:ascii="Times New Roman" w:hAnsi="Times New Roman" w:cs="Times New Roman"/>
        </w:rPr>
        <w:t xml:space="preserve"> or</w:t>
      </w:r>
    </w:p>
    <w:p w14:paraId="045D1B52" w14:textId="77777777" w:rsidR="00946DF5" w:rsidRPr="00946DF5" w:rsidRDefault="00946DF5" w:rsidP="00946DF5">
      <w:pPr>
        <w:rPr>
          <w:rFonts w:ascii="Times New Roman" w:hAnsi="Times New Roman" w:cs="Times New Roman"/>
        </w:rPr>
      </w:pPr>
      <w:r w:rsidRPr="00946DF5">
        <w:rPr>
          <w:rFonts w:ascii="Times New Roman" w:hAnsi="Times New Roman" w:cs="Times New Roman"/>
        </w:rPr>
        <w:t xml:space="preserve">(c) has imposed punishment on a person for contempt of that </w:t>
      </w:r>
      <w:proofErr w:type="gramStart"/>
      <w:r w:rsidRPr="00946DF5">
        <w:rPr>
          <w:rFonts w:ascii="Times New Roman" w:hAnsi="Times New Roman" w:cs="Times New Roman"/>
        </w:rPr>
        <w:t>division ;</w:t>
      </w:r>
      <w:proofErr w:type="gramEnd"/>
      <w:r w:rsidRPr="00946DF5">
        <w:rPr>
          <w:rFonts w:ascii="Times New Roman" w:hAnsi="Times New Roman" w:cs="Times New Roman"/>
        </w:rPr>
        <w:t xml:space="preserve"> and in such other cases as may be provided for by Act of Parliament.</w:t>
      </w:r>
    </w:p>
    <w:p w14:paraId="642695E9" w14:textId="77777777" w:rsidR="00946DF5" w:rsidRPr="00946DF5" w:rsidRDefault="00946DF5" w:rsidP="00946DF5">
      <w:pPr>
        <w:rPr>
          <w:rFonts w:ascii="Times New Roman" w:hAnsi="Times New Roman" w:cs="Times New Roman"/>
        </w:rPr>
      </w:pPr>
      <w:r w:rsidRPr="00946DF5">
        <w:rPr>
          <w:rFonts w:ascii="Times New Roman" w:hAnsi="Times New Roman" w:cs="Times New Roman"/>
        </w:rPr>
        <w:t>(3) An appeal to the Appellate Division from a judgment, decree, order or sentence of the High Court Division in a case to which clause (2) does not apply shall lie only if the Appellate Division grants leave to appeal.</w:t>
      </w:r>
    </w:p>
    <w:p w14:paraId="75F14881" w14:textId="4E59BFF9" w:rsidR="00946DF5" w:rsidRPr="00946DF5" w:rsidRDefault="00946DF5" w:rsidP="00946DF5">
      <w:pPr>
        <w:rPr>
          <w:rFonts w:ascii="Times New Roman" w:hAnsi="Times New Roman" w:cs="Times New Roman"/>
        </w:rPr>
      </w:pPr>
      <w:r w:rsidRPr="00946DF5">
        <w:rPr>
          <w:rFonts w:ascii="Times New Roman" w:hAnsi="Times New Roman" w:cs="Times New Roman"/>
        </w:rPr>
        <w:t>(4) Parliament may by law declare that the provisions of this article shall apply in relation to any other court or tribunal as they apply in relation to the High Court Division.</w:t>
      </w:r>
    </w:p>
    <w:p w14:paraId="44776ED4" w14:textId="77777777" w:rsidR="00946DF5" w:rsidRPr="00946DF5" w:rsidRDefault="00946DF5" w:rsidP="00946DF5">
      <w:pPr>
        <w:rPr>
          <w:rFonts w:ascii="Times New Roman" w:hAnsi="Times New Roman" w:cs="Times New Roman"/>
        </w:rPr>
      </w:pPr>
      <w:r w:rsidRPr="00946DF5">
        <w:rPr>
          <w:rFonts w:ascii="Times New Roman" w:hAnsi="Times New Roman" w:cs="Times New Roman"/>
        </w:rPr>
        <w:pict w14:anchorId="703F7D9A">
          <v:rect id="_x0000_i1042" style="width:0;height:0" o:hralign="center" o:hrstd="t" o:hrnoshade="t" o:hr="t" fillcolor="black" stroked="f"/>
        </w:pict>
      </w:r>
    </w:p>
    <w:p w14:paraId="34E39F7F" w14:textId="3751FF69" w:rsidR="00946DF5" w:rsidRPr="00946DF5" w:rsidRDefault="00946DF5" w:rsidP="00946DF5">
      <w:pPr>
        <w:rPr>
          <w:rFonts w:ascii="Times New Roman" w:hAnsi="Times New Roman" w:cs="Times New Roman"/>
        </w:rPr>
      </w:pPr>
    </w:p>
    <w:p w14:paraId="62DDD84C" w14:textId="36A8FBF9" w:rsidR="00946DF5" w:rsidRPr="00946DF5" w:rsidRDefault="00946DF5" w:rsidP="00946DF5">
      <w:pPr>
        <w:rPr>
          <w:rFonts w:ascii="Times New Roman" w:hAnsi="Times New Roman" w:cs="Times New Roman"/>
        </w:rPr>
      </w:pPr>
      <w:r w:rsidRPr="00946DF5">
        <w:rPr>
          <w:rFonts w:ascii="Times New Roman" w:hAnsi="Times New Roman" w:cs="Times New Roman"/>
          <w:vertAlign w:val="superscript"/>
        </w:rPr>
        <w:t>1</w:t>
      </w:r>
      <w:r w:rsidRPr="00946DF5">
        <w:rPr>
          <w:rFonts w:ascii="Times New Roman" w:hAnsi="Times New Roman" w:cs="Times New Roman"/>
        </w:rPr>
        <w:t> Substituted for the former Chapter I by the Constitution (Fifteenth Amendment) Act, 2011 (Act XIV of 2011), section 31.</w:t>
      </w:r>
    </w:p>
    <w:p w14:paraId="1A758C28" w14:textId="77777777" w:rsidR="00946DF5" w:rsidRPr="00946DF5" w:rsidRDefault="00946DF5">
      <w:pPr>
        <w:rPr>
          <w:rFonts w:ascii="Times New Roman" w:hAnsi="Times New Roman" w:cs="Times New Roman"/>
        </w:rPr>
      </w:pPr>
    </w:p>
    <w:sectPr w:rsidR="00946DF5" w:rsidRPr="00946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240649"/>
    <w:multiLevelType w:val="multilevel"/>
    <w:tmpl w:val="A216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8482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DF5"/>
    <w:rsid w:val="004871D5"/>
    <w:rsid w:val="00946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192953"/>
  <w15:chartTrackingRefBased/>
  <w15:docId w15:val="{5D8B4FAB-2B29-4BE9-8822-2E6810FE1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D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6D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6D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6D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6D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6D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D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D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D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D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6D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6D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6D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6D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6D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D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D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DF5"/>
    <w:rPr>
      <w:rFonts w:eastAsiaTheme="majorEastAsia" w:cstheme="majorBidi"/>
      <w:color w:val="272727" w:themeColor="text1" w:themeTint="D8"/>
    </w:rPr>
  </w:style>
  <w:style w:type="paragraph" w:styleId="Title">
    <w:name w:val="Title"/>
    <w:basedOn w:val="Normal"/>
    <w:next w:val="Normal"/>
    <w:link w:val="TitleChar"/>
    <w:uiPriority w:val="10"/>
    <w:qFormat/>
    <w:rsid w:val="00946D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D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D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D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DF5"/>
    <w:pPr>
      <w:spacing w:before="160"/>
      <w:jc w:val="center"/>
    </w:pPr>
    <w:rPr>
      <w:i/>
      <w:iCs/>
      <w:color w:val="404040" w:themeColor="text1" w:themeTint="BF"/>
    </w:rPr>
  </w:style>
  <w:style w:type="character" w:customStyle="1" w:styleId="QuoteChar">
    <w:name w:val="Quote Char"/>
    <w:basedOn w:val="DefaultParagraphFont"/>
    <w:link w:val="Quote"/>
    <w:uiPriority w:val="29"/>
    <w:rsid w:val="00946DF5"/>
    <w:rPr>
      <w:i/>
      <w:iCs/>
      <w:color w:val="404040" w:themeColor="text1" w:themeTint="BF"/>
    </w:rPr>
  </w:style>
  <w:style w:type="paragraph" w:styleId="ListParagraph">
    <w:name w:val="List Paragraph"/>
    <w:basedOn w:val="Normal"/>
    <w:uiPriority w:val="34"/>
    <w:qFormat/>
    <w:rsid w:val="00946DF5"/>
    <w:pPr>
      <w:ind w:left="720"/>
      <w:contextualSpacing/>
    </w:pPr>
  </w:style>
  <w:style w:type="character" w:styleId="IntenseEmphasis">
    <w:name w:val="Intense Emphasis"/>
    <w:basedOn w:val="DefaultParagraphFont"/>
    <w:uiPriority w:val="21"/>
    <w:qFormat/>
    <w:rsid w:val="00946DF5"/>
    <w:rPr>
      <w:i/>
      <w:iCs/>
      <w:color w:val="2F5496" w:themeColor="accent1" w:themeShade="BF"/>
    </w:rPr>
  </w:style>
  <w:style w:type="paragraph" w:styleId="IntenseQuote">
    <w:name w:val="Intense Quote"/>
    <w:basedOn w:val="Normal"/>
    <w:next w:val="Normal"/>
    <w:link w:val="IntenseQuoteChar"/>
    <w:uiPriority w:val="30"/>
    <w:qFormat/>
    <w:rsid w:val="00946D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6DF5"/>
    <w:rPr>
      <w:i/>
      <w:iCs/>
      <w:color w:val="2F5496" w:themeColor="accent1" w:themeShade="BF"/>
    </w:rPr>
  </w:style>
  <w:style w:type="character" w:styleId="IntenseReference">
    <w:name w:val="Intense Reference"/>
    <w:basedOn w:val="DefaultParagraphFont"/>
    <w:uiPriority w:val="32"/>
    <w:qFormat/>
    <w:rsid w:val="00946DF5"/>
    <w:rPr>
      <w:b/>
      <w:bCs/>
      <w:smallCaps/>
      <w:color w:val="2F5496" w:themeColor="accent1" w:themeShade="BF"/>
      <w:spacing w:val="5"/>
    </w:rPr>
  </w:style>
  <w:style w:type="character" w:styleId="Hyperlink">
    <w:name w:val="Hyperlink"/>
    <w:basedOn w:val="DefaultParagraphFont"/>
    <w:uiPriority w:val="99"/>
    <w:unhideWhenUsed/>
    <w:rsid w:val="00946DF5"/>
    <w:rPr>
      <w:color w:val="0563C1" w:themeColor="hyperlink"/>
      <w:u w:val="single"/>
    </w:rPr>
  </w:style>
  <w:style w:type="character" w:styleId="UnresolvedMention">
    <w:name w:val="Unresolved Mention"/>
    <w:basedOn w:val="DefaultParagraphFont"/>
    <w:uiPriority w:val="99"/>
    <w:semiHidden/>
    <w:unhideWhenUsed/>
    <w:rsid w:val="00946D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8099680">
      <w:bodyDiv w:val="1"/>
      <w:marLeft w:val="0"/>
      <w:marRight w:val="0"/>
      <w:marTop w:val="0"/>
      <w:marBottom w:val="0"/>
      <w:divBdr>
        <w:top w:val="none" w:sz="0" w:space="0" w:color="auto"/>
        <w:left w:val="none" w:sz="0" w:space="0" w:color="auto"/>
        <w:bottom w:val="none" w:sz="0" w:space="0" w:color="auto"/>
        <w:right w:val="none" w:sz="0" w:space="0" w:color="auto"/>
      </w:divBdr>
      <w:divsChild>
        <w:div w:id="1450666978">
          <w:marLeft w:val="0"/>
          <w:marRight w:val="0"/>
          <w:marTop w:val="0"/>
          <w:marBottom w:val="0"/>
          <w:divBdr>
            <w:top w:val="none" w:sz="0" w:space="0" w:color="auto"/>
            <w:left w:val="none" w:sz="0" w:space="0" w:color="auto"/>
            <w:bottom w:val="none" w:sz="0" w:space="0" w:color="auto"/>
            <w:right w:val="none" w:sz="0" w:space="0" w:color="auto"/>
          </w:divBdr>
          <w:divsChild>
            <w:div w:id="1691374635">
              <w:marLeft w:val="0"/>
              <w:marRight w:val="0"/>
              <w:marTop w:val="0"/>
              <w:marBottom w:val="0"/>
              <w:divBdr>
                <w:top w:val="none" w:sz="0" w:space="0" w:color="auto"/>
                <w:left w:val="none" w:sz="0" w:space="0" w:color="auto"/>
                <w:bottom w:val="none" w:sz="0" w:space="0" w:color="auto"/>
                <w:right w:val="none" w:sz="0" w:space="0" w:color="auto"/>
              </w:divBdr>
            </w:div>
            <w:div w:id="116218626">
              <w:marLeft w:val="0"/>
              <w:marRight w:val="0"/>
              <w:marTop w:val="0"/>
              <w:marBottom w:val="0"/>
              <w:divBdr>
                <w:top w:val="none" w:sz="0" w:space="0" w:color="auto"/>
                <w:left w:val="none" w:sz="0" w:space="0" w:color="auto"/>
                <w:bottom w:val="none" w:sz="0" w:space="0" w:color="auto"/>
                <w:right w:val="none" w:sz="0" w:space="0" w:color="auto"/>
              </w:divBdr>
            </w:div>
            <w:div w:id="229850895">
              <w:marLeft w:val="0"/>
              <w:marRight w:val="0"/>
              <w:marTop w:val="0"/>
              <w:marBottom w:val="0"/>
              <w:divBdr>
                <w:top w:val="none" w:sz="0" w:space="0" w:color="auto"/>
                <w:left w:val="none" w:sz="0" w:space="0" w:color="auto"/>
                <w:bottom w:val="none" w:sz="0" w:space="0" w:color="auto"/>
                <w:right w:val="none" w:sz="0" w:space="0" w:color="auto"/>
              </w:divBdr>
            </w:div>
            <w:div w:id="1284993471">
              <w:marLeft w:val="0"/>
              <w:marRight w:val="0"/>
              <w:marTop w:val="0"/>
              <w:marBottom w:val="0"/>
              <w:divBdr>
                <w:top w:val="none" w:sz="0" w:space="0" w:color="auto"/>
                <w:left w:val="none" w:sz="0" w:space="0" w:color="auto"/>
                <w:bottom w:val="none" w:sz="0" w:space="0" w:color="auto"/>
                <w:right w:val="none" w:sz="0" w:space="0" w:color="auto"/>
              </w:divBdr>
            </w:div>
            <w:div w:id="1636330861">
              <w:marLeft w:val="0"/>
              <w:marRight w:val="0"/>
              <w:marTop w:val="0"/>
              <w:marBottom w:val="0"/>
              <w:divBdr>
                <w:top w:val="none" w:sz="0" w:space="0" w:color="auto"/>
                <w:left w:val="none" w:sz="0" w:space="0" w:color="auto"/>
                <w:bottom w:val="none" w:sz="0" w:space="0" w:color="auto"/>
                <w:right w:val="none" w:sz="0" w:space="0" w:color="auto"/>
              </w:divBdr>
            </w:div>
            <w:div w:id="243150776">
              <w:marLeft w:val="0"/>
              <w:marRight w:val="0"/>
              <w:marTop w:val="0"/>
              <w:marBottom w:val="0"/>
              <w:divBdr>
                <w:top w:val="none" w:sz="0" w:space="0" w:color="auto"/>
                <w:left w:val="none" w:sz="0" w:space="0" w:color="auto"/>
                <w:bottom w:val="none" w:sz="0" w:space="0" w:color="auto"/>
                <w:right w:val="none" w:sz="0" w:space="0" w:color="auto"/>
              </w:divBdr>
            </w:div>
            <w:div w:id="898436607">
              <w:marLeft w:val="0"/>
              <w:marRight w:val="0"/>
              <w:marTop w:val="0"/>
              <w:marBottom w:val="0"/>
              <w:divBdr>
                <w:top w:val="none" w:sz="0" w:space="0" w:color="auto"/>
                <w:left w:val="none" w:sz="0" w:space="0" w:color="auto"/>
                <w:bottom w:val="none" w:sz="0" w:space="0" w:color="auto"/>
                <w:right w:val="none" w:sz="0" w:space="0" w:color="auto"/>
              </w:divBdr>
            </w:div>
            <w:div w:id="1860773609">
              <w:marLeft w:val="0"/>
              <w:marRight w:val="0"/>
              <w:marTop w:val="0"/>
              <w:marBottom w:val="0"/>
              <w:divBdr>
                <w:top w:val="none" w:sz="0" w:space="0" w:color="auto"/>
                <w:left w:val="none" w:sz="0" w:space="0" w:color="auto"/>
                <w:bottom w:val="none" w:sz="0" w:space="0" w:color="auto"/>
                <w:right w:val="none" w:sz="0" w:space="0" w:color="auto"/>
              </w:divBdr>
            </w:div>
            <w:div w:id="1466116404">
              <w:marLeft w:val="0"/>
              <w:marRight w:val="0"/>
              <w:marTop w:val="0"/>
              <w:marBottom w:val="0"/>
              <w:divBdr>
                <w:top w:val="none" w:sz="0" w:space="0" w:color="auto"/>
                <w:left w:val="none" w:sz="0" w:space="0" w:color="auto"/>
                <w:bottom w:val="none" w:sz="0" w:space="0" w:color="auto"/>
                <w:right w:val="none" w:sz="0" w:space="0" w:color="auto"/>
              </w:divBdr>
            </w:div>
            <w:div w:id="1086220683">
              <w:marLeft w:val="0"/>
              <w:marRight w:val="0"/>
              <w:marTop w:val="0"/>
              <w:marBottom w:val="0"/>
              <w:divBdr>
                <w:top w:val="none" w:sz="0" w:space="0" w:color="auto"/>
                <w:left w:val="none" w:sz="0" w:space="0" w:color="auto"/>
                <w:bottom w:val="none" w:sz="0" w:space="0" w:color="auto"/>
                <w:right w:val="none" w:sz="0" w:space="0" w:color="auto"/>
              </w:divBdr>
            </w:div>
            <w:div w:id="647631927">
              <w:marLeft w:val="0"/>
              <w:marRight w:val="0"/>
              <w:marTop w:val="0"/>
              <w:marBottom w:val="0"/>
              <w:divBdr>
                <w:top w:val="none" w:sz="0" w:space="0" w:color="auto"/>
                <w:left w:val="none" w:sz="0" w:space="0" w:color="auto"/>
                <w:bottom w:val="none" w:sz="0" w:space="0" w:color="auto"/>
                <w:right w:val="none" w:sz="0" w:space="0" w:color="auto"/>
              </w:divBdr>
            </w:div>
            <w:div w:id="498545333">
              <w:marLeft w:val="0"/>
              <w:marRight w:val="0"/>
              <w:marTop w:val="0"/>
              <w:marBottom w:val="0"/>
              <w:divBdr>
                <w:top w:val="none" w:sz="0" w:space="0" w:color="auto"/>
                <w:left w:val="none" w:sz="0" w:space="0" w:color="auto"/>
                <w:bottom w:val="none" w:sz="0" w:space="0" w:color="auto"/>
                <w:right w:val="none" w:sz="0" w:space="0" w:color="auto"/>
              </w:divBdr>
            </w:div>
            <w:div w:id="1547066785">
              <w:marLeft w:val="0"/>
              <w:marRight w:val="0"/>
              <w:marTop w:val="0"/>
              <w:marBottom w:val="0"/>
              <w:divBdr>
                <w:top w:val="none" w:sz="0" w:space="0" w:color="auto"/>
                <w:left w:val="none" w:sz="0" w:space="0" w:color="auto"/>
                <w:bottom w:val="none" w:sz="0" w:space="0" w:color="auto"/>
                <w:right w:val="none" w:sz="0" w:space="0" w:color="auto"/>
              </w:divBdr>
            </w:div>
            <w:div w:id="378550834">
              <w:marLeft w:val="0"/>
              <w:marRight w:val="0"/>
              <w:marTop w:val="0"/>
              <w:marBottom w:val="0"/>
              <w:divBdr>
                <w:top w:val="none" w:sz="0" w:space="0" w:color="auto"/>
                <w:left w:val="none" w:sz="0" w:space="0" w:color="auto"/>
                <w:bottom w:val="none" w:sz="0" w:space="0" w:color="auto"/>
                <w:right w:val="none" w:sz="0" w:space="0" w:color="auto"/>
              </w:divBdr>
            </w:div>
            <w:div w:id="431047934">
              <w:marLeft w:val="0"/>
              <w:marRight w:val="0"/>
              <w:marTop w:val="0"/>
              <w:marBottom w:val="0"/>
              <w:divBdr>
                <w:top w:val="none" w:sz="0" w:space="0" w:color="auto"/>
                <w:left w:val="none" w:sz="0" w:space="0" w:color="auto"/>
                <w:bottom w:val="none" w:sz="0" w:space="0" w:color="auto"/>
                <w:right w:val="none" w:sz="0" w:space="0" w:color="auto"/>
              </w:divBdr>
            </w:div>
          </w:divsChild>
        </w:div>
        <w:div w:id="1574654906">
          <w:marLeft w:val="0"/>
          <w:marRight w:val="0"/>
          <w:marTop w:val="0"/>
          <w:marBottom w:val="0"/>
          <w:divBdr>
            <w:top w:val="none" w:sz="0" w:space="0" w:color="auto"/>
            <w:left w:val="none" w:sz="0" w:space="0" w:color="auto"/>
            <w:bottom w:val="none" w:sz="0" w:space="0" w:color="auto"/>
            <w:right w:val="none" w:sz="0" w:space="0" w:color="auto"/>
          </w:divBdr>
        </w:div>
        <w:div w:id="1990548338">
          <w:marLeft w:val="0"/>
          <w:marRight w:val="0"/>
          <w:marTop w:val="0"/>
          <w:marBottom w:val="0"/>
          <w:divBdr>
            <w:top w:val="none" w:sz="0" w:space="0" w:color="auto"/>
            <w:left w:val="none" w:sz="0" w:space="0" w:color="auto"/>
            <w:bottom w:val="none" w:sz="0" w:space="0" w:color="auto"/>
            <w:right w:val="none" w:sz="0" w:space="0" w:color="auto"/>
          </w:divBdr>
        </w:div>
      </w:divsChild>
    </w:div>
    <w:div w:id="1549342762">
      <w:bodyDiv w:val="1"/>
      <w:marLeft w:val="0"/>
      <w:marRight w:val="0"/>
      <w:marTop w:val="0"/>
      <w:marBottom w:val="0"/>
      <w:divBdr>
        <w:top w:val="none" w:sz="0" w:space="0" w:color="auto"/>
        <w:left w:val="none" w:sz="0" w:space="0" w:color="auto"/>
        <w:bottom w:val="none" w:sz="0" w:space="0" w:color="auto"/>
        <w:right w:val="none" w:sz="0" w:space="0" w:color="auto"/>
      </w:divBdr>
      <w:divsChild>
        <w:div w:id="1233202764">
          <w:marLeft w:val="0"/>
          <w:marRight w:val="0"/>
          <w:marTop w:val="0"/>
          <w:marBottom w:val="0"/>
          <w:divBdr>
            <w:top w:val="none" w:sz="0" w:space="0" w:color="auto"/>
            <w:left w:val="none" w:sz="0" w:space="0" w:color="auto"/>
            <w:bottom w:val="none" w:sz="0" w:space="0" w:color="auto"/>
            <w:right w:val="none" w:sz="0" w:space="0" w:color="auto"/>
          </w:divBdr>
          <w:divsChild>
            <w:div w:id="1793669093">
              <w:marLeft w:val="0"/>
              <w:marRight w:val="0"/>
              <w:marTop w:val="0"/>
              <w:marBottom w:val="0"/>
              <w:divBdr>
                <w:top w:val="none" w:sz="0" w:space="0" w:color="auto"/>
                <w:left w:val="none" w:sz="0" w:space="0" w:color="auto"/>
                <w:bottom w:val="none" w:sz="0" w:space="0" w:color="auto"/>
                <w:right w:val="none" w:sz="0" w:space="0" w:color="auto"/>
              </w:divBdr>
            </w:div>
            <w:div w:id="1472987589">
              <w:marLeft w:val="0"/>
              <w:marRight w:val="0"/>
              <w:marTop w:val="0"/>
              <w:marBottom w:val="0"/>
              <w:divBdr>
                <w:top w:val="none" w:sz="0" w:space="0" w:color="auto"/>
                <w:left w:val="none" w:sz="0" w:space="0" w:color="auto"/>
                <w:bottom w:val="none" w:sz="0" w:space="0" w:color="auto"/>
                <w:right w:val="none" w:sz="0" w:space="0" w:color="auto"/>
              </w:divBdr>
            </w:div>
            <w:div w:id="1693336693">
              <w:marLeft w:val="0"/>
              <w:marRight w:val="0"/>
              <w:marTop w:val="0"/>
              <w:marBottom w:val="0"/>
              <w:divBdr>
                <w:top w:val="none" w:sz="0" w:space="0" w:color="auto"/>
                <w:left w:val="none" w:sz="0" w:space="0" w:color="auto"/>
                <w:bottom w:val="none" w:sz="0" w:space="0" w:color="auto"/>
                <w:right w:val="none" w:sz="0" w:space="0" w:color="auto"/>
              </w:divBdr>
            </w:div>
            <w:div w:id="1772046943">
              <w:marLeft w:val="0"/>
              <w:marRight w:val="0"/>
              <w:marTop w:val="0"/>
              <w:marBottom w:val="0"/>
              <w:divBdr>
                <w:top w:val="none" w:sz="0" w:space="0" w:color="auto"/>
                <w:left w:val="none" w:sz="0" w:space="0" w:color="auto"/>
                <w:bottom w:val="none" w:sz="0" w:space="0" w:color="auto"/>
                <w:right w:val="none" w:sz="0" w:space="0" w:color="auto"/>
              </w:divBdr>
            </w:div>
            <w:div w:id="1161892929">
              <w:marLeft w:val="0"/>
              <w:marRight w:val="0"/>
              <w:marTop w:val="0"/>
              <w:marBottom w:val="0"/>
              <w:divBdr>
                <w:top w:val="none" w:sz="0" w:space="0" w:color="auto"/>
                <w:left w:val="none" w:sz="0" w:space="0" w:color="auto"/>
                <w:bottom w:val="none" w:sz="0" w:space="0" w:color="auto"/>
                <w:right w:val="none" w:sz="0" w:space="0" w:color="auto"/>
              </w:divBdr>
            </w:div>
            <w:div w:id="106201041">
              <w:marLeft w:val="0"/>
              <w:marRight w:val="0"/>
              <w:marTop w:val="0"/>
              <w:marBottom w:val="0"/>
              <w:divBdr>
                <w:top w:val="none" w:sz="0" w:space="0" w:color="auto"/>
                <w:left w:val="none" w:sz="0" w:space="0" w:color="auto"/>
                <w:bottom w:val="none" w:sz="0" w:space="0" w:color="auto"/>
                <w:right w:val="none" w:sz="0" w:space="0" w:color="auto"/>
              </w:divBdr>
            </w:div>
            <w:div w:id="768741604">
              <w:marLeft w:val="0"/>
              <w:marRight w:val="0"/>
              <w:marTop w:val="0"/>
              <w:marBottom w:val="0"/>
              <w:divBdr>
                <w:top w:val="none" w:sz="0" w:space="0" w:color="auto"/>
                <w:left w:val="none" w:sz="0" w:space="0" w:color="auto"/>
                <w:bottom w:val="none" w:sz="0" w:space="0" w:color="auto"/>
                <w:right w:val="none" w:sz="0" w:space="0" w:color="auto"/>
              </w:divBdr>
            </w:div>
            <w:div w:id="38746464">
              <w:marLeft w:val="0"/>
              <w:marRight w:val="0"/>
              <w:marTop w:val="0"/>
              <w:marBottom w:val="0"/>
              <w:divBdr>
                <w:top w:val="none" w:sz="0" w:space="0" w:color="auto"/>
                <w:left w:val="none" w:sz="0" w:space="0" w:color="auto"/>
                <w:bottom w:val="none" w:sz="0" w:space="0" w:color="auto"/>
                <w:right w:val="none" w:sz="0" w:space="0" w:color="auto"/>
              </w:divBdr>
            </w:div>
            <w:div w:id="765157733">
              <w:marLeft w:val="0"/>
              <w:marRight w:val="0"/>
              <w:marTop w:val="0"/>
              <w:marBottom w:val="0"/>
              <w:divBdr>
                <w:top w:val="none" w:sz="0" w:space="0" w:color="auto"/>
                <w:left w:val="none" w:sz="0" w:space="0" w:color="auto"/>
                <w:bottom w:val="none" w:sz="0" w:space="0" w:color="auto"/>
                <w:right w:val="none" w:sz="0" w:space="0" w:color="auto"/>
              </w:divBdr>
            </w:div>
            <w:div w:id="289673115">
              <w:marLeft w:val="0"/>
              <w:marRight w:val="0"/>
              <w:marTop w:val="0"/>
              <w:marBottom w:val="0"/>
              <w:divBdr>
                <w:top w:val="none" w:sz="0" w:space="0" w:color="auto"/>
                <w:left w:val="none" w:sz="0" w:space="0" w:color="auto"/>
                <w:bottom w:val="none" w:sz="0" w:space="0" w:color="auto"/>
                <w:right w:val="none" w:sz="0" w:space="0" w:color="auto"/>
              </w:divBdr>
            </w:div>
            <w:div w:id="1050377246">
              <w:marLeft w:val="0"/>
              <w:marRight w:val="0"/>
              <w:marTop w:val="0"/>
              <w:marBottom w:val="0"/>
              <w:divBdr>
                <w:top w:val="none" w:sz="0" w:space="0" w:color="auto"/>
                <w:left w:val="none" w:sz="0" w:space="0" w:color="auto"/>
                <w:bottom w:val="none" w:sz="0" w:space="0" w:color="auto"/>
                <w:right w:val="none" w:sz="0" w:space="0" w:color="auto"/>
              </w:divBdr>
            </w:div>
            <w:div w:id="1247575113">
              <w:marLeft w:val="0"/>
              <w:marRight w:val="0"/>
              <w:marTop w:val="0"/>
              <w:marBottom w:val="0"/>
              <w:divBdr>
                <w:top w:val="none" w:sz="0" w:space="0" w:color="auto"/>
                <w:left w:val="none" w:sz="0" w:space="0" w:color="auto"/>
                <w:bottom w:val="none" w:sz="0" w:space="0" w:color="auto"/>
                <w:right w:val="none" w:sz="0" w:space="0" w:color="auto"/>
              </w:divBdr>
            </w:div>
            <w:div w:id="1000158400">
              <w:marLeft w:val="0"/>
              <w:marRight w:val="0"/>
              <w:marTop w:val="0"/>
              <w:marBottom w:val="0"/>
              <w:divBdr>
                <w:top w:val="none" w:sz="0" w:space="0" w:color="auto"/>
                <w:left w:val="none" w:sz="0" w:space="0" w:color="auto"/>
                <w:bottom w:val="none" w:sz="0" w:space="0" w:color="auto"/>
                <w:right w:val="none" w:sz="0" w:space="0" w:color="auto"/>
              </w:divBdr>
            </w:div>
            <w:div w:id="1234391077">
              <w:marLeft w:val="0"/>
              <w:marRight w:val="0"/>
              <w:marTop w:val="0"/>
              <w:marBottom w:val="0"/>
              <w:divBdr>
                <w:top w:val="none" w:sz="0" w:space="0" w:color="auto"/>
                <w:left w:val="none" w:sz="0" w:space="0" w:color="auto"/>
                <w:bottom w:val="none" w:sz="0" w:space="0" w:color="auto"/>
                <w:right w:val="none" w:sz="0" w:space="0" w:color="auto"/>
              </w:divBdr>
            </w:div>
            <w:div w:id="1069157819">
              <w:marLeft w:val="0"/>
              <w:marRight w:val="0"/>
              <w:marTop w:val="0"/>
              <w:marBottom w:val="0"/>
              <w:divBdr>
                <w:top w:val="none" w:sz="0" w:space="0" w:color="auto"/>
                <w:left w:val="none" w:sz="0" w:space="0" w:color="auto"/>
                <w:bottom w:val="none" w:sz="0" w:space="0" w:color="auto"/>
                <w:right w:val="none" w:sz="0" w:space="0" w:color="auto"/>
              </w:divBdr>
            </w:div>
          </w:divsChild>
        </w:div>
        <w:div w:id="967393499">
          <w:marLeft w:val="0"/>
          <w:marRight w:val="0"/>
          <w:marTop w:val="0"/>
          <w:marBottom w:val="0"/>
          <w:divBdr>
            <w:top w:val="none" w:sz="0" w:space="0" w:color="auto"/>
            <w:left w:val="none" w:sz="0" w:space="0" w:color="auto"/>
            <w:bottom w:val="none" w:sz="0" w:space="0" w:color="auto"/>
            <w:right w:val="none" w:sz="0" w:space="0" w:color="auto"/>
          </w:divBdr>
        </w:div>
        <w:div w:id="717246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216</Words>
  <Characters>1022</Characters>
  <Application>Microsoft Office Word</Application>
  <DocSecurity>0</DocSecurity>
  <Lines>21</Lines>
  <Paragraphs>12</Paragraphs>
  <ScaleCrop>false</ScaleCrop>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1</cp:revision>
  <dcterms:created xsi:type="dcterms:W3CDTF">2025-01-23T09:47:00Z</dcterms:created>
  <dcterms:modified xsi:type="dcterms:W3CDTF">2025-01-23T09:50:00Z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41ea09cb-732c-4465-8550-47f432e27ca8</vt:lpwstr>
  </property>
</Properties>
</file>