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BACC" w14:textId="509CCD8F" w:rsidR="00D52564" w:rsidRPr="00261F0C" w:rsidRDefault="00261F0C">
      <w:pPr>
        <w:rPr>
          <w:rFonts w:ascii="Times New Roman" w:hAnsi="Times New Roman" w:cs="Times New Roman"/>
          <w:b/>
          <w:bCs/>
          <w:sz w:val="28"/>
          <w:szCs w:val="28"/>
        </w:rPr>
      </w:pPr>
      <w:r w:rsidRPr="00261F0C">
        <w:rPr>
          <w:rFonts w:ascii="Times New Roman" w:hAnsi="Times New Roman" w:cs="Times New Roman"/>
          <w:b/>
          <w:bCs/>
          <w:sz w:val="28"/>
          <w:szCs w:val="28"/>
        </w:rPr>
        <w:t>the judiciary in Bangladesh balance the principles of independence and accountability</w:t>
      </w:r>
    </w:p>
    <w:p w14:paraId="640DBDA7" w14:textId="77777777" w:rsidR="00261F0C" w:rsidRPr="00261F0C" w:rsidRDefault="00261F0C" w:rsidP="00261F0C">
      <w:pPr>
        <w:kinsoku/>
        <w:autoSpaceDE/>
        <w:autoSpaceDN/>
        <w:adjustRightInd/>
        <w:snapToGrid/>
        <w:spacing w:after="0"/>
        <w:jc w:val="both"/>
        <w:textAlignment w:val="auto"/>
        <w:rPr>
          <w:rFonts w:ascii="Times New Roman" w:eastAsia="Times New Roman" w:hAnsi="Times New Roman" w:cs="Times New Roman"/>
          <w:noProof w:val="0"/>
          <w:snapToGrid/>
          <w:color w:val="auto"/>
          <w:sz w:val="24"/>
          <w:szCs w:val="24"/>
        </w:rPr>
      </w:pPr>
      <w:r w:rsidRPr="00261F0C">
        <w:rPr>
          <w:rFonts w:ascii="Times New Roman" w:eastAsia="Times New Roman" w:hAnsi="Times New Roman" w:cs="Times New Roman"/>
          <w:noProof w:val="0"/>
          <w:snapToGrid/>
          <w:color w:val="auto"/>
          <w:sz w:val="24"/>
          <w:szCs w:val="24"/>
        </w:rPr>
        <w:t>The judiciary in Bangladesh strives to balance the principles of independence and accountability through a framework that emphasizes both autonomy in decision-making and mechanisms for oversight. Judicial independence is safeguarded by constitutional provisions that protect judges from arbitrary removal and interference from the executive branch, ensuring that they can make impartial rulings without external pressures. At the same time, mechanisms for accountability are embedded in the legal system, including the ability for higher courts to review lower court decisions, as well as provisions for disciplinary actions against judges for misconduct. Additionally, public access to court proceedings and transparency in judicial processes serve to hold the judiciary accountable to the citizens it serves. The establishment of the Judicial Service Commission further reinforces this balance by overseeing the recruitment and conduct of judges, promoting professionalism while maintaining judicial independence. By fostering an environment where judges can operate free from external influence while still being answerable for their actions, the judiciary in Bangladesh aims to uphold the rule of law and maintain public trust in the legal system.</w:t>
      </w:r>
    </w:p>
    <w:p w14:paraId="58286F69" w14:textId="77777777" w:rsidR="00261F0C" w:rsidRPr="00261F0C" w:rsidRDefault="00261F0C">
      <w:pPr>
        <w:rPr>
          <w:rFonts w:ascii="Times New Roman" w:hAnsi="Times New Roman" w:cs="Times New Roman"/>
          <w:b/>
          <w:bCs/>
          <w:sz w:val="24"/>
          <w:szCs w:val="24"/>
        </w:rPr>
      </w:pPr>
    </w:p>
    <w:sectPr w:rsidR="00261F0C" w:rsidRPr="0026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0C"/>
    <w:rsid w:val="00261F0C"/>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55B0"/>
  <w15:chartTrackingRefBased/>
  <w15:docId w15:val="{23EE4924-5FBB-43D0-876C-8589BF35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5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2025-01-24T23:24:00Z</dcterms:created>
  <dcterms:modified xsi:type="dcterms:W3CDTF">2025-01-24T23:26:00Z</dcterms:modified>
</cp:coreProperties>
</file>