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F4A76" w14:textId="2EC3E38D" w:rsidR="00D52564" w:rsidRPr="00423F76" w:rsidRDefault="00423F76" w:rsidP="00423F76">
      <w:pPr>
        <w:jc w:val="both"/>
        <w:rPr>
          <w:rFonts w:ascii="Times New Roman" w:hAnsi="Times New Roman" w:cs="Times New Roman"/>
          <w:b/>
          <w:bCs/>
          <w:sz w:val="28"/>
          <w:szCs w:val="28"/>
        </w:rPr>
      </w:pPr>
      <w:r w:rsidRPr="00423F76">
        <w:rPr>
          <w:rFonts w:ascii="Times New Roman" w:hAnsi="Times New Roman" w:cs="Times New Roman"/>
          <w:b/>
          <w:bCs/>
          <w:sz w:val="28"/>
          <w:szCs w:val="28"/>
        </w:rPr>
        <w:t>law for granting bail in criminal cases</w:t>
      </w:r>
    </w:p>
    <w:p w14:paraId="3A41851D" w14:textId="09775B6F" w:rsidR="00423F76" w:rsidRPr="00423F76" w:rsidRDefault="00423F76" w:rsidP="00423F76">
      <w:pPr>
        <w:jc w:val="both"/>
        <w:rPr>
          <w:rFonts w:ascii="Times New Roman" w:hAnsi="Times New Roman" w:cs="Times New Roman"/>
          <w:sz w:val="24"/>
          <w:szCs w:val="24"/>
        </w:rPr>
      </w:pPr>
      <w:r w:rsidRPr="00423F76">
        <w:rPr>
          <w:rFonts w:ascii="Times New Roman" w:hAnsi="Times New Roman" w:cs="Times New Roman"/>
          <w:sz w:val="24"/>
          <w:szCs w:val="24"/>
        </w:rPr>
        <w:t xml:space="preserve">In Bangladesh, the provisions for granting bail in criminal cases are primarily outlined in the </w:t>
      </w:r>
      <w:r w:rsidRPr="00423F76">
        <w:rPr>
          <w:rStyle w:val="Strong"/>
          <w:rFonts w:ascii="Times New Roman" w:hAnsi="Times New Roman" w:cs="Times New Roman"/>
          <w:b w:val="0"/>
          <w:bCs w:val="0"/>
          <w:sz w:val="24"/>
          <w:szCs w:val="24"/>
        </w:rPr>
        <w:t>Code of Criminal Procedure, 1898 (CrPC)</w:t>
      </w:r>
      <w:r w:rsidRPr="00423F76">
        <w:rPr>
          <w:rFonts w:ascii="Times New Roman" w:hAnsi="Times New Roman" w:cs="Times New Roman"/>
          <w:b/>
          <w:bCs/>
          <w:sz w:val="24"/>
          <w:szCs w:val="24"/>
        </w:rPr>
        <w:t xml:space="preserve">. </w:t>
      </w:r>
      <w:r w:rsidRPr="00423F76">
        <w:rPr>
          <w:rFonts w:ascii="Times New Roman" w:hAnsi="Times New Roman" w:cs="Times New Roman"/>
          <w:sz w:val="24"/>
          <w:szCs w:val="24"/>
        </w:rPr>
        <w:t xml:space="preserve">Offenses are classified as </w:t>
      </w:r>
      <w:r w:rsidRPr="00423F76">
        <w:rPr>
          <w:rStyle w:val="Strong"/>
          <w:rFonts w:ascii="Times New Roman" w:hAnsi="Times New Roman" w:cs="Times New Roman"/>
          <w:b w:val="0"/>
          <w:bCs w:val="0"/>
          <w:sz w:val="24"/>
          <w:szCs w:val="24"/>
        </w:rPr>
        <w:t>bailable</w:t>
      </w:r>
      <w:r w:rsidRPr="00423F76">
        <w:rPr>
          <w:rFonts w:ascii="Times New Roman" w:hAnsi="Times New Roman" w:cs="Times New Roman"/>
          <w:sz w:val="24"/>
          <w:szCs w:val="24"/>
        </w:rPr>
        <w:t xml:space="preserve"> or </w:t>
      </w:r>
      <w:r w:rsidRPr="00423F76">
        <w:rPr>
          <w:rStyle w:val="Strong"/>
          <w:rFonts w:ascii="Times New Roman" w:hAnsi="Times New Roman" w:cs="Times New Roman"/>
          <w:b w:val="0"/>
          <w:bCs w:val="0"/>
          <w:sz w:val="24"/>
          <w:szCs w:val="24"/>
        </w:rPr>
        <w:t>non-bailable</w:t>
      </w:r>
      <w:r w:rsidRPr="00423F76">
        <w:rPr>
          <w:rFonts w:ascii="Times New Roman" w:hAnsi="Times New Roman" w:cs="Times New Roman"/>
          <w:sz w:val="24"/>
          <w:szCs w:val="24"/>
        </w:rPr>
        <w:t xml:space="preserve">; for bailable offenses, the accused has an automatic right to bail upon furnishing the requisite sureties. In contrast, non-bailable offenses require judicial discretion under </w:t>
      </w:r>
      <w:r w:rsidRPr="00423F76">
        <w:rPr>
          <w:rStyle w:val="Strong"/>
          <w:rFonts w:ascii="Times New Roman" w:hAnsi="Times New Roman" w:cs="Times New Roman"/>
          <w:b w:val="0"/>
          <w:bCs w:val="0"/>
          <w:sz w:val="24"/>
          <w:szCs w:val="24"/>
        </w:rPr>
        <w:t>Section 497</w:t>
      </w:r>
      <w:r w:rsidRPr="00423F76">
        <w:rPr>
          <w:rFonts w:ascii="Times New Roman" w:hAnsi="Times New Roman" w:cs="Times New Roman"/>
          <w:sz w:val="24"/>
          <w:szCs w:val="24"/>
        </w:rPr>
        <w:t xml:space="preserve">, where the court may grant bail if it determines that the accused is unlikely to abscond or interfere with evidence, and if the punishment does not exceed three years. Additionally, </w:t>
      </w:r>
      <w:r w:rsidRPr="00423F76">
        <w:rPr>
          <w:rStyle w:val="Strong"/>
          <w:rFonts w:ascii="Times New Roman" w:hAnsi="Times New Roman" w:cs="Times New Roman"/>
          <w:b w:val="0"/>
          <w:bCs w:val="0"/>
          <w:sz w:val="24"/>
          <w:szCs w:val="24"/>
        </w:rPr>
        <w:t>Section 498</w:t>
      </w:r>
      <w:r w:rsidRPr="00423F76">
        <w:rPr>
          <w:rFonts w:ascii="Times New Roman" w:hAnsi="Times New Roman" w:cs="Times New Roman"/>
          <w:sz w:val="24"/>
          <w:szCs w:val="24"/>
        </w:rPr>
        <w:t xml:space="preserve"> allows for anticipatory bail, enabling individuals to seek bail before arrest in relation to non-bailable offenses. The judiciary has broad discretion in these matters, assessing factors such as the nature of the offense, potential flight risk, and the interests of justice. Certain special laws, like the Narcotics Control Act, may impose specific conditions for bail. If bail is denied, the accused can appeal the decision to a higher court, ensuring a mechanism for judicial review. These provisions aim to strike a balance between safeguarding individual rights and maintaining the integrity of the judicial process.</w:t>
      </w:r>
    </w:p>
    <w:sectPr w:rsidR="00423F76" w:rsidRPr="00423F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F76"/>
    <w:rsid w:val="00423F76"/>
    <w:rsid w:val="00D52564"/>
    <w:rsid w:val="00F30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CF400"/>
  <w15:chartTrackingRefBased/>
  <w15:docId w15:val="{03200231-3E09-48AE-A412-AA5C4E1D8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napToGrid w:val="0"/>
        <w:color w:val="000000"/>
        <w:sz w:val="21"/>
        <w:szCs w:val="21"/>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282"/>
    <w:pPr>
      <w:kinsoku w:val="0"/>
      <w:autoSpaceDE w:val="0"/>
      <w:autoSpaceDN w:val="0"/>
      <w:adjustRightInd w:val="0"/>
      <w:snapToGrid w:val="0"/>
      <w:spacing w:line="240" w:lineRule="auto"/>
      <w:textAlignment w:val="baseline"/>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semiHidden/>
    <w:qFormat/>
    <w:rsid w:val="00F30282"/>
    <w:rPr>
      <w:rFonts w:ascii="Times New Roman" w:eastAsia="Times New Roman" w:hAnsi="Times New Roman" w:cs="Times New Roman"/>
      <w:sz w:val="24"/>
      <w:szCs w:val="24"/>
    </w:rPr>
  </w:style>
  <w:style w:type="character" w:styleId="Strong">
    <w:name w:val="Strong"/>
    <w:basedOn w:val="DefaultParagraphFont"/>
    <w:uiPriority w:val="22"/>
    <w:qFormat/>
    <w:rsid w:val="00423F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183</Words>
  <Characters>1049</Characters>
  <Application>Microsoft Office Word</Application>
  <DocSecurity>0</DocSecurity>
  <Lines>8</Lines>
  <Paragraphs>2</Paragraphs>
  <ScaleCrop>false</ScaleCrop>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Sakib E Saqlain</dc:creator>
  <cp:keywords/>
  <dc:description/>
  <cp:lastModifiedBy>Sakib E Saqlain</cp:lastModifiedBy>
  <cp:revision>1</cp:revision>
  <dcterms:created xsi:type="dcterms:W3CDTF">2025-01-24T23:02:00Z</dcterms:created>
  <dcterms:modified xsi:type="dcterms:W3CDTF">2025-01-24T23:04:00Z</dcterms:modified>
</cp:coreProperties>
</file>