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51602" w14:textId="77777777" w:rsidR="0036279A" w:rsidRPr="00470180" w:rsidRDefault="0036279A" w:rsidP="00470180">
      <w:pPr>
        <w:pStyle w:val="a5"/>
        <w:spacing w:before="0" w:after="320" w:line="240" w:lineRule="auto"/>
        <w:jc w:val="both"/>
        <w:rPr>
          <w:rFonts w:ascii="宋体" w:eastAsia="宋体" w:hAnsi="宋体" w:cs="宋体" w:hint="eastAsia"/>
          <w:b/>
          <w:bCs/>
          <w:color w:val="212121"/>
          <w:sz w:val="36"/>
          <w:szCs w:val="36"/>
          <w:u w:color="212121"/>
          <w:shd w:val="clear" w:color="auto" w:fill="FFFFFF"/>
        </w:rPr>
      </w:pPr>
      <w:r w:rsidRPr="00470180">
        <w:rPr>
          <w:rFonts w:ascii="宋体" w:eastAsia="宋体" w:hAnsi="宋体" w:cs="宋体" w:hint="eastAsia"/>
          <w:b/>
          <w:bCs/>
          <w:color w:val="212121"/>
          <w:sz w:val="36"/>
          <w:szCs w:val="36"/>
          <w:u w:color="212121"/>
          <w:shd w:val="clear" w:color="auto" w:fill="FFFFFF"/>
        </w:rPr>
        <w:t>基于多组学联</w:t>
      </w:r>
      <w:proofErr w:type="gramStart"/>
      <w:r w:rsidRPr="00470180">
        <w:rPr>
          <w:rFonts w:ascii="宋体" w:eastAsia="宋体" w:hAnsi="宋体" w:cs="宋体" w:hint="eastAsia"/>
          <w:b/>
          <w:bCs/>
          <w:color w:val="212121"/>
          <w:sz w:val="36"/>
          <w:szCs w:val="36"/>
          <w:u w:color="212121"/>
          <w:shd w:val="clear" w:color="auto" w:fill="FFFFFF"/>
        </w:rPr>
        <w:t>合分析</w:t>
      </w:r>
      <w:proofErr w:type="gramEnd"/>
      <w:r w:rsidRPr="00470180">
        <w:rPr>
          <w:rFonts w:ascii="宋体" w:eastAsia="宋体" w:hAnsi="宋体" w:cs="宋体" w:hint="eastAsia"/>
          <w:b/>
          <w:bCs/>
          <w:color w:val="212121"/>
          <w:sz w:val="36"/>
          <w:szCs w:val="36"/>
          <w:u w:color="212121"/>
          <w:shd w:val="clear" w:color="auto" w:fill="FFFFFF"/>
        </w:rPr>
        <w:t>及机器学习识别低温</w:t>
      </w:r>
      <w:proofErr w:type="gramStart"/>
      <w:r w:rsidRPr="00470180">
        <w:rPr>
          <w:rFonts w:ascii="宋体" w:eastAsia="宋体" w:hAnsi="宋体" w:cs="宋体" w:hint="eastAsia"/>
          <w:b/>
          <w:bCs/>
          <w:color w:val="212121"/>
          <w:sz w:val="36"/>
          <w:szCs w:val="36"/>
          <w:u w:color="212121"/>
          <w:shd w:val="clear" w:color="auto" w:fill="FFFFFF"/>
        </w:rPr>
        <w:t>症药物</w:t>
      </w:r>
      <w:proofErr w:type="gramEnd"/>
      <w:r w:rsidRPr="00470180">
        <w:rPr>
          <w:rFonts w:ascii="宋体" w:eastAsia="宋体" w:hAnsi="宋体" w:cs="宋体" w:hint="eastAsia"/>
          <w:b/>
          <w:bCs/>
          <w:color w:val="212121"/>
          <w:sz w:val="36"/>
          <w:szCs w:val="36"/>
          <w:u w:color="212121"/>
          <w:shd w:val="clear" w:color="auto" w:fill="FFFFFF"/>
        </w:rPr>
        <w:t>靶点及候选药物</w:t>
      </w:r>
    </w:p>
    <w:p w14:paraId="471A155B" w14:textId="77777777" w:rsidR="0036279A" w:rsidRPr="0036279A" w:rsidRDefault="0036279A" w:rsidP="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vertAlign w:val="superscript"/>
          <w:lang w:val="zh-TW"/>
        </w:rPr>
      </w:pPr>
      <w:r w:rsidRPr="0036279A">
        <w:rPr>
          <w:rFonts w:ascii="宋体" w:eastAsia="宋体" w:hAnsi="宋体" w:cs="宋体" w:hint="eastAsia"/>
          <w:lang w:val="zh-TW"/>
        </w:rPr>
        <w:t>冉姝</w:t>
      </w:r>
      <w:r w:rsidRPr="0036279A">
        <w:rPr>
          <w:vertAlign w:val="superscript"/>
          <w:lang w:val="zh-TW"/>
        </w:rPr>
        <w:t>1</w:t>
      </w:r>
      <w:r w:rsidRPr="0036279A">
        <w:rPr>
          <w:rFonts w:hint="eastAsia"/>
          <w:lang w:val="zh-TW"/>
        </w:rPr>
        <w:t xml:space="preserve"> </w:t>
      </w:r>
      <w:r w:rsidRPr="0036279A">
        <w:rPr>
          <w:rFonts w:ascii="宋体" w:eastAsia="宋体" w:hAnsi="宋体" w:cs="宋体" w:hint="eastAsia"/>
          <w:lang w:val="zh-TW"/>
        </w:rPr>
        <w:t>彭运哲</w:t>
      </w:r>
      <w:r w:rsidRPr="0036279A">
        <w:rPr>
          <w:vertAlign w:val="superscript"/>
          <w:lang w:val="zh-TW"/>
        </w:rPr>
        <w:t xml:space="preserve">1 </w:t>
      </w:r>
      <w:r w:rsidRPr="0036279A">
        <w:rPr>
          <w:rFonts w:ascii="宋体" w:eastAsia="宋体" w:hAnsi="宋体" w:cs="宋体" w:hint="eastAsia"/>
          <w:lang w:val="zh-TW"/>
        </w:rPr>
        <w:t>刘宝林</w:t>
      </w:r>
      <w:r w:rsidRPr="0036279A">
        <w:rPr>
          <w:vertAlign w:val="superscript"/>
          <w:lang w:val="zh-TW"/>
        </w:rPr>
        <w:t>2</w:t>
      </w:r>
    </w:p>
    <w:p w14:paraId="4EB21A9A" w14:textId="77777777" w:rsidR="0036279A" w:rsidRPr="0036279A" w:rsidRDefault="0036279A" w:rsidP="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lang w:val="zh-TW"/>
        </w:rPr>
      </w:pPr>
      <w:r w:rsidRPr="0036279A">
        <w:rPr>
          <w:lang w:val="zh-TW"/>
        </w:rPr>
        <w:t xml:space="preserve">1 </w:t>
      </w:r>
      <w:r w:rsidRPr="0036279A">
        <w:rPr>
          <w:rFonts w:ascii="宋体" w:eastAsia="宋体" w:hAnsi="宋体" w:cs="宋体" w:hint="eastAsia"/>
          <w:lang w:val="zh-TW"/>
        </w:rPr>
        <w:t>健康科学与工程学院，上海理工大学</w:t>
      </w:r>
    </w:p>
    <w:p w14:paraId="21B357EB" w14:textId="77777777" w:rsidR="0036279A" w:rsidRPr="0036279A" w:rsidRDefault="0036279A" w:rsidP="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rPr>
          <w:vertAlign w:val="superscript"/>
          <w:lang w:val="zh-TW"/>
        </w:rPr>
      </w:pPr>
      <w:r w:rsidRPr="0036279A">
        <w:rPr>
          <w:lang w:val="zh-TW"/>
        </w:rPr>
        <w:t xml:space="preserve">2 </w:t>
      </w:r>
      <w:r w:rsidRPr="0036279A">
        <w:rPr>
          <w:rFonts w:ascii="宋体" w:eastAsia="宋体" w:hAnsi="宋体" w:cs="宋体" w:hint="eastAsia"/>
          <w:lang w:val="zh-TW"/>
        </w:rPr>
        <w:t>能源与动力工程学院，上海理工大学</w:t>
      </w:r>
    </w:p>
    <w:p w14:paraId="7840A144" w14:textId="77777777" w:rsidR="0036279A" w:rsidRPr="0036279A" w:rsidRDefault="0036279A" w:rsidP="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6279A">
        <w:rPr>
          <w:rFonts w:ascii="宋体" w:eastAsia="宋体" w:hAnsi="宋体" w:cs="宋体" w:hint="eastAsia"/>
          <w:lang w:val="zh-TW"/>
        </w:rPr>
        <w:t>【</w:t>
      </w:r>
      <w:r w:rsidRPr="0036279A">
        <w:t>Multi-Omics analysis and machine learning  Identifies therapeutic targets for hypothermia</w:t>
      </w:r>
      <w:r w:rsidRPr="0036279A">
        <w:rPr>
          <w:rFonts w:ascii="宋体" w:eastAsia="宋体" w:hAnsi="宋体" w:cs="宋体" w:hint="eastAsia"/>
          <w:lang w:val="zh-TW"/>
        </w:rPr>
        <w:t>】</w:t>
      </w:r>
    </w:p>
    <w:p w14:paraId="6277B82B" w14:textId="5CBB3964" w:rsidR="0036279A" w:rsidRPr="005919FB" w:rsidRDefault="0036279A" w:rsidP="005919FB">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hAnsi="Times New Roman"/>
          <w:b/>
          <w:bCs/>
          <w:color w:val="auto"/>
        </w:rPr>
      </w:pPr>
      <w:r w:rsidRPr="005919FB">
        <w:rPr>
          <w:rFonts w:ascii="宋体" w:eastAsia="宋体" w:hAnsi="宋体" w:cs="宋体" w:hint="eastAsia"/>
          <w:b/>
          <w:bCs/>
          <w:color w:val="auto"/>
        </w:rPr>
        <w:t>背景</w:t>
      </w:r>
      <w:r w:rsidRPr="005919FB">
        <w:rPr>
          <w:rFonts w:ascii="Times New Roman" w:hAnsi="Times New Roman"/>
          <w:b/>
          <w:bCs/>
          <w:color w:val="auto"/>
        </w:rPr>
        <w:t> </w:t>
      </w:r>
      <w:r w:rsidR="00514EB2">
        <w:rPr>
          <w:rFonts w:ascii="宋体" w:eastAsia="宋体" w:hAnsi="宋体" w:cs="宋体" w:hint="eastAsia"/>
          <w:b/>
          <w:bCs/>
          <w:color w:val="auto"/>
        </w:rPr>
        <w:t>：</w:t>
      </w:r>
    </w:p>
    <w:p w14:paraId="55A4870C" w14:textId="3E9EC93D"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color w:val="auto"/>
        </w:rPr>
      </w:pPr>
      <w:r w:rsidRPr="00CA742D">
        <w:rPr>
          <w:rFonts w:ascii="宋体" w:eastAsia="宋体" w:hAnsi="宋体" w:cs="宋体" w:hint="eastAsia"/>
          <w:color w:val="auto"/>
        </w:rPr>
        <w:t>低温症（Hypothermia）是人体核心温度（CBT）低于35摄氏度（95华氏度）。 低于这个温度，身体散失的热量多于产生的热量。轻度低温症体温为 32 至 35 摄氏度，中度低温症体温为28至32摄氏度，重度低温症体温为低于28摄氏度。低温症多由于意外（寒冷暴露、医疗干预或创伤）和治疗（通过特定的降温措施来进行治疗）引起。低体温引发包括炎症，酸中毒，凝</w:t>
      </w:r>
      <w:r w:rsidR="005D502E">
        <w:rPr>
          <w:rFonts w:ascii="宋体" w:eastAsia="宋体" w:hAnsi="宋体" w:cs="宋体" w:hint="eastAsia"/>
          <w:color w:val="auto"/>
        </w:rPr>
        <w:t>s</w:t>
      </w:r>
      <w:r w:rsidRPr="00CA742D">
        <w:rPr>
          <w:rFonts w:ascii="宋体" w:eastAsia="宋体" w:hAnsi="宋体" w:cs="宋体" w:hint="eastAsia"/>
          <w:color w:val="auto"/>
        </w:rPr>
        <w:t>血障碍和低钙血症等并发症反馈循环，增加死亡风险。同时，温度影响基因的转录和表达。正常体温下，SMYD5 通过H3K36me3 组蛋白修饰抑制SP1基因。在轻度低温条件下，SMYD5通过蛋白酶体降解途径被降解，由SMYD5引起的抑制作用也被解除</w:t>
      </w:r>
      <w:r w:rsidR="000B00CC">
        <w:rPr>
          <w:rFonts w:ascii="宋体" w:eastAsia="宋体" w:hAnsi="宋体" w:cs="宋体" w:hint="eastAsia"/>
          <w:color w:val="auto"/>
        </w:rPr>
        <w:fldChar w:fldCharType="begin"/>
      </w:r>
      <w:r w:rsidR="000B00CC">
        <w:rPr>
          <w:rFonts w:ascii="宋体" w:eastAsia="宋体" w:hAnsi="宋体" w:cs="宋体" w:hint="eastAsia"/>
          <w:color w:val="auto"/>
        </w:rPr>
        <w:instrText xml:space="preserve"> ADDIN EN.CITE &lt;EndNote&gt;&lt;Cite&gt;&lt;Author&gt;Rafnsdottir&lt;/Author&gt;&lt;Year&gt;2024&lt;/Year&gt;&lt;RecNum&gt;222&lt;/RecNum&gt;&lt;DisplayText&gt;[1]&lt;/DisplayText&gt;&lt;record&gt;&lt;rec-number&gt;222&lt;/rec-number&gt;&lt;foreign-keys&gt;&lt;key app="EN" db-id="xwfww92pwfxxehedev4xvdpm9drd5txwv2rt" timestamp="1755321180"&gt;222&lt;/key&gt;&lt;/foreign-keys&gt;&lt;ref-type name="Journal Article"&gt;17&lt;/ref-type&gt;&lt;contributors&gt;&lt;authors&gt;&lt;author&gt;Rafnsdottir, Salvor&lt;/author&gt;&lt;author&gt;Jang, Kijin&lt;/author&gt;&lt;author&gt;Halldorsdottir, Sara Tholl&lt;/author&gt;&lt;author&gt;Vinod, Meghna&lt;/author&gt;&lt;author&gt;Tomasdottir, Arnhildur&lt;/author&gt;&lt;author&gt;Möller, Katrin&lt;/author&gt;&lt;author&gt;Halldorsdottir, Katrin&lt;/author&gt;&lt;author&gt;Reynisdottir, Tinna&lt;/author&gt;&lt;author&gt;Atladottir, Laufey Halla&lt;/author&gt;&lt;author&gt;Allison, Kristin Elisabet&lt;/author&gt;&lt;/authors&gt;&lt;/contributors&gt;&lt;titles&gt;&lt;title&gt;SMYD5 is a regulator of the mild hypothermia response&lt;/title&gt;&lt;secondary-title&gt;Cell reports&lt;/secondary-title&gt;&lt;/titles&gt;&lt;periodical&gt;&lt;full-title&gt;Cell reports&lt;/full-title&gt;&lt;/periodical&gt;&lt;volume&gt;43&lt;/volume&gt;&lt;number&gt;8&lt;/number&gt;&lt;dates&gt;&lt;year&gt;2024&lt;/year&gt;&lt;/dates&gt;&lt;isbn&gt;2211-1247&lt;/isbn&gt;&lt;urls&gt;&lt;/urls&gt;&lt;/record&gt;&lt;/Cite&gt;&lt;/EndNote&gt;</w:instrText>
      </w:r>
      <w:r w:rsidR="000B00CC">
        <w:rPr>
          <w:rFonts w:ascii="宋体" w:eastAsia="宋体" w:hAnsi="宋体" w:cs="宋体" w:hint="eastAsia"/>
          <w:color w:val="auto"/>
        </w:rPr>
        <w:fldChar w:fldCharType="separate"/>
      </w:r>
      <w:r w:rsidR="000B00CC">
        <w:rPr>
          <w:rFonts w:ascii="宋体" w:eastAsia="宋体" w:hAnsi="宋体" w:cs="宋体" w:hint="eastAsia"/>
          <w:noProof/>
          <w:color w:val="auto"/>
        </w:rPr>
        <w:t>[1]</w:t>
      </w:r>
      <w:r w:rsidR="000B00CC">
        <w:rPr>
          <w:rFonts w:ascii="宋体" w:eastAsia="宋体" w:hAnsi="宋体" w:cs="宋体" w:hint="eastAsia"/>
          <w:color w:val="auto"/>
        </w:rPr>
        <w:fldChar w:fldCharType="end"/>
      </w:r>
      <w:r w:rsidRPr="00CA742D">
        <w:rPr>
          <w:rFonts w:ascii="宋体" w:eastAsia="宋体" w:hAnsi="宋体" w:cs="宋体" w:hint="eastAsia"/>
          <w:color w:val="auto"/>
        </w:rPr>
        <w:t>。轻度低温也可促进后期神经前体细胞中再生相关基因包括Ncam1，Itgb1和Cdh2的表达</w:t>
      </w:r>
      <w:r w:rsidR="004D2FD6">
        <w:rPr>
          <w:rFonts w:ascii="宋体" w:eastAsia="宋体" w:hAnsi="宋体" w:cs="宋体" w:hint="eastAsia"/>
          <w:color w:val="auto"/>
        </w:rPr>
        <w:fldChar w:fldCharType="begin"/>
      </w:r>
      <w:r w:rsidR="004D2FD6">
        <w:rPr>
          <w:rFonts w:ascii="宋体" w:eastAsia="宋体" w:hAnsi="宋体" w:cs="宋体"/>
          <w:color w:val="auto"/>
        </w:rPr>
        <w:instrText xml:space="preserve"> ADDIN EN.CITE &lt;EndNote&gt;&lt;Cite&gt;&lt;Author&gt;Mitre</w:instrText>
      </w:r>
      <w:r w:rsidR="004D2FD6">
        <w:rPr>
          <w:rFonts w:ascii="Cambria" w:eastAsia="宋体" w:hAnsi="Cambria" w:cs="Cambria"/>
          <w:color w:val="auto"/>
        </w:rPr>
        <w:instrText>č</w:instrText>
      </w:r>
      <w:r w:rsidR="004D2FD6">
        <w:rPr>
          <w:rFonts w:ascii="宋体" w:eastAsia="宋体" w:hAnsi="宋体" w:cs="宋体"/>
          <w:color w:val="auto"/>
        </w:rPr>
        <w:instrText>i</w:instrText>
      </w:r>
      <w:r w:rsidR="004D2FD6">
        <w:rPr>
          <w:rFonts w:ascii="Cambria" w:eastAsia="宋体" w:hAnsi="Cambria" w:cs="Cambria"/>
          <w:color w:val="auto"/>
        </w:rPr>
        <w:instrText>ć</w:instrText>
      </w:r>
      <w:r w:rsidR="004D2FD6">
        <w:rPr>
          <w:rFonts w:ascii="宋体" w:eastAsia="宋体" w:hAnsi="宋体" w:cs="宋体"/>
          <w:color w:val="auto"/>
        </w:rPr>
        <w:instrText>&lt;/Author&gt;&lt;Year&gt;2025&lt;/Year&gt;&lt;RecNum&gt;223&lt;/RecNum&gt;&lt;DisplayText&gt;[2]&lt;/DisplayText&gt;&lt;record&gt;&lt;rec-number&gt;223&lt;/rec-number&gt;&lt;foreign-keys&gt;&lt;key app="EN" db-id="xwfww92pwfxxehedev4xvdpm9drd5txwv2rt" timestamp="1755321218"&gt;223&lt;/key&gt;&lt;/foreign-keys&gt;&lt;ref-type name="Journal Article"&gt;17&lt;/ref-type&gt;&lt;contributors&gt;&lt;authors&gt;&lt;author&gt;Mitre</w:instrText>
      </w:r>
      <w:r w:rsidR="004D2FD6">
        <w:rPr>
          <w:rFonts w:ascii="Cambria" w:eastAsia="宋体" w:hAnsi="Cambria" w:cs="Cambria"/>
          <w:color w:val="auto"/>
        </w:rPr>
        <w:instrText>č</w:instrText>
      </w:r>
      <w:r w:rsidR="004D2FD6">
        <w:rPr>
          <w:rFonts w:ascii="宋体" w:eastAsia="宋体" w:hAnsi="宋体" w:cs="宋体"/>
          <w:color w:val="auto"/>
        </w:rPr>
        <w:instrText>i</w:instrText>
      </w:r>
      <w:r w:rsidR="004D2FD6">
        <w:rPr>
          <w:rFonts w:ascii="Cambria" w:eastAsia="宋体" w:hAnsi="Cambria" w:cs="Cambria"/>
          <w:color w:val="auto"/>
        </w:rPr>
        <w:instrText>ć</w:instrText>
      </w:r>
      <w:r w:rsidR="004D2FD6">
        <w:rPr>
          <w:rFonts w:ascii="宋体" w:eastAsia="宋体" w:hAnsi="宋体" w:cs="宋体"/>
          <w:color w:val="auto"/>
        </w:rPr>
        <w:instrText>, Laura Dina&lt;/author&gt;&lt;author&gt;Park, Eliana Eunjoo&lt;/author&gt;&lt;author&gt;El-Hajj, Aya&lt;/author&gt;&lt;author&gt;Mitre</w:instrText>
      </w:r>
      <w:r w:rsidR="004D2FD6">
        <w:rPr>
          <w:rFonts w:ascii="Cambria" w:eastAsia="宋体" w:hAnsi="Cambria" w:cs="Cambria"/>
          <w:color w:val="auto"/>
        </w:rPr>
        <w:instrText>č</w:instrText>
      </w:r>
      <w:r w:rsidR="004D2FD6">
        <w:rPr>
          <w:rFonts w:ascii="宋体" w:eastAsia="宋体" w:hAnsi="宋体" w:cs="宋体"/>
          <w:color w:val="auto"/>
        </w:rPr>
        <w:instrText>i</w:instrText>
      </w:r>
      <w:r w:rsidR="004D2FD6">
        <w:rPr>
          <w:rFonts w:ascii="Cambria" w:eastAsia="宋体" w:hAnsi="Cambria" w:cs="Cambria"/>
          <w:color w:val="auto"/>
        </w:rPr>
        <w:instrText>ć</w:instrText>
      </w:r>
      <w:r w:rsidR="004D2FD6">
        <w:rPr>
          <w:rFonts w:ascii="宋体" w:eastAsia="宋体" w:hAnsi="宋体" w:cs="宋体"/>
          <w:color w:val="auto"/>
        </w:rPr>
        <w:instrText>, Dinko&lt;/author&gt;&lt;/authors&gt;&lt;/contributors&gt;&lt;tit</w:instrText>
      </w:r>
      <w:r w:rsidR="004D2FD6">
        <w:rPr>
          <w:rFonts w:ascii="宋体" w:eastAsia="宋体" w:hAnsi="宋体" w:cs="宋体" w:hint="eastAsia"/>
          <w:color w:val="auto"/>
        </w:rPr>
        <w:instrText>les&gt;&lt;title&gt;Mild hypothermia enhances regenerative gene expression in late-stage neural precursors&lt;/title&gt;&lt;secondary-title&gt;Medicine International&lt;/secondary-title&gt;&lt;/titles&gt;&lt;periodical&gt;&lt;full-title&gt;Medicine International&lt;/full-title&gt;&lt;/periodical&gt;&lt;pages&gt;53&lt;/pages&gt;&lt;volume&gt;5&lt;/volume&gt;&lt;number&gt;5&lt;/number&gt;&lt;dates&gt;&lt;year&gt;2025&lt;/year&gt;&lt;/dates&gt;&lt;isbn&gt;2754-3242&lt;/isbn&gt;&lt;urls&gt;&lt;/urls&gt;&lt;/record&gt;&lt;/Cite&gt;&lt;/EndNote&gt;</w:instrText>
      </w:r>
      <w:r w:rsidR="004D2FD6">
        <w:rPr>
          <w:rFonts w:ascii="宋体" w:eastAsia="宋体" w:hAnsi="宋体" w:cs="宋体" w:hint="eastAsia"/>
          <w:color w:val="auto"/>
        </w:rPr>
        <w:fldChar w:fldCharType="separate"/>
      </w:r>
      <w:r w:rsidR="004D2FD6">
        <w:rPr>
          <w:rFonts w:ascii="宋体" w:eastAsia="宋体" w:hAnsi="宋体" w:cs="宋体" w:hint="eastAsia"/>
          <w:noProof/>
          <w:color w:val="auto"/>
        </w:rPr>
        <w:t>[2]</w:t>
      </w:r>
      <w:r w:rsidR="004D2FD6">
        <w:rPr>
          <w:rFonts w:ascii="宋体" w:eastAsia="宋体" w:hAnsi="宋体" w:cs="宋体" w:hint="eastAsia"/>
          <w:color w:val="auto"/>
        </w:rPr>
        <w:fldChar w:fldCharType="end"/>
      </w:r>
      <w:r w:rsidRPr="00CA742D">
        <w:rPr>
          <w:rFonts w:ascii="宋体" w:eastAsia="宋体" w:hAnsi="宋体" w:cs="宋体" w:hint="eastAsia"/>
          <w:color w:val="auto"/>
        </w:rPr>
        <w:t>。中度低温可导致急性单核细胞白血病细胞冷休克基因CIRBP和RBM3等mRNA表达水平下降</w:t>
      </w:r>
      <w:r w:rsidR="00D04AD1">
        <w:rPr>
          <w:rFonts w:ascii="宋体" w:eastAsia="宋体" w:hAnsi="宋体" w:cs="宋体" w:hint="eastAsia"/>
          <w:color w:val="auto"/>
        </w:rPr>
        <w:fldChar w:fldCharType="begin"/>
      </w:r>
      <w:r w:rsidR="00D04AD1">
        <w:rPr>
          <w:rFonts w:ascii="宋体" w:eastAsia="宋体" w:hAnsi="宋体" w:cs="宋体" w:hint="eastAsia"/>
          <w:color w:val="auto"/>
        </w:rPr>
        <w:instrText xml:space="preserve"> ADDIN EN.CITE &lt;EndNote&gt;&lt;Cite&gt;&lt;Author&gt;Sonna&lt;/Author&gt;&lt;Year&gt;2006&lt;/Year&gt;&lt;RecNum&gt;225&lt;/RecNum&gt;&lt;DisplayText&gt;[3]&lt;/DisplayText&gt;&lt;record&gt;&lt;rec-number&gt;225&lt;/rec-number&gt;&lt;foreign-keys&gt;&lt;key app="EN" db-id="xwfww92pwfxxehedev4xvdpm9drd5txwv2rt" timestamp="1755321656"&gt;225&lt;/key&gt;&lt;/foreign-keys&gt;&lt;ref-type name="Journal Article"&gt;17&lt;/ref-type&gt;&lt;contributors&gt;&lt;authors&gt;&lt;author&gt;Sonna, Larry A&lt;/author&gt;&lt;author&gt;Kuhlmeier, Matthew M&lt;/author&gt;&lt;author&gt;Carter, Heather C&lt;/author&gt;&lt;author&gt;Hasday, Jeffrey D&lt;/author&gt;&lt;author&gt;Lilly, Craig M&lt;/author&gt;&lt;author&gt;Fairchild, Karen D&lt;/author&gt;&lt;/authors&gt;&lt;/contributors&gt;&lt;titles&gt;&lt;title&gt;Effect of moderate hypothermia on gene expression by THP-1 cells: a DNA microarray study&lt;/title&gt;&lt;secondary-title&gt;Physiological genomics&lt;/secondary-title&gt;&lt;/titles&gt;&lt;periodical&gt;&lt;full-title&gt;Physiological genomics&lt;/full-title&gt;&lt;/periodical&gt;&lt;pages&gt;91-98&lt;/pages&gt;&lt;volume&gt;26&lt;/volume&gt;&lt;number&gt;1&lt;/number&gt;&lt;dates&gt;&lt;year&gt;2006&lt;/year&gt;&lt;/dates&gt;&lt;isbn&gt;1094-8341&lt;/isbn&gt;&lt;urls&gt;&lt;/urls&gt;&lt;/record&gt;&lt;/Cite&gt;&lt;/EndNote&gt;</w:instrText>
      </w:r>
      <w:r w:rsidR="00D04AD1">
        <w:rPr>
          <w:rFonts w:ascii="宋体" w:eastAsia="宋体" w:hAnsi="宋体" w:cs="宋体" w:hint="eastAsia"/>
          <w:color w:val="auto"/>
        </w:rPr>
        <w:fldChar w:fldCharType="separate"/>
      </w:r>
      <w:r w:rsidR="00D04AD1">
        <w:rPr>
          <w:rFonts w:ascii="宋体" w:eastAsia="宋体" w:hAnsi="宋体" w:cs="宋体" w:hint="eastAsia"/>
          <w:noProof/>
          <w:color w:val="auto"/>
        </w:rPr>
        <w:t>[3]</w:t>
      </w:r>
      <w:r w:rsidR="00D04AD1">
        <w:rPr>
          <w:rFonts w:ascii="宋体" w:eastAsia="宋体" w:hAnsi="宋体" w:cs="宋体" w:hint="eastAsia"/>
          <w:color w:val="auto"/>
        </w:rPr>
        <w:fldChar w:fldCharType="end"/>
      </w:r>
      <w:r w:rsidRPr="00CA742D">
        <w:rPr>
          <w:rFonts w:ascii="宋体" w:eastAsia="宋体" w:hAnsi="宋体" w:cs="宋体" w:hint="eastAsia"/>
          <w:color w:val="auto"/>
        </w:rPr>
        <w:t>。重度低温可导致大脑皮层神经细胞中与</w:t>
      </w:r>
      <w:proofErr w:type="gramStart"/>
      <w:r w:rsidRPr="00CA742D">
        <w:rPr>
          <w:rFonts w:ascii="宋体" w:eastAsia="宋体" w:hAnsi="宋体" w:cs="宋体" w:hint="eastAsia"/>
          <w:color w:val="auto"/>
        </w:rPr>
        <w:t>铁死亡</w:t>
      </w:r>
      <w:proofErr w:type="gramEnd"/>
      <w:r w:rsidRPr="00CA742D">
        <w:rPr>
          <w:rFonts w:ascii="宋体" w:eastAsia="宋体" w:hAnsi="宋体" w:cs="宋体" w:hint="eastAsia"/>
          <w:color w:val="auto"/>
        </w:rPr>
        <w:t>相关的基因（如 PPARG、SCD、ADIPOQ、SAT1、EGR1 和 HMOX1）发生显著变化。这些变化会导致铁离子积累、脂质过氧化以及</w:t>
      </w:r>
      <w:proofErr w:type="gramStart"/>
      <w:r w:rsidRPr="00CA742D">
        <w:rPr>
          <w:rFonts w:ascii="宋体" w:eastAsia="宋体" w:hAnsi="宋体" w:cs="宋体" w:hint="eastAsia"/>
          <w:color w:val="auto"/>
        </w:rPr>
        <w:t>铁死亡</w:t>
      </w:r>
      <w:proofErr w:type="gramEnd"/>
      <w:r w:rsidRPr="00CA742D">
        <w:rPr>
          <w:rFonts w:ascii="宋体" w:eastAsia="宋体" w:hAnsi="宋体" w:cs="宋体" w:hint="eastAsia"/>
          <w:color w:val="auto"/>
        </w:rPr>
        <w:t>相关蛋白的显著表达</w:t>
      </w:r>
      <w:r w:rsidR="00623BC1">
        <w:rPr>
          <w:rFonts w:ascii="宋体" w:eastAsia="宋体" w:hAnsi="宋体" w:cs="宋体" w:hint="eastAsia"/>
          <w:color w:val="auto"/>
        </w:rPr>
        <w:fldChar w:fldCharType="begin"/>
      </w:r>
      <w:r w:rsidR="00623BC1">
        <w:rPr>
          <w:rFonts w:ascii="宋体" w:eastAsia="宋体" w:hAnsi="宋体" w:cs="宋体" w:hint="eastAsia"/>
          <w:color w:val="auto"/>
        </w:rPr>
        <w:instrText xml:space="preserve"> ADDIN EN.CITE &lt;EndNote&gt;&lt;Cite&gt;&lt;Author&gt;Lu&lt;/Author&gt;&lt;Year&gt;2024&lt;/Year&gt;&lt;RecNum&gt;226&lt;/RecNum&gt;&lt;DisplayText&gt;[4]&lt;/DisplayText&gt;&lt;record&gt;&lt;rec-number&gt;226&lt;/rec-number&gt;&lt;foreign-keys&gt;&lt;key app="EN" db-id="xwfww92pwfxxehedev4xvdpm9drd5txwv2rt" timestamp="1755321681"&gt;226&lt;/key&gt;&lt;/foreign-keys&gt;&lt;ref-type name="Journal Article"&gt;17&lt;/ref-type&gt;&lt;contributors&gt;&lt;authors&gt;&lt;author&gt;Lu, Chao-Long&lt;/author&gt;&lt;author&gt;Sha, Jing-Jing&lt;/author&gt;&lt;author&gt;Ma, Ru-Fei&lt;/author&gt;&lt;author&gt;Dong, Xue-Tong&lt;/author&gt;&lt;author&gt;Su, Xiao-Rui&lt;/author&gt;&lt;author&gt;Cong, Bin&lt;/author&gt;&lt;author&gt;Wang, Song-Jun&lt;/author&gt;&lt;/authors&gt;&lt;/contributors&gt;&lt;titles&gt;&lt;title&gt;Severe hypothermia induces ferroptosis in cerebral cortical nerve cells&lt;/title&gt;&lt;secondary-title&gt;International Journal of Molecular Sciences&lt;/secondary-title&gt;&lt;/titles&gt;&lt;periodical&gt;&lt;full-title&gt;International journal of molecular sciences&lt;/full-title&gt;&lt;/periodical&gt;&lt;pages&gt;8086&lt;/pages&gt;&lt;volume&gt;25&lt;/volume&gt;&lt;number&gt;15&lt;/number&gt;&lt;dates&gt;&lt;year&gt;2024&lt;/year&gt;&lt;/dates&gt;&lt;isbn&gt;1422-0067&lt;/isbn&gt;&lt;urls&gt;&lt;/urls&gt;&lt;/record&gt;&lt;/Cite&gt;&lt;/EndNote&gt;</w:instrText>
      </w:r>
      <w:r w:rsidR="00623BC1">
        <w:rPr>
          <w:rFonts w:ascii="宋体" w:eastAsia="宋体" w:hAnsi="宋体" w:cs="宋体" w:hint="eastAsia"/>
          <w:color w:val="auto"/>
        </w:rPr>
        <w:fldChar w:fldCharType="separate"/>
      </w:r>
      <w:r w:rsidR="00623BC1">
        <w:rPr>
          <w:rFonts w:ascii="宋体" w:eastAsia="宋体" w:hAnsi="宋体" w:cs="宋体" w:hint="eastAsia"/>
          <w:noProof/>
          <w:color w:val="auto"/>
        </w:rPr>
        <w:t>[4]</w:t>
      </w:r>
      <w:r w:rsidR="00623BC1">
        <w:rPr>
          <w:rFonts w:ascii="宋体" w:eastAsia="宋体" w:hAnsi="宋体" w:cs="宋体" w:hint="eastAsia"/>
          <w:color w:val="auto"/>
        </w:rPr>
        <w:fldChar w:fldCharType="end"/>
      </w:r>
      <w:r w:rsidRPr="00CA742D">
        <w:rPr>
          <w:rFonts w:ascii="宋体" w:eastAsia="宋体" w:hAnsi="宋体" w:cs="宋体" w:hint="eastAsia"/>
          <w:color w:val="auto"/>
        </w:rPr>
        <w:t>。然而，在接受低温治疗后的围产期窒息患儿的淋巴细胞中与Alzheimer</w:t>
      </w:r>
      <w:proofErr w:type="gramStart"/>
      <w:r w:rsidRPr="00CA742D">
        <w:rPr>
          <w:rFonts w:ascii="宋体" w:eastAsia="宋体" w:hAnsi="宋体" w:cs="宋体" w:hint="eastAsia"/>
          <w:color w:val="auto"/>
        </w:rPr>
        <w:t>’</w:t>
      </w:r>
      <w:proofErr w:type="gramEnd"/>
      <w:r w:rsidRPr="00CA742D">
        <w:rPr>
          <w:rFonts w:ascii="宋体" w:eastAsia="宋体" w:hAnsi="宋体" w:cs="宋体" w:hint="eastAsia"/>
          <w:color w:val="auto"/>
        </w:rPr>
        <w:t>s病相关amyloid protein precursor和β-secretase等基因表达没有变化。可能这些基因可作为大脑在窒息后出现的进行性病理变化的生物标志物，但是这些变化不受低温的影响</w:t>
      </w:r>
      <w:r w:rsidR="0068609D">
        <w:rPr>
          <w:rFonts w:ascii="宋体" w:eastAsia="宋体" w:hAnsi="宋体" w:cs="宋体" w:hint="eastAsia"/>
          <w:color w:val="auto"/>
        </w:rPr>
        <w:fldChar w:fldCharType="begin"/>
      </w:r>
      <w:r w:rsidR="0068609D">
        <w:rPr>
          <w:rFonts w:ascii="宋体" w:eastAsia="宋体" w:hAnsi="宋体" w:cs="宋体" w:hint="eastAsia"/>
          <w:color w:val="auto"/>
        </w:rPr>
        <w:instrText xml:space="preserve"> ADDIN EN.CITE &lt;EndNote&gt;&lt;Cite&gt;&lt;Author&gt;Tarkowska&lt;/Author&gt;&lt;Year&gt;2022&lt;/Year&gt;&lt;RecNum&gt;227&lt;/RecNum&gt;&lt;DisplayText&gt;[5]&lt;/DisplayText&gt;&lt;record&gt;&lt;rec-number&gt;227&lt;/rec-number&gt;&lt;foreign-keys&gt;&lt;key app="EN" db-id="xwfww92pwfxxehedev4xvdpm9drd5txwv2rt" timestamp="1755321705"&gt;</w:instrText>
      </w:r>
      <w:r w:rsidR="0068609D">
        <w:rPr>
          <w:rFonts w:ascii="宋体" w:eastAsia="宋体" w:hAnsi="宋体" w:cs="宋体"/>
          <w:color w:val="auto"/>
        </w:rPr>
        <w:instrText>227&lt;/key&gt;&lt;/foreign-keys&gt;&lt;ref-type name="Journal Article"&gt;17&lt;/ref-type&gt;&lt;contributors&gt;&lt;authors&gt;&lt;author&gt;Tarkowska, Agata&lt;/author&gt;&lt;author&gt;Furmaga-Jab</w:instrText>
      </w:r>
      <w:r w:rsidR="0068609D">
        <w:rPr>
          <w:rFonts w:ascii="Cambria" w:eastAsia="宋体" w:hAnsi="Cambria" w:cs="Cambria"/>
          <w:color w:val="auto"/>
        </w:rPr>
        <w:instrText>ł</w:instrText>
      </w:r>
      <w:r w:rsidR="0068609D">
        <w:rPr>
          <w:rFonts w:ascii="宋体" w:eastAsia="宋体" w:hAnsi="宋体" w:cs="宋体"/>
          <w:color w:val="auto"/>
        </w:rPr>
        <w:instrText>o</w:instrText>
      </w:r>
      <w:r w:rsidR="0068609D">
        <w:rPr>
          <w:rFonts w:ascii="宋体" w:eastAsia="宋体" w:hAnsi="宋体" w:cs="宋体" w:hint="eastAsia"/>
          <w:color w:val="auto"/>
        </w:rPr>
        <w:instrText>ń</w:instrText>
      </w:r>
      <w:r w:rsidR="0068609D">
        <w:rPr>
          <w:rFonts w:ascii="宋体" w:eastAsia="宋体" w:hAnsi="宋体" w:cs="宋体"/>
          <w:color w:val="auto"/>
        </w:rPr>
        <w:instrText>ska, Wanda&lt;/author&gt;&lt;author&gt;Bogucki, Jacek&lt;/author&gt;&lt;author&gt;Kocki, Janusz&lt;/author&gt;&lt;author&gt;Pluta, Ryszard&lt;/aut</w:instrText>
      </w:r>
      <w:r w:rsidR="0068609D">
        <w:rPr>
          <w:rFonts w:ascii="宋体" w:eastAsia="宋体" w:hAnsi="宋体" w:cs="宋体" w:hint="eastAsia"/>
          <w:color w:val="auto"/>
        </w:rPr>
        <w:instrText>hor&gt;&lt;/authors&gt;&lt;/contributors&gt;&lt;titles&gt;&lt;title&gt;Hypothermia after perinatal asphyxia does not affect genes responsible for amyloid production in neonatal peripheral lymphocytes&lt;/title&gt;&lt;secondary-title&gt;Journal of Clinical Medicine&lt;/secondary-title&gt;&lt;/titles&gt;&lt;periodical&gt;&lt;full-title&gt;Journal of Clinical Medicine&lt;/full-title&gt;&lt;/periodical&gt;&lt;pages&gt;3263&lt;/pages&gt;&lt;volume&gt;11&lt;/volume&gt;&lt;number&gt;12&lt;/number&gt;&lt;dates&gt;&lt;year&gt;2022&lt;/year&gt;&lt;/dates&gt;&lt;isbn&gt;2077-0383&lt;/isbn&gt;&lt;urls&gt;&lt;/urls&gt;&lt;/record&gt;&lt;/Cite&gt;&lt;/EndNote&gt;</w:instrText>
      </w:r>
      <w:r w:rsidR="0068609D">
        <w:rPr>
          <w:rFonts w:ascii="宋体" w:eastAsia="宋体" w:hAnsi="宋体" w:cs="宋体" w:hint="eastAsia"/>
          <w:color w:val="auto"/>
        </w:rPr>
        <w:fldChar w:fldCharType="separate"/>
      </w:r>
      <w:r w:rsidR="0068609D">
        <w:rPr>
          <w:rFonts w:ascii="宋体" w:eastAsia="宋体" w:hAnsi="宋体" w:cs="宋体" w:hint="eastAsia"/>
          <w:noProof/>
          <w:color w:val="auto"/>
        </w:rPr>
        <w:t>[5]</w:t>
      </w:r>
      <w:r w:rsidR="0068609D">
        <w:rPr>
          <w:rFonts w:ascii="宋体" w:eastAsia="宋体" w:hAnsi="宋体" w:cs="宋体" w:hint="eastAsia"/>
          <w:color w:val="auto"/>
        </w:rPr>
        <w:fldChar w:fldCharType="end"/>
      </w:r>
      <w:r w:rsidRPr="00CA742D">
        <w:rPr>
          <w:rFonts w:ascii="宋体" w:eastAsia="宋体" w:hAnsi="宋体" w:cs="宋体" w:hint="eastAsia"/>
          <w:color w:val="auto"/>
        </w:rPr>
        <w:t>。目前低温</w:t>
      </w:r>
      <w:proofErr w:type="gramStart"/>
      <w:r w:rsidRPr="00CA742D">
        <w:rPr>
          <w:rFonts w:ascii="宋体" w:eastAsia="宋体" w:hAnsi="宋体" w:cs="宋体" w:hint="eastAsia"/>
          <w:color w:val="auto"/>
        </w:rPr>
        <w:t>症相关</w:t>
      </w:r>
      <w:proofErr w:type="gramEnd"/>
      <w:r w:rsidRPr="00CA742D">
        <w:rPr>
          <w:rFonts w:ascii="宋体" w:eastAsia="宋体" w:hAnsi="宋体" w:cs="宋体" w:hint="eastAsia"/>
          <w:color w:val="auto"/>
        </w:rPr>
        <w:t>基因及有效药物机制还没有研究清楚。本研究旨在通过整合多种公共数据集，挖掘低温症潜在治疗靶点及药物，为低温症有效治疗提供理论支持。</w:t>
      </w:r>
    </w:p>
    <w:p w14:paraId="23DDACEE" w14:textId="15958EC4"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b/>
          <w:bCs/>
          <w:color w:val="auto"/>
        </w:rPr>
      </w:pPr>
      <w:r w:rsidRPr="00CA742D">
        <w:rPr>
          <w:rFonts w:ascii="宋体" w:eastAsia="宋体" w:hAnsi="宋体" w:cs="宋体" w:hint="eastAsia"/>
          <w:b/>
          <w:bCs/>
          <w:color w:val="auto"/>
        </w:rPr>
        <w:t xml:space="preserve">方法 </w:t>
      </w:r>
      <w:r w:rsidR="00514EB2">
        <w:rPr>
          <w:rFonts w:ascii="宋体" w:eastAsia="宋体" w:hAnsi="宋体" w:cs="宋体" w:hint="eastAsia"/>
          <w:b/>
          <w:bCs/>
          <w:color w:val="auto"/>
        </w:rPr>
        <w:t>：</w:t>
      </w:r>
    </w:p>
    <w:p w14:paraId="0A3FEA93" w14:textId="77777777"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color w:val="auto"/>
        </w:rPr>
      </w:pPr>
      <w:r w:rsidRPr="00CA742D">
        <w:rPr>
          <w:rFonts w:ascii="宋体" w:eastAsia="宋体" w:hAnsi="宋体" w:cs="宋体" w:hint="eastAsia"/>
          <w:color w:val="auto"/>
        </w:rPr>
        <w:t>通过整合药物基因组数据、人类血液、骨骼肌、脂肪及心脏组织的 cis-</w:t>
      </w:r>
      <w:proofErr w:type="spellStart"/>
      <w:r w:rsidRPr="00CA742D">
        <w:rPr>
          <w:rFonts w:ascii="宋体" w:eastAsia="宋体" w:hAnsi="宋体" w:cs="宋体" w:hint="eastAsia"/>
          <w:color w:val="auto"/>
        </w:rPr>
        <w:t>eQTL</w:t>
      </w:r>
      <w:proofErr w:type="spellEnd"/>
      <w:r w:rsidRPr="00CA742D">
        <w:rPr>
          <w:rFonts w:ascii="宋体" w:eastAsia="宋体" w:hAnsi="宋体" w:cs="宋体" w:hint="eastAsia"/>
          <w:color w:val="auto"/>
        </w:rPr>
        <w:t>/cis-</w:t>
      </w:r>
      <w:proofErr w:type="spellStart"/>
      <w:r w:rsidRPr="00CA742D">
        <w:rPr>
          <w:rFonts w:ascii="宋体" w:eastAsia="宋体" w:hAnsi="宋体" w:cs="宋体" w:hint="eastAsia"/>
          <w:color w:val="auto"/>
        </w:rPr>
        <w:t>pQTL</w:t>
      </w:r>
      <w:proofErr w:type="spellEnd"/>
      <w:r w:rsidRPr="00CA742D">
        <w:rPr>
          <w:rFonts w:ascii="宋体" w:eastAsia="宋体" w:hAnsi="宋体" w:cs="宋体" w:hint="eastAsia"/>
          <w:color w:val="auto"/>
        </w:rPr>
        <w:t xml:space="preserve"> 数据，结合</w:t>
      </w:r>
      <w:proofErr w:type="gramStart"/>
      <w:r w:rsidRPr="00CA742D">
        <w:rPr>
          <w:rFonts w:ascii="宋体" w:eastAsia="宋体" w:hAnsi="宋体" w:cs="宋体" w:hint="eastAsia"/>
          <w:color w:val="auto"/>
        </w:rPr>
        <w:t>低温症全基因组</w:t>
      </w:r>
      <w:proofErr w:type="gramEnd"/>
      <w:r w:rsidRPr="00CA742D">
        <w:rPr>
          <w:rFonts w:ascii="宋体" w:eastAsia="宋体" w:hAnsi="宋体" w:cs="宋体" w:hint="eastAsia"/>
          <w:color w:val="auto"/>
        </w:rPr>
        <w:t>关联研究（GWAS）汇总数据，分析与低温</w:t>
      </w:r>
      <w:proofErr w:type="gramStart"/>
      <w:r w:rsidRPr="00CA742D">
        <w:rPr>
          <w:rFonts w:ascii="宋体" w:eastAsia="宋体" w:hAnsi="宋体" w:cs="宋体" w:hint="eastAsia"/>
          <w:color w:val="auto"/>
        </w:rPr>
        <w:t>症相关</w:t>
      </w:r>
      <w:proofErr w:type="gramEnd"/>
      <w:r w:rsidRPr="00CA742D">
        <w:rPr>
          <w:rFonts w:ascii="宋体" w:eastAsia="宋体" w:hAnsi="宋体" w:cs="宋体" w:hint="eastAsia"/>
          <w:color w:val="auto"/>
        </w:rPr>
        <w:t>的潜在药物靶基</w:t>
      </w:r>
      <w:r w:rsidRPr="00CA742D">
        <w:rPr>
          <w:rFonts w:ascii="宋体" w:eastAsia="宋体" w:hAnsi="宋体" w:cs="宋体" w:hint="eastAsia"/>
          <w:color w:val="auto"/>
        </w:rPr>
        <w:lastRenderedPageBreak/>
        <w:t>因。通过敏感性分析和贝叶斯共定位验证结果，并利用机器学习随机森林算法和差异分析等方法进一步筛选关键基因，结合现有数据评估靶基因的成药性。</w:t>
      </w:r>
    </w:p>
    <w:p w14:paraId="5116C126" w14:textId="09466B64"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b/>
          <w:bCs/>
          <w:color w:val="auto"/>
        </w:rPr>
      </w:pPr>
      <w:r w:rsidRPr="00CA742D">
        <w:rPr>
          <w:rFonts w:ascii="宋体" w:eastAsia="宋体" w:hAnsi="宋体" w:cs="宋体" w:hint="eastAsia"/>
          <w:b/>
          <w:bCs/>
          <w:color w:val="auto"/>
        </w:rPr>
        <w:t xml:space="preserve">结果 </w:t>
      </w:r>
      <w:r w:rsidR="00514EB2">
        <w:rPr>
          <w:rFonts w:ascii="宋体" w:eastAsia="宋体" w:hAnsi="宋体" w:cs="宋体" w:hint="eastAsia"/>
          <w:b/>
          <w:bCs/>
          <w:color w:val="auto"/>
        </w:rPr>
        <w:t>：</w:t>
      </w:r>
    </w:p>
    <w:p w14:paraId="70FCAE09" w14:textId="33FD4DCF"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color w:val="auto"/>
        </w:rPr>
      </w:pPr>
      <w:r w:rsidRPr="00CA742D">
        <w:rPr>
          <w:rFonts w:ascii="宋体" w:eastAsia="宋体" w:hAnsi="宋体" w:cs="宋体" w:hint="eastAsia"/>
          <w:color w:val="auto"/>
        </w:rPr>
        <w:t>从</w:t>
      </w:r>
      <w:proofErr w:type="spellStart"/>
      <w:r w:rsidRPr="00CA742D">
        <w:rPr>
          <w:rFonts w:ascii="宋体" w:eastAsia="宋体" w:hAnsi="宋体" w:cs="宋体" w:hint="eastAsia"/>
          <w:color w:val="auto"/>
        </w:rPr>
        <w:t>DGIdb</w:t>
      </w:r>
      <w:proofErr w:type="spellEnd"/>
      <w:r w:rsidRPr="00CA742D">
        <w:rPr>
          <w:rFonts w:ascii="宋体" w:eastAsia="宋体" w:hAnsi="宋体" w:cs="宋体" w:hint="eastAsia"/>
          <w:color w:val="auto"/>
        </w:rPr>
        <w:t>数据库和已有研究中获得了2532个已知的成药基因，其中血液表达数量性状座位(</w:t>
      </w:r>
      <w:proofErr w:type="spellStart"/>
      <w:r w:rsidRPr="00CA742D">
        <w:rPr>
          <w:rFonts w:ascii="宋体" w:eastAsia="宋体" w:hAnsi="宋体" w:cs="宋体" w:hint="eastAsia"/>
          <w:color w:val="auto"/>
        </w:rPr>
        <w:t>eqtl</w:t>
      </w:r>
      <w:proofErr w:type="spellEnd"/>
      <w:r w:rsidRPr="00CA742D">
        <w:rPr>
          <w:rFonts w:ascii="宋体" w:eastAsia="宋体" w:hAnsi="宋体" w:cs="宋体" w:hint="eastAsia"/>
          <w:color w:val="auto"/>
        </w:rPr>
        <w:t>)和蛋白质数量性状座位(</w:t>
      </w:r>
      <w:proofErr w:type="spellStart"/>
      <w:r w:rsidRPr="00CA742D">
        <w:rPr>
          <w:rFonts w:ascii="宋体" w:eastAsia="宋体" w:hAnsi="宋体" w:cs="宋体" w:hint="eastAsia"/>
          <w:color w:val="auto"/>
        </w:rPr>
        <w:t>pqtl</w:t>
      </w:r>
      <w:proofErr w:type="spellEnd"/>
      <w:r w:rsidRPr="00CA742D">
        <w:rPr>
          <w:rFonts w:ascii="宋体" w:eastAsia="宋体" w:hAnsi="宋体" w:cs="宋体" w:hint="eastAsia"/>
          <w:color w:val="auto"/>
        </w:rPr>
        <w:t xml:space="preserve">)分别有870,655snp和1,535基因，11,4281snp和1,045基因;脂肪、肌肉和心脏共有2,379snp和1，196基因。通过分析发现4 </w:t>
      </w:r>
      <w:proofErr w:type="gramStart"/>
      <w:r w:rsidRPr="00CA742D">
        <w:rPr>
          <w:rFonts w:ascii="宋体" w:eastAsia="宋体" w:hAnsi="宋体" w:cs="宋体" w:hint="eastAsia"/>
          <w:color w:val="auto"/>
        </w:rPr>
        <w:t>个</w:t>
      </w:r>
      <w:proofErr w:type="gramEnd"/>
      <w:r w:rsidRPr="00CA742D">
        <w:rPr>
          <w:rFonts w:ascii="宋体" w:eastAsia="宋体" w:hAnsi="宋体" w:cs="宋体" w:hint="eastAsia"/>
          <w:color w:val="auto"/>
        </w:rPr>
        <w:t>与低温症存在潜在因果关联的候选基因，分别为 COL18A1、SLC1A7、ADIPOQ 和 MERTK。这些基因均通过逆方差加权法筛选得到，并经贝叶斯共定位验证（PPH4 &gt; 90%）。其中：COL18A1 基因表达升高与低温</w:t>
      </w:r>
      <w:proofErr w:type="gramStart"/>
      <w:r w:rsidRPr="00CA742D">
        <w:rPr>
          <w:rFonts w:ascii="宋体" w:eastAsia="宋体" w:hAnsi="宋体" w:cs="宋体" w:hint="eastAsia"/>
          <w:color w:val="auto"/>
        </w:rPr>
        <w:t>症风险</w:t>
      </w:r>
      <w:proofErr w:type="gramEnd"/>
      <w:r w:rsidRPr="00CA742D">
        <w:rPr>
          <w:rFonts w:ascii="宋体" w:eastAsia="宋体" w:hAnsi="宋体" w:cs="宋体" w:hint="eastAsia"/>
          <w:color w:val="auto"/>
        </w:rPr>
        <w:t>增加相关〔</w:t>
      </w:r>
      <w:r w:rsidRPr="00CA742D">
        <w:rPr>
          <w:rFonts w:ascii="宋体" w:eastAsia="宋体" w:hAnsi="宋体" w:cs="宋体"/>
          <w:color w:val="auto"/>
        </w:rPr>
        <w:t>beta: 0.0046</w:t>
      </w:r>
      <w:r w:rsidRPr="00CA742D">
        <w:rPr>
          <w:rFonts w:ascii="宋体" w:eastAsia="宋体" w:hAnsi="宋体" w:cs="宋体" w:hint="eastAsia"/>
          <w:color w:val="auto"/>
        </w:rPr>
        <w:t>，</w:t>
      </w:r>
      <w:r w:rsidRPr="00CA742D">
        <w:rPr>
          <w:rFonts w:ascii="宋体" w:eastAsia="宋体" w:hAnsi="宋体" w:cs="宋体"/>
          <w:color w:val="auto"/>
        </w:rPr>
        <w:t>95% CI: 0.0003-0.0090</w:t>
      </w:r>
      <w:r w:rsidRPr="00CA742D">
        <w:rPr>
          <w:rFonts w:ascii="宋体" w:eastAsia="宋体" w:hAnsi="宋体" w:cs="宋体" w:hint="eastAsia"/>
          <w:color w:val="auto"/>
        </w:rPr>
        <w:t>，</w:t>
      </w:r>
      <w:r w:rsidRPr="00CA742D">
        <w:rPr>
          <w:rFonts w:ascii="宋体" w:eastAsia="宋体" w:hAnsi="宋体" w:cs="宋体"/>
          <w:color w:val="auto"/>
        </w:rPr>
        <w:t>P = 3.8×10</w:t>
      </w:r>
      <w:r w:rsidRPr="00CA742D">
        <w:rPr>
          <w:rFonts w:ascii="Cambria Math" w:eastAsia="宋体" w:hAnsi="Cambria Math" w:cs="Cambria Math"/>
          <w:color w:val="auto"/>
        </w:rPr>
        <w:t>⁻</w:t>
      </w:r>
      <w:r w:rsidRPr="00CA742D">
        <w:rPr>
          <w:rFonts w:ascii="宋体" w:eastAsia="宋体" w:hAnsi="宋体" w:cs="宋体" w:hint="eastAsia"/>
          <w:color w:val="auto"/>
        </w:rPr>
        <w:t>²，</w:t>
      </w:r>
      <w:r w:rsidRPr="00CA742D">
        <w:rPr>
          <w:rFonts w:ascii="宋体" w:eastAsia="宋体" w:hAnsi="宋体" w:cs="宋体"/>
          <w:color w:val="auto"/>
        </w:rPr>
        <w:t>OR: 1.0047</w:t>
      </w:r>
      <w:r w:rsidRPr="00CA742D">
        <w:rPr>
          <w:rFonts w:ascii="宋体" w:eastAsia="宋体" w:hAnsi="宋体" w:cs="宋体" w:hint="eastAsia"/>
          <w:color w:val="auto"/>
        </w:rPr>
        <w:t>，</w:t>
      </w:r>
      <w:r w:rsidRPr="00CA742D">
        <w:rPr>
          <w:rFonts w:ascii="宋体" w:eastAsia="宋体" w:hAnsi="宋体" w:cs="宋体"/>
          <w:color w:val="auto"/>
        </w:rPr>
        <w:t>95% CI: 1.0003-1.0091</w:t>
      </w:r>
      <w:r w:rsidRPr="00CA742D">
        <w:rPr>
          <w:rFonts w:ascii="宋体" w:eastAsia="宋体" w:hAnsi="宋体" w:cs="宋体" w:hint="eastAsia"/>
          <w:color w:val="auto"/>
        </w:rPr>
        <w:t>〕；</w:t>
      </w:r>
      <w:r w:rsidRPr="00CA742D">
        <w:rPr>
          <w:rFonts w:ascii="宋体" w:eastAsia="宋体" w:hAnsi="宋体" w:cs="宋体"/>
          <w:color w:val="auto"/>
        </w:rPr>
        <w:t xml:space="preserve">SLC1A7 </w:t>
      </w:r>
      <w:r w:rsidRPr="00CA742D">
        <w:rPr>
          <w:rFonts w:ascii="宋体" w:eastAsia="宋体" w:hAnsi="宋体" w:cs="宋体" w:hint="eastAsia"/>
          <w:color w:val="auto"/>
        </w:rPr>
        <w:t>基因表达升高与低温</w:t>
      </w:r>
      <w:proofErr w:type="gramStart"/>
      <w:r w:rsidRPr="00CA742D">
        <w:rPr>
          <w:rFonts w:ascii="宋体" w:eastAsia="宋体" w:hAnsi="宋体" w:cs="宋体" w:hint="eastAsia"/>
          <w:color w:val="auto"/>
        </w:rPr>
        <w:t>症风险</w:t>
      </w:r>
      <w:proofErr w:type="gramEnd"/>
      <w:r w:rsidRPr="00CA742D">
        <w:rPr>
          <w:rFonts w:ascii="宋体" w:eastAsia="宋体" w:hAnsi="宋体" w:cs="宋体" w:hint="eastAsia"/>
          <w:color w:val="auto"/>
        </w:rPr>
        <w:t>降低相关〔</w:t>
      </w:r>
      <w:r w:rsidRPr="00CA742D">
        <w:rPr>
          <w:rFonts w:ascii="宋体" w:eastAsia="宋体" w:hAnsi="宋体" w:cs="宋体"/>
          <w:color w:val="auto"/>
        </w:rPr>
        <w:t>beta: -0.99</w:t>
      </w:r>
      <w:r w:rsidRPr="00CA742D">
        <w:rPr>
          <w:rFonts w:ascii="宋体" w:eastAsia="宋体" w:hAnsi="宋体" w:cs="宋体" w:hint="eastAsia"/>
          <w:color w:val="auto"/>
        </w:rPr>
        <w:t>，</w:t>
      </w:r>
      <w:r w:rsidRPr="00CA742D">
        <w:rPr>
          <w:rFonts w:ascii="宋体" w:eastAsia="宋体" w:hAnsi="宋体" w:cs="宋体"/>
          <w:color w:val="auto"/>
        </w:rPr>
        <w:t>95% CI: -1.51--0.47</w:t>
      </w:r>
      <w:r w:rsidRPr="00CA742D">
        <w:rPr>
          <w:rFonts w:ascii="宋体" w:eastAsia="宋体" w:hAnsi="宋体" w:cs="宋体" w:hint="eastAsia"/>
          <w:color w:val="auto"/>
        </w:rPr>
        <w:t>，</w:t>
      </w:r>
      <w:r w:rsidRPr="00CA742D">
        <w:rPr>
          <w:rFonts w:ascii="宋体" w:eastAsia="宋体" w:hAnsi="宋体" w:cs="宋体"/>
          <w:color w:val="auto"/>
        </w:rPr>
        <w:t>P = 1.9×10</w:t>
      </w:r>
      <w:r w:rsidRPr="00CA742D">
        <w:rPr>
          <w:rFonts w:ascii="Cambria Math" w:eastAsia="宋体" w:hAnsi="Cambria Math" w:cs="Cambria Math"/>
          <w:color w:val="auto"/>
        </w:rPr>
        <w:t>⁻⁴</w:t>
      </w:r>
      <w:r w:rsidRPr="00CA742D">
        <w:rPr>
          <w:rFonts w:ascii="宋体" w:eastAsia="宋体" w:hAnsi="宋体" w:cs="宋体" w:hint="eastAsia"/>
          <w:color w:val="auto"/>
        </w:rPr>
        <w:t>，</w:t>
      </w:r>
      <w:r w:rsidRPr="00CA742D">
        <w:rPr>
          <w:rFonts w:ascii="宋体" w:eastAsia="宋体" w:hAnsi="宋体" w:cs="宋体"/>
          <w:color w:val="auto"/>
        </w:rPr>
        <w:t>OR: 0.37</w:t>
      </w:r>
      <w:r w:rsidRPr="00CA742D">
        <w:rPr>
          <w:rFonts w:ascii="宋体" w:eastAsia="宋体" w:hAnsi="宋体" w:cs="宋体" w:hint="eastAsia"/>
          <w:color w:val="auto"/>
        </w:rPr>
        <w:t>，</w:t>
      </w:r>
      <w:r w:rsidRPr="00CA742D">
        <w:rPr>
          <w:rFonts w:ascii="宋体" w:eastAsia="宋体" w:hAnsi="宋体" w:cs="宋体"/>
          <w:color w:val="auto"/>
        </w:rPr>
        <w:t>95% CI: 0.22-0.62</w:t>
      </w:r>
      <w:r w:rsidRPr="00CA742D">
        <w:rPr>
          <w:rFonts w:ascii="宋体" w:eastAsia="宋体" w:hAnsi="宋体" w:cs="宋体" w:hint="eastAsia"/>
          <w:color w:val="auto"/>
        </w:rPr>
        <w:t>〕；</w:t>
      </w:r>
      <w:r w:rsidRPr="00CA742D">
        <w:rPr>
          <w:rFonts w:ascii="宋体" w:eastAsia="宋体" w:hAnsi="宋体" w:cs="宋体"/>
          <w:color w:val="auto"/>
        </w:rPr>
        <w:t xml:space="preserve">ADIPOQ </w:t>
      </w:r>
      <w:r w:rsidRPr="00CA742D">
        <w:rPr>
          <w:rFonts w:ascii="宋体" w:eastAsia="宋体" w:hAnsi="宋体" w:cs="宋体" w:hint="eastAsia"/>
          <w:color w:val="auto"/>
        </w:rPr>
        <w:t>基因表达升高与低温</w:t>
      </w:r>
      <w:proofErr w:type="gramStart"/>
      <w:r w:rsidRPr="00CA742D">
        <w:rPr>
          <w:rFonts w:ascii="宋体" w:eastAsia="宋体" w:hAnsi="宋体" w:cs="宋体" w:hint="eastAsia"/>
          <w:color w:val="auto"/>
        </w:rPr>
        <w:t>症风险</w:t>
      </w:r>
      <w:proofErr w:type="gramEnd"/>
      <w:r w:rsidRPr="00CA742D">
        <w:rPr>
          <w:rFonts w:ascii="宋体" w:eastAsia="宋体" w:hAnsi="宋体" w:cs="宋体" w:hint="eastAsia"/>
          <w:color w:val="auto"/>
        </w:rPr>
        <w:t>增加相关〔</w:t>
      </w:r>
      <w:r w:rsidRPr="00CA742D">
        <w:rPr>
          <w:rFonts w:ascii="宋体" w:eastAsia="宋体" w:hAnsi="宋体" w:cs="宋体"/>
          <w:color w:val="auto"/>
        </w:rPr>
        <w:t>beta: 0.52</w:t>
      </w:r>
      <w:r w:rsidRPr="00CA742D">
        <w:rPr>
          <w:rFonts w:ascii="宋体" w:eastAsia="宋体" w:hAnsi="宋体" w:cs="宋体" w:hint="eastAsia"/>
          <w:color w:val="auto"/>
        </w:rPr>
        <w:t>，</w:t>
      </w:r>
      <w:r w:rsidRPr="00CA742D">
        <w:rPr>
          <w:rFonts w:ascii="宋体" w:eastAsia="宋体" w:hAnsi="宋体" w:cs="宋体"/>
          <w:color w:val="auto"/>
        </w:rPr>
        <w:t>95% CI: 0.094-0.94</w:t>
      </w:r>
      <w:r w:rsidRPr="00CA742D">
        <w:rPr>
          <w:rFonts w:ascii="宋体" w:eastAsia="宋体" w:hAnsi="宋体" w:cs="宋体" w:hint="eastAsia"/>
          <w:color w:val="auto"/>
        </w:rPr>
        <w:t>，</w:t>
      </w:r>
      <w:r w:rsidRPr="00CA742D">
        <w:rPr>
          <w:rFonts w:ascii="宋体" w:eastAsia="宋体" w:hAnsi="宋体" w:cs="宋体"/>
          <w:color w:val="auto"/>
        </w:rPr>
        <w:t>P = 1.6×10</w:t>
      </w:r>
      <w:r w:rsidRPr="00CA742D">
        <w:rPr>
          <w:rFonts w:ascii="Cambria Math" w:eastAsia="宋体" w:hAnsi="Cambria Math" w:cs="Cambria Math"/>
          <w:color w:val="auto"/>
        </w:rPr>
        <w:t>⁻</w:t>
      </w:r>
      <w:r w:rsidRPr="00CA742D">
        <w:rPr>
          <w:rFonts w:ascii="宋体" w:eastAsia="宋体" w:hAnsi="宋体" w:cs="宋体" w:hint="eastAsia"/>
          <w:color w:val="auto"/>
        </w:rPr>
        <w:t>²，</w:t>
      </w:r>
      <w:r w:rsidRPr="00CA742D">
        <w:rPr>
          <w:rFonts w:ascii="宋体" w:eastAsia="宋体" w:hAnsi="宋体" w:cs="宋体"/>
          <w:color w:val="auto"/>
        </w:rPr>
        <w:t>OR: 1.68</w:t>
      </w:r>
      <w:r w:rsidRPr="00CA742D">
        <w:rPr>
          <w:rFonts w:ascii="宋体" w:eastAsia="宋体" w:hAnsi="宋体" w:cs="宋体" w:hint="eastAsia"/>
          <w:color w:val="auto"/>
        </w:rPr>
        <w:t>，</w:t>
      </w:r>
      <w:r w:rsidRPr="00CA742D">
        <w:rPr>
          <w:rFonts w:ascii="宋体" w:eastAsia="宋体" w:hAnsi="宋体" w:cs="宋体"/>
          <w:color w:val="auto"/>
        </w:rPr>
        <w:t>95% CI: 1.10-2.56</w:t>
      </w:r>
      <w:r w:rsidRPr="00CA742D">
        <w:rPr>
          <w:rFonts w:ascii="宋体" w:eastAsia="宋体" w:hAnsi="宋体" w:cs="宋体" w:hint="eastAsia"/>
          <w:color w:val="auto"/>
        </w:rPr>
        <w:t>〕；</w:t>
      </w:r>
      <w:r w:rsidRPr="00CA742D">
        <w:rPr>
          <w:rFonts w:ascii="宋体" w:eastAsia="宋体" w:hAnsi="宋体" w:cs="宋体"/>
          <w:color w:val="auto"/>
        </w:rPr>
        <w:t xml:space="preserve">MERTK </w:t>
      </w:r>
      <w:r w:rsidRPr="00CA742D">
        <w:rPr>
          <w:rFonts w:ascii="宋体" w:eastAsia="宋体" w:hAnsi="宋体" w:cs="宋体" w:hint="eastAsia"/>
          <w:color w:val="auto"/>
        </w:rPr>
        <w:t>基因表达升高与低温</w:t>
      </w:r>
      <w:proofErr w:type="gramStart"/>
      <w:r w:rsidRPr="00CA742D">
        <w:rPr>
          <w:rFonts w:ascii="宋体" w:eastAsia="宋体" w:hAnsi="宋体" w:cs="宋体" w:hint="eastAsia"/>
          <w:color w:val="auto"/>
        </w:rPr>
        <w:t>症风险</w:t>
      </w:r>
      <w:proofErr w:type="gramEnd"/>
      <w:r w:rsidRPr="00CA742D">
        <w:rPr>
          <w:rFonts w:ascii="宋体" w:eastAsia="宋体" w:hAnsi="宋体" w:cs="宋体" w:hint="eastAsia"/>
          <w:color w:val="auto"/>
        </w:rPr>
        <w:t>降低相关〔</w:t>
      </w:r>
      <w:r w:rsidRPr="00CA742D">
        <w:rPr>
          <w:rFonts w:ascii="宋体" w:eastAsia="宋体" w:hAnsi="宋体" w:cs="宋体"/>
          <w:color w:val="auto"/>
        </w:rPr>
        <w:t>beta: -0.53</w:t>
      </w:r>
      <w:r w:rsidRPr="00CA742D">
        <w:rPr>
          <w:rFonts w:ascii="宋体" w:eastAsia="宋体" w:hAnsi="宋体" w:cs="宋体" w:hint="eastAsia"/>
          <w:color w:val="auto"/>
        </w:rPr>
        <w:t>，</w:t>
      </w:r>
      <w:r w:rsidRPr="00CA742D">
        <w:rPr>
          <w:rFonts w:ascii="宋体" w:eastAsia="宋体" w:hAnsi="宋体" w:cs="宋体"/>
          <w:color w:val="auto"/>
        </w:rPr>
        <w:t>95% CI: -0.94--0.11</w:t>
      </w:r>
      <w:r w:rsidRPr="00CA742D">
        <w:rPr>
          <w:rFonts w:ascii="宋体" w:eastAsia="宋体" w:hAnsi="宋体" w:cs="宋体" w:hint="eastAsia"/>
          <w:color w:val="auto"/>
        </w:rPr>
        <w:t>，</w:t>
      </w:r>
      <w:r w:rsidRPr="00CA742D">
        <w:rPr>
          <w:rFonts w:ascii="宋体" w:eastAsia="宋体" w:hAnsi="宋体" w:cs="宋体"/>
          <w:color w:val="auto"/>
        </w:rPr>
        <w:t>P = 1.4×10</w:t>
      </w:r>
      <w:r w:rsidRPr="00CA742D">
        <w:rPr>
          <w:rFonts w:ascii="Cambria Math" w:eastAsia="宋体" w:hAnsi="Cambria Math" w:cs="Cambria Math"/>
          <w:color w:val="auto"/>
        </w:rPr>
        <w:t>⁻</w:t>
      </w:r>
      <w:r w:rsidRPr="00CA742D">
        <w:rPr>
          <w:rFonts w:ascii="宋体" w:eastAsia="宋体" w:hAnsi="宋体" w:cs="宋体" w:hint="eastAsia"/>
          <w:color w:val="auto"/>
        </w:rPr>
        <w:t>²，</w:t>
      </w:r>
      <w:r w:rsidRPr="00CA742D">
        <w:rPr>
          <w:rFonts w:ascii="宋体" w:eastAsia="宋体" w:hAnsi="宋体" w:cs="宋体"/>
          <w:color w:val="auto"/>
        </w:rPr>
        <w:t>OR: 0.59</w:t>
      </w:r>
      <w:r w:rsidRPr="00CA742D">
        <w:rPr>
          <w:rFonts w:ascii="宋体" w:eastAsia="宋体" w:hAnsi="宋体" w:cs="宋体" w:hint="eastAsia"/>
          <w:color w:val="auto"/>
        </w:rPr>
        <w:t>，</w:t>
      </w:r>
      <w:r w:rsidRPr="00CA742D">
        <w:rPr>
          <w:rFonts w:ascii="宋体" w:eastAsia="宋体" w:hAnsi="宋体" w:cs="宋体"/>
          <w:color w:val="auto"/>
        </w:rPr>
        <w:t>95% CI: 0.39-0.90</w:t>
      </w:r>
      <w:r w:rsidRPr="00CA742D">
        <w:rPr>
          <w:rFonts w:ascii="宋体" w:eastAsia="宋体" w:hAnsi="宋体" w:cs="宋体" w:hint="eastAsia"/>
          <w:color w:val="auto"/>
        </w:rPr>
        <w:t>〕。进一步经随机森林算法验证成功共同的关键基因</w:t>
      </w:r>
      <w:r w:rsidRPr="00CA742D">
        <w:rPr>
          <w:rFonts w:ascii="宋体" w:eastAsia="宋体" w:hAnsi="宋体" w:cs="宋体"/>
          <w:color w:val="auto"/>
        </w:rPr>
        <w:t>ADIPOQ</w:t>
      </w:r>
      <w:r w:rsidRPr="00CA742D">
        <w:rPr>
          <w:rFonts w:ascii="宋体" w:eastAsia="宋体" w:hAnsi="宋体" w:cs="宋体" w:hint="eastAsia"/>
          <w:color w:val="auto"/>
        </w:rPr>
        <w:t>，该基因编码</w:t>
      </w:r>
      <w:proofErr w:type="gramStart"/>
      <w:r w:rsidRPr="00CA742D">
        <w:rPr>
          <w:rFonts w:ascii="宋体" w:eastAsia="宋体" w:hAnsi="宋体" w:cs="宋体" w:hint="eastAsia"/>
          <w:color w:val="auto"/>
        </w:rPr>
        <w:t>脂联素</w:t>
      </w:r>
      <w:proofErr w:type="gramEnd"/>
      <w:r w:rsidRPr="00CA742D">
        <w:rPr>
          <w:rFonts w:ascii="宋体" w:eastAsia="宋体" w:hAnsi="宋体" w:cs="宋体" w:hint="eastAsia"/>
          <w:color w:val="auto"/>
        </w:rPr>
        <w:t>蛋白。低温环境降低</w:t>
      </w:r>
      <w:proofErr w:type="gramStart"/>
      <w:r w:rsidRPr="00CA742D">
        <w:rPr>
          <w:rFonts w:ascii="宋体" w:eastAsia="宋体" w:hAnsi="宋体" w:cs="宋体" w:hint="eastAsia"/>
          <w:color w:val="auto"/>
        </w:rPr>
        <w:t>脂联素</w:t>
      </w:r>
      <w:proofErr w:type="gramEnd"/>
      <w:r w:rsidRPr="00CA742D">
        <w:rPr>
          <w:rFonts w:ascii="宋体" w:eastAsia="宋体" w:hAnsi="宋体" w:cs="宋体" w:hint="eastAsia"/>
          <w:color w:val="auto"/>
        </w:rPr>
        <w:t>分泌，促进解偶联蛋白</w:t>
      </w:r>
      <w:r w:rsidRPr="00CA742D">
        <w:rPr>
          <w:rFonts w:ascii="宋体" w:eastAsia="宋体" w:hAnsi="宋体" w:cs="宋体"/>
          <w:color w:val="auto"/>
        </w:rPr>
        <w:t>1</w:t>
      </w:r>
      <w:r w:rsidRPr="00CA742D">
        <w:rPr>
          <w:rFonts w:ascii="宋体" w:eastAsia="宋体" w:hAnsi="宋体" w:cs="宋体" w:hint="eastAsia"/>
          <w:color w:val="auto"/>
        </w:rPr>
        <w:t>（</w:t>
      </w:r>
      <w:r w:rsidRPr="00CA742D">
        <w:rPr>
          <w:rFonts w:ascii="宋体" w:eastAsia="宋体" w:hAnsi="宋体" w:cs="宋体"/>
          <w:color w:val="auto"/>
        </w:rPr>
        <w:t>Uncoupling Protein 1, UCP1</w:t>
      </w:r>
      <w:r w:rsidRPr="00CA742D">
        <w:rPr>
          <w:rFonts w:ascii="宋体" w:eastAsia="宋体" w:hAnsi="宋体" w:cs="宋体" w:hint="eastAsia"/>
          <w:color w:val="auto"/>
        </w:rPr>
        <w:t>）分泌增加，该蛋白可以将用于生产</w:t>
      </w:r>
      <w:r w:rsidRPr="00CA742D">
        <w:rPr>
          <w:rFonts w:ascii="宋体" w:eastAsia="宋体" w:hAnsi="宋体" w:cs="宋体"/>
          <w:color w:val="auto"/>
        </w:rPr>
        <w:t>ATP</w:t>
      </w:r>
      <w:r w:rsidRPr="00CA742D">
        <w:rPr>
          <w:rFonts w:ascii="宋体" w:eastAsia="宋体" w:hAnsi="宋体" w:cs="宋体" w:hint="eastAsia"/>
          <w:color w:val="auto"/>
        </w:rPr>
        <w:t>的能量转变成热能释放，达到非颤抖性生热的效果</w:t>
      </w:r>
      <w:r w:rsidR="00275CCB">
        <w:rPr>
          <w:rFonts w:ascii="宋体" w:eastAsia="宋体" w:hAnsi="宋体" w:cs="宋体" w:hint="eastAsia"/>
          <w:color w:val="auto"/>
        </w:rPr>
        <w:fldChar w:fldCharType="begin"/>
      </w:r>
      <w:r w:rsidR="00275CCB">
        <w:rPr>
          <w:rFonts w:ascii="宋体" w:eastAsia="宋体" w:hAnsi="宋体" w:cs="宋体" w:hint="eastAsia"/>
          <w:color w:val="auto"/>
        </w:rPr>
        <w:instrText xml:space="preserve"> ADDIN EN.CITE &lt;EndNote&gt;&lt;Cite&gt;&lt;Author&gt;Dong&lt;/Author&gt;&lt;Year&gt;2013&lt;/Year&gt;&lt;RecNum&gt;228&lt;/RecNum&gt;&lt;DisplayText&gt;[6]&lt;/DisplayText&gt;&lt;record&gt;&lt;rec-number&gt;228&lt;/rec-number&gt;&lt;foreign-keys&gt;&lt;key app="EN" db-id="xwfww92pwfxxehedev4xvdpm9drd5txwv2rt" timestamp="1755321767"&gt;228&lt;/key&gt;&lt;/foreign-keys&gt;&lt;ref-type name="Journal Article"&gt;17&lt;/ref-type&gt;&lt;contributors&gt;&lt;authors&gt;&lt;author&gt;Dong, Mei&lt;/author&gt;&lt;author&gt;Yang, Xiaoyan&lt;/author&gt;&lt;author&gt;Lim, Sharon&lt;/author&gt;&lt;author&gt;Cao, Ziquan&lt;/author&gt;&lt;author&gt;Honek, Jennifer&lt;/author&gt;&lt;author&gt;Lu, Huixia&lt;/author&gt;&lt;author&gt;Zhang, Cheng&lt;/author&gt;&lt;author&gt;Seki, Takahiro&lt;/author&gt;&lt;author&gt;Hosaka, Kayoko&lt;/author&gt;&lt;author&gt;Wahlberg, Eric&lt;/author&gt;&lt;/authors&gt;&lt;/contributors&gt;&lt;titles&gt;&lt;title&gt;Cold exposure promotes atherosclerotic plaque growth and instability via UCP1-dependent lipolysis&lt;/title&gt;&lt;secondary-title&gt;Cell metabolism&lt;/secondary-title&gt;&lt;/titles&gt;&lt;periodical&gt;&lt;full-title&gt;Cell metabolism&lt;/full-title&gt;&lt;/periodical&gt;&lt;pages&gt;118-129&lt;/pages&gt;&lt;volume&gt;18&lt;/volume&gt;&lt;number&gt;1&lt;/number&gt;&lt;dates&gt;&lt;year&gt;2013&lt;/year&gt;&lt;/dates&gt;&lt;isbn&gt;1550-4131&lt;/isbn&gt;&lt;urls&gt;&lt;/urls&gt;&lt;/record&gt;&lt;/Cite&gt;&lt;/EndNote&gt;</w:instrText>
      </w:r>
      <w:r w:rsidR="00275CCB">
        <w:rPr>
          <w:rFonts w:ascii="宋体" w:eastAsia="宋体" w:hAnsi="宋体" w:cs="宋体" w:hint="eastAsia"/>
          <w:color w:val="auto"/>
        </w:rPr>
        <w:fldChar w:fldCharType="separate"/>
      </w:r>
      <w:r w:rsidR="00275CCB">
        <w:rPr>
          <w:rFonts w:ascii="宋体" w:eastAsia="宋体" w:hAnsi="宋体" w:cs="宋体" w:hint="eastAsia"/>
          <w:noProof/>
          <w:color w:val="auto"/>
        </w:rPr>
        <w:t>[6]</w:t>
      </w:r>
      <w:r w:rsidR="00275CCB">
        <w:rPr>
          <w:rFonts w:ascii="宋体" w:eastAsia="宋体" w:hAnsi="宋体" w:cs="宋体" w:hint="eastAsia"/>
          <w:color w:val="auto"/>
        </w:rPr>
        <w:fldChar w:fldCharType="end"/>
      </w:r>
      <w:r w:rsidRPr="00CA742D">
        <w:rPr>
          <w:rFonts w:ascii="宋体" w:eastAsia="宋体" w:hAnsi="宋体" w:cs="宋体" w:hint="eastAsia"/>
          <w:color w:val="auto"/>
        </w:rPr>
        <w:t>。此外差异分析结果显示SLC1A3，SLCO4A1可能是低温症的致病基因，与SLC1A7同为溶质</w:t>
      </w:r>
      <w:proofErr w:type="gramStart"/>
      <w:r w:rsidRPr="00CA742D">
        <w:rPr>
          <w:rFonts w:ascii="宋体" w:eastAsia="宋体" w:hAnsi="宋体" w:cs="宋体" w:hint="eastAsia"/>
          <w:color w:val="auto"/>
        </w:rPr>
        <w:t>载体超</w:t>
      </w:r>
      <w:proofErr w:type="gramEnd"/>
      <w:r w:rsidRPr="00CA742D">
        <w:rPr>
          <w:rFonts w:ascii="宋体" w:eastAsia="宋体" w:hAnsi="宋体" w:cs="宋体" w:hint="eastAsia"/>
          <w:color w:val="auto"/>
        </w:rPr>
        <w:t>家族成员(solute carrier family 1)。针对上述基因药物重定位分析显示，宁</w:t>
      </w:r>
      <w:proofErr w:type="gramStart"/>
      <w:r w:rsidRPr="00CA742D">
        <w:rPr>
          <w:rFonts w:ascii="宋体" w:eastAsia="宋体" w:hAnsi="宋体" w:cs="宋体" w:hint="eastAsia"/>
          <w:color w:val="auto"/>
        </w:rPr>
        <w:t>格替尼</w:t>
      </w:r>
      <w:proofErr w:type="gramEnd"/>
      <w:r w:rsidRPr="00CA742D">
        <w:rPr>
          <w:rFonts w:ascii="宋体" w:eastAsia="宋体" w:hAnsi="宋体" w:cs="宋体" w:hint="eastAsia"/>
          <w:color w:val="auto"/>
        </w:rPr>
        <w:t>（</w:t>
      </w:r>
      <w:proofErr w:type="spellStart"/>
      <w:r w:rsidRPr="00CA742D">
        <w:rPr>
          <w:rFonts w:ascii="宋体" w:eastAsia="宋体" w:hAnsi="宋体" w:cs="宋体" w:hint="eastAsia"/>
          <w:color w:val="auto"/>
        </w:rPr>
        <w:t>ningetinib</w:t>
      </w:r>
      <w:proofErr w:type="spellEnd"/>
      <w:r w:rsidRPr="00CA742D">
        <w:rPr>
          <w:rFonts w:ascii="宋体" w:eastAsia="宋体" w:hAnsi="宋体" w:cs="宋体" w:hint="eastAsia"/>
          <w:color w:val="auto"/>
        </w:rPr>
        <w:t>）可能通过抑制受体酪氨酸激酶 MERTK、奥克纤溶酶（</w:t>
      </w:r>
      <w:proofErr w:type="spellStart"/>
      <w:r w:rsidRPr="00CA742D">
        <w:rPr>
          <w:rFonts w:ascii="宋体" w:eastAsia="宋体" w:hAnsi="宋体" w:cs="宋体" w:hint="eastAsia"/>
          <w:color w:val="auto"/>
        </w:rPr>
        <w:t>ocriplasmin</w:t>
      </w:r>
      <w:proofErr w:type="spellEnd"/>
      <w:r w:rsidRPr="00CA742D">
        <w:rPr>
          <w:rFonts w:ascii="宋体" w:eastAsia="宋体" w:hAnsi="宋体" w:cs="宋体" w:hint="eastAsia"/>
          <w:color w:val="auto"/>
        </w:rPr>
        <w:t>）可能通过降解胶原蛋白 COL18A1，发挥低温症治疗潜力。</w:t>
      </w:r>
    </w:p>
    <w:p w14:paraId="28AD8A4E" w14:textId="2592BC16" w:rsidR="00CA742D" w:rsidRP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rFonts w:ascii="宋体" w:eastAsia="宋体" w:hAnsi="宋体" w:cs="宋体" w:hint="eastAsia"/>
          <w:b/>
          <w:bCs/>
          <w:color w:val="auto"/>
        </w:rPr>
      </w:pPr>
      <w:r w:rsidRPr="00CA742D">
        <w:rPr>
          <w:rFonts w:ascii="宋体" w:eastAsia="宋体" w:hAnsi="宋体" w:cs="宋体" w:hint="eastAsia"/>
          <w:b/>
          <w:bCs/>
          <w:color w:val="auto"/>
        </w:rPr>
        <w:t xml:space="preserve">结论 </w:t>
      </w:r>
      <w:r w:rsidR="00514EB2">
        <w:rPr>
          <w:rFonts w:ascii="宋体" w:eastAsia="宋体" w:hAnsi="宋体" w:cs="宋体" w:hint="eastAsia"/>
          <w:b/>
          <w:bCs/>
          <w:color w:val="auto"/>
        </w:rPr>
        <w:t>：</w:t>
      </w:r>
    </w:p>
    <w:p w14:paraId="283CC06F" w14:textId="249F8FB4" w:rsidR="00CA742D" w:rsidRDefault="00CA742D" w:rsidP="00CA742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宋体" w:eastAsia="宋体" w:hAnsi="宋体" w:cs="宋体" w:hint="eastAsia"/>
          <w:color w:val="auto"/>
        </w:rPr>
      </w:pPr>
      <w:r w:rsidRPr="00CA742D">
        <w:rPr>
          <w:rFonts w:ascii="宋体" w:eastAsia="宋体" w:hAnsi="宋体" w:cs="宋体" w:hint="eastAsia"/>
          <w:color w:val="auto"/>
        </w:rPr>
        <w:t>本研究提示 COL18A1、SLC1A7、ADIPOQ 和 MERTK 为低温症的治疗靶点，宁</w:t>
      </w:r>
      <w:proofErr w:type="gramStart"/>
      <w:r w:rsidRPr="00CA742D">
        <w:rPr>
          <w:rFonts w:ascii="宋体" w:eastAsia="宋体" w:hAnsi="宋体" w:cs="宋体" w:hint="eastAsia"/>
          <w:color w:val="auto"/>
        </w:rPr>
        <w:t>格替尼</w:t>
      </w:r>
      <w:proofErr w:type="gramEnd"/>
      <w:r w:rsidRPr="00CA742D">
        <w:rPr>
          <w:rFonts w:ascii="宋体" w:eastAsia="宋体" w:hAnsi="宋体" w:cs="宋体" w:hint="eastAsia"/>
          <w:color w:val="auto"/>
        </w:rPr>
        <w:t>和</w:t>
      </w:r>
      <w:proofErr w:type="gramStart"/>
      <w:r w:rsidRPr="00CA742D">
        <w:rPr>
          <w:rFonts w:ascii="宋体" w:eastAsia="宋体" w:hAnsi="宋体" w:cs="宋体" w:hint="eastAsia"/>
          <w:color w:val="auto"/>
        </w:rPr>
        <w:t>奥克</w:t>
      </w:r>
      <w:proofErr w:type="gramEnd"/>
      <w:r w:rsidRPr="00CA742D">
        <w:rPr>
          <w:rFonts w:ascii="宋体" w:eastAsia="宋体" w:hAnsi="宋体" w:cs="宋体" w:hint="eastAsia"/>
          <w:color w:val="auto"/>
        </w:rPr>
        <w:t>纤溶酶在低温症治疗中的有效性仍需进一步验证。本研究成果为临床治疗低温</w:t>
      </w:r>
      <w:proofErr w:type="gramStart"/>
      <w:r w:rsidRPr="00CA742D">
        <w:rPr>
          <w:rFonts w:ascii="宋体" w:eastAsia="宋体" w:hAnsi="宋体" w:cs="宋体" w:hint="eastAsia"/>
          <w:color w:val="auto"/>
        </w:rPr>
        <w:t>症提供</w:t>
      </w:r>
      <w:proofErr w:type="gramEnd"/>
      <w:r w:rsidRPr="00CA742D">
        <w:rPr>
          <w:rFonts w:ascii="宋体" w:eastAsia="宋体" w:hAnsi="宋体" w:cs="宋体" w:hint="eastAsia"/>
          <w:color w:val="auto"/>
        </w:rPr>
        <w:t>新的遗传学思路和理论基础。</w:t>
      </w:r>
    </w:p>
    <w:p w14:paraId="0BDC0395" w14:textId="77777777" w:rsidR="00FA4DAD" w:rsidRPr="005919FB" w:rsidRDefault="00FA4DAD" w:rsidP="005919FB">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hAnsi="Times New Roman"/>
          <w:color w:val="auto"/>
        </w:rPr>
      </w:pPr>
    </w:p>
    <w:p w14:paraId="2FB65238" w14:textId="77777777" w:rsidR="0036279A" w:rsidRPr="005919FB" w:rsidRDefault="0036279A" w:rsidP="005919FB">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hAnsi="Times New Roman"/>
          <w:color w:val="auto"/>
        </w:rPr>
      </w:pPr>
      <w:r w:rsidRPr="005919FB">
        <w:rPr>
          <w:rFonts w:ascii="宋体" w:eastAsia="宋体" w:hAnsi="宋体" w:cs="宋体" w:hint="eastAsia"/>
          <w:b/>
          <w:bCs/>
          <w:color w:val="auto"/>
        </w:rPr>
        <w:t>关键字：</w:t>
      </w:r>
      <w:r w:rsidRPr="005919FB">
        <w:rPr>
          <w:rFonts w:ascii="宋体" w:eastAsia="宋体" w:hAnsi="宋体" w:cs="宋体" w:hint="eastAsia"/>
          <w:color w:val="auto"/>
        </w:rPr>
        <w:t>低温</w:t>
      </w:r>
      <w:r w:rsidRPr="005919FB">
        <w:rPr>
          <w:rFonts w:ascii="Times New Roman" w:hAnsi="Times New Roman"/>
          <w:color w:val="auto"/>
        </w:rPr>
        <w:t>;</w:t>
      </w:r>
      <w:r w:rsidRPr="005919FB">
        <w:rPr>
          <w:rFonts w:ascii="宋体" w:eastAsia="宋体" w:hAnsi="宋体" w:cs="宋体" w:hint="eastAsia"/>
          <w:color w:val="auto"/>
        </w:rPr>
        <w:t>治疗靶点</w:t>
      </w:r>
      <w:r w:rsidRPr="005919FB">
        <w:rPr>
          <w:rFonts w:ascii="Times New Roman" w:hAnsi="Times New Roman"/>
          <w:color w:val="auto"/>
        </w:rPr>
        <w:t>;</w:t>
      </w:r>
      <w:r w:rsidRPr="005919FB">
        <w:rPr>
          <w:rFonts w:ascii="宋体" w:eastAsia="宋体" w:hAnsi="宋体" w:cs="宋体" w:hint="eastAsia"/>
          <w:color w:val="auto"/>
        </w:rPr>
        <w:t>基因关联</w:t>
      </w:r>
      <w:r w:rsidRPr="005919FB">
        <w:rPr>
          <w:rFonts w:ascii="Times New Roman" w:hAnsi="Times New Roman"/>
          <w:color w:val="auto"/>
        </w:rPr>
        <w:t>;</w:t>
      </w:r>
      <w:r w:rsidRPr="005919FB">
        <w:rPr>
          <w:rFonts w:ascii="宋体" w:eastAsia="宋体" w:hAnsi="宋体" w:cs="宋体" w:hint="eastAsia"/>
          <w:color w:val="auto"/>
        </w:rPr>
        <w:t>药物再利用</w:t>
      </w:r>
      <w:r w:rsidRPr="005919FB">
        <w:rPr>
          <w:rFonts w:ascii="Times New Roman" w:hAnsi="Times New Roman"/>
          <w:color w:val="auto"/>
        </w:rPr>
        <w:t>;ADIPOQ</w:t>
      </w:r>
    </w:p>
    <w:p w14:paraId="75CC218E" w14:textId="77777777" w:rsidR="0036279A" w:rsidRDefault="0036279A">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64D2D57C" w14:textId="77777777" w:rsidR="009C164F" w:rsidRDefault="009C164F">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5F753E12" w14:textId="77777777" w:rsidR="009C164F" w:rsidRDefault="009C164F">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0FF0376C" w14:textId="77777777" w:rsidR="009C164F" w:rsidRDefault="009C164F">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tbl>
      <w:tblPr>
        <w:tblStyle w:val="2"/>
        <w:tblW w:w="10344" w:type="dxa"/>
        <w:tblInd w:w="-284" w:type="dxa"/>
        <w:tblLayout w:type="fixed"/>
        <w:tblLook w:val="04A0" w:firstRow="1" w:lastRow="0" w:firstColumn="1" w:lastColumn="0" w:noHBand="0" w:noVBand="1"/>
      </w:tblPr>
      <w:tblGrid>
        <w:gridCol w:w="1418"/>
        <w:gridCol w:w="1276"/>
        <w:gridCol w:w="1701"/>
        <w:gridCol w:w="1271"/>
        <w:gridCol w:w="3260"/>
        <w:gridCol w:w="1418"/>
      </w:tblGrid>
      <w:tr w:rsidR="009C164F" w:rsidRPr="00342F47" w14:paraId="23D9236B" w14:textId="77777777" w:rsidTr="00F13398">
        <w:trPr>
          <w:cnfStyle w:val="100000000000" w:firstRow="1" w:lastRow="0" w:firstColumn="0" w:lastColumn="0" w:oddVBand="0" w:evenVBand="0" w:oddHBand="0"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153CEFE"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rPr>
                <w:rFonts w:hint="eastAsia"/>
              </w:rPr>
              <w:t>Druggable gene</w:t>
            </w:r>
          </w:p>
        </w:tc>
        <w:tc>
          <w:tcPr>
            <w:tcW w:w="1276" w:type="dxa"/>
            <w:noWrap/>
            <w:hideMark/>
          </w:tcPr>
          <w:p w14:paraId="57388ECF"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Molecule type</w:t>
            </w:r>
          </w:p>
        </w:tc>
        <w:tc>
          <w:tcPr>
            <w:tcW w:w="1701" w:type="dxa"/>
            <w:noWrap/>
            <w:hideMark/>
          </w:tcPr>
          <w:p w14:paraId="2FCB7F4E"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Compounds</w:t>
            </w:r>
          </w:p>
        </w:tc>
        <w:tc>
          <w:tcPr>
            <w:tcW w:w="1271" w:type="dxa"/>
            <w:noWrap/>
            <w:hideMark/>
          </w:tcPr>
          <w:p w14:paraId="2CDFA097"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Action type</w:t>
            </w:r>
          </w:p>
        </w:tc>
        <w:tc>
          <w:tcPr>
            <w:tcW w:w="3260" w:type="dxa"/>
            <w:noWrap/>
            <w:hideMark/>
          </w:tcPr>
          <w:p w14:paraId="1A207EC0"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Clinical development activities</w:t>
            </w:r>
          </w:p>
        </w:tc>
        <w:tc>
          <w:tcPr>
            <w:tcW w:w="1418" w:type="dxa"/>
            <w:noWrap/>
            <w:hideMark/>
          </w:tcPr>
          <w:p w14:paraId="6BAB409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100000000000" w:firstRow="1" w:lastRow="0" w:firstColumn="0" w:lastColumn="0" w:oddVBand="0" w:evenVBand="0" w:oddHBand="0" w:evenHBand="0" w:firstRowFirstColumn="0" w:firstRowLastColumn="0" w:lastRowFirstColumn="0" w:lastRowLastColumn="0"/>
            </w:pPr>
            <w:r w:rsidRPr="00342F47">
              <w:rPr>
                <w:rFonts w:hint="eastAsia"/>
              </w:rPr>
              <w:t>Druggable gene molecular function</w:t>
            </w:r>
          </w:p>
        </w:tc>
      </w:tr>
      <w:tr w:rsidR="009C164F" w:rsidRPr="00342F47" w14:paraId="59C8A043" w14:textId="77777777" w:rsidTr="00F13398">
        <w:trPr>
          <w:cnfStyle w:val="000000100000" w:firstRow="0" w:lastRow="0" w:firstColumn="0" w:lastColumn="0" w:oddVBand="0" w:evenVBand="0" w:oddHBand="1" w:evenHBand="0" w:firstRowFirstColumn="0" w:firstRowLastColumn="0" w:lastRowFirstColumn="0" w:lastRowLastColumn="0"/>
          <w:trHeight w:val="3374"/>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C30757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t>COL18A1</w:t>
            </w:r>
          </w:p>
        </w:tc>
        <w:tc>
          <w:tcPr>
            <w:tcW w:w="1276" w:type="dxa"/>
            <w:noWrap/>
            <w:hideMark/>
          </w:tcPr>
          <w:p w14:paraId="4A166B62" w14:textId="77777777" w:rsidR="009C164F" w:rsidRPr="000D703E"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heme="minorEastAsia" w:hAnsi="Times New Roman"/>
                <w:noProof/>
                <w:color w:val="0433FF"/>
              </w:rPr>
              <w:drawing>
                <wp:anchor distT="0" distB="0" distL="114300" distR="114300" simplePos="0" relativeHeight="251662336" behindDoc="0" locked="0" layoutInCell="1" allowOverlap="1" wp14:anchorId="0A289154" wp14:editId="515C05C0">
                  <wp:simplePos x="0" y="0"/>
                  <wp:positionH relativeFrom="column">
                    <wp:posOffset>-984885</wp:posOffset>
                  </wp:positionH>
                  <wp:positionV relativeFrom="page">
                    <wp:posOffset>684530</wp:posOffset>
                  </wp:positionV>
                  <wp:extent cx="1504950" cy="1409700"/>
                  <wp:effectExtent l="0" t="0" r="0" b="0"/>
                  <wp:wrapNone/>
                  <wp:docPr id="158214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1409700"/>
                          </a:xfrm>
                          <a:prstGeom prst="rect">
                            <a:avLst/>
                          </a:prstGeom>
                          <a:noFill/>
                        </pic:spPr>
                      </pic:pic>
                    </a:graphicData>
                  </a:graphic>
                </wp:anchor>
              </w:drawing>
            </w:r>
            <w:r w:rsidRPr="000D703E">
              <w:t>Protein</w:t>
            </w:r>
          </w:p>
        </w:tc>
        <w:tc>
          <w:tcPr>
            <w:tcW w:w="1701" w:type="dxa"/>
            <w:noWrap/>
            <w:hideMark/>
          </w:tcPr>
          <w:p w14:paraId="592267B1"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OCRIPLASMIN</w:t>
            </w:r>
          </w:p>
        </w:tc>
        <w:tc>
          <w:tcPr>
            <w:tcW w:w="1271" w:type="dxa"/>
            <w:noWrap/>
            <w:hideMark/>
          </w:tcPr>
          <w:p w14:paraId="17F0CA05"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Collagen hydrolytic enzyme</w:t>
            </w:r>
          </w:p>
        </w:tc>
        <w:tc>
          <w:tcPr>
            <w:tcW w:w="3260" w:type="dxa"/>
            <w:hideMark/>
          </w:tcPr>
          <w:p w14:paraId="0B82D7B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 xml:space="preserve">Intravenous injection of </w:t>
            </w:r>
            <w:proofErr w:type="spellStart"/>
            <w:r w:rsidRPr="00342F47">
              <w:rPr>
                <w:rFonts w:hint="eastAsia"/>
              </w:rPr>
              <w:t>Ocriplasmin</w:t>
            </w:r>
            <w:proofErr w:type="spellEnd"/>
            <w:r w:rsidRPr="00342F47">
              <w:rPr>
                <w:rFonts w:hint="eastAsia"/>
              </w:rPr>
              <w:t xml:space="preserve"> for the treatment of CRVO (central retinal vein occlusion) NCT02747030</w:t>
            </w:r>
            <w:r w:rsidRPr="00342F47">
              <w:rPr>
                <w:rFonts w:hint="eastAsia"/>
              </w:rPr>
              <w:br/>
              <w:t>For the treatment of vitreomacular traction NCT02035748</w:t>
            </w:r>
          </w:p>
        </w:tc>
        <w:tc>
          <w:tcPr>
            <w:tcW w:w="1418" w:type="dxa"/>
            <w:noWrap/>
            <w:hideMark/>
          </w:tcPr>
          <w:p w14:paraId="35996BC8"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extracellular matrix structural constituent</w:t>
            </w:r>
          </w:p>
        </w:tc>
      </w:tr>
      <w:tr w:rsidR="009C164F" w:rsidRPr="00342F47" w14:paraId="45338089" w14:textId="77777777" w:rsidTr="00F13398">
        <w:trPr>
          <w:trHeight w:val="172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0B9048F"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proofErr w:type="spellStart"/>
            <w:r w:rsidRPr="00342F47">
              <w:t>MerTK</w:t>
            </w:r>
            <w:proofErr w:type="spellEnd"/>
            <w:r w:rsidRPr="00342F47">
              <w:t xml:space="preserve"> </w:t>
            </w:r>
          </w:p>
        </w:tc>
        <w:tc>
          <w:tcPr>
            <w:tcW w:w="1276" w:type="dxa"/>
            <w:noWrap/>
            <w:hideMark/>
          </w:tcPr>
          <w:p w14:paraId="54F089BC"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59264" behindDoc="0" locked="0" layoutInCell="1" allowOverlap="1" wp14:anchorId="52558678" wp14:editId="36147CC4">
                  <wp:simplePos x="0" y="0"/>
                  <wp:positionH relativeFrom="column">
                    <wp:posOffset>-962025</wp:posOffset>
                  </wp:positionH>
                  <wp:positionV relativeFrom="paragraph">
                    <wp:posOffset>931545</wp:posOffset>
                  </wp:positionV>
                  <wp:extent cx="2111375" cy="1419225"/>
                  <wp:effectExtent l="0" t="0" r="3175" b="9525"/>
                  <wp:wrapNone/>
                  <wp:docPr id="5" name="图片 4">
                    <a:extLst xmlns:a="http://schemas.openxmlformats.org/drawingml/2006/main">
                      <a:ext uri="{FF2B5EF4-FFF2-40B4-BE49-F238E27FC236}">
                        <a16:creationId xmlns:a16="http://schemas.microsoft.com/office/drawing/2014/main" id="{8029D9E4-DBA7-B628-13A2-2ACC57F65C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29D9E4-DBA7-B628-13A2-2ACC57F65CB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11375" cy="1419225"/>
                          </a:xfrm>
                          <a:prstGeom prst="rect">
                            <a:avLst/>
                          </a:prstGeom>
                        </pic:spPr>
                      </pic:pic>
                    </a:graphicData>
                  </a:graphic>
                </wp:anchor>
              </w:drawing>
            </w:r>
            <w:r w:rsidRPr="00342F47">
              <w:t>Small molecule</w:t>
            </w:r>
            <w:r>
              <w:rPr>
                <w:noProof/>
              </w:rPr>
              <w:t xml:space="preserve"> </w:t>
            </w:r>
          </w:p>
        </w:tc>
        <w:tc>
          <w:tcPr>
            <w:tcW w:w="1701" w:type="dxa"/>
            <w:noWrap/>
            <w:hideMark/>
          </w:tcPr>
          <w:p w14:paraId="2AE0DC7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NINGETINIB</w:t>
            </w:r>
          </w:p>
        </w:tc>
        <w:tc>
          <w:tcPr>
            <w:tcW w:w="1271" w:type="dxa"/>
            <w:noWrap/>
            <w:hideMark/>
          </w:tcPr>
          <w:p w14:paraId="0F75DCFB"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Proto-oncogene tyrosine-protein kinase MER inhibitor</w:t>
            </w:r>
          </w:p>
        </w:tc>
        <w:tc>
          <w:tcPr>
            <w:tcW w:w="3260" w:type="dxa"/>
            <w:hideMark/>
          </w:tcPr>
          <w:p w14:paraId="37AB3B50"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For the treatment of advanced solid tumors NCT04577703</w:t>
            </w:r>
            <w:r w:rsidRPr="00342F47">
              <w:rPr>
                <w:rFonts w:hint="eastAsia"/>
              </w:rPr>
              <w:br/>
              <w:t>For the treatment of non-small cell lung cancer NCT03758287</w:t>
            </w:r>
            <w:r w:rsidRPr="00342F47">
              <w:rPr>
                <w:rFonts w:hint="eastAsia"/>
              </w:rPr>
              <w:br/>
              <w:t>For the treatment of advanced non-small cell lung cancer NCT04992858</w:t>
            </w:r>
          </w:p>
        </w:tc>
        <w:tc>
          <w:tcPr>
            <w:tcW w:w="1418" w:type="dxa"/>
            <w:noWrap/>
            <w:hideMark/>
          </w:tcPr>
          <w:p w14:paraId="3F0F3365"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ATP binding / receptor tyrosine kinase activity / protein binding</w:t>
            </w:r>
          </w:p>
        </w:tc>
      </w:tr>
      <w:tr w:rsidR="009C164F" w:rsidRPr="00342F47" w14:paraId="3E4DEAA3" w14:textId="77777777" w:rsidTr="00F13398">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3D6CF40"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t>SLC1A7</w:t>
            </w:r>
          </w:p>
        </w:tc>
        <w:tc>
          <w:tcPr>
            <w:tcW w:w="1276" w:type="dxa"/>
            <w:noWrap/>
            <w:hideMark/>
          </w:tcPr>
          <w:p w14:paraId="42D9AF07" w14:textId="69C04B08"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t>Small molecule</w:t>
            </w:r>
            <w:r w:rsidR="00A85DBF">
              <w:rPr>
                <w:noProof/>
              </w:rPr>
              <w:t xml:space="preserve"> </w:t>
            </w:r>
          </w:p>
        </w:tc>
        <w:tc>
          <w:tcPr>
            <w:tcW w:w="1701" w:type="dxa"/>
            <w:noWrap/>
            <w:hideMark/>
          </w:tcPr>
          <w:p w14:paraId="341C8526" w14:textId="110B7123" w:rsidR="009C164F" w:rsidRPr="00342F47" w:rsidRDefault="00A85DB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3360" behindDoc="0" locked="0" layoutInCell="1" allowOverlap="1" wp14:anchorId="1503B5B6" wp14:editId="71C6CF30">
                  <wp:simplePos x="0" y="0"/>
                  <wp:positionH relativeFrom="column">
                    <wp:posOffset>-2084883</wp:posOffset>
                  </wp:positionH>
                  <wp:positionV relativeFrom="paragraph">
                    <wp:posOffset>700080</wp:posOffset>
                  </wp:positionV>
                  <wp:extent cx="3446079" cy="2200940"/>
                  <wp:effectExtent l="0" t="0" r="2540" b="8890"/>
                  <wp:wrapNone/>
                  <wp:docPr id="1242951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51764" name=""/>
                          <pic:cNvPicPr/>
                        </pic:nvPicPr>
                        <pic:blipFill>
                          <a:blip r:embed="rId8">
                            <a:extLst>
                              <a:ext uri="{28A0092B-C50C-407E-A947-70E740481C1C}">
                                <a14:useLocalDpi xmlns:a14="http://schemas.microsoft.com/office/drawing/2010/main" val="0"/>
                              </a:ext>
                            </a:extLst>
                          </a:blip>
                          <a:stretch>
                            <a:fillRect/>
                          </a:stretch>
                        </pic:blipFill>
                        <pic:spPr>
                          <a:xfrm>
                            <a:off x="0" y="0"/>
                            <a:ext cx="3446079" cy="2200940"/>
                          </a:xfrm>
                          <a:prstGeom prst="rect">
                            <a:avLst/>
                          </a:prstGeom>
                        </pic:spPr>
                      </pic:pic>
                    </a:graphicData>
                  </a:graphic>
                  <wp14:sizeRelH relativeFrom="margin">
                    <wp14:pctWidth>0</wp14:pctWidth>
                  </wp14:sizeRelH>
                  <wp14:sizeRelV relativeFrom="margin">
                    <wp14:pctHeight>0</wp14:pctHeight>
                  </wp14:sizeRelV>
                </wp:anchor>
              </w:drawing>
            </w:r>
            <w:r w:rsidR="009C164F" w:rsidRPr="00342F47">
              <w:rPr>
                <w:rFonts w:hint="eastAsia"/>
              </w:rPr>
              <w:t>OMPENACLID</w:t>
            </w:r>
          </w:p>
        </w:tc>
        <w:tc>
          <w:tcPr>
            <w:tcW w:w="1271" w:type="dxa"/>
            <w:noWrap/>
            <w:hideMark/>
          </w:tcPr>
          <w:p w14:paraId="452CC1F8"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NA</w:t>
            </w:r>
          </w:p>
        </w:tc>
        <w:tc>
          <w:tcPr>
            <w:tcW w:w="3260" w:type="dxa"/>
            <w:hideMark/>
          </w:tcPr>
          <w:p w14:paraId="611A25A7"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t>Combination with FOLFIRI plus bevacizumab for the treatment of advanced/metastatic colorectal cancer NCT05983367</w:t>
            </w:r>
            <w:r w:rsidRPr="00342F47">
              <w:rPr>
                <w:rFonts w:hint="eastAsia"/>
              </w:rPr>
              <w:br/>
              <w:t xml:space="preserve">Study of combination therapy for advanced colorectal cancer with gastrointestinal </w:t>
            </w:r>
            <w:r w:rsidRPr="00342F47">
              <w:rPr>
                <w:rFonts w:hint="eastAsia"/>
              </w:rPr>
              <w:lastRenderedPageBreak/>
              <w:t>tumor mutations NCT03597581</w:t>
            </w:r>
          </w:p>
        </w:tc>
        <w:tc>
          <w:tcPr>
            <w:tcW w:w="1418" w:type="dxa"/>
            <w:noWrap/>
            <w:hideMark/>
          </w:tcPr>
          <w:p w14:paraId="43235A59"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100000" w:firstRow="0" w:lastRow="0" w:firstColumn="0" w:lastColumn="0" w:oddVBand="0" w:evenVBand="0" w:oddHBand="1" w:evenHBand="0" w:firstRowFirstColumn="0" w:firstRowLastColumn="0" w:lastRowFirstColumn="0" w:lastRowLastColumn="0"/>
            </w:pPr>
            <w:r w:rsidRPr="00342F47">
              <w:rPr>
                <w:rFonts w:hint="eastAsia"/>
              </w:rPr>
              <w:lastRenderedPageBreak/>
              <w:t>glutamate transmembrane transporter activity / amino acid transmembrane transporter activity</w:t>
            </w:r>
          </w:p>
        </w:tc>
      </w:tr>
      <w:tr w:rsidR="009C164F" w:rsidRPr="00342F47" w14:paraId="430AA353" w14:textId="77777777" w:rsidTr="00F13398">
        <w:trPr>
          <w:trHeight w:val="285"/>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E2F550B"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pPr>
            <w:r w:rsidRPr="00342F47">
              <w:rPr>
                <w:rFonts w:hint="eastAsia"/>
              </w:rPr>
              <w:lastRenderedPageBreak/>
              <w:t>ADIPOQ</w:t>
            </w:r>
          </w:p>
        </w:tc>
        <w:tc>
          <w:tcPr>
            <w:tcW w:w="1276" w:type="dxa"/>
            <w:noWrap/>
            <w:hideMark/>
          </w:tcPr>
          <w:p w14:paraId="08DE5B12"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1312" behindDoc="0" locked="0" layoutInCell="1" allowOverlap="1" wp14:anchorId="4E37A2B9" wp14:editId="476A657A">
                  <wp:simplePos x="0" y="0"/>
                  <wp:positionH relativeFrom="column">
                    <wp:posOffset>-861060</wp:posOffset>
                  </wp:positionH>
                  <wp:positionV relativeFrom="page">
                    <wp:posOffset>597535</wp:posOffset>
                  </wp:positionV>
                  <wp:extent cx="2124075" cy="1047750"/>
                  <wp:effectExtent l="0" t="0" r="9525" b="0"/>
                  <wp:wrapNone/>
                  <wp:docPr id="11861695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1047750"/>
                          </a:xfrm>
                          <a:prstGeom prst="rect">
                            <a:avLst/>
                          </a:prstGeom>
                          <a:noFill/>
                        </pic:spPr>
                      </pic:pic>
                    </a:graphicData>
                  </a:graphic>
                  <wp14:sizeRelH relativeFrom="margin">
                    <wp14:pctWidth>0</wp14:pctWidth>
                  </wp14:sizeRelH>
                  <wp14:sizeRelV relativeFrom="margin">
                    <wp14:pctHeight>0</wp14:pctHeight>
                  </wp14:sizeRelV>
                </wp:anchor>
              </w:drawing>
            </w:r>
            <w:r w:rsidRPr="00342F47">
              <w:t>Small molecule</w:t>
            </w:r>
          </w:p>
        </w:tc>
        <w:tc>
          <w:tcPr>
            <w:tcW w:w="1701" w:type="dxa"/>
            <w:noWrap/>
            <w:hideMark/>
          </w:tcPr>
          <w:p w14:paraId="55586D5F"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t>ANILERIDINE</w:t>
            </w:r>
          </w:p>
        </w:tc>
        <w:tc>
          <w:tcPr>
            <w:tcW w:w="1271" w:type="dxa"/>
            <w:noWrap/>
            <w:hideMark/>
          </w:tcPr>
          <w:p w14:paraId="3C68B951"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t>Kappa opioid receptor agonist</w:t>
            </w:r>
          </w:p>
        </w:tc>
        <w:tc>
          <w:tcPr>
            <w:tcW w:w="3260" w:type="dxa"/>
            <w:hideMark/>
          </w:tcPr>
          <w:p w14:paraId="189A302B"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NA</w:t>
            </w:r>
          </w:p>
        </w:tc>
        <w:tc>
          <w:tcPr>
            <w:tcW w:w="1418" w:type="dxa"/>
            <w:noWrap/>
            <w:hideMark/>
          </w:tcPr>
          <w:p w14:paraId="6E36AFFE" w14:textId="77777777" w:rsidR="009C164F" w:rsidRPr="00342F47" w:rsidRDefault="009C164F" w:rsidP="00F1339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cnfStyle w:val="000000000000" w:firstRow="0" w:lastRow="0" w:firstColumn="0" w:lastColumn="0" w:oddVBand="0" w:evenVBand="0" w:oddHBand="0" w:evenHBand="0" w:firstRowFirstColumn="0" w:firstRowLastColumn="0" w:lastRowFirstColumn="0" w:lastRowLastColumn="0"/>
            </w:pPr>
            <w:r w:rsidRPr="00342F47">
              <w:rPr>
                <w:rFonts w:hint="eastAsia"/>
              </w:rPr>
              <w:t>hormone activity / cytokine activity / receptor binding</w:t>
            </w:r>
          </w:p>
        </w:tc>
      </w:tr>
    </w:tbl>
    <w:p w14:paraId="26E098D4" w14:textId="77777777" w:rsidR="009C164F" w:rsidRPr="009C164F" w:rsidRDefault="009C164F">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5DFA06A3" w14:textId="0D76E399" w:rsidR="00423234" w:rsidRDefault="00761956">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r w:rsidRPr="00761956">
        <w:rPr>
          <w:rFonts w:ascii="Times New Roman" w:eastAsia="Times New Roman" w:hAnsi="Times New Roman" w:cs="Times New Roman"/>
          <w:snapToGrid w:val="0"/>
          <w:w w:val="0"/>
          <w:sz w:val="0"/>
          <w:szCs w:val="0"/>
          <w:bdr w:val="none" w:sz="0" w:space="0" w:color="000000"/>
          <w:shd w:val="clear" w:color="000000" w:fill="000000"/>
          <w:lang w:val="x-none" w:eastAsia="x-none" w:bidi="x-none"/>
        </w:rPr>
        <w:t xml:space="preserve"> </w:t>
      </w:r>
    </w:p>
    <w:p w14:paraId="09E6B1CA" w14:textId="32F7C205" w:rsidR="00442AD1"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r>
        <w:rPr>
          <w:rFonts w:ascii="Times New Roman" w:eastAsiaTheme="minorEastAsia" w:hAnsi="Times New Roman" w:cs="Times New Roman"/>
          <w:snapToGrid w:val="0"/>
          <w:w w:val="0"/>
          <w:sz w:val="0"/>
          <w:szCs w:val="0"/>
          <w:bdr w:val="none" w:sz="0" w:space="0" w:color="000000"/>
          <w:shd w:val="clear" w:color="000000" w:fill="000000"/>
          <w:lang w:val="x-none" w:bidi="x-none"/>
        </w:rPr>
        <w:t>R</w:t>
      </w:r>
      <w:r>
        <w:rPr>
          <w:rFonts w:ascii="Times New Roman" w:eastAsiaTheme="minorEastAsia" w:hAnsi="Times New Roman" w:cs="Times New Roman" w:hint="eastAsia"/>
          <w:snapToGrid w:val="0"/>
          <w:w w:val="0"/>
          <w:sz w:val="0"/>
          <w:szCs w:val="0"/>
          <w:bdr w:val="none" w:sz="0" w:space="0" w:color="000000"/>
          <w:shd w:val="clear" w:color="000000" w:fill="000000"/>
          <w:lang w:val="x-none" w:bidi="x-none"/>
        </w:rPr>
        <w:t>e</w:t>
      </w:r>
    </w:p>
    <w:p w14:paraId="1FC4AEC2" w14:textId="77777777" w:rsidR="00442AD1"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p>
    <w:p w14:paraId="2769EFB1" w14:textId="77777777" w:rsidR="00442AD1"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p>
    <w:p w14:paraId="43D63C16" w14:textId="77777777" w:rsidR="00442AD1"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imes New Roman" w:eastAsiaTheme="minorEastAsia" w:hAnsi="Times New Roman" w:cs="Times New Roman"/>
          <w:snapToGrid w:val="0"/>
          <w:w w:val="0"/>
          <w:sz w:val="0"/>
          <w:szCs w:val="0"/>
          <w:bdr w:val="none" w:sz="0" w:space="0" w:color="000000"/>
          <w:shd w:val="clear" w:color="000000" w:fill="000000"/>
          <w:lang w:val="x-none" w:bidi="x-none"/>
        </w:rPr>
      </w:pPr>
    </w:p>
    <w:p w14:paraId="3081C6E9" w14:textId="77777777" w:rsidR="000B00CC" w:rsidRDefault="00442AD1">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r>
        <w:rPr>
          <w:rFonts w:asciiTheme="minorEastAsia" w:eastAsiaTheme="minorEastAsia" w:hAnsiTheme="minorEastAsia" w:hint="eastAsia"/>
        </w:rPr>
        <w:t>References</w:t>
      </w:r>
    </w:p>
    <w:p w14:paraId="2D2B4C3E" w14:textId="77777777" w:rsidR="000B00CC" w:rsidRDefault="000B00CC">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p>
    <w:p w14:paraId="4186F699" w14:textId="77777777" w:rsidR="00275CCB" w:rsidRPr="00275CCB" w:rsidRDefault="000B00CC" w:rsidP="00275CCB">
      <w:pPr>
        <w:pStyle w:val="EndNoteBibliography"/>
      </w:pPr>
      <w:r>
        <w:rPr>
          <w:rFonts w:asciiTheme="minorEastAsia" w:hAnsiTheme="minorEastAsia" w:hint="eastAsia"/>
        </w:rPr>
        <w:fldChar w:fldCharType="begin"/>
      </w:r>
      <w:r>
        <w:rPr>
          <w:rFonts w:asciiTheme="minorEastAsia" w:hAnsiTheme="minorEastAsia" w:hint="eastAsia"/>
        </w:rPr>
        <w:instrText xml:space="preserve"> ADDIN EN.REFLIST </w:instrText>
      </w:r>
      <w:r>
        <w:rPr>
          <w:rFonts w:asciiTheme="minorEastAsia" w:hAnsiTheme="minorEastAsia" w:hint="eastAsia"/>
        </w:rPr>
        <w:fldChar w:fldCharType="separate"/>
      </w:r>
      <w:r w:rsidR="00275CCB" w:rsidRPr="00275CCB">
        <w:t>[1]</w:t>
      </w:r>
      <w:r w:rsidR="00275CCB" w:rsidRPr="00275CCB">
        <w:tab/>
        <w:t>Rafnsdottir S, Jang K, Halldorsdottir ST, Vinod M, Tomasdottir A, Möller K, et al. SMYD5 is a regulator of the mild hypothermia response. Cell reports</w:t>
      </w:r>
      <w:r w:rsidR="00275CCB" w:rsidRPr="00275CCB">
        <w:rPr>
          <w:i/>
        </w:rPr>
        <w:t>.</w:t>
      </w:r>
      <w:r w:rsidR="00275CCB" w:rsidRPr="00275CCB">
        <w:t xml:space="preserve"> 2024;43(8).</w:t>
      </w:r>
    </w:p>
    <w:p w14:paraId="6ECBE4E2" w14:textId="77777777" w:rsidR="00275CCB" w:rsidRPr="00275CCB" w:rsidRDefault="00275CCB" w:rsidP="00275CCB">
      <w:pPr>
        <w:pStyle w:val="EndNoteBibliography"/>
      </w:pPr>
      <w:r w:rsidRPr="00275CCB">
        <w:t>[2]</w:t>
      </w:r>
      <w:r w:rsidRPr="00275CCB">
        <w:tab/>
        <w:t>Mitrečić LD, Park EE, El-Hajj A, Mitrečić D. Mild hypothermia enhances regenerative gene expression in late-stage neural precursors. Medicine International</w:t>
      </w:r>
      <w:r w:rsidRPr="00275CCB">
        <w:rPr>
          <w:i/>
        </w:rPr>
        <w:t>.</w:t>
      </w:r>
      <w:r w:rsidRPr="00275CCB">
        <w:t xml:space="preserve"> 2025;5(5):53.</w:t>
      </w:r>
    </w:p>
    <w:p w14:paraId="537CAFE4" w14:textId="77777777" w:rsidR="00275CCB" w:rsidRPr="00275CCB" w:rsidRDefault="00275CCB" w:rsidP="00275CCB">
      <w:pPr>
        <w:pStyle w:val="EndNoteBibliography"/>
      </w:pPr>
      <w:r w:rsidRPr="00275CCB">
        <w:t>[3]</w:t>
      </w:r>
      <w:r w:rsidRPr="00275CCB">
        <w:tab/>
        <w:t>Sonna LA, Kuhlmeier MM, Carter HC, Hasday JD, Lilly CM, Fairchild KD. Effect of moderate hypothermia on gene expression by THP-1 cells: a DNA microarray study. Physiological genomics</w:t>
      </w:r>
      <w:r w:rsidRPr="00275CCB">
        <w:rPr>
          <w:i/>
        </w:rPr>
        <w:t>.</w:t>
      </w:r>
      <w:r w:rsidRPr="00275CCB">
        <w:t xml:space="preserve"> 2006;26(1):91-8.</w:t>
      </w:r>
    </w:p>
    <w:p w14:paraId="247D63AB" w14:textId="77777777" w:rsidR="00275CCB" w:rsidRPr="00275CCB" w:rsidRDefault="00275CCB" w:rsidP="00275CCB">
      <w:pPr>
        <w:pStyle w:val="EndNoteBibliography"/>
      </w:pPr>
      <w:r w:rsidRPr="00275CCB">
        <w:t>[4]</w:t>
      </w:r>
      <w:r w:rsidRPr="00275CCB">
        <w:tab/>
        <w:t>Lu C-L, Sha J-J, Ma R-F, Dong X-T, Su X-R, Cong B, et al. Severe hypothermia induces ferroptosis in cerebral cortical nerve cells. International Journal of Molecular Sciences</w:t>
      </w:r>
      <w:r w:rsidRPr="00275CCB">
        <w:rPr>
          <w:i/>
        </w:rPr>
        <w:t>.</w:t>
      </w:r>
      <w:r w:rsidRPr="00275CCB">
        <w:t xml:space="preserve"> 2024;25(15):8086.</w:t>
      </w:r>
    </w:p>
    <w:p w14:paraId="383575CB" w14:textId="77777777" w:rsidR="00275CCB" w:rsidRPr="00275CCB" w:rsidRDefault="00275CCB" w:rsidP="00275CCB">
      <w:pPr>
        <w:pStyle w:val="EndNoteBibliography"/>
      </w:pPr>
      <w:r w:rsidRPr="00275CCB">
        <w:t>[5]</w:t>
      </w:r>
      <w:r w:rsidRPr="00275CCB">
        <w:tab/>
        <w:t>Tarkowska A, Furmaga-Jabłońska W, Bogucki J, Kocki J, Pluta R. Hypothermia after perinatal asphyxia does not affect genes responsible for amyloid production in neonatal peripheral lymphocytes. Journal of Clinical Medicine</w:t>
      </w:r>
      <w:r w:rsidRPr="00275CCB">
        <w:rPr>
          <w:i/>
        </w:rPr>
        <w:t>.</w:t>
      </w:r>
      <w:r w:rsidRPr="00275CCB">
        <w:t xml:space="preserve"> 2022;11(12):3263.</w:t>
      </w:r>
    </w:p>
    <w:p w14:paraId="1FDFD176" w14:textId="77777777" w:rsidR="00275CCB" w:rsidRPr="00275CCB" w:rsidRDefault="00275CCB" w:rsidP="00275CCB">
      <w:pPr>
        <w:pStyle w:val="EndNoteBibliography"/>
      </w:pPr>
      <w:r w:rsidRPr="00275CCB">
        <w:t>[6]</w:t>
      </w:r>
      <w:r w:rsidRPr="00275CCB">
        <w:tab/>
        <w:t>Dong M, Yang X, Lim S, Cao Z, Honek J, Lu H, et al. Cold exposure promotes atherosclerotic plaque growth and instability via UCP1-dependent lipolysis. Cell metabolism</w:t>
      </w:r>
      <w:r w:rsidRPr="00275CCB">
        <w:rPr>
          <w:i/>
        </w:rPr>
        <w:t>.</w:t>
      </w:r>
      <w:r w:rsidRPr="00275CCB">
        <w:t xml:space="preserve"> 2013;18(1):118-29.</w:t>
      </w:r>
    </w:p>
    <w:p w14:paraId="05B05993" w14:textId="4B9B4CD8" w:rsidR="00442AD1" w:rsidRDefault="000B00CC">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rPr>
      </w:pPr>
      <w:r>
        <w:rPr>
          <w:rFonts w:asciiTheme="minorEastAsia" w:eastAsiaTheme="minorEastAsia" w:hAnsiTheme="minorEastAsia" w:hint="eastAsia"/>
        </w:rPr>
        <w:fldChar w:fldCharType="end"/>
      </w:r>
    </w:p>
    <w:p w14:paraId="60F47D81" w14:textId="77777777" w:rsidR="00622F68" w:rsidRDefault="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rPr>
      </w:pPr>
    </w:p>
    <w:p w14:paraId="22E283EC" w14:textId="77777777" w:rsidR="00622F68" w:rsidRDefault="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rPr>
      </w:pPr>
    </w:p>
    <w:p w14:paraId="62E6AE10" w14:textId="77777777" w:rsidR="00622F68" w:rsidRPr="009C164F" w:rsidRDefault="00622F68" w:rsidP="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p>
    <w:p w14:paraId="46B09605" w14:textId="77777777" w:rsidR="00622F68" w:rsidRPr="00342F47" w:rsidRDefault="00622F68" w:rsidP="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eastAsiaTheme="minorEastAsia" w:hint="eastAsia"/>
        </w:rPr>
      </w:pPr>
      <w:r>
        <w:rPr>
          <w:noProof/>
        </w:rPr>
        <w:lastRenderedPageBreak/>
        <w:drawing>
          <wp:inline distT="0" distB="0" distL="0" distR="0" wp14:anchorId="7F782178" wp14:editId="3EA8E8C3">
            <wp:extent cx="6096000" cy="4876800"/>
            <wp:effectExtent l="0" t="0" r="0" b="0"/>
            <wp:docPr id="5268079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r w:rsidRPr="00761956">
        <w:rPr>
          <w:rFonts w:ascii="Times New Roman" w:eastAsia="Times New Roman" w:hAnsi="Times New Roman" w:cs="Times New Roman"/>
          <w:snapToGrid w:val="0"/>
          <w:w w:val="0"/>
          <w:sz w:val="0"/>
          <w:szCs w:val="0"/>
          <w:bdr w:val="none" w:sz="0" w:space="0" w:color="000000"/>
          <w:shd w:val="clear" w:color="000000" w:fill="000000"/>
          <w:lang w:val="x-none" w:eastAsia="x-none" w:bidi="x-none"/>
        </w:rPr>
        <w:t xml:space="preserve"> </w:t>
      </w:r>
      <w:r w:rsidRPr="00761956">
        <w:rPr>
          <w:noProof/>
        </w:rPr>
        <w:lastRenderedPageBreak/>
        <w:drawing>
          <wp:inline distT="0" distB="0" distL="0" distR="0" wp14:anchorId="70F65787" wp14:editId="3588DC51">
            <wp:extent cx="6096000" cy="4876800"/>
            <wp:effectExtent l="0" t="0" r="0" b="0"/>
            <wp:docPr id="4981752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r>
        <w:rPr>
          <w:noProof/>
        </w:rPr>
        <w:lastRenderedPageBreak/>
        <w:drawing>
          <wp:inline distT="0" distB="0" distL="0" distR="0" wp14:anchorId="5E78D615" wp14:editId="5CB9C87B">
            <wp:extent cx="6096000" cy="4876800"/>
            <wp:effectExtent l="0" t="0" r="0" b="0"/>
            <wp:docPr id="1063141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r>
        <w:rPr>
          <w:noProof/>
        </w:rPr>
        <w:lastRenderedPageBreak/>
        <w:drawing>
          <wp:inline distT="0" distB="0" distL="0" distR="0" wp14:anchorId="5E4D0341" wp14:editId="405F0737">
            <wp:extent cx="6116320" cy="7645400"/>
            <wp:effectExtent l="0" t="0" r="0" b="0"/>
            <wp:docPr id="16092910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6320" cy="7645400"/>
                    </a:xfrm>
                    <a:prstGeom prst="rect">
                      <a:avLst/>
                    </a:prstGeom>
                    <a:noFill/>
                    <a:ln>
                      <a:noFill/>
                    </a:ln>
                  </pic:spPr>
                </pic:pic>
              </a:graphicData>
            </a:graphic>
          </wp:inline>
        </w:drawing>
      </w:r>
      <w:r>
        <w:rPr>
          <w:noProof/>
        </w:rPr>
        <w:lastRenderedPageBreak/>
        <w:drawing>
          <wp:inline distT="0" distB="0" distL="0" distR="0" wp14:anchorId="708DBCBF" wp14:editId="088EF0EA">
            <wp:extent cx="6116320" cy="4587240"/>
            <wp:effectExtent l="0" t="0" r="0" b="3810"/>
            <wp:docPr id="18336012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6320" cy="4587240"/>
                    </a:xfrm>
                    <a:prstGeom prst="rect">
                      <a:avLst/>
                    </a:prstGeom>
                    <a:noFill/>
                    <a:ln>
                      <a:noFill/>
                    </a:ln>
                  </pic:spPr>
                </pic:pic>
              </a:graphicData>
            </a:graphic>
          </wp:inline>
        </w:drawing>
      </w:r>
      <w:r>
        <w:rPr>
          <w:noProof/>
        </w:rPr>
        <w:drawing>
          <wp:inline distT="0" distB="0" distL="0" distR="0" wp14:anchorId="6EBCE87E" wp14:editId="60301F69">
            <wp:extent cx="6116320" cy="4077335"/>
            <wp:effectExtent l="0" t="0" r="0" b="0"/>
            <wp:docPr id="13585459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6320" cy="4077335"/>
                    </a:xfrm>
                    <a:prstGeom prst="rect">
                      <a:avLst/>
                    </a:prstGeom>
                    <a:noFill/>
                    <a:ln>
                      <a:noFill/>
                    </a:ln>
                  </pic:spPr>
                </pic:pic>
              </a:graphicData>
            </a:graphic>
          </wp:inline>
        </w:drawing>
      </w:r>
      <w:r>
        <w:rPr>
          <w:noProof/>
        </w:rPr>
        <w:lastRenderedPageBreak/>
        <w:drawing>
          <wp:inline distT="0" distB="0" distL="0" distR="0" wp14:anchorId="3131DFE1" wp14:editId="61668152">
            <wp:extent cx="6116320" cy="3058160"/>
            <wp:effectExtent l="0" t="0" r="0" b="8890"/>
            <wp:docPr id="23757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6320" cy="3058160"/>
                    </a:xfrm>
                    <a:prstGeom prst="rect">
                      <a:avLst/>
                    </a:prstGeom>
                    <a:noFill/>
                    <a:ln>
                      <a:noFill/>
                    </a:ln>
                  </pic:spPr>
                </pic:pic>
              </a:graphicData>
            </a:graphic>
          </wp:inline>
        </w:drawing>
      </w:r>
    </w:p>
    <w:p w14:paraId="7D3E87A5" w14:textId="77777777" w:rsidR="00622F68" w:rsidRDefault="00622F68">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360" w:lineRule="auto"/>
        <w:jc w:val="both"/>
        <w:rPr>
          <w:rFonts w:asciiTheme="minorEastAsia" w:eastAsiaTheme="minorEastAsia" w:hAnsiTheme="minorEastAsia" w:hint="eastAsia"/>
        </w:rPr>
      </w:pPr>
    </w:p>
    <w:sectPr w:rsidR="00622F6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5CB04" w14:textId="77777777" w:rsidR="00973F53" w:rsidRDefault="00973F53">
      <w:r>
        <w:separator/>
      </w:r>
    </w:p>
  </w:endnote>
  <w:endnote w:type="continuationSeparator" w:id="0">
    <w:p w14:paraId="6E39A3A6" w14:textId="77777777" w:rsidR="00973F53" w:rsidRDefault="0097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515AE" w14:textId="77777777" w:rsidR="00973F53" w:rsidRDefault="00973F53">
      <w:r>
        <w:separator/>
      </w:r>
    </w:p>
  </w:footnote>
  <w:footnote w:type="continuationSeparator" w:id="0">
    <w:p w14:paraId="0FE75846" w14:textId="77777777" w:rsidR="00973F53" w:rsidRDefault="00973F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Emerg Med&lt;/Style&gt;&lt;LeftDelim&gt;{&lt;/LeftDelim&gt;&lt;RightDelim&gt;}&lt;/RightDelim&gt;&lt;FontName&gt;PingFang SC Regular&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fww92pwfxxehedev4xvdpm9drd5txwv2rt&quot;&gt;My EndNote Library&lt;record-ids&gt;&lt;item&gt;222&lt;/item&gt;&lt;item&gt;223&lt;/item&gt;&lt;item&gt;225&lt;/item&gt;&lt;item&gt;226&lt;/item&gt;&lt;item&gt;227&lt;/item&gt;&lt;item&gt;228&lt;/item&gt;&lt;/record-ids&gt;&lt;/item&gt;&lt;/Libraries&gt;"/>
  </w:docVars>
  <w:rsids>
    <w:rsidRoot w:val="00972F09"/>
    <w:rsid w:val="00003906"/>
    <w:rsid w:val="00031887"/>
    <w:rsid w:val="000431CD"/>
    <w:rsid w:val="00043580"/>
    <w:rsid w:val="000538F5"/>
    <w:rsid w:val="000A3EA4"/>
    <w:rsid w:val="000B00CC"/>
    <w:rsid w:val="000B110A"/>
    <w:rsid w:val="000D321D"/>
    <w:rsid w:val="000D703E"/>
    <w:rsid w:val="0012430A"/>
    <w:rsid w:val="001275EC"/>
    <w:rsid w:val="0014360F"/>
    <w:rsid w:val="001611DD"/>
    <w:rsid w:val="00177DE7"/>
    <w:rsid w:val="0018397A"/>
    <w:rsid w:val="001857AD"/>
    <w:rsid w:val="001D188B"/>
    <w:rsid w:val="001E57B2"/>
    <w:rsid w:val="00206CA4"/>
    <w:rsid w:val="00275CCB"/>
    <w:rsid w:val="002A77E0"/>
    <w:rsid w:val="002B70A9"/>
    <w:rsid w:val="00316D75"/>
    <w:rsid w:val="00342F47"/>
    <w:rsid w:val="00356B6C"/>
    <w:rsid w:val="0036279A"/>
    <w:rsid w:val="003825B1"/>
    <w:rsid w:val="003B0B16"/>
    <w:rsid w:val="003F1CAF"/>
    <w:rsid w:val="00423234"/>
    <w:rsid w:val="00442AD1"/>
    <w:rsid w:val="00470180"/>
    <w:rsid w:val="004D2FD6"/>
    <w:rsid w:val="004D79F8"/>
    <w:rsid w:val="004F73A6"/>
    <w:rsid w:val="00514EB2"/>
    <w:rsid w:val="00522DEE"/>
    <w:rsid w:val="0052745C"/>
    <w:rsid w:val="00545920"/>
    <w:rsid w:val="00552CBC"/>
    <w:rsid w:val="00567504"/>
    <w:rsid w:val="005919FB"/>
    <w:rsid w:val="005D502E"/>
    <w:rsid w:val="00611E27"/>
    <w:rsid w:val="00622F68"/>
    <w:rsid w:val="00623BC1"/>
    <w:rsid w:val="006771D2"/>
    <w:rsid w:val="0068609D"/>
    <w:rsid w:val="0069390B"/>
    <w:rsid w:val="006B54A3"/>
    <w:rsid w:val="00761956"/>
    <w:rsid w:val="007623B3"/>
    <w:rsid w:val="00781ACC"/>
    <w:rsid w:val="007E6F6F"/>
    <w:rsid w:val="0083685B"/>
    <w:rsid w:val="0084704F"/>
    <w:rsid w:val="008A5964"/>
    <w:rsid w:val="008C472A"/>
    <w:rsid w:val="008D1FA4"/>
    <w:rsid w:val="008D7EEF"/>
    <w:rsid w:val="008F0A11"/>
    <w:rsid w:val="008F34A3"/>
    <w:rsid w:val="008F5AEA"/>
    <w:rsid w:val="00904550"/>
    <w:rsid w:val="0091165E"/>
    <w:rsid w:val="009166A9"/>
    <w:rsid w:val="00925F3A"/>
    <w:rsid w:val="009554D4"/>
    <w:rsid w:val="00972F09"/>
    <w:rsid w:val="00973F53"/>
    <w:rsid w:val="00991469"/>
    <w:rsid w:val="00995338"/>
    <w:rsid w:val="009C164F"/>
    <w:rsid w:val="00A256DD"/>
    <w:rsid w:val="00A348F8"/>
    <w:rsid w:val="00A568CA"/>
    <w:rsid w:val="00A8349B"/>
    <w:rsid w:val="00A85DBF"/>
    <w:rsid w:val="00A91D21"/>
    <w:rsid w:val="00A96465"/>
    <w:rsid w:val="00AB4FDF"/>
    <w:rsid w:val="00B20576"/>
    <w:rsid w:val="00B34668"/>
    <w:rsid w:val="00B649E7"/>
    <w:rsid w:val="00B91270"/>
    <w:rsid w:val="00BC7AE1"/>
    <w:rsid w:val="00BF1CE4"/>
    <w:rsid w:val="00C25E0D"/>
    <w:rsid w:val="00C606E3"/>
    <w:rsid w:val="00CA6A63"/>
    <w:rsid w:val="00CA742D"/>
    <w:rsid w:val="00CC04EC"/>
    <w:rsid w:val="00CF5ACE"/>
    <w:rsid w:val="00D04AD1"/>
    <w:rsid w:val="00D17C01"/>
    <w:rsid w:val="00D322BA"/>
    <w:rsid w:val="00D328B6"/>
    <w:rsid w:val="00D5235D"/>
    <w:rsid w:val="00D532FC"/>
    <w:rsid w:val="00D70200"/>
    <w:rsid w:val="00D71C0F"/>
    <w:rsid w:val="00DB711E"/>
    <w:rsid w:val="00DB72D6"/>
    <w:rsid w:val="00DD036A"/>
    <w:rsid w:val="00E339FA"/>
    <w:rsid w:val="00E440B0"/>
    <w:rsid w:val="00E86BDB"/>
    <w:rsid w:val="00EB3077"/>
    <w:rsid w:val="00EF626F"/>
    <w:rsid w:val="00F125DE"/>
    <w:rsid w:val="00F37233"/>
    <w:rsid w:val="00F854A2"/>
    <w:rsid w:val="00FA4DAD"/>
    <w:rsid w:val="00FB204B"/>
    <w:rsid w:val="00FE4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9414C2"/>
  <w15:docId w15:val="{3159E6F7-6932-4FB5-AEDB-17C1680D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customStyle="1" w:styleId="a5">
    <w:name w:val="默认"/>
    <w:link w:val="a6"/>
    <w:pPr>
      <w:spacing w:before="160" w:line="288" w:lineRule="auto"/>
    </w:pPr>
    <w:rPr>
      <w:rFonts w:ascii="PingFang SC Regular" w:eastAsia="Arial Unicode MS" w:hAnsi="PingFang SC Regular" w:cs="Arial Unicode MS"/>
      <w:color w:val="000000"/>
      <w:sz w:val="24"/>
      <w:szCs w:val="24"/>
      <w:u w:color="000000"/>
      <w14:textOutline w14:w="12700" w14:cap="flat" w14:cmpd="sng" w14:algn="ctr">
        <w14:noFill/>
        <w14:prstDash w14:val="solid"/>
        <w14:miter w14:lim="400000"/>
      </w14:textOutline>
    </w:rPr>
  </w:style>
  <w:style w:type="table" w:styleId="a7">
    <w:name w:val="Table Grid"/>
    <w:basedOn w:val="a1"/>
    <w:uiPriority w:val="39"/>
    <w:rsid w:val="00342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F854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8">
    <w:name w:val="Unresolved Mention"/>
    <w:basedOn w:val="a0"/>
    <w:uiPriority w:val="99"/>
    <w:semiHidden/>
    <w:unhideWhenUsed/>
    <w:rsid w:val="003B0B16"/>
    <w:rPr>
      <w:color w:val="605E5C"/>
      <w:shd w:val="clear" w:color="auto" w:fill="E1DFDD"/>
    </w:rPr>
  </w:style>
  <w:style w:type="paragraph" w:styleId="a9">
    <w:name w:val="header"/>
    <w:basedOn w:val="a"/>
    <w:link w:val="aa"/>
    <w:uiPriority w:val="99"/>
    <w:unhideWhenUsed/>
    <w:rsid w:val="008A5964"/>
    <w:pPr>
      <w:tabs>
        <w:tab w:val="center" w:pos="4153"/>
        <w:tab w:val="right" w:pos="8306"/>
      </w:tabs>
      <w:snapToGrid w:val="0"/>
      <w:jc w:val="center"/>
    </w:pPr>
    <w:rPr>
      <w:sz w:val="18"/>
      <w:szCs w:val="18"/>
    </w:rPr>
  </w:style>
  <w:style w:type="character" w:customStyle="1" w:styleId="aa">
    <w:name w:val="页眉 字符"/>
    <w:basedOn w:val="a0"/>
    <w:link w:val="a9"/>
    <w:uiPriority w:val="99"/>
    <w:rsid w:val="008A5964"/>
    <w:rPr>
      <w:sz w:val="18"/>
      <w:szCs w:val="18"/>
      <w:lang w:eastAsia="en-US"/>
    </w:rPr>
  </w:style>
  <w:style w:type="paragraph" w:styleId="ab">
    <w:name w:val="footer"/>
    <w:basedOn w:val="a"/>
    <w:link w:val="ac"/>
    <w:uiPriority w:val="99"/>
    <w:unhideWhenUsed/>
    <w:rsid w:val="008A5964"/>
    <w:pPr>
      <w:tabs>
        <w:tab w:val="center" w:pos="4153"/>
        <w:tab w:val="right" w:pos="8306"/>
      </w:tabs>
      <w:snapToGrid w:val="0"/>
    </w:pPr>
    <w:rPr>
      <w:sz w:val="18"/>
      <w:szCs w:val="18"/>
    </w:rPr>
  </w:style>
  <w:style w:type="character" w:customStyle="1" w:styleId="ac">
    <w:name w:val="页脚 字符"/>
    <w:basedOn w:val="a0"/>
    <w:link w:val="ab"/>
    <w:uiPriority w:val="99"/>
    <w:rsid w:val="008A5964"/>
    <w:rPr>
      <w:sz w:val="18"/>
      <w:szCs w:val="18"/>
      <w:lang w:eastAsia="en-US"/>
    </w:rPr>
  </w:style>
  <w:style w:type="paragraph" w:customStyle="1" w:styleId="EndNoteBibliographyTitle">
    <w:name w:val="EndNote Bibliography Title"/>
    <w:basedOn w:val="a"/>
    <w:link w:val="EndNoteBibliographyTitle0"/>
    <w:rsid w:val="000B00CC"/>
    <w:pPr>
      <w:jc w:val="center"/>
    </w:pPr>
    <w:rPr>
      <w:rFonts w:ascii="PingFang SC Regular" w:hAnsi="PingFang SC Regular"/>
      <w:noProof/>
    </w:rPr>
  </w:style>
  <w:style w:type="character" w:customStyle="1" w:styleId="a6">
    <w:name w:val="默认 字符"/>
    <w:basedOn w:val="a0"/>
    <w:link w:val="a5"/>
    <w:rsid w:val="000B00CC"/>
    <w:rPr>
      <w:rFonts w:ascii="PingFang SC Regular" w:eastAsia="Arial Unicode MS" w:hAnsi="PingFang SC Regular" w:cs="Arial Unicode MS"/>
      <w:color w:val="000000"/>
      <w:sz w:val="24"/>
      <w:szCs w:val="24"/>
      <w:u w:color="000000"/>
      <w14:textOutline w14:w="12700" w14:cap="flat" w14:cmpd="sng" w14:algn="ctr">
        <w14:noFill/>
        <w14:prstDash w14:val="solid"/>
        <w14:miter w14:lim="400000"/>
      </w14:textOutline>
    </w:rPr>
  </w:style>
  <w:style w:type="character" w:customStyle="1" w:styleId="EndNoteBibliographyTitle0">
    <w:name w:val="EndNote Bibliography Title 字符"/>
    <w:basedOn w:val="a6"/>
    <w:link w:val="EndNoteBibliographyTitle"/>
    <w:rsid w:val="000B00CC"/>
    <w:rPr>
      <w:rFonts w:ascii="PingFang SC Regular" w:eastAsia="Arial Unicode MS" w:hAnsi="PingFang SC Regular" w:cs="Arial Unicode MS"/>
      <w:noProof/>
      <w:color w:val="000000"/>
      <w:sz w:val="24"/>
      <w:szCs w:val="24"/>
      <w:u w:color="000000"/>
      <w:lang w:eastAsia="en-US"/>
      <w14:textOutline w14:w="12700" w14:cap="flat" w14:cmpd="sng" w14:algn="ctr">
        <w14:noFill/>
        <w14:prstDash w14:val="solid"/>
        <w14:miter w14:lim="400000"/>
      </w14:textOutline>
    </w:rPr>
  </w:style>
  <w:style w:type="paragraph" w:customStyle="1" w:styleId="EndNoteBibliography">
    <w:name w:val="EndNote Bibliography"/>
    <w:basedOn w:val="a"/>
    <w:link w:val="EndNoteBibliography0"/>
    <w:rsid w:val="000B00CC"/>
    <w:pPr>
      <w:jc w:val="both"/>
    </w:pPr>
    <w:rPr>
      <w:rFonts w:ascii="PingFang SC Regular" w:hAnsi="PingFang SC Regular"/>
      <w:noProof/>
    </w:rPr>
  </w:style>
  <w:style w:type="character" w:customStyle="1" w:styleId="EndNoteBibliography0">
    <w:name w:val="EndNote Bibliography 字符"/>
    <w:basedOn w:val="a6"/>
    <w:link w:val="EndNoteBibliography"/>
    <w:rsid w:val="000B00CC"/>
    <w:rPr>
      <w:rFonts w:ascii="PingFang SC Regular" w:eastAsia="Arial Unicode MS" w:hAnsi="PingFang SC Regular" w:cs="Arial Unicode MS"/>
      <w:noProof/>
      <w:color w:val="000000"/>
      <w:sz w:val="24"/>
      <w:szCs w:val="24"/>
      <w:u w:color="000000"/>
      <w:lang w:eastAsia="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10</Pages>
  <Words>2416</Words>
  <Characters>8167</Characters>
  <Application>Microsoft Office Word</Application>
  <DocSecurity>0</DocSecurity>
  <Lines>247</Lines>
  <Paragraphs>66</Paragraphs>
  <ScaleCrop>false</ScaleCrop>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Yoruichi</dc:creator>
  <cp:keywords/>
  <dc:description/>
  <cp:lastModifiedBy>yz peng</cp:lastModifiedBy>
  <cp:revision>59</cp:revision>
  <cp:lastPrinted>2025-08-08T13:43:00Z</cp:lastPrinted>
  <dcterms:created xsi:type="dcterms:W3CDTF">2025-08-07T08:45:00Z</dcterms:created>
  <dcterms:modified xsi:type="dcterms:W3CDTF">2025-08-16T05:34:00Z</dcterms:modified>
</cp:coreProperties>
</file>