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B51602" w14:textId="77777777" w:rsidR="0036279A" w:rsidRPr="00470180" w:rsidRDefault="0036279A" w:rsidP="00470180">
      <w:pPr>
        <w:pStyle w:val="a5"/>
        <w:spacing w:before="0" w:after="320" w:line="240" w:lineRule="auto"/>
        <w:jc w:val="both"/>
        <w:rPr>
          <w:rFonts w:ascii="宋体" w:eastAsia="宋体" w:hAnsi="宋体" w:cs="宋体" w:hint="eastAsia"/>
          <w:b/>
          <w:bCs/>
          <w:color w:val="212121"/>
          <w:sz w:val="36"/>
          <w:szCs w:val="36"/>
          <w:u w:color="212121"/>
          <w:shd w:val="clear" w:color="auto" w:fill="FFFFFF"/>
        </w:rPr>
      </w:pPr>
      <w:r w:rsidRPr="00470180">
        <w:rPr>
          <w:rFonts w:ascii="宋体" w:eastAsia="宋体" w:hAnsi="宋体" w:cs="宋体" w:hint="eastAsia"/>
          <w:b/>
          <w:bCs/>
          <w:color w:val="212121"/>
          <w:sz w:val="36"/>
          <w:szCs w:val="36"/>
          <w:u w:color="212121"/>
          <w:shd w:val="clear" w:color="auto" w:fill="FFFFFF"/>
        </w:rPr>
        <w:t>基于多组学联合分析及机器学习识别低温症药物靶点及候选药物</w:t>
      </w:r>
    </w:p>
    <w:p w14:paraId="471A155B" w14:textId="77777777" w:rsidR="0036279A" w:rsidRPr="0036279A" w:rsidRDefault="0036279A" w:rsidP="0036279A">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vertAlign w:val="superscript"/>
          <w:lang w:val="zh-TW"/>
        </w:rPr>
      </w:pPr>
      <w:r w:rsidRPr="0036279A">
        <w:rPr>
          <w:rFonts w:ascii="宋体" w:eastAsia="宋体" w:hAnsi="宋体" w:cs="宋体" w:hint="eastAsia"/>
          <w:lang w:val="zh-TW"/>
        </w:rPr>
        <w:t>冉姝</w:t>
      </w:r>
      <w:r w:rsidRPr="0036279A">
        <w:rPr>
          <w:vertAlign w:val="superscript"/>
          <w:lang w:val="zh-TW"/>
        </w:rPr>
        <w:t>1</w:t>
      </w:r>
      <w:r w:rsidRPr="0036279A">
        <w:rPr>
          <w:rFonts w:hint="eastAsia"/>
          <w:lang w:val="zh-TW"/>
        </w:rPr>
        <w:t xml:space="preserve"> </w:t>
      </w:r>
      <w:r w:rsidRPr="0036279A">
        <w:rPr>
          <w:rFonts w:ascii="宋体" w:eastAsia="宋体" w:hAnsi="宋体" w:cs="宋体" w:hint="eastAsia"/>
          <w:lang w:val="zh-TW"/>
        </w:rPr>
        <w:t>彭运哲</w:t>
      </w:r>
      <w:r w:rsidRPr="0036279A">
        <w:rPr>
          <w:vertAlign w:val="superscript"/>
          <w:lang w:val="zh-TW"/>
        </w:rPr>
        <w:t xml:space="preserve">1 </w:t>
      </w:r>
      <w:r w:rsidRPr="0036279A">
        <w:rPr>
          <w:rFonts w:ascii="宋体" w:eastAsia="宋体" w:hAnsi="宋体" w:cs="宋体" w:hint="eastAsia"/>
          <w:lang w:val="zh-TW"/>
        </w:rPr>
        <w:t>刘宝林</w:t>
      </w:r>
      <w:r w:rsidRPr="0036279A">
        <w:rPr>
          <w:vertAlign w:val="superscript"/>
          <w:lang w:val="zh-TW"/>
        </w:rPr>
        <w:t>2</w:t>
      </w:r>
    </w:p>
    <w:p w14:paraId="4EB21A9A" w14:textId="77777777" w:rsidR="0036279A" w:rsidRPr="0036279A" w:rsidRDefault="0036279A" w:rsidP="0036279A">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lang w:val="zh-TW"/>
        </w:rPr>
      </w:pPr>
      <w:r w:rsidRPr="0036279A">
        <w:rPr>
          <w:lang w:val="zh-TW"/>
        </w:rPr>
        <w:t xml:space="preserve">1 </w:t>
      </w:r>
      <w:r w:rsidRPr="0036279A">
        <w:rPr>
          <w:rFonts w:ascii="宋体" w:eastAsia="宋体" w:hAnsi="宋体" w:cs="宋体" w:hint="eastAsia"/>
          <w:lang w:val="zh-TW"/>
        </w:rPr>
        <w:t>健康科学与工程学院，上海理工大学</w:t>
      </w:r>
    </w:p>
    <w:p w14:paraId="21B357EB" w14:textId="77777777" w:rsidR="0036279A" w:rsidRPr="0036279A" w:rsidRDefault="0036279A" w:rsidP="0036279A">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vertAlign w:val="superscript"/>
          <w:lang w:val="zh-TW"/>
        </w:rPr>
      </w:pPr>
      <w:r w:rsidRPr="0036279A">
        <w:rPr>
          <w:lang w:val="zh-TW"/>
        </w:rPr>
        <w:t xml:space="preserve">2 </w:t>
      </w:r>
      <w:r w:rsidRPr="0036279A">
        <w:rPr>
          <w:rFonts w:ascii="宋体" w:eastAsia="宋体" w:hAnsi="宋体" w:cs="宋体" w:hint="eastAsia"/>
          <w:lang w:val="zh-TW"/>
        </w:rPr>
        <w:t>能源与动力工程学院，上海理工大学</w:t>
      </w:r>
    </w:p>
    <w:p w14:paraId="7840A144" w14:textId="77777777" w:rsidR="0036279A" w:rsidRPr="0036279A" w:rsidRDefault="0036279A" w:rsidP="0036279A">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pPr>
      <w:r w:rsidRPr="0036279A">
        <w:rPr>
          <w:rFonts w:ascii="宋体" w:eastAsia="宋体" w:hAnsi="宋体" w:cs="宋体" w:hint="eastAsia"/>
          <w:lang w:val="zh-TW"/>
        </w:rPr>
        <w:t>【</w:t>
      </w:r>
      <w:r w:rsidRPr="0036279A">
        <w:t>Multi-Omics analysis and machine learning  Identifies therapeutic targets for hypothermia</w:t>
      </w:r>
      <w:r w:rsidRPr="0036279A">
        <w:rPr>
          <w:rFonts w:ascii="宋体" w:eastAsia="宋体" w:hAnsi="宋体" w:cs="宋体" w:hint="eastAsia"/>
          <w:lang w:val="zh-TW"/>
        </w:rPr>
        <w:t>】</w:t>
      </w:r>
    </w:p>
    <w:p w14:paraId="6277B82B" w14:textId="5CBB3964" w:rsidR="0036279A" w:rsidRPr="005919FB" w:rsidRDefault="0036279A" w:rsidP="005919FB">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360" w:lineRule="auto"/>
        <w:jc w:val="both"/>
        <w:rPr>
          <w:rFonts w:ascii="Times New Roman" w:hAnsi="Times New Roman"/>
          <w:b/>
          <w:bCs/>
          <w:color w:val="auto"/>
        </w:rPr>
      </w:pPr>
      <w:r w:rsidRPr="005919FB">
        <w:rPr>
          <w:rFonts w:ascii="宋体" w:eastAsia="宋体" w:hAnsi="宋体" w:cs="宋体" w:hint="eastAsia"/>
          <w:b/>
          <w:bCs/>
          <w:color w:val="auto"/>
        </w:rPr>
        <w:t>背景</w:t>
      </w:r>
      <w:r w:rsidRPr="005919FB">
        <w:rPr>
          <w:rFonts w:ascii="Times New Roman" w:hAnsi="Times New Roman"/>
          <w:b/>
          <w:bCs/>
          <w:color w:val="auto"/>
        </w:rPr>
        <w:t> </w:t>
      </w:r>
      <w:r w:rsidR="00514EB2">
        <w:rPr>
          <w:rFonts w:ascii="宋体" w:eastAsia="宋体" w:hAnsi="宋体" w:cs="宋体" w:hint="eastAsia"/>
          <w:b/>
          <w:bCs/>
          <w:color w:val="auto"/>
        </w:rPr>
        <w:t>：</w:t>
      </w:r>
    </w:p>
    <w:p w14:paraId="55A4870C" w14:textId="44D82C1B" w:rsidR="00CA742D" w:rsidRPr="00CA742D" w:rsidRDefault="00CA742D" w:rsidP="00CA742D">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jc w:val="both"/>
        <w:rPr>
          <w:rFonts w:ascii="宋体" w:eastAsia="宋体" w:hAnsi="宋体" w:cs="宋体" w:hint="eastAsia"/>
          <w:color w:val="auto"/>
        </w:rPr>
      </w:pPr>
      <w:r w:rsidRPr="00CA742D">
        <w:rPr>
          <w:rFonts w:ascii="宋体" w:eastAsia="宋体" w:hAnsi="宋体" w:cs="宋体" w:hint="eastAsia"/>
          <w:color w:val="auto"/>
        </w:rPr>
        <w:t>低温症（Hypothermia）是人体核心温度（CBT）低于35摄氏度（95华氏度）。 低于这个温度，身体散失的热量多于产生的热量。轻度低温症体温为 32 至 35 摄氏度，中度低温症体温为28至32摄氏度，重度低温症体温为低于28摄氏度。低温症多由于意外（寒冷暴露、医疗干预或创伤）和治疗（通过特定的降温措施来进行治疗）引起。</w:t>
      </w:r>
      <w:r w:rsidR="00F21616" w:rsidRPr="00AF00D8">
        <w:rPr>
          <w:color w:val="auto"/>
          <w:lang w:val="zh-CN"/>
        </w:rPr>
        <w:t>目前研究发现基因引发体温降低。脂肪组织特异性敲除</w:t>
      </w:r>
      <w:r w:rsidR="00F21616" w:rsidRPr="00AF00D8">
        <w:rPr>
          <w:color w:val="auto"/>
        </w:rPr>
        <w:t>Sirt6</w:t>
      </w:r>
      <w:r w:rsidR="00F21616" w:rsidRPr="00AF00D8">
        <w:rPr>
          <w:color w:val="auto"/>
          <w:lang w:val="zh-CN"/>
        </w:rPr>
        <w:t>基因会削弱小鼠棕色脂肪的产热功能</w:t>
      </w:r>
      <w:r w:rsidR="00F21616" w:rsidRPr="00AF00D8">
        <w:rPr>
          <w:color w:val="auto"/>
        </w:rPr>
        <w:t>,</w:t>
      </w:r>
      <w:r w:rsidR="00F21616" w:rsidRPr="00AF00D8">
        <w:rPr>
          <w:color w:val="auto"/>
          <w:lang w:val="zh-CN"/>
        </w:rPr>
        <w:t>氧气消耗速率降低</w:t>
      </w:r>
      <w:r w:rsidR="00F21616" w:rsidRPr="00AF00D8">
        <w:rPr>
          <w:color w:val="auto"/>
        </w:rPr>
        <w:t>,</w:t>
      </w:r>
      <w:r w:rsidR="00F21616" w:rsidRPr="00AF00D8">
        <w:rPr>
          <w:color w:val="auto"/>
          <w:lang w:val="ja-JP" w:eastAsia="ja-JP"/>
        </w:rPr>
        <w:t>体温下降</w:t>
      </w:r>
      <w:r w:rsidR="00AF00D8">
        <w:rPr>
          <w:color w:val="auto"/>
          <w:lang w:val="ja-JP" w:eastAsia="ja-JP"/>
        </w:rPr>
        <w:fldChar w:fldCharType="begin"/>
      </w:r>
      <w:r w:rsidR="00AF00D8">
        <w:rPr>
          <w:color w:val="auto"/>
          <w:lang w:val="ja-JP" w:eastAsia="ja-JP"/>
        </w:rPr>
        <w:instrText xml:space="preserve"> ADDIN EN.CITE &lt;EndNote&gt;&lt;Cite&gt;&lt;Author&gt;Yao&lt;/Author&gt;&lt;Year&gt;2017&lt;/Year&gt;&lt;RecNum&gt;229&lt;/RecNum&gt;&lt;DisplayText&gt;[1]&lt;/DisplayText&gt;&lt;record&gt;&lt;rec-number&gt;229&lt;/rec-number&gt;&lt;foreign-keys&gt;&lt;key app="EN" db-id="xwfww92pwfxxehedev4xvdpm9drd5txwv2rt" timestamp="1755960661"&gt;229&lt;/key&gt;&lt;/foreign-keys&gt;&lt;ref-type name="Journal Article"&gt;17&lt;/ref-type&gt;&lt;contributors&gt;&lt;authors&gt;&lt;author&gt;Yao, Lu&lt;/author&gt;&lt;author&gt;Cui, Xiaona&lt;/author&gt;&lt;author&gt;Chen, Qi&lt;/author&gt;&lt;author&gt;Yang, Xiaoying&lt;/author&gt;&lt;author&gt;Fang, Fude&lt;/author&gt;&lt;author&gt;Zhang, Jun&lt;/author&gt;&lt;author&gt;Liu, Guoqing&lt;/author&gt;&lt;author&gt;Jin, Wanzhu&lt;/author&gt;&lt;author&gt;Chang, Yongsheng&lt;/author&gt;&lt;/authors&gt;&lt;/contributors&gt;&lt;titles&gt;&lt;title&gt;Cold-inducible SIRT6 regulates thermogenesis of brown and beige fat&lt;/title&gt;&lt;secondary-title&gt;Cell reports&lt;/secondary-title&gt;&lt;/titles&gt;&lt;periodical&gt;&lt;full-title&gt;Cell reports&lt;/full-title&gt;&lt;/periodical&gt;&lt;pages&gt;641-654&lt;/pages&gt;&lt;volume&gt;20&lt;/volume&gt;&lt;number&gt;3&lt;/number&gt;&lt;dates&gt;&lt;year&gt;2017&lt;/year&gt;&lt;/dates&gt;&lt;isbn&gt;2211-1247&lt;/isbn&gt;&lt;urls&gt;&lt;/urls&gt;&lt;/record&gt;&lt;/Cite&gt;&lt;/EndNote&gt;</w:instrText>
      </w:r>
      <w:r w:rsidR="00AF00D8">
        <w:rPr>
          <w:color w:val="auto"/>
          <w:lang w:val="ja-JP" w:eastAsia="ja-JP"/>
        </w:rPr>
        <w:fldChar w:fldCharType="separate"/>
      </w:r>
      <w:r w:rsidR="00AF00D8">
        <w:rPr>
          <w:noProof/>
          <w:color w:val="auto"/>
          <w:lang w:val="ja-JP" w:eastAsia="ja-JP"/>
        </w:rPr>
        <w:t>[1]</w:t>
      </w:r>
      <w:r w:rsidR="00AF00D8">
        <w:rPr>
          <w:color w:val="auto"/>
          <w:lang w:val="ja-JP" w:eastAsia="ja-JP"/>
        </w:rPr>
        <w:fldChar w:fldCharType="end"/>
      </w:r>
      <w:r w:rsidR="00F21616" w:rsidRPr="00AF00D8">
        <w:rPr>
          <w:color w:val="auto"/>
          <w:lang w:val="zh-CN"/>
        </w:rPr>
        <w:t>。</w:t>
      </w:r>
      <w:r w:rsidR="00F21616" w:rsidRPr="00AF00D8">
        <w:rPr>
          <w:color w:val="auto"/>
          <w:lang w:val="de-DE"/>
        </w:rPr>
        <w:t>PDXK</w:t>
      </w:r>
      <w:r w:rsidR="00F21616" w:rsidRPr="00AF00D8">
        <w:rPr>
          <w:color w:val="auto"/>
          <w:lang w:val="zh-CN"/>
        </w:rPr>
        <w:t>基因编码</w:t>
      </w:r>
      <w:r w:rsidR="00F21616" w:rsidRPr="00AF00D8">
        <w:rPr>
          <w:color w:val="auto"/>
        </w:rPr>
        <w:t>吡哆醛激酶</w:t>
      </w:r>
      <w:r w:rsidR="00F21616" w:rsidRPr="00AF00D8">
        <w:rPr>
          <w:color w:val="auto"/>
          <w:lang w:val="zh-CN"/>
        </w:rPr>
        <w:t>，是维生素</w:t>
      </w:r>
      <w:r w:rsidR="00F21616" w:rsidRPr="00AF00D8">
        <w:rPr>
          <w:color w:val="auto"/>
          <w:lang w:val="zh-CN"/>
        </w:rPr>
        <w:t xml:space="preserve"> </w:t>
      </w:r>
      <w:r w:rsidR="00F21616" w:rsidRPr="00AF00D8">
        <w:rPr>
          <w:color w:val="auto"/>
        </w:rPr>
        <w:t xml:space="preserve">B6 </w:t>
      </w:r>
      <w:r w:rsidR="00F21616" w:rsidRPr="00AF00D8">
        <w:rPr>
          <w:color w:val="auto"/>
          <w:lang w:val="zh-CN"/>
        </w:rPr>
        <w:t>的一种关键代谢酶，催化吡哆醛（</w:t>
      </w:r>
      <w:r w:rsidR="00F21616" w:rsidRPr="00AF00D8">
        <w:rPr>
          <w:color w:val="auto"/>
        </w:rPr>
        <w:t>PL</w:t>
      </w:r>
      <w:r w:rsidR="00F21616" w:rsidRPr="00AF00D8">
        <w:rPr>
          <w:color w:val="auto"/>
          <w:lang w:val="zh-CN"/>
        </w:rPr>
        <w:t>）的磷酸化反应，从而导致</w:t>
      </w:r>
      <w:r w:rsidR="00F21616" w:rsidRPr="00AF00D8">
        <w:rPr>
          <w:color w:val="auto"/>
          <w:lang w:val="zh-CN"/>
        </w:rPr>
        <w:t xml:space="preserve"> </w:t>
      </w:r>
      <w:r w:rsidR="00F21616" w:rsidRPr="00AF00D8">
        <w:rPr>
          <w:color w:val="auto"/>
        </w:rPr>
        <w:t xml:space="preserve">PL </w:t>
      </w:r>
      <w:r w:rsidR="00F21616" w:rsidRPr="00AF00D8">
        <w:rPr>
          <w:color w:val="auto"/>
          <w:lang w:val="zh-CN"/>
        </w:rPr>
        <w:t>在下丘脑中积累，进而引发体温降低</w:t>
      </w:r>
      <w:r w:rsidR="00854348">
        <w:rPr>
          <w:color w:val="auto"/>
          <w:lang w:val="zh-CN"/>
        </w:rPr>
        <w:fldChar w:fldCharType="begin"/>
      </w:r>
      <w:r w:rsidR="00854348">
        <w:rPr>
          <w:color w:val="auto"/>
          <w:lang w:val="zh-CN"/>
        </w:rPr>
        <w:instrText xml:space="preserve"> ADDIN EN.CITE &lt;EndNote&gt;&lt;Cite&gt;&lt;Author&gt;Wang&lt;/Author&gt;&lt;Year&gt;2023&lt;/Year&gt;&lt;RecNum&gt;230&lt;/RecNum&gt;&lt;DisplayText&gt;[2]&lt;/DisplayText&gt;&lt;record&gt;&lt;rec-number&gt;230&lt;/rec-number&gt;&lt;foreign-keys&gt;&lt;key app="EN" db-id="xwfww92pwfxxehedev4xvdpm9drd5txwv2rt" timestamp="1755960721"&gt;230&lt;/key&gt;&lt;/foreign-keys&gt;&lt;ref-type name="Journal Article"&gt;17&lt;/ref-type&gt;&lt;contributors&gt;&lt;authors&gt;&lt;author&gt;Wang, Ruina&lt;/author&gt;&lt;author&gt;Xiao, Lei&lt;/author&gt;&lt;author&gt;Pan, Jianbo&lt;/author&gt;&lt;author&gt;Bao, Guangsen&lt;/author&gt;&lt;author&gt;Zhu, Yunmei&lt;/author&gt;&lt;author&gt;Zhu, Di&lt;/author&gt;&lt;author&gt;Wang, Jun&lt;/author&gt;&lt;author&gt;Pei, Chengfeng&lt;/author&gt;&lt;author&gt;Ma, Qinfeng&lt;/author&gt;&lt;author&gt;Fu, Xian&lt;/author&gt;&lt;/authors&gt;&lt;/contributors&gt;&lt;titles&gt;&lt;title&gt;Natural product P57 induces hypothermia through targeting pyridoxal kinase&lt;/title&gt;&lt;secondary-title&gt;Nature Communications&lt;/secondary-title&gt;&lt;/titles&gt;&lt;periodical&gt;&lt;full-title&gt;Nature communications&lt;/full-title&gt;&lt;/periodical&gt;&lt;pages&gt;5984&lt;/pages&gt;&lt;volume&gt;14&lt;/volume&gt;&lt;number&gt;1&lt;/number&gt;&lt;dates&gt;&lt;year&gt;2023&lt;/year&gt;&lt;/dates&gt;&lt;isbn&gt;2041-1723&lt;/isbn&gt;&lt;urls&gt;&lt;/urls&gt;&lt;/record&gt;&lt;/Cite&gt;&lt;/EndNote&gt;</w:instrText>
      </w:r>
      <w:r w:rsidR="00854348">
        <w:rPr>
          <w:color w:val="auto"/>
          <w:lang w:val="zh-CN"/>
        </w:rPr>
        <w:fldChar w:fldCharType="separate"/>
      </w:r>
      <w:r w:rsidR="00854348">
        <w:rPr>
          <w:noProof/>
          <w:color w:val="auto"/>
          <w:lang w:val="zh-CN"/>
        </w:rPr>
        <w:t>[2]</w:t>
      </w:r>
      <w:r w:rsidR="00854348">
        <w:rPr>
          <w:color w:val="auto"/>
          <w:lang w:val="zh-CN"/>
        </w:rPr>
        <w:fldChar w:fldCharType="end"/>
      </w:r>
      <w:r w:rsidR="00F21616" w:rsidRPr="00AF00D8">
        <w:rPr>
          <w:color w:val="auto"/>
          <w:lang w:val="zh-CN"/>
        </w:rPr>
        <w:t>。</w:t>
      </w:r>
      <w:r w:rsidR="00F21616" w:rsidRPr="00AF00D8">
        <w:rPr>
          <w:color w:val="auto"/>
          <w:lang w:val="zh-CN"/>
        </w:rPr>
        <w:t>KCNQ</w:t>
      </w:r>
      <w:r w:rsidR="00F21616" w:rsidRPr="00AF00D8">
        <w:rPr>
          <w:color w:val="auto"/>
          <w:lang w:val="zh-CN"/>
        </w:rPr>
        <w:t>基因编码</w:t>
      </w:r>
      <w:r w:rsidR="00F21616" w:rsidRPr="00AF00D8">
        <w:rPr>
          <w:color w:val="auto"/>
        </w:rPr>
        <w:t>Kv7</w:t>
      </w:r>
      <w:r w:rsidR="00F21616" w:rsidRPr="00AF00D8">
        <w:rPr>
          <w:color w:val="auto"/>
          <w:lang w:val="zh-CN"/>
        </w:rPr>
        <w:t>通道蛋白，研究表明</w:t>
      </w:r>
      <w:r w:rsidR="00F21616" w:rsidRPr="00AF00D8">
        <w:rPr>
          <w:color w:val="auto"/>
        </w:rPr>
        <w:t xml:space="preserve">Kv7.2/3 </w:t>
      </w:r>
      <w:r w:rsidR="00F21616" w:rsidRPr="00AF00D8">
        <w:rPr>
          <w:color w:val="auto"/>
          <w:lang w:val="zh-CN"/>
        </w:rPr>
        <w:t>通道亚型是</w:t>
      </w:r>
      <w:r w:rsidR="00F21616" w:rsidRPr="00AF00D8">
        <w:rPr>
          <w:color w:val="auto"/>
        </w:rPr>
        <w:t>Kv7</w:t>
      </w:r>
      <w:r w:rsidR="00F21616" w:rsidRPr="00AF00D8">
        <w:rPr>
          <w:color w:val="auto"/>
          <w:lang w:val="zh-CN"/>
        </w:rPr>
        <w:t>通道激活剂引发体温降低的主要靶点</w:t>
      </w:r>
      <w:r w:rsidR="005E043A">
        <w:rPr>
          <w:color w:val="auto"/>
          <w:lang w:val="zh-CN"/>
        </w:rPr>
        <w:fldChar w:fldCharType="begin"/>
      </w:r>
      <w:r w:rsidR="005E043A">
        <w:rPr>
          <w:color w:val="auto"/>
          <w:lang w:val="zh-CN"/>
        </w:rPr>
        <w:instrText xml:space="preserve"> ADDIN EN.CITE &lt;EndNote&gt;&lt;Cite&gt;&lt;Author&gt;Kristensen&lt;/Author&gt;&lt;Year&gt;2011&lt;/Year&gt;&lt;RecNum&gt;231&lt;/RecNum&gt;&lt;DisplayText&gt;[3]&lt;/DisplayText&gt;&lt;record&gt;&lt;rec-number&gt;231&lt;/rec-number&gt;&lt;foreign-keys&gt;&lt;key app="EN" db-id="xwfww92pwfxxehedev4xvdpm9drd5txwv2rt" timestamp="1755960762"&gt;231&lt;/key&gt;&lt;/foreign-keys&gt;&lt;ref-type name="Journal Article"&gt;17&lt;/ref-type&gt;&lt;contributors&gt;&lt;authors&gt;&lt;author&gt;Kristensen, Line V&lt;/author&gt;&lt;author&gt;Sandager-Nielsen, Karin&lt;/author&gt;&lt;author&gt;Hansen, Henrik H&lt;/author&gt;&lt;/authors&gt;&lt;/contributors&gt;&lt;titles&gt;&lt;title&gt;Kv7 (KCNQ) channel openers induce hypothermia in the mouse&lt;/title&gt;&lt;secondary-title&gt;Neuroscience letters&lt;/secondary-title&gt;&lt;/titles&gt;&lt;periodical&gt;&lt;full-title&gt;Neuroscience letters&lt;/full-title&gt;&lt;/periodical&gt;&lt;pages&gt;178-182&lt;/pages&gt;&lt;volume&gt;488&lt;/volume&gt;&lt;number&gt;2&lt;/number&gt;&lt;dates&gt;&lt;year&gt;2011&lt;/year&gt;&lt;/dates&gt;&lt;isbn&gt;0304-3940&lt;/isbn&gt;&lt;urls&gt;&lt;/urls&gt;&lt;/record&gt;&lt;/Cite&gt;&lt;/EndNote&gt;</w:instrText>
      </w:r>
      <w:r w:rsidR="005E043A">
        <w:rPr>
          <w:color w:val="auto"/>
          <w:lang w:val="zh-CN"/>
        </w:rPr>
        <w:fldChar w:fldCharType="separate"/>
      </w:r>
      <w:r w:rsidR="005E043A">
        <w:rPr>
          <w:noProof/>
          <w:color w:val="auto"/>
          <w:lang w:val="zh-CN"/>
        </w:rPr>
        <w:t>[3]</w:t>
      </w:r>
      <w:r w:rsidR="005E043A">
        <w:rPr>
          <w:color w:val="auto"/>
          <w:lang w:val="zh-CN"/>
        </w:rPr>
        <w:fldChar w:fldCharType="end"/>
      </w:r>
      <w:r w:rsidR="00F21616" w:rsidRPr="00AF00D8">
        <w:rPr>
          <w:color w:val="auto"/>
          <w:lang w:val="zh-CN"/>
        </w:rPr>
        <w:t>。</w:t>
      </w:r>
      <w:r w:rsidRPr="00CA742D">
        <w:rPr>
          <w:rFonts w:ascii="宋体" w:eastAsia="宋体" w:hAnsi="宋体" w:cs="宋体" w:hint="eastAsia"/>
          <w:color w:val="auto"/>
        </w:rPr>
        <w:t>目前低温症相关基因及有效药物机制还没有研究清楚。本研究旨在通过整合多种公共数据集，挖掘低温症潜在治疗靶点及药物，为低温症有效治疗提供理论支持。</w:t>
      </w:r>
    </w:p>
    <w:p w14:paraId="23DDACEE" w14:textId="15958EC4" w:rsidR="00CA742D" w:rsidRPr="00CA742D" w:rsidRDefault="00CA742D" w:rsidP="00CA742D">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jc w:val="both"/>
        <w:rPr>
          <w:rFonts w:ascii="宋体" w:eastAsia="宋体" w:hAnsi="宋体" w:cs="宋体" w:hint="eastAsia"/>
          <w:b/>
          <w:bCs/>
          <w:color w:val="auto"/>
        </w:rPr>
      </w:pPr>
      <w:r w:rsidRPr="00CA742D">
        <w:rPr>
          <w:rFonts w:ascii="宋体" w:eastAsia="宋体" w:hAnsi="宋体" w:cs="宋体" w:hint="eastAsia"/>
          <w:b/>
          <w:bCs/>
          <w:color w:val="auto"/>
        </w:rPr>
        <w:t xml:space="preserve">方法 </w:t>
      </w:r>
      <w:r w:rsidR="00514EB2">
        <w:rPr>
          <w:rFonts w:ascii="宋体" w:eastAsia="宋体" w:hAnsi="宋体" w:cs="宋体" w:hint="eastAsia"/>
          <w:b/>
          <w:bCs/>
          <w:color w:val="auto"/>
        </w:rPr>
        <w:t>：</w:t>
      </w:r>
    </w:p>
    <w:p w14:paraId="0A3FEA93" w14:textId="77777777" w:rsidR="00CA742D" w:rsidRPr="00CA742D" w:rsidRDefault="00CA742D" w:rsidP="00CA742D">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jc w:val="both"/>
        <w:rPr>
          <w:rFonts w:ascii="宋体" w:eastAsia="宋体" w:hAnsi="宋体" w:cs="宋体" w:hint="eastAsia"/>
          <w:color w:val="auto"/>
        </w:rPr>
      </w:pPr>
      <w:r w:rsidRPr="00CA742D">
        <w:rPr>
          <w:rFonts w:ascii="宋体" w:eastAsia="宋体" w:hAnsi="宋体" w:cs="宋体" w:hint="eastAsia"/>
          <w:color w:val="auto"/>
        </w:rPr>
        <w:t>通过整合药物基因组数据、人类血液、骨骼肌、脂肪及心脏组织的 cis-eQTL/cis-pQTL 数据，结合低温症全基因组关联研究（GWAS）汇总数据，分析与低温症相关的潜在药物靶基因。通过敏感性分析和贝叶斯共定位验证结果，并利用机器学习随机森林算法和差异分析等方法进一步筛选关键基因，结合现有数据评估靶基因的成药性。</w:t>
      </w:r>
    </w:p>
    <w:p w14:paraId="5116C126" w14:textId="09466B64" w:rsidR="00CA742D" w:rsidRPr="00CA742D" w:rsidRDefault="00CA742D" w:rsidP="00CA742D">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jc w:val="both"/>
        <w:rPr>
          <w:rFonts w:ascii="宋体" w:eastAsia="宋体" w:hAnsi="宋体" w:cs="宋体" w:hint="eastAsia"/>
          <w:b/>
          <w:bCs/>
          <w:color w:val="auto"/>
        </w:rPr>
      </w:pPr>
      <w:r w:rsidRPr="00CA742D">
        <w:rPr>
          <w:rFonts w:ascii="宋体" w:eastAsia="宋体" w:hAnsi="宋体" w:cs="宋体" w:hint="eastAsia"/>
          <w:b/>
          <w:bCs/>
          <w:color w:val="auto"/>
        </w:rPr>
        <w:t xml:space="preserve">结果 </w:t>
      </w:r>
      <w:r w:rsidR="00514EB2">
        <w:rPr>
          <w:rFonts w:ascii="宋体" w:eastAsia="宋体" w:hAnsi="宋体" w:cs="宋体" w:hint="eastAsia"/>
          <w:b/>
          <w:bCs/>
          <w:color w:val="auto"/>
        </w:rPr>
        <w:t>：</w:t>
      </w:r>
    </w:p>
    <w:p w14:paraId="70FCAE09" w14:textId="57676C3D" w:rsidR="00CA742D" w:rsidRPr="00CA742D" w:rsidRDefault="00CA742D" w:rsidP="00CA742D">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jc w:val="both"/>
        <w:rPr>
          <w:rFonts w:ascii="宋体" w:eastAsia="宋体" w:hAnsi="宋体" w:cs="宋体" w:hint="eastAsia"/>
          <w:color w:val="auto"/>
        </w:rPr>
      </w:pPr>
      <w:r w:rsidRPr="00CA742D">
        <w:rPr>
          <w:rFonts w:ascii="宋体" w:eastAsia="宋体" w:hAnsi="宋体" w:cs="宋体" w:hint="eastAsia"/>
          <w:color w:val="auto"/>
        </w:rPr>
        <w:t>从DGIdb数据库和已有研究中获得了2532个已知的成药基因，其中血液表达数量性状座位(eqtl)和蛋白质数量性状座位(pqtl)分别有870,655snp和1,535基因，11,4281snp和1,045基因;脂肪、肌肉和心脏共有2,379snp和1，196基因。通过分析发现4 个与低温症存在潜在因果关联的候选基因，分别为 COL18A1、SLC1A7、ADIPOQ 和 MERTK。这些基因均通过逆</w:t>
      </w:r>
      <w:r w:rsidRPr="00CA742D">
        <w:rPr>
          <w:rFonts w:ascii="宋体" w:eastAsia="宋体" w:hAnsi="宋体" w:cs="宋体" w:hint="eastAsia"/>
          <w:color w:val="auto"/>
        </w:rPr>
        <w:lastRenderedPageBreak/>
        <w:t>方差加权法筛选得到，并经贝叶斯共定位验证（PPH4 &gt; 90%）。其中：COL18A1 基因表达升高与低温症风险增加相关〔</w:t>
      </w:r>
      <w:r w:rsidRPr="00CA742D">
        <w:rPr>
          <w:rFonts w:ascii="宋体" w:eastAsia="宋体" w:hAnsi="宋体" w:cs="宋体"/>
          <w:color w:val="auto"/>
        </w:rPr>
        <w:t>beta: 0.0046</w:t>
      </w:r>
      <w:r w:rsidRPr="00CA742D">
        <w:rPr>
          <w:rFonts w:ascii="宋体" w:eastAsia="宋体" w:hAnsi="宋体" w:cs="宋体" w:hint="eastAsia"/>
          <w:color w:val="auto"/>
        </w:rPr>
        <w:t>，</w:t>
      </w:r>
      <w:r w:rsidRPr="00CA742D">
        <w:rPr>
          <w:rFonts w:ascii="宋体" w:eastAsia="宋体" w:hAnsi="宋体" w:cs="宋体"/>
          <w:color w:val="auto"/>
        </w:rPr>
        <w:t>95% CI: 0.0003-0.0090</w:t>
      </w:r>
      <w:r w:rsidRPr="00CA742D">
        <w:rPr>
          <w:rFonts w:ascii="宋体" w:eastAsia="宋体" w:hAnsi="宋体" w:cs="宋体" w:hint="eastAsia"/>
          <w:color w:val="auto"/>
        </w:rPr>
        <w:t>，</w:t>
      </w:r>
      <w:r w:rsidRPr="00CA742D">
        <w:rPr>
          <w:rFonts w:ascii="宋体" w:eastAsia="宋体" w:hAnsi="宋体" w:cs="宋体"/>
          <w:color w:val="auto"/>
        </w:rPr>
        <w:t>P = 3.8×10</w:t>
      </w:r>
      <w:r w:rsidRPr="00CA742D">
        <w:rPr>
          <w:rFonts w:ascii="Cambria Math" w:eastAsia="宋体" w:hAnsi="Cambria Math" w:cs="Cambria Math"/>
          <w:color w:val="auto"/>
        </w:rPr>
        <w:t>⁻</w:t>
      </w:r>
      <w:r w:rsidRPr="00CA742D">
        <w:rPr>
          <w:rFonts w:ascii="宋体" w:eastAsia="宋体" w:hAnsi="宋体" w:cs="宋体" w:hint="eastAsia"/>
          <w:color w:val="auto"/>
        </w:rPr>
        <w:t>²，</w:t>
      </w:r>
      <w:r w:rsidRPr="00CA742D">
        <w:rPr>
          <w:rFonts w:ascii="宋体" w:eastAsia="宋体" w:hAnsi="宋体" w:cs="宋体"/>
          <w:color w:val="auto"/>
        </w:rPr>
        <w:t>OR: 1.0047</w:t>
      </w:r>
      <w:r w:rsidRPr="00CA742D">
        <w:rPr>
          <w:rFonts w:ascii="宋体" w:eastAsia="宋体" w:hAnsi="宋体" w:cs="宋体" w:hint="eastAsia"/>
          <w:color w:val="auto"/>
        </w:rPr>
        <w:t>，</w:t>
      </w:r>
      <w:r w:rsidRPr="00CA742D">
        <w:rPr>
          <w:rFonts w:ascii="宋体" w:eastAsia="宋体" w:hAnsi="宋体" w:cs="宋体"/>
          <w:color w:val="auto"/>
        </w:rPr>
        <w:t>95% CI: 1.0003-1.0091</w:t>
      </w:r>
      <w:r w:rsidRPr="00CA742D">
        <w:rPr>
          <w:rFonts w:ascii="宋体" w:eastAsia="宋体" w:hAnsi="宋体" w:cs="宋体" w:hint="eastAsia"/>
          <w:color w:val="auto"/>
        </w:rPr>
        <w:t>〕；</w:t>
      </w:r>
      <w:r w:rsidRPr="00CA742D">
        <w:rPr>
          <w:rFonts w:ascii="宋体" w:eastAsia="宋体" w:hAnsi="宋体" w:cs="宋体"/>
          <w:color w:val="auto"/>
        </w:rPr>
        <w:t xml:space="preserve">SLC1A7 </w:t>
      </w:r>
      <w:r w:rsidRPr="00CA742D">
        <w:rPr>
          <w:rFonts w:ascii="宋体" w:eastAsia="宋体" w:hAnsi="宋体" w:cs="宋体" w:hint="eastAsia"/>
          <w:color w:val="auto"/>
        </w:rPr>
        <w:t>基因表达升高与低温症风险降低相关〔</w:t>
      </w:r>
      <w:r w:rsidRPr="00CA742D">
        <w:rPr>
          <w:rFonts w:ascii="宋体" w:eastAsia="宋体" w:hAnsi="宋体" w:cs="宋体"/>
          <w:color w:val="auto"/>
        </w:rPr>
        <w:t>beta: -0.99</w:t>
      </w:r>
      <w:r w:rsidRPr="00CA742D">
        <w:rPr>
          <w:rFonts w:ascii="宋体" w:eastAsia="宋体" w:hAnsi="宋体" w:cs="宋体" w:hint="eastAsia"/>
          <w:color w:val="auto"/>
        </w:rPr>
        <w:t>，</w:t>
      </w:r>
      <w:r w:rsidRPr="00CA742D">
        <w:rPr>
          <w:rFonts w:ascii="宋体" w:eastAsia="宋体" w:hAnsi="宋体" w:cs="宋体"/>
          <w:color w:val="auto"/>
        </w:rPr>
        <w:t>95% CI: -1.51--0.47</w:t>
      </w:r>
      <w:r w:rsidRPr="00CA742D">
        <w:rPr>
          <w:rFonts w:ascii="宋体" w:eastAsia="宋体" w:hAnsi="宋体" w:cs="宋体" w:hint="eastAsia"/>
          <w:color w:val="auto"/>
        </w:rPr>
        <w:t>，</w:t>
      </w:r>
      <w:r w:rsidRPr="00CA742D">
        <w:rPr>
          <w:rFonts w:ascii="宋体" w:eastAsia="宋体" w:hAnsi="宋体" w:cs="宋体"/>
          <w:color w:val="auto"/>
        </w:rPr>
        <w:t>P = 1.9×10</w:t>
      </w:r>
      <w:r w:rsidRPr="00CA742D">
        <w:rPr>
          <w:rFonts w:ascii="Cambria Math" w:eastAsia="宋体" w:hAnsi="Cambria Math" w:cs="Cambria Math"/>
          <w:color w:val="auto"/>
        </w:rPr>
        <w:t>⁻⁴</w:t>
      </w:r>
      <w:r w:rsidRPr="00CA742D">
        <w:rPr>
          <w:rFonts w:ascii="宋体" w:eastAsia="宋体" w:hAnsi="宋体" w:cs="宋体" w:hint="eastAsia"/>
          <w:color w:val="auto"/>
        </w:rPr>
        <w:t>，</w:t>
      </w:r>
      <w:r w:rsidRPr="00CA742D">
        <w:rPr>
          <w:rFonts w:ascii="宋体" w:eastAsia="宋体" w:hAnsi="宋体" w:cs="宋体"/>
          <w:color w:val="auto"/>
        </w:rPr>
        <w:t>OR: 0.37</w:t>
      </w:r>
      <w:r w:rsidRPr="00CA742D">
        <w:rPr>
          <w:rFonts w:ascii="宋体" w:eastAsia="宋体" w:hAnsi="宋体" w:cs="宋体" w:hint="eastAsia"/>
          <w:color w:val="auto"/>
        </w:rPr>
        <w:t>，</w:t>
      </w:r>
      <w:r w:rsidRPr="00CA742D">
        <w:rPr>
          <w:rFonts w:ascii="宋体" w:eastAsia="宋体" w:hAnsi="宋体" w:cs="宋体"/>
          <w:color w:val="auto"/>
        </w:rPr>
        <w:t>95% CI: 0.22-0.62</w:t>
      </w:r>
      <w:r w:rsidRPr="00CA742D">
        <w:rPr>
          <w:rFonts w:ascii="宋体" w:eastAsia="宋体" w:hAnsi="宋体" w:cs="宋体" w:hint="eastAsia"/>
          <w:color w:val="auto"/>
        </w:rPr>
        <w:t>〕；</w:t>
      </w:r>
      <w:r w:rsidRPr="00CA742D">
        <w:rPr>
          <w:rFonts w:ascii="宋体" w:eastAsia="宋体" w:hAnsi="宋体" w:cs="宋体"/>
          <w:color w:val="auto"/>
        </w:rPr>
        <w:t xml:space="preserve">ADIPOQ </w:t>
      </w:r>
      <w:r w:rsidRPr="00CA742D">
        <w:rPr>
          <w:rFonts w:ascii="宋体" w:eastAsia="宋体" w:hAnsi="宋体" w:cs="宋体" w:hint="eastAsia"/>
          <w:color w:val="auto"/>
        </w:rPr>
        <w:t>基因表达升高与低温症风险增加相关〔</w:t>
      </w:r>
      <w:r w:rsidRPr="00CA742D">
        <w:rPr>
          <w:rFonts w:ascii="宋体" w:eastAsia="宋体" w:hAnsi="宋体" w:cs="宋体"/>
          <w:color w:val="auto"/>
        </w:rPr>
        <w:t>beta: 0.52</w:t>
      </w:r>
      <w:r w:rsidRPr="00CA742D">
        <w:rPr>
          <w:rFonts w:ascii="宋体" w:eastAsia="宋体" w:hAnsi="宋体" w:cs="宋体" w:hint="eastAsia"/>
          <w:color w:val="auto"/>
        </w:rPr>
        <w:t>，</w:t>
      </w:r>
      <w:r w:rsidRPr="00CA742D">
        <w:rPr>
          <w:rFonts w:ascii="宋体" w:eastAsia="宋体" w:hAnsi="宋体" w:cs="宋体"/>
          <w:color w:val="auto"/>
        </w:rPr>
        <w:t>95% CI: 0.094-0.94</w:t>
      </w:r>
      <w:r w:rsidRPr="00CA742D">
        <w:rPr>
          <w:rFonts w:ascii="宋体" w:eastAsia="宋体" w:hAnsi="宋体" w:cs="宋体" w:hint="eastAsia"/>
          <w:color w:val="auto"/>
        </w:rPr>
        <w:t>，</w:t>
      </w:r>
      <w:r w:rsidRPr="00CA742D">
        <w:rPr>
          <w:rFonts w:ascii="宋体" w:eastAsia="宋体" w:hAnsi="宋体" w:cs="宋体"/>
          <w:color w:val="auto"/>
        </w:rPr>
        <w:t>P = 1.6×10</w:t>
      </w:r>
      <w:r w:rsidRPr="00CA742D">
        <w:rPr>
          <w:rFonts w:ascii="Cambria Math" w:eastAsia="宋体" w:hAnsi="Cambria Math" w:cs="Cambria Math"/>
          <w:color w:val="auto"/>
        </w:rPr>
        <w:t>⁻</w:t>
      </w:r>
      <w:r w:rsidRPr="00CA742D">
        <w:rPr>
          <w:rFonts w:ascii="宋体" w:eastAsia="宋体" w:hAnsi="宋体" w:cs="宋体" w:hint="eastAsia"/>
          <w:color w:val="auto"/>
        </w:rPr>
        <w:t>²，</w:t>
      </w:r>
      <w:r w:rsidRPr="00CA742D">
        <w:rPr>
          <w:rFonts w:ascii="宋体" w:eastAsia="宋体" w:hAnsi="宋体" w:cs="宋体"/>
          <w:color w:val="auto"/>
        </w:rPr>
        <w:t>OR: 1.68</w:t>
      </w:r>
      <w:r w:rsidRPr="00CA742D">
        <w:rPr>
          <w:rFonts w:ascii="宋体" w:eastAsia="宋体" w:hAnsi="宋体" w:cs="宋体" w:hint="eastAsia"/>
          <w:color w:val="auto"/>
        </w:rPr>
        <w:t>，</w:t>
      </w:r>
      <w:r w:rsidRPr="00CA742D">
        <w:rPr>
          <w:rFonts w:ascii="宋体" w:eastAsia="宋体" w:hAnsi="宋体" w:cs="宋体"/>
          <w:color w:val="auto"/>
        </w:rPr>
        <w:t>95% CI: 1.10-2.56</w:t>
      </w:r>
      <w:r w:rsidRPr="00CA742D">
        <w:rPr>
          <w:rFonts w:ascii="宋体" w:eastAsia="宋体" w:hAnsi="宋体" w:cs="宋体" w:hint="eastAsia"/>
          <w:color w:val="auto"/>
        </w:rPr>
        <w:t>〕；</w:t>
      </w:r>
      <w:r w:rsidRPr="00CA742D">
        <w:rPr>
          <w:rFonts w:ascii="宋体" w:eastAsia="宋体" w:hAnsi="宋体" w:cs="宋体"/>
          <w:color w:val="auto"/>
        </w:rPr>
        <w:t xml:space="preserve">MERTK </w:t>
      </w:r>
      <w:r w:rsidRPr="00CA742D">
        <w:rPr>
          <w:rFonts w:ascii="宋体" w:eastAsia="宋体" w:hAnsi="宋体" w:cs="宋体" w:hint="eastAsia"/>
          <w:color w:val="auto"/>
        </w:rPr>
        <w:t>基因表达升高与低温症风险降低相关〔</w:t>
      </w:r>
      <w:r w:rsidRPr="00CA742D">
        <w:rPr>
          <w:rFonts w:ascii="宋体" w:eastAsia="宋体" w:hAnsi="宋体" w:cs="宋体"/>
          <w:color w:val="auto"/>
        </w:rPr>
        <w:t>beta: -0.53</w:t>
      </w:r>
      <w:r w:rsidRPr="00CA742D">
        <w:rPr>
          <w:rFonts w:ascii="宋体" w:eastAsia="宋体" w:hAnsi="宋体" w:cs="宋体" w:hint="eastAsia"/>
          <w:color w:val="auto"/>
        </w:rPr>
        <w:t>，</w:t>
      </w:r>
      <w:r w:rsidRPr="00CA742D">
        <w:rPr>
          <w:rFonts w:ascii="宋体" w:eastAsia="宋体" w:hAnsi="宋体" w:cs="宋体"/>
          <w:color w:val="auto"/>
        </w:rPr>
        <w:t>95% CI: -0.94--0.11</w:t>
      </w:r>
      <w:r w:rsidRPr="00CA742D">
        <w:rPr>
          <w:rFonts w:ascii="宋体" w:eastAsia="宋体" w:hAnsi="宋体" w:cs="宋体" w:hint="eastAsia"/>
          <w:color w:val="auto"/>
        </w:rPr>
        <w:t>，</w:t>
      </w:r>
      <w:r w:rsidRPr="00CA742D">
        <w:rPr>
          <w:rFonts w:ascii="宋体" w:eastAsia="宋体" w:hAnsi="宋体" w:cs="宋体"/>
          <w:color w:val="auto"/>
        </w:rPr>
        <w:t>P = 1.4×10</w:t>
      </w:r>
      <w:r w:rsidRPr="00CA742D">
        <w:rPr>
          <w:rFonts w:ascii="Cambria Math" w:eastAsia="宋体" w:hAnsi="Cambria Math" w:cs="Cambria Math"/>
          <w:color w:val="auto"/>
        </w:rPr>
        <w:t>⁻</w:t>
      </w:r>
      <w:r w:rsidRPr="00CA742D">
        <w:rPr>
          <w:rFonts w:ascii="宋体" w:eastAsia="宋体" w:hAnsi="宋体" w:cs="宋体" w:hint="eastAsia"/>
          <w:color w:val="auto"/>
        </w:rPr>
        <w:t>²，</w:t>
      </w:r>
      <w:r w:rsidRPr="00CA742D">
        <w:rPr>
          <w:rFonts w:ascii="宋体" w:eastAsia="宋体" w:hAnsi="宋体" w:cs="宋体"/>
          <w:color w:val="auto"/>
        </w:rPr>
        <w:t>OR: 0.59</w:t>
      </w:r>
      <w:r w:rsidRPr="00CA742D">
        <w:rPr>
          <w:rFonts w:ascii="宋体" w:eastAsia="宋体" w:hAnsi="宋体" w:cs="宋体" w:hint="eastAsia"/>
          <w:color w:val="auto"/>
        </w:rPr>
        <w:t>，</w:t>
      </w:r>
      <w:r w:rsidRPr="00CA742D">
        <w:rPr>
          <w:rFonts w:ascii="宋体" w:eastAsia="宋体" w:hAnsi="宋体" w:cs="宋体"/>
          <w:color w:val="auto"/>
        </w:rPr>
        <w:t>95% CI: 0.39-0.90</w:t>
      </w:r>
      <w:r w:rsidRPr="00CA742D">
        <w:rPr>
          <w:rFonts w:ascii="宋体" w:eastAsia="宋体" w:hAnsi="宋体" w:cs="宋体" w:hint="eastAsia"/>
          <w:color w:val="auto"/>
        </w:rPr>
        <w:t>〕。进一步经随机森林算法验证成功共同的关键基因</w:t>
      </w:r>
      <w:r w:rsidRPr="00CA742D">
        <w:rPr>
          <w:rFonts w:ascii="宋体" w:eastAsia="宋体" w:hAnsi="宋体" w:cs="宋体"/>
          <w:color w:val="auto"/>
        </w:rPr>
        <w:t>ADIPOQ</w:t>
      </w:r>
      <w:r w:rsidRPr="00CA742D">
        <w:rPr>
          <w:rFonts w:ascii="宋体" w:eastAsia="宋体" w:hAnsi="宋体" w:cs="宋体" w:hint="eastAsia"/>
          <w:color w:val="auto"/>
        </w:rPr>
        <w:t>，该基因编码脂联素蛋白。低温环境降低脂联素分泌，促进解偶联蛋白</w:t>
      </w:r>
      <w:r w:rsidRPr="00CA742D">
        <w:rPr>
          <w:rFonts w:ascii="宋体" w:eastAsia="宋体" w:hAnsi="宋体" w:cs="宋体"/>
          <w:color w:val="auto"/>
        </w:rPr>
        <w:t>1</w:t>
      </w:r>
      <w:r w:rsidRPr="00CA742D">
        <w:rPr>
          <w:rFonts w:ascii="宋体" w:eastAsia="宋体" w:hAnsi="宋体" w:cs="宋体" w:hint="eastAsia"/>
          <w:color w:val="auto"/>
        </w:rPr>
        <w:t>（</w:t>
      </w:r>
      <w:r w:rsidRPr="00CA742D">
        <w:rPr>
          <w:rFonts w:ascii="宋体" w:eastAsia="宋体" w:hAnsi="宋体" w:cs="宋体"/>
          <w:color w:val="auto"/>
        </w:rPr>
        <w:t>Uncoupling Protein 1, UCP1</w:t>
      </w:r>
      <w:r w:rsidRPr="00CA742D">
        <w:rPr>
          <w:rFonts w:ascii="宋体" w:eastAsia="宋体" w:hAnsi="宋体" w:cs="宋体" w:hint="eastAsia"/>
          <w:color w:val="auto"/>
        </w:rPr>
        <w:t>）分泌增加，该蛋白可以将用于生产</w:t>
      </w:r>
      <w:r w:rsidRPr="00CA742D">
        <w:rPr>
          <w:rFonts w:ascii="宋体" w:eastAsia="宋体" w:hAnsi="宋体" w:cs="宋体"/>
          <w:color w:val="auto"/>
        </w:rPr>
        <w:t>ATP</w:t>
      </w:r>
      <w:r w:rsidRPr="00CA742D">
        <w:rPr>
          <w:rFonts w:ascii="宋体" w:eastAsia="宋体" w:hAnsi="宋体" w:cs="宋体" w:hint="eastAsia"/>
          <w:color w:val="auto"/>
        </w:rPr>
        <w:t>的能量转变成热能释放，达到非颤抖性生热的效果</w:t>
      </w:r>
      <w:r w:rsidR="00275CCB">
        <w:rPr>
          <w:rFonts w:ascii="宋体" w:eastAsia="宋体" w:hAnsi="宋体" w:cs="宋体" w:hint="eastAsia"/>
          <w:color w:val="auto"/>
        </w:rPr>
        <w:fldChar w:fldCharType="begin"/>
      </w:r>
      <w:r w:rsidR="005E043A">
        <w:rPr>
          <w:rFonts w:ascii="宋体" w:eastAsia="宋体" w:hAnsi="宋体" w:cs="宋体" w:hint="eastAsia"/>
          <w:color w:val="auto"/>
        </w:rPr>
        <w:instrText xml:space="preserve"> ADDIN EN.CITE &lt;EndNote&gt;&lt;Cite&gt;&lt;Author&gt;Dong&lt;/Author&gt;&lt;Year&gt;2013&lt;/Year&gt;&lt;RecNum&gt;228&lt;/RecNum&gt;&lt;DisplayText&gt;[4]&lt;/DisplayText&gt;&lt;record&gt;&lt;rec-number&gt;228&lt;/rec-number&gt;&lt;foreign-keys&gt;&lt;key app="EN" db-id="xwfww92pwfxxehedev4xvdpm9drd5txwv2rt" timestamp="1755321767"&gt;228&lt;/key&gt;&lt;/foreign-keys&gt;&lt;ref-type name="Journal Article"&gt;17&lt;/ref-type&gt;&lt;contributors&gt;&lt;authors&gt;&lt;author&gt;Dong, Mei&lt;/author&gt;&lt;author&gt;Yang, Xiaoyan&lt;/author&gt;&lt;author&gt;Lim, Sharon&lt;/author&gt;&lt;author&gt;Cao, Ziquan&lt;/author&gt;&lt;author&gt;Honek, Jennifer&lt;/author&gt;&lt;author&gt;Lu, Huixia&lt;/author&gt;&lt;author&gt;Zhang, Cheng&lt;/author&gt;&lt;author&gt;Seki, Takahiro&lt;/author&gt;&lt;author&gt;Hosaka, Kayoko&lt;/author&gt;&lt;author&gt;Wahlberg, Eric&lt;/author&gt;&lt;/authors&gt;&lt;/contributors&gt;&lt;titles&gt;&lt;title&gt;Cold exposure promotes atherosclerotic plaque growth and instability via UCP1-dependent lipolysis&lt;/title&gt;&lt;secondary-title&gt;Cell metabolism&lt;/secondary-title&gt;&lt;/titles&gt;&lt;periodical&gt;&lt;full-title&gt;Cell metabolism&lt;/full-title&gt;&lt;/periodical&gt;&lt;pages&gt;118-129&lt;/pages&gt;&lt;volume&gt;18&lt;/volume&gt;&lt;number&gt;1&lt;/number&gt;&lt;dates&gt;&lt;year&gt;2013&lt;/year&gt;&lt;/dates&gt;&lt;isbn&gt;1550-4131&lt;/isbn&gt;&lt;urls&gt;&lt;/urls&gt;&lt;/record&gt;&lt;/Cite&gt;&lt;/EndNote&gt;</w:instrText>
      </w:r>
      <w:r w:rsidR="00275CCB">
        <w:rPr>
          <w:rFonts w:ascii="宋体" w:eastAsia="宋体" w:hAnsi="宋体" w:cs="宋体" w:hint="eastAsia"/>
          <w:color w:val="auto"/>
        </w:rPr>
        <w:fldChar w:fldCharType="separate"/>
      </w:r>
      <w:r w:rsidR="005E043A">
        <w:rPr>
          <w:rFonts w:ascii="宋体" w:eastAsia="宋体" w:hAnsi="宋体" w:cs="宋体" w:hint="eastAsia"/>
          <w:noProof/>
          <w:color w:val="auto"/>
        </w:rPr>
        <w:t>[4]</w:t>
      </w:r>
      <w:r w:rsidR="00275CCB">
        <w:rPr>
          <w:rFonts w:ascii="宋体" w:eastAsia="宋体" w:hAnsi="宋体" w:cs="宋体" w:hint="eastAsia"/>
          <w:color w:val="auto"/>
        </w:rPr>
        <w:fldChar w:fldCharType="end"/>
      </w:r>
      <w:r w:rsidRPr="00CA742D">
        <w:rPr>
          <w:rFonts w:ascii="宋体" w:eastAsia="宋体" w:hAnsi="宋体" w:cs="宋体" w:hint="eastAsia"/>
          <w:color w:val="auto"/>
        </w:rPr>
        <w:t>。此外差异分析结果显示SLC1A3，SLCO4A1可能是低温症的致病基因，与SLC1A7同为溶质载体超家族成员(solute carrier family 1)。针对上述基因药物重定位分析显示，宁格替尼（ningetinib）可能通过抑制受体酪氨酸激酶 MERTK、奥克纤溶酶（ocriplasmin）可能通过降解胶原蛋白 COL18A1，发挥低温症治疗潜力。</w:t>
      </w:r>
    </w:p>
    <w:p w14:paraId="28AD8A4E" w14:textId="2592BC16" w:rsidR="00CA742D" w:rsidRPr="00CA742D" w:rsidRDefault="00CA742D" w:rsidP="00CA742D">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jc w:val="both"/>
        <w:rPr>
          <w:rFonts w:ascii="宋体" w:eastAsia="宋体" w:hAnsi="宋体" w:cs="宋体" w:hint="eastAsia"/>
          <w:b/>
          <w:bCs/>
          <w:color w:val="auto"/>
        </w:rPr>
      </w:pPr>
      <w:r w:rsidRPr="00CA742D">
        <w:rPr>
          <w:rFonts w:ascii="宋体" w:eastAsia="宋体" w:hAnsi="宋体" w:cs="宋体" w:hint="eastAsia"/>
          <w:b/>
          <w:bCs/>
          <w:color w:val="auto"/>
        </w:rPr>
        <w:t xml:space="preserve">结论 </w:t>
      </w:r>
      <w:r w:rsidR="00514EB2">
        <w:rPr>
          <w:rFonts w:ascii="宋体" w:eastAsia="宋体" w:hAnsi="宋体" w:cs="宋体" w:hint="eastAsia"/>
          <w:b/>
          <w:bCs/>
          <w:color w:val="auto"/>
        </w:rPr>
        <w:t>：</w:t>
      </w:r>
    </w:p>
    <w:p w14:paraId="283CC06F" w14:textId="249F8FB4" w:rsidR="00CA742D" w:rsidRDefault="00CA742D" w:rsidP="00CA742D">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360" w:lineRule="auto"/>
        <w:jc w:val="both"/>
        <w:rPr>
          <w:rFonts w:ascii="宋体" w:eastAsia="宋体" w:hAnsi="宋体" w:cs="宋体" w:hint="eastAsia"/>
          <w:color w:val="auto"/>
        </w:rPr>
      </w:pPr>
      <w:r w:rsidRPr="00CA742D">
        <w:rPr>
          <w:rFonts w:ascii="宋体" w:eastAsia="宋体" w:hAnsi="宋体" w:cs="宋体" w:hint="eastAsia"/>
          <w:color w:val="auto"/>
        </w:rPr>
        <w:t>本研究提示 COL18A1、SLC1A7、ADIPOQ 和 MERTK 为低温症的治疗靶点，宁格替尼和奥克纤溶酶在低温症治疗中的有效性仍需进一步验证。本研究成果为临床治疗低温症提供新的遗传学思路和理论基础。</w:t>
      </w:r>
    </w:p>
    <w:p w14:paraId="0BDC0395" w14:textId="77777777" w:rsidR="00FA4DAD" w:rsidRPr="005919FB" w:rsidRDefault="00FA4DAD" w:rsidP="005919FB">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360" w:lineRule="auto"/>
        <w:jc w:val="both"/>
        <w:rPr>
          <w:rFonts w:ascii="Times New Roman" w:hAnsi="Times New Roman"/>
          <w:color w:val="auto"/>
        </w:rPr>
      </w:pPr>
    </w:p>
    <w:p w14:paraId="2FB65238" w14:textId="77777777" w:rsidR="0036279A" w:rsidRPr="005919FB" w:rsidRDefault="0036279A" w:rsidP="005919FB">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360" w:lineRule="auto"/>
        <w:jc w:val="both"/>
        <w:rPr>
          <w:rFonts w:ascii="Times New Roman" w:hAnsi="Times New Roman"/>
          <w:color w:val="auto"/>
        </w:rPr>
      </w:pPr>
      <w:r w:rsidRPr="005919FB">
        <w:rPr>
          <w:rFonts w:ascii="宋体" w:eastAsia="宋体" w:hAnsi="宋体" w:cs="宋体" w:hint="eastAsia"/>
          <w:b/>
          <w:bCs/>
          <w:color w:val="auto"/>
        </w:rPr>
        <w:t>关键字：</w:t>
      </w:r>
      <w:r w:rsidRPr="005919FB">
        <w:rPr>
          <w:rFonts w:ascii="宋体" w:eastAsia="宋体" w:hAnsi="宋体" w:cs="宋体" w:hint="eastAsia"/>
          <w:color w:val="auto"/>
        </w:rPr>
        <w:t>低温</w:t>
      </w:r>
      <w:r w:rsidRPr="005919FB">
        <w:rPr>
          <w:rFonts w:ascii="Times New Roman" w:hAnsi="Times New Roman"/>
          <w:color w:val="auto"/>
        </w:rPr>
        <w:t>;</w:t>
      </w:r>
      <w:r w:rsidRPr="005919FB">
        <w:rPr>
          <w:rFonts w:ascii="宋体" w:eastAsia="宋体" w:hAnsi="宋体" w:cs="宋体" w:hint="eastAsia"/>
          <w:color w:val="auto"/>
        </w:rPr>
        <w:t>治疗靶点</w:t>
      </w:r>
      <w:r w:rsidRPr="005919FB">
        <w:rPr>
          <w:rFonts w:ascii="Times New Roman" w:hAnsi="Times New Roman"/>
          <w:color w:val="auto"/>
        </w:rPr>
        <w:t>;</w:t>
      </w:r>
      <w:r w:rsidRPr="005919FB">
        <w:rPr>
          <w:rFonts w:ascii="宋体" w:eastAsia="宋体" w:hAnsi="宋体" w:cs="宋体" w:hint="eastAsia"/>
          <w:color w:val="auto"/>
        </w:rPr>
        <w:t>基因关联</w:t>
      </w:r>
      <w:r w:rsidRPr="005919FB">
        <w:rPr>
          <w:rFonts w:ascii="Times New Roman" w:hAnsi="Times New Roman"/>
          <w:color w:val="auto"/>
        </w:rPr>
        <w:t>;</w:t>
      </w:r>
      <w:r w:rsidRPr="005919FB">
        <w:rPr>
          <w:rFonts w:ascii="宋体" w:eastAsia="宋体" w:hAnsi="宋体" w:cs="宋体" w:hint="eastAsia"/>
          <w:color w:val="auto"/>
        </w:rPr>
        <w:t>药物再利用</w:t>
      </w:r>
      <w:r w:rsidRPr="005919FB">
        <w:rPr>
          <w:rFonts w:ascii="Times New Roman" w:hAnsi="Times New Roman"/>
          <w:color w:val="auto"/>
        </w:rPr>
        <w:t>;ADIPOQ</w:t>
      </w:r>
    </w:p>
    <w:p w14:paraId="75CC218E" w14:textId="77777777" w:rsidR="0036279A" w:rsidRDefault="0036279A">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360" w:lineRule="auto"/>
        <w:jc w:val="both"/>
        <w:rPr>
          <w:rFonts w:eastAsiaTheme="minorEastAsia" w:hint="eastAsia"/>
        </w:rPr>
      </w:pPr>
    </w:p>
    <w:p w14:paraId="64D2D57C" w14:textId="77777777" w:rsidR="009C164F" w:rsidRDefault="009C164F">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360" w:lineRule="auto"/>
        <w:jc w:val="both"/>
        <w:rPr>
          <w:rFonts w:eastAsiaTheme="minorEastAsia" w:hint="eastAsia"/>
        </w:rPr>
      </w:pPr>
    </w:p>
    <w:p w14:paraId="5F753E12" w14:textId="77777777" w:rsidR="009C164F" w:rsidRDefault="009C164F">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360" w:lineRule="auto"/>
        <w:jc w:val="both"/>
        <w:rPr>
          <w:rFonts w:eastAsiaTheme="minorEastAsia" w:hint="eastAsia"/>
        </w:rPr>
      </w:pPr>
    </w:p>
    <w:p w14:paraId="0FF0376C" w14:textId="77777777" w:rsidR="009C164F" w:rsidRDefault="009C164F">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360" w:lineRule="auto"/>
        <w:jc w:val="both"/>
        <w:rPr>
          <w:rFonts w:eastAsiaTheme="minorEastAsia" w:hint="eastAsia"/>
        </w:rPr>
      </w:pPr>
    </w:p>
    <w:tbl>
      <w:tblPr>
        <w:tblStyle w:val="2"/>
        <w:tblW w:w="10344" w:type="dxa"/>
        <w:tblInd w:w="-284" w:type="dxa"/>
        <w:tblLayout w:type="fixed"/>
        <w:tblLook w:val="04A0" w:firstRow="1" w:lastRow="0" w:firstColumn="1" w:lastColumn="0" w:noHBand="0" w:noVBand="1"/>
      </w:tblPr>
      <w:tblGrid>
        <w:gridCol w:w="1418"/>
        <w:gridCol w:w="1276"/>
        <w:gridCol w:w="1701"/>
        <w:gridCol w:w="1271"/>
        <w:gridCol w:w="3260"/>
        <w:gridCol w:w="1418"/>
      </w:tblGrid>
      <w:tr w:rsidR="009C164F" w:rsidRPr="00342F47" w14:paraId="23D9236B" w14:textId="77777777" w:rsidTr="00F13398">
        <w:trPr>
          <w:cnfStyle w:val="100000000000" w:firstRow="1" w:lastRow="0" w:firstColumn="0" w:lastColumn="0" w:oddVBand="0" w:evenVBand="0" w:oddHBand="0" w:evenHBand="0" w:firstRowFirstColumn="0" w:firstRowLastColumn="0" w:lastRowFirstColumn="0" w:lastRowLastColumn="0"/>
          <w:trHeight w:val="1550"/>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153CEFE" w14:textId="77777777" w:rsidR="009C164F" w:rsidRPr="00342F47" w:rsidRDefault="009C164F" w:rsidP="00F13398">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pPr>
            <w:r w:rsidRPr="00342F47">
              <w:rPr>
                <w:rFonts w:hint="eastAsia"/>
              </w:rPr>
              <w:t>Druggable gene</w:t>
            </w:r>
          </w:p>
        </w:tc>
        <w:tc>
          <w:tcPr>
            <w:tcW w:w="1276" w:type="dxa"/>
            <w:noWrap/>
            <w:hideMark/>
          </w:tcPr>
          <w:p w14:paraId="57388ECF" w14:textId="77777777" w:rsidR="009C164F" w:rsidRPr="00342F47" w:rsidRDefault="009C164F" w:rsidP="00F13398">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cnfStyle w:val="100000000000" w:firstRow="1" w:lastRow="0" w:firstColumn="0" w:lastColumn="0" w:oddVBand="0" w:evenVBand="0" w:oddHBand="0" w:evenHBand="0" w:firstRowFirstColumn="0" w:firstRowLastColumn="0" w:lastRowFirstColumn="0" w:lastRowLastColumn="0"/>
            </w:pPr>
            <w:r w:rsidRPr="00342F47">
              <w:rPr>
                <w:rFonts w:hint="eastAsia"/>
              </w:rPr>
              <w:t>Molecule type</w:t>
            </w:r>
          </w:p>
        </w:tc>
        <w:tc>
          <w:tcPr>
            <w:tcW w:w="1701" w:type="dxa"/>
            <w:noWrap/>
            <w:hideMark/>
          </w:tcPr>
          <w:p w14:paraId="2FCB7F4E" w14:textId="77777777" w:rsidR="009C164F" w:rsidRPr="00342F47" w:rsidRDefault="009C164F" w:rsidP="00F13398">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cnfStyle w:val="100000000000" w:firstRow="1" w:lastRow="0" w:firstColumn="0" w:lastColumn="0" w:oddVBand="0" w:evenVBand="0" w:oddHBand="0" w:evenHBand="0" w:firstRowFirstColumn="0" w:firstRowLastColumn="0" w:lastRowFirstColumn="0" w:lastRowLastColumn="0"/>
            </w:pPr>
            <w:r w:rsidRPr="00342F47">
              <w:rPr>
                <w:rFonts w:hint="eastAsia"/>
              </w:rPr>
              <w:t>Compounds</w:t>
            </w:r>
          </w:p>
        </w:tc>
        <w:tc>
          <w:tcPr>
            <w:tcW w:w="1271" w:type="dxa"/>
            <w:noWrap/>
            <w:hideMark/>
          </w:tcPr>
          <w:p w14:paraId="2CDFA097" w14:textId="77777777" w:rsidR="009C164F" w:rsidRPr="00342F47" w:rsidRDefault="009C164F" w:rsidP="00F13398">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cnfStyle w:val="100000000000" w:firstRow="1" w:lastRow="0" w:firstColumn="0" w:lastColumn="0" w:oddVBand="0" w:evenVBand="0" w:oddHBand="0" w:evenHBand="0" w:firstRowFirstColumn="0" w:firstRowLastColumn="0" w:lastRowFirstColumn="0" w:lastRowLastColumn="0"/>
            </w:pPr>
            <w:r w:rsidRPr="00342F47">
              <w:rPr>
                <w:rFonts w:hint="eastAsia"/>
              </w:rPr>
              <w:t>Action type</w:t>
            </w:r>
          </w:p>
        </w:tc>
        <w:tc>
          <w:tcPr>
            <w:tcW w:w="3260" w:type="dxa"/>
            <w:noWrap/>
            <w:hideMark/>
          </w:tcPr>
          <w:p w14:paraId="1A207EC0" w14:textId="77777777" w:rsidR="009C164F" w:rsidRPr="00342F47" w:rsidRDefault="009C164F" w:rsidP="00F13398">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cnfStyle w:val="100000000000" w:firstRow="1" w:lastRow="0" w:firstColumn="0" w:lastColumn="0" w:oddVBand="0" w:evenVBand="0" w:oddHBand="0" w:evenHBand="0" w:firstRowFirstColumn="0" w:firstRowLastColumn="0" w:lastRowFirstColumn="0" w:lastRowLastColumn="0"/>
            </w:pPr>
            <w:r w:rsidRPr="00342F47">
              <w:rPr>
                <w:rFonts w:hint="eastAsia"/>
              </w:rPr>
              <w:t>Clinical development activities</w:t>
            </w:r>
          </w:p>
        </w:tc>
        <w:tc>
          <w:tcPr>
            <w:tcW w:w="1418" w:type="dxa"/>
            <w:noWrap/>
            <w:hideMark/>
          </w:tcPr>
          <w:p w14:paraId="6BAB4092" w14:textId="77777777" w:rsidR="009C164F" w:rsidRPr="00342F47" w:rsidRDefault="009C164F" w:rsidP="00F13398">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cnfStyle w:val="100000000000" w:firstRow="1" w:lastRow="0" w:firstColumn="0" w:lastColumn="0" w:oddVBand="0" w:evenVBand="0" w:oddHBand="0" w:evenHBand="0" w:firstRowFirstColumn="0" w:firstRowLastColumn="0" w:lastRowFirstColumn="0" w:lastRowLastColumn="0"/>
            </w:pPr>
            <w:r w:rsidRPr="00342F47">
              <w:rPr>
                <w:rFonts w:hint="eastAsia"/>
              </w:rPr>
              <w:t>Druggable gene molecular function</w:t>
            </w:r>
          </w:p>
        </w:tc>
      </w:tr>
      <w:tr w:rsidR="009C164F" w:rsidRPr="00342F47" w14:paraId="59C8A043" w14:textId="77777777" w:rsidTr="00F13398">
        <w:trPr>
          <w:cnfStyle w:val="000000100000" w:firstRow="0" w:lastRow="0" w:firstColumn="0" w:lastColumn="0" w:oddVBand="0" w:evenVBand="0" w:oddHBand="1" w:evenHBand="0" w:firstRowFirstColumn="0" w:firstRowLastColumn="0" w:lastRowFirstColumn="0" w:lastRowLastColumn="0"/>
          <w:trHeight w:val="3374"/>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C307572" w14:textId="77777777" w:rsidR="009C164F" w:rsidRPr="00342F47" w:rsidRDefault="009C164F" w:rsidP="00F13398">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pPr>
            <w:r w:rsidRPr="00342F47">
              <w:lastRenderedPageBreak/>
              <w:t>COL18A1</w:t>
            </w:r>
          </w:p>
        </w:tc>
        <w:tc>
          <w:tcPr>
            <w:tcW w:w="1276" w:type="dxa"/>
            <w:noWrap/>
            <w:hideMark/>
          </w:tcPr>
          <w:p w14:paraId="4A166B62" w14:textId="77777777" w:rsidR="009C164F" w:rsidRPr="000D703E" w:rsidRDefault="009C164F" w:rsidP="00F13398">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cnfStyle w:val="000000100000" w:firstRow="0" w:lastRow="0" w:firstColumn="0" w:lastColumn="0" w:oddVBand="0" w:evenVBand="0" w:oddHBand="1" w:evenHBand="0" w:firstRowFirstColumn="0" w:firstRowLastColumn="0" w:lastRowFirstColumn="0" w:lastRowLastColumn="0"/>
            </w:pPr>
            <w:r>
              <w:rPr>
                <w:rFonts w:ascii="Times New Roman" w:eastAsiaTheme="minorEastAsia" w:hAnsi="Times New Roman"/>
                <w:noProof/>
                <w:color w:val="0433FF"/>
              </w:rPr>
              <w:drawing>
                <wp:anchor distT="0" distB="0" distL="114300" distR="114300" simplePos="0" relativeHeight="251662336" behindDoc="0" locked="0" layoutInCell="1" allowOverlap="1" wp14:anchorId="0A289154" wp14:editId="515C05C0">
                  <wp:simplePos x="0" y="0"/>
                  <wp:positionH relativeFrom="column">
                    <wp:posOffset>-984885</wp:posOffset>
                  </wp:positionH>
                  <wp:positionV relativeFrom="page">
                    <wp:posOffset>684530</wp:posOffset>
                  </wp:positionV>
                  <wp:extent cx="1504950" cy="1409700"/>
                  <wp:effectExtent l="0" t="0" r="0" b="0"/>
                  <wp:wrapNone/>
                  <wp:docPr id="15821449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04950" cy="1409700"/>
                          </a:xfrm>
                          <a:prstGeom prst="rect">
                            <a:avLst/>
                          </a:prstGeom>
                          <a:noFill/>
                        </pic:spPr>
                      </pic:pic>
                    </a:graphicData>
                  </a:graphic>
                </wp:anchor>
              </w:drawing>
            </w:r>
            <w:r w:rsidRPr="000D703E">
              <w:t>Protein</w:t>
            </w:r>
          </w:p>
        </w:tc>
        <w:tc>
          <w:tcPr>
            <w:tcW w:w="1701" w:type="dxa"/>
            <w:noWrap/>
            <w:hideMark/>
          </w:tcPr>
          <w:p w14:paraId="592267B1" w14:textId="77777777" w:rsidR="009C164F" w:rsidRPr="00342F47" w:rsidRDefault="009C164F" w:rsidP="00F13398">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cnfStyle w:val="000000100000" w:firstRow="0" w:lastRow="0" w:firstColumn="0" w:lastColumn="0" w:oddVBand="0" w:evenVBand="0" w:oddHBand="1" w:evenHBand="0" w:firstRowFirstColumn="0" w:firstRowLastColumn="0" w:lastRowFirstColumn="0" w:lastRowLastColumn="0"/>
            </w:pPr>
            <w:r w:rsidRPr="00342F47">
              <w:rPr>
                <w:rFonts w:hint="eastAsia"/>
              </w:rPr>
              <w:t>OCRIPLASMIN</w:t>
            </w:r>
          </w:p>
        </w:tc>
        <w:tc>
          <w:tcPr>
            <w:tcW w:w="1271" w:type="dxa"/>
            <w:noWrap/>
            <w:hideMark/>
          </w:tcPr>
          <w:p w14:paraId="17F0CA05" w14:textId="77777777" w:rsidR="009C164F" w:rsidRPr="00342F47" w:rsidRDefault="009C164F" w:rsidP="00F13398">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cnfStyle w:val="000000100000" w:firstRow="0" w:lastRow="0" w:firstColumn="0" w:lastColumn="0" w:oddVBand="0" w:evenVBand="0" w:oddHBand="1" w:evenHBand="0" w:firstRowFirstColumn="0" w:firstRowLastColumn="0" w:lastRowFirstColumn="0" w:lastRowLastColumn="0"/>
            </w:pPr>
            <w:r w:rsidRPr="00342F47">
              <w:rPr>
                <w:rFonts w:hint="eastAsia"/>
              </w:rPr>
              <w:t>Collagen hydrolytic enzyme</w:t>
            </w:r>
          </w:p>
        </w:tc>
        <w:tc>
          <w:tcPr>
            <w:tcW w:w="3260" w:type="dxa"/>
            <w:hideMark/>
          </w:tcPr>
          <w:p w14:paraId="0B82D7B2" w14:textId="77777777" w:rsidR="009C164F" w:rsidRPr="00342F47" w:rsidRDefault="009C164F" w:rsidP="00F13398">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cnfStyle w:val="000000100000" w:firstRow="0" w:lastRow="0" w:firstColumn="0" w:lastColumn="0" w:oddVBand="0" w:evenVBand="0" w:oddHBand="1" w:evenHBand="0" w:firstRowFirstColumn="0" w:firstRowLastColumn="0" w:lastRowFirstColumn="0" w:lastRowLastColumn="0"/>
            </w:pPr>
            <w:r w:rsidRPr="00342F47">
              <w:rPr>
                <w:rFonts w:hint="eastAsia"/>
              </w:rPr>
              <w:t>Intravenous injection of Ocriplasmin for the treatment of CRVO (central retinal vein occlusion) NCT02747030</w:t>
            </w:r>
            <w:r w:rsidRPr="00342F47">
              <w:rPr>
                <w:rFonts w:hint="eastAsia"/>
              </w:rPr>
              <w:br/>
              <w:t>For the treatment of vitreomacular traction NCT02035748</w:t>
            </w:r>
          </w:p>
        </w:tc>
        <w:tc>
          <w:tcPr>
            <w:tcW w:w="1418" w:type="dxa"/>
            <w:noWrap/>
            <w:hideMark/>
          </w:tcPr>
          <w:p w14:paraId="35996BC8" w14:textId="77777777" w:rsidR="009C164F" w:rsidRPr="00342F47" w:rsidRDefault="009C164F" w:rsidP="00F13398">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cnfStyle w:val="000000100000" w:firstRow="0" w:lastRow="0" w:firstColumn="0" w:lastColumn="0" w:oddVBand="0" w:evenVBand="0" w:oddHBand="1" w:evenHBand="0" w:firstRowFirstColumn="0" w:firstRowLastColumn="0" w:lastRowFirstColumn="0" w:lastRowLastColumn="0"/>
            </w:pPr>
            <w:r w:rsidRPr="00342F47">
              <w:rPr>
                <w:rFonts w:hint="eastAsia"/>
              </w:rPr>
              <w:t>extracellular matrix structural constituent</w:t>
            </w:r>
          </w:p>
        </w:tc>
      </w:tr>
      <w:tr w:rsidR="009C164F" w:rsidRPr="00342F47" w14:paraId="45338089" w14:textId="77777777" w:rsidTr="00F13398">
        <w:trPr>
          <w:trHeight w:val="1725"/>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0B9048F" w14:textId="77777777" w:rsidR="009C164F" w:rsidRPr="00342F47" w:rsidRDefault="009C164F" w:rsidP="00F13398">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pPr>
            <w:r w:rsidRPr="00342F47">
              <w:t xml:space="preserve">MerTK </w:t>
            </w:r>
          </w:p>
        </w:tc>
        <w:tc>
          <w:tcPr>
            <w:tcW w:w="1276" w:type="dxa"/>
            <w:noWrap/>
            <w:hideMark/>
          </w:tcPr>
          <w:p w14:paraId="54F089BC" w14:textId="77777777" w:rsidR="009C164F" w:rsidRPr="00342F47" w:rsidRDefault="009C164F" w:rsidP="00F13398">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cnfStyle w:val="000000000000" w:firstRow="0" w:lastRow="0" w:firstColumn="0" w:lastColumn="0" w:oddVBand="0" w:evenVBand="0" w:oddHBand="0" w:evenHBand="0" w:firstRowFirstColumn="0" w:firstRowLastColumn="0" w:lastRowFirstColumn="0" w:lastRowLastColumn="0"/>
            </w:pPr>
            <w:r>
              <w:rPr>
                <w:noProof/>
              </w:rPr>
              <w:drawing>
                <wp:anchor distT="0" distB="0" distL="114300" distR="114300" simplePos="0" relativeHeight="251659264" behindDoc="0" locked="0" layoutInCell="1" allowOverlap="1" wp14:anchorId="52558678" wp14:editId="36147CC4">
                  <wp:simplePos x="0" y="0"/>
                  <wp:positionH relativeFrom="column">
                    <wp:posOffset>-962025</wp:posOffset>
                  </wp:positionH>
                  <wp:positionV relativeFrom="paragraph">
                    <wp:posOffset>931545</wp:posOffset>
                  </wp:positionV>
                  <wp:extent cx="2111375" cy="1419225"/>
                  <wp:effectExtent l="0" t="0" r="3175" b="9525"/>
                  <wp:wrapNone/>
                  <wp:docPr id="5" name="图片 4">
                    <a:extLst xmlns:a="http://schemas.openxmlformats.org/drawingml/2006/main">
                      <a:ext uri="{FF2B5EF4-FFF2-40B4-BE49-F238E27FC236}">
                        <a16:creationId xmlns:a16="http://schemas.microsoft.com/office/drawing/2014/main" id="{8029D9E4-DBA7-B628-13A2-2ACC57F65CB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8029D9E4-DBA7-B628-13A2-2ACC57F65CB2}"/>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111375" cy="1419225"/>
                          </a:xfrm>
                          <a:prstGeom prst="rect">
                            <a:avLst/>
                          </a:prstGeom>
                        </pic:spPr>
                      </pic:pic>
                    </a:graphicData>
                  </a:graphic>
                </wp:anchor>
              </w:drawing>
            </w:r>
            <w:r w:rsidRPr="00342F47">
              <w:t>Small molecule</w:t>
            </w:r>
            <w:r>
              <w:rPr>
                <w:noProof/>
              </w:rPr>
              <w:t xml:space="preserve"> </w:t>
            </w:r>
          </w:p>
        </w:tc>
        <w:tc>
          <w:tcPr>
            <w:tcW w:w="1701" w:type="dxa"/>
            <w:noWrap/>
            <w:hideMark/>
          </w:tcPr>
          <w:p w14:paraId="2AE0DC72" w14:textId="77777777" w:rsidR="009C164F" w:rsidRPr="00342F47" w:rsidRDefault="009C164F" w:rsidP="00F13398">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cnfStyle w:val="000000000000" w:firstRow="0" w:lastRow="0" w:firstColumn="0" w:lastColumn="0" w:oddVBand="0" w:evenVBand="0" w:oddHBand="0" w:evenHBand="0" w:firstRowFirstColumn="0" w:firstRowLastColumn="0" w:lastRowFirstColumn="0" w:lastRowLastColumn="0"/>
            </w:pPr>
            <w:r w:rsidRPr="00342F47">
              <w:rPr>
                <w:rFonts w:hint="eastAsia"/>
              </w:rPr>
              <w:t>NINGETINIB</w:t>
            </w:r>
          </w:p>
        </w:tc>
        <w:tc>
          <w:tcPr>
            <w:tcW w:w="1271" w:type="dxa"/>
            <w:noWrap/>
            <w:hideMark/>
          </w:tcPr>
          <w:p w14:paraId="0F75DCFB" w14:textId="77777777" w:rsidR="009C164F" w:rsidRPr="00342F47" w:rsidRDefault="009C164F" w:rsidP="00F13398">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cnfStyle w:val="000000000000" w:firstRow="0" w:lastRow="0" w:firstColumn="0" w:lastColumn="0" w:oddVBand="0" w:evenVBand="0" w:oddHBand="0" w:evenHBand="0" w:firstRowFirstColumn="0" w:firstRowLastColumn="0" w:lastRowFirstColumn="0" w:lastRowLastColumn="0"/>
            </w:pPr>
            <w:r w:rsidRPr="00342F47">
              <w:rPr>
                <w:rFonts w:hint="eastAsia"/>
              </w:rPr>
              <w:t>Proto-oncogene tyrosine-protein kinase MER inhibitor</w:t>
            </w:r>
          </w:p>
        </w:tc>
        <w:tc>
          <w:tcPr>
            <w:tcW w:w="3260" w:type="dxa"/>
            <w:hideMark/>
          </w:tcPr>
          <w:p w14:paraId="37AB3B50" w14:textId="77777777" w:rsidR="009C164F" w:rsidRPr="00342F47" w:rsidRDefault="009C164F" w:rsidP="00F13398">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cnfStyle w:val="000000000000" w:firstRow="0" w:lastRow="0" w:firstColumn="0" w:lastColumn="0" w:oddVBand="0" w:evenVBand="0" w:oddHBand="0" w:evenHBand="0" w:firstRowFirstColumn="0" w:firstRowLastColumn="0" w:lastRowFirstColumn="0" w:lastRowLastColumn="0"/>
            </w:pPr>
            <w:r w:rsidRPr="00342F47">
              <w:rPr>
                <w:rFonts w:hint="eastAsia"/>
              </w:rPr>
              <w:t>For the treatment of advanced solid tumors NCT04577703</w:t>
            </w:r>
            <w:r w:rsidRPr="00342F47">
              <w:rPr>
                <w:rFonts w:hint="eastAsia"/>
              </w:rPr>
              <w:br/>
              <w:t>For the treatment of non-small cell lung cancer NCT03758287</w:t>
            </w:r>
            <w:r w:rsidRPr="00342F47">
              <w:rPr>
                <w:rFonts w:hint="eastAsia"/>
              </w:rPr>
              <w:br/>
              <w:t>For the treatment of advanced non-small cell lung cancer NCT04992858</w:t>
            </w:r>
          </w:p>
        </w:tc>
        <w:tc>
          <w:tcPr>
            <w:tcW w:w="1418" w:type="dxa"/>
            <w:noWrap/>
            <w:hideMark/>
          </w:tcPr>
          <w:p w14:paraId="3F0F3365" w14:textId="77777777" w:rsidR="009C164F" w:rsidRPr="00342F47" w:rsidRDefault="009C164F" w:rsidP="00F13398">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cnfStyle w:val="000000000000" w:firstRow="0" w:lastRow="0" w:firstColumn="0" w:lastColumn="0" w:oddVBand="0" w:evenVBand="0" w:oddHBand="0" w:evenHBand="0" w:firstRowFirstColumn="0" w:firstRowLastColumn="0" w:lastRowFirstColumn="0" w:lastRowLastColumn="0"/>
            </w:pPr>
            <w:r w:rsidRPr="00342F47">
              <w:rPr>
                <w:rFonts w:hint="eastAsia"/>
              </w:rPr>
              <w:t>ATP binding / receptor tyrosine kinase activity / protein binding</w:t>
            </w:r>
          </w:p>
        </w:tc>
      </w:tr>
      <w:tr w:rsidR="009C164F" w:rsidRPr="00342F47" w14:paraId="3E4DEAA3" w14:textId="77777777" w:rsidTr="00F13398">
        <w:trPr>
          <w:cnfStyle w:val="000000100000" w:firstRow="0" w:lastRow="0" w:firstColumn="0" w:lastColumn="0" w:oddVBand="0" w:evenVBand="0" w:oddHBand="1" w:evenHBand="0" w:firstRowFirstColumn="0" w:firstRowLastColumn="0" w:lastRowFirstColumn="0" w:lastRowLastColumn="0"/>
          <w:trHeight w:val="1740"/>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3D6CF40" w14:textId="77777777" w:rsidR="009C164F" w:rsidRPr="00342F47" w:rsidRDefault="009C164F" w:rsidP="00F13398">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pPr>
            <w:r w:rsidRPr="00342F47">
              <w:t>SLC1A7</w:t>
            </w:r>
          </w:p>
        </w:tc>
        <w:tc>
          <w:tcPr>
            <w:tcW w:w="1276" w:type="dxa"/>
            <w:noWrap/>
            <w:hideMark/>
          </w:tcPr>
          <w:p w14:paraId="42D9AF07" w14:textId="69C04B08" w:rsidR="009C164F" w:rsidRPr="00342F47" w:rsidRDefault="009C164F" w:rsidP="00F13398">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cnfStyle w:val="000000100000" w:firstRow="0" w:lastRow="0" w:firstColumn="0" w:lastColumn="0" w:oddVBand="0" w:evenVBand="0" w:oddHBand="1" w:evenHBand="0" w:firstRowFirstColumn="0" w:firstRowLastColumn="0" w:lastRowFirstColumn="0" w:lastRowLastColumn="0"/>
            </w:pPr>
            <w:r w:rsidRPr="00342F47">
              <w:t>Small molecule</w:t>
            </w:r>
            <w:r w:rsidR="00A85DBF">
              <w:rPr>
                <w:noProof/>
              </w:rPr>
              <w:t xml:space="preserve"> </w:t>
            </w:r>
          </w:p>
        </w:tc>
        <w:tc>
          <w:tcPr>
            <w:tcW w:w="1701" w:type="dxa"/>
            <w:noWrap/>
            <w:hideMark/>
          </w:tcPr>
          <w:p w14:paraId="341C8526" w14:textId="110B7123" w:rsidR="009C164F" w:rsidRPr="00342F47" w:rsidRDefault="00A85DBF" w:rsidP="00F13398">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cnfStyle w:val="000000100000" w:firstRow="0" w:lastRow="0" w:firstColumn="0" w:lastColumn="0" w:oddVBand="0" w:evenVBand="0" w:oddHBand="1" w:evenHBand="0" w:firstRowFirstColumn="0" w:firstRowLastColumn="0" w:lastRowFirstColumn="0" w:lastRowLastColumn="0"/>
            </w:pPr>
            <w:r>
              <w:rPr>
                <w:noProof/>
              </w:rPr>
              <w:drawing>
                <wp:anchor distT="0" distB="0" distL="114300" distR="114300" simplePos="0" relativeHeight="251663360" behindDoc="0" locked="0" layoutInCell="1" allowOverlap="1" wp14:anchorId="1503B5B6" wp14:editId="71C6CF30">
                  <wp:simplePos x="0" y="0"/>
                  <wp:positionH relativeFrom="column">
                    <wp:posOffset>-2084883</wp:posOffset>
                  </wp:positionH>
                  <wp:positionV relativeFrom="paragraph">
                    <wp:posOffset>700080</wp:posOffset>
                  </wp:positionV>
                  <wp:extent cx="3446079" cy="2200940"/>
                  <wp:effectExtent l="0" t="0" r="2540" b="8890"/>
                  <wp:wrapNone/>
                  <wp:docPr id="12429517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951764" name=""/>
                          <pic:cNvPicPr/>
                        </pic:nvPicPr>
                        <pic:blipFill>
                          <a:blip r:embed="rId8">
                            <a:extLst>
                              <a:ext uri="{28A0092B-C50C-407E-A947-70E740481C1C}">
                                <a14:useLocalDpi xmlns:a14="http://schemas.microsoft.com/office/drawing/2010/main" val="0"/>
                              </a:ext>
                            </a:extLst>
                          </a:blip>
                          <a:stretch>
                            <a:fillRect/>
                          </a:stretch>
                        </pic:blipFill>
                        <pic:spPr>
                          <a:xfrm>
                            <a:off x="0" y="0"/>
                            <a:ext cx="3446079" cy="2200940"/>
                          </a:xfrm>
                          <a:prstGeom prst="rect">
                            <a:avLst/>
                          </a:prstGeom>
                        </pic:spPr>
                      </pic:pic>
                    </a:graphicData>
                  </a:graphic>
                  <wp14:sizeRelH relativeFrom="margin">
                    <wp14:pctWidth>0</wp14:pctWidth>
                  </wp14:sizeRelH>
                  <wp14:sizeRelV relativeFrom="margin">
                    <wp14:pctHeight>0</wp14:pctHeight>
                  </wp14:sizeRelV>
                </wp:anchor>
              </w:drawing>
            </w:r>
            <w:r w:rsidR="009C164F" w:rsidRPr="00342F47">
              <w:rPr>
                <w:rFonts w:hint="eastAsia"/>
              </w:rPr>
              <w:t>OMPENACLID</w:t>
            </w:r>
          </w:p>
        </w:tc>
        <w:tc>
          <w:tcPr>
            <w:tcW w:w="1271" w:type="dxa"/>
            <w:noWrap/>
            <w:hideMark/>
          </w:tcPr>
          <w:p w14:paraId="452CC1F8" w14:textId="77777777" w:rsidR="009C164F" w:rsidRPr="00342F47" w:rsidRDefault="009C164F" w:rsidP="00F13398">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cnfStyle w:val="000000100000" w:firstRow="0" w:lastRow="0" w:firstColumn="0" w:lastColumn="0" w:oddVBand="0" w:evenVBand="0" w:oddHBand="1" w:evenHBand="0" w:firstRowFirstColumn="0" w:firstRowLastColumn="0" w:lastRowFirstColumn="0" w:lastRowLastColumn="0"/>
            </w:pPr>
            <w:r w:rsidRPr="00342F47">
              <w:rPr>
                <w:rFonts w:hint="eastAsia"/>
              </w:rPr>
              <w:t>NA</w:t>
            </w:r>
          </w:p>
        </w:tc>
        <w:tc>
          <w:tcPr>
            <w:tcW w:w="3260" w:type="dxa"/>
            <w:hideMark/>
          </w:tcPr>
          <w:p w14:paraId="611A25A7" w14:textId="77777777" w:rsidR="009C164F" w:rsidRPr="00342F47" w:rsidRDefault="009C164F" w:rsidP="00F13398">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cnfStyle w:val="000000100000" w:firstRow="0" w:lastRow="0" w:firstColumn="0" w:lastColumn="0" w:oddVBand="0" w:evenVBand="0" w:oddHBand="1" w:evenHBand="0" w:firstRowFirstColumn="0" w:firstRowLastColumn="0" w:lastRowFirstColumn="0" w:lastRowLastColumn="0"/>
            </w:pPr>
            <w:r w:rsidRPr="00342F47">
              <w:rPr>
                <w:rFonts w:hint="eastAsia"/>
              </w:rPr>
              <w:t>Combination with FOLFIRI plus bevacizumab for the treatment of advanced/metastatic colorectal cancer NCT05983367</w:t>
            </w:r>
            <w:r w:rsidRPr="00342F47">
              <w:rPr>
                <w:rFonts w:hint="eastAsia"/>
              </w:rPr>
              <w:br/>
              <w:t>Study of combination therapy for advanced colorectal cancer with gastrointestinal tumor mutations NCT03597581</w:t>
            </w:r>
          </w:p>
        </w:tc>
        <w:tc>
          <w:tcPr>
            <w:tcW w:w="1418" w:type="dxa"/>
            <w:noWrap/>
            <w:hideMark/>
          </w:tcPr>
          <w:p w14:paraId="43235A59" w14:textId="77777777" w:rsidR="009C164F" w:rsidRPr="00342F47" w:rsidRDefault="009C164F" w:rsidP="00F13398">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cnfStyle w:val="000000100000" w:firstRow="0" w:lastRow="0" w:firstColumn="0" w:lastColumn="0" w:oddVBand="0" w:evenVBand="0" w:oddHBand="1" w:evenHBand="0" w:firstRowFirstColumn="0" w:firstRowLastColumn="0" w:lastRowFirstColumn="0" w:lastRowLastColumn="0"/>
            </w:pPr>
            <w:r w:rsidRPr="00342F47">
              <w:rPr>
                <w:rFonts w:hint="eastAsia"/>
              </w:rPr>
              <w:t>glutamate transmembrane transporter activity / amino acid transmembrane transporter activity</w:t>
            </w:r>
          </w:p>
        </w:tc>
      </w:tr>
      <w:tr w:rsidR="009C164F" w:rsidRPr="00342F47" w14:paraId="430AA353" w14:textId="77777777" w:rsidTr="00F13398">
        <w:trPr>
          <w:trHeight w:val="285"/>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E2F550B" w14:textId="77777777" w:rsidR="009C164F" w:rsidRPr="00342F47" w:rsidRDefault="009C164F" w:rsidP="00F13398">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pPr>
            <w:r w:rsidRPr="00342F47">
              <w:rPr>
                <w:rFonts w:hint="eastAsia"/>
              </w:rPr>
              <w:t>ADIPOQ</w:t>
            </w:r>
          </w:p>
        </w:tc>
        <w:tc>
          <w:tcPr>
            <w:tcW w:w="1276" w:type="dxa"/>
            <w:noWrap/>
            <w:hideMark/>
          </w:tcPr>
          <w:p w14:paraId="08DE5B12" w14:textId="77777777" w:rsidR="009C164F" w:rsidRPr="00342F47" w:rsidRDefault="009C164F" w:rsidP="00F13398">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cnfStyle w:val="000000000000" w:firstRow="0" w:lastRow="0" w:firstColumn="0" w:lastColumn="0" w:oddVBand="0" w:evenVBand="0" w:oddHBand="0" w:evenHBand="0" w:firstRowFirstColumn="0" w:firstRowLastColumn="0" w:lastRowFirstColumn="0" w:lastRowLastColumn="0"/>
            </w:pPr>
            <w:r>
              <w:rPr>
                <w:noProof/>
              </w:rPr>
              <w:drawing>
                <wp:anchor distT="0" distB="0" distL="114300" distR="114300" simplePos="0" relativeHeight="251661312" behindDoc="0" locked="0" layoutInCell="1" allowOverlap="1" wp14:anchorId="4E37A2B9" wp14:editId="476A657A">
                  <wp:simplePos x="0" y="0"/>
                  <wp:positionH relativeFrom="column">
                    <wp:posOffset>-861060</wp:posOffset>
                  </wp:positionH>
                  <wp:positionV relativeFrom="page">
                    <wp:posOffset>597535</wp:posOffset>
                  </wp:positionV>
                  <wp:extent cx="2124075" cy="1047750"/>
                  <wp:effectExtent l="0" t="0" r="9525" b="0"/>
                  <wp:wrapNone/>
                  <wp:docPr id="118616959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24075" cy="1047750"/>
                          </a:xfrm>
                          <a:prstGeom prst="rect">
                            <a:avLst/>
                          </a:prstGeom>
                          <a:noFill/>
                        </pic:spPr>
                      </pic:pic>
                    </a:graphicData>
                  </a:graphic>
                  <wp14:sizeRelH relativeFrom="margin">
                    <wp14:pctWidth>0</wp14:pctWidth>
                  </wp14:sizeRelH>
                  <wp14:sizeRelV relativeFrom="margin">
                    <wp14:pctHeight>0</wp14:pctHeight>
                  </wp14:sizeRelV>
                </wp:anchor>
              </w:drawing>
            </w:r>
            <w:r w:rsidRPr="00342F47">
              <w:t>Small molecule</w:t>
            </w:r>
          </w:p>
        </w:tc>
        <w:tc>
          <w:tcPr>
            <w:tcW w:w="1701" w:type="dxa"/>
            <w:noWrap/>
            <w:hideMark/>
          </w:tcPr>
          <w:p w14:paraId="55586D5F" w14:textId="77777777" w:rsidR="009C164F" w:rsidRPr="00342F47" w:rsidRDefault="009C164F" w:rsidP="00F13398">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cnfStyle w:val="000000000000" w:firstRow="0" w:lastRow="0" w:firstColumn="0" w:lastColumn="0" w:oddVBand="0" w:evenVBand="0" w:oddHBand="0" w:evenHBand="0" w:firstRowFirstColumn="0" w:firstRowLastColumn="0" w:lastRowFirstColumn="0" w:lastRowLastColumn="0"/>
            </w:pPr>
            <w:r w:rsidRPr="00342F47">
              <w:t>ANILERIDINE</w:t>
            </w:r>
          </w:p>
        </w:tc>
        <w:tc>
          <w:tcPr>
            <w:tcW w:w="1271" w:type="dxa"/>
            <w:noWrap/>
            <w:hideMark/>
          </w:tcPr>
          <w:p w14:paraId="3C68B951" w14:textId="77777777" w:rsidR="009C164F" w:rsidRPr="00342F47" w:rsidRDefault="009C164F" w:rsidP="00F13398">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cnfStyle w:val="000000000000" w:firstRow="0" w:lastRow="0" w:firstColumn="0" w:lastColumn="0" w:oddVBand="0" w:evenVBand="0" w:oddHBand="0" w:evenHBand="0" w:firstRowFirstColumn="0" w:firstRowLastColumn="0" w:lastRowFirstColumn="0" w:lastRowLastColumn="0"/>
            </w:pPr>
            <w:r w:rsidRPr="00342F47">
              <w:t>Kappa opioid receptor agonist</w:t>
            </w:r>
          </w:p>
        </w:tc>
        <w:tc>
          <w:tcPr>
            <w:tcW w:w="3260" w:type="dxa"/>
            <w:hideMark/>
          </w:tcPr>
          <w:p w14:paraId="189A302B" w14:textId="77777777" w:rsidR="009C164F" w:rsidRPr="00342F47" w:rsidRDefault="009C164F" w:rsidP="00F13398">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cnfStyle w:val="000000000000" w:firstRow="0" w:lastRow="0" w:firstColumn="0" w:lastColumn="0" w:oddVBand="0" w:evenVBand="0" w:oddHBand="0" w:evenHBand="0" w:firstRowFirstColumn="0" w:firstRowLastColumn="0" w:lastRowFirstColumn="0" w:lastRowLastColumn="0"/>
            </w:pPr>
            <w:r w:rsidRPr="00342F47">
              <w:rPr>
                <w:rFonts w:hint="eastAsia"/>
              </w:rPr>
              <w:t>NA</w:t>
            </w:r>
          </w:p>
        </w:tc>
        <w:tc>
          <w:tcPr>
            <w:tcW w:w="1418" w:type="dxa"/>
            <w:noWrap/>
            <w:hideMark/>
          </w:tcPr>
          <w:p w14:paraId="6E36AFFE" w14:textId="77777777" w:rsidR="009C164F" w:rsidRPr="00342F47" w:rsidRDefault="009C164F" w:rsidP="00F13398">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cnfStyle w:val="000000000000" w:firstRow="0" w:lastRow="0" w:firstColumn="0" w:lastColumn="0" w:oddVBand="0" w:evenVBand="0" w:oddHBand="0" w:evenHBand="0" w:firstRowFirstColumn="0" w:firstRowLastColumn="0" w:lastRowFirstColumn="0" w:lastRowLastColumn="0"/>
            </w:pPr>
            <w:r w:rsidRPr="00342F47">
              <w:rPr>
                <w:rFonts w:hint="eastAsia"/>
              </w:rPr>
              <w:t xml:space="preserve">hormone activity / cytokine activity / </w:t>
            </w:r>
            <w:r w:rsidRPr="00342F47">
              <w:rPr>
                <w:rFonts w:hint="eastAsia"/>
              </w:rPr>
              <w:lastRenderedPageBreak/>
              <w:t>receptor binding</w:t>
            </w:r>
          </w:p>
        </w:tc>
      </w:tr>
    </w:tbl>
    <w:p w14:paraId="26E098D4" w14:textId="77777777" w:rsidR="009C164F" w:rsidRPr="009C164F" w:rsidRDefault="009C164F">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360" w:lineRule="auto"/>
        <w:jc w:val="both"/>
        <w:rPr>
          <w:rFonts w:eastAsiaTheme="minorEastAsia" w:hint="eastAsia"/>
        </w:rPr>
      </w:pPr>
    </w:p>
    <w:p w14:paraId="5DFA06A3" w14:textId="0D76E399" w:rsidR="00423234" w:rsidRDefault="00761956">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360" w:lineRule="auto"/>
        <w:jc w:val="both"/>
        <w:rPr>
          <w:rFonts w:ascii="Times New Roman" w:eastAsiaTheme="minorEastAsia" w:hAnsi="Times New Roman" w:cs="Times New Roman"/>
          <w:snapToGrid w:val="0"/>
          <w:w w:val="0"/>
          <w:sz w:val="0"/>
          <w:szCs w:val="0"/>
          <w:bdr w:val="none" w:sz="0" w:space="0" w:color="000000"/>
          <w:shd w:val="clear" w:color="000000" w:fill="000000"/>
          <w:lang w:val="x-none" w:bidi="x-none"/>
        </w:rPr>
      </w:pPr>
      <w:r w:rsidRPr="00761956">
        <w:rPr>
          <w:rFonts w:ascii="Times New Roman" w:eastAsia="Times New Roman" w:hAnsi="Times New Roman" w:cs="Times New Roman"/>
          <w:snapToGrid w:val="0"/>
          <w:w w:val="0"/>
          <w:sz w:val="0"/>
          <w:szCs w:val="0"/>
          <w:bdr w:val="none" w:sz="0" w:space="0" w:color="000000"/>
          <w:shd w:val="clear" w:color="000000" w:fill="000000"/>
          <w:lang w:val="x-none" w:eastAsia="x-none" w:bidi="x-none"/>
        </w:rPr>
        <w:t xml:space="preserve"> </w:t>
      </w:r>
    </w:p>
    <w:p w14:paraId="09E6B1CA" w14:textId="32F7C205" w:rsidR="00442AD1" w:rsidRDefault="00442AD1">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360" w:lineRule="auto"/>
        <w:jc w:val="both"/>
        <w:rPr>
          <w:rFonts w:ascii="Times New Roman" w:eastAsiaTheme="minorEastAsia" w:hAnsi="Times New Roman" w:cs="Times New Roman"/>
          <w:snapToGrid w:val="0"/>
          <w:w w:val="0"/>
          <w:sz w:val="0"/>
          <w:szCs w:val="0"/>
          <w:bdr w:val="none" w:sz="0" w:space="0" w:color="000000"/>
          <w:shd w:val="clear" w:color="000000" w:fill="000000"/>
          <w:lang w:val="x-none" w:bidi="x-none"/>
        </w:rPr>
      </w:pPr>
      <w:r>
        <w:rPr>
          <w:rFonts w:ascii="Times New Roman" w:eastAsiaTheme="minorEastAsia" w:hAnsi="Times New Roman" w:cs="Times New Roman"/>
          <w:snapToGrid w:val="0"/>
          <w:w w:val="0"/>
          <w:sz w:val="0"/>
          <w:szCs w:val="0"/>
          <w:bdr w:val="none" w:sz="0" w:space="0" w:color="000000"/>
          <w:shd w:val="clear" w:color="000000" w:fill="000000"/>
          <w:lang w:val="x-none" w:bidi="x-none"/>
        </w:rPr>
        <w:t>R</w:t>
      </w:r>
      <w:r>
        <w:rPr>
          <w:rFonts w:ascii="Times New Roman" w:eastAsiaTheme="minorEastAsia" w:hAnsi="Times New Roman" w:cs="Times New Roman" w:hint="eastAsia"/>
          <w:snapToGrid w:val="0"/>
          <w:w w:val="0"/>
          <w:sz w:val="0"/>
          <w:szCs w:val="0"/>
          <w:bdr w:val="none" w:sz="0" w:space="0" w:color="000000"/>
          <w:shd w:val="clear" w:color="000000" w:fill="000000"/>
          <w:lang w:val="x-none" w:bidi="x-none"/>
        </w:rPr>
        <w:t>e</w:t>
      </w:r>
    </w:p>
    <w:p w14:paraId="1FC4AEC2" w14:textId="77777777" w:rsidR="00442AD1" w:rsidRDefault="00442AD1">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360" w:lineRule="auto"/>
        <w:jc w:val="both"/>
        <w:rPr>
          <w:rFonts w:ascii="Times New Roman" w:eastAsiaTheme="minorEastAsia" w:hAnsi="Times New Roman" w:cs="Times New Roman"/>
          <w:snapToGrid w:val="0"/>
          <w:w w:val="0"/>
          <w:sz w:val="0"/>
          <w:szCs w:val="0"/>
          <w:bdr w:val="none" w:sz="0" w:space="0" w:color="000000"/>
          <w:shd w:val="clear" w:color="000000" w:fill="000000"/>
          <w:lang w:val="x-none" w:bidi="x-none"/>
        </w:rPr>
      </w:pPr>
    </w:p>
    <w:p w14:paraId="2769EFB1" w14:textId="77777777" w:rsidR="00442AD1" w:rsidRDefault="00442AD1">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360" w:lineRule="auto"/>
        <w:jc w:val="both"/>
        <w:rPr>
          <w:rFonts w:ascii="Times New Roman" w:eastAsiaTheme="minorEastAsia" w:hAnsi="Times New Roman" w:cs="Times New Roman"/>
          <w:snapToGrid w:val="0"/>
          <w:w w:val="0"/>
          <w:sz w:val="0"/>
          <w:szCs w:val="0"/>
          <w:bdr w:val="none" w:sz="0" w:space="0" w:color="000000"/>
          <w:shd w:val="clear" w:color="000000" w:fill="000000"/>
          <w:lang w:val="x-none" w:bidi="x-none"/>
        </w:rPr>
      </w:pPr>
    </w:p>
    <w:p w14:paraId="43D63C16" w14:textId="77777777" w:rsidR="00442AD1" w:rsidRDefault="00442AD1">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360" w:lineRule="auto"/>
        <w:jc w:val="both"/>
        <w:rPr>
          <w:rFonts w:ascii="Times New Roman" w:eastAsiaTheme="minorEastAsia" w:hAnsi="Times New Roman" w:cs="Times New Roman"/>
          <w:snapToGrid w:val="0"/>
          <w:w w:val="0"/>
          <w:sz w:val="0"/>
          <w:szCs w:val="0"/>
          <w:bdr w:val="none" w:sz="0" w:space="0" w:color="000000"/>
          <w:shd w:val="clear" w:color="000000" w:fill="000000"/>
          <w:lang w:val="x-none" w:bidi="x-none"/>
        </w:rPr>
      </w:pPr>
    </w:p>
    <w:p w14:paraId="3081C6E9" w14:textId="77777777" w:rsidR="000B00CC" w:rsidRDefault="00442AD1">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360" w:lineRule="auto"/>
        <w:jc w:val="both"/>
        <w:rPr>
          <w:rFonts w:asciiTheme="minorEastAsia" w:eastAsiaTheme="minorEastAsia" w:hAnsiTheme="minorEastAsia" w:hint="eastAsia"/>
        </w:rPr>
      </w:pPr>
      <w:r>
        <w:rPr>
          <w:rFonts w:asciiTheme="minorEastAsia" w:eastAsiaTheme="minorEastAsia" w:hAnsiTheme="minorEastAsia" w:hint="eastAsia"/>
        </w:rPr>
        <w:t>References</w:t>
      </w:r>
    </w:p>
    <w:p w14:paraId="2D2B4C3E" w14:textId="77777777" w:rsidR="000B00CC" w:rsidRDefault="000B00CC">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360" w:lineRule="auto"/>
        <w:jc w:val="both"/>
        <w:rPr>
          <w:rFonts w:asciiTheme="minorEastAsia" w:eastAsiaTheme="minorEastAsia" w:hAnsiTheme="minorEastAsia" w:hint="eastAsia"/>
        </w:rPr>
      </w:pPr>
    </w:p>
    <w:p w14:paraId="420D5DCE" w14:textId="77777777" w:rsidR="005E043A" w:rsidRPr="005E043A" w:rsidRDefault="000B00CC" w:rsidP="005E043A">
      <w:pPr>
        <w:pStyle w:val="EndNoteBibliography"/>
      </w:pPr>
      <w:r>
        <w:rPr>
          <w:rFonts w:asciiTheme="minorEastAsia" w:hAnsiTheme="minorEastAsia" w:hint="eastAsia"/>
        </w:rPr>
        <w:fldChar w:fldCharType="begin"/>
      </w:r>
      <w:r>
        <w:rPr>
          <w:rFonts w:asciiTheme="minorEastAsia" w:hAnsiTheme="minorEastAsia" w:hint="eastAsia"/>
        </w:rPr>
        <w:instrText xml:space="preserve"> ADDIN EN.REFLIST </w:instrText>
      </w:r>
      <w:r>
        <w:rPr>
          <w:rFonts w:asciiTheme="minorEastAsia" w:hAnsiTheme="minorEastAsia" w:hint="eastAsia"/>
        </w:rPr>
        <w:fldChar w:fldCharType="separate"/>
      </w:r>
      <w:r w:rsidR="005E043A" w:rsidRPr="005E043A">
        <w:t>[1]</w:t>
      </w:r>
      <w:r w:rsidR="005E043A" w:rsidRPr="005E043A">
        <w:tab/>
        <w:t>Yao L, Cui X, Chen Q, Yang X, Fang F, Zhang J, et al. Cold-inducible SIRT6 regulates thermogenesis of brown and beige fat. Cell reports</w:t>
      </w:r>
      <w:r w:rsidR="005E043A" w:rsidRPr="005E043A">
        <w:rPr>
          <w:i/>
        </w:rPr>
        <w:t>.</w:t>
      </w:r>
      <w:r w:rsidR="005E043A" w:rsidRPr="005E043A">
        <w:t xml:space="preserve"> 2017;20(3):641-54.</w:t>
      </w:r>
    </w:p>
    <w:p w14:paraId="1462CC44" w14:textId="77777777" w:rsidR="005E043A" w:rsidRPr="005E043A" w:rsidRDefault="005E043A" w:rsidP="005E043A">
      <w:pPr>
        <w:pStyle w:val="EndNoteBibliography"/>
      </w:pPr>
      <w:r w:rsidRPr="005E043A">
        <w:t>[2]</w:t>
      </w:r>
      <w:r w:rsidRPr="005E043A">
        <w:tab/>
        <w:t>Wang R, Xiao L, Pan J, Bao G, Zhu Y, Zhu D, et al. Natural product P57 induces hypothermia through targeting pyridoxal kinase. Nature Communications</w:t>
      </w:r>
      <w:r w:rsidRPr="005E043A">
        <w:rPr>
          <w:i/>
        </w:rPr>
        <w:t>.</w:t>
      </w:r>
      <w:r w:rsidRPr="005E043A">
        <w:t xml:space="preserve"> 2023;14(1):5984.</w:t>
      </w:r>
    </w:p>
    <w:p w14:paraId="0136762F" w14:textId="77777777" w:rsidR="005E043A" w:rsidRPr="005E043A" w:rsidRDefault="005E043A" w:rsidP="005E043A">
      <w:pPr>
        <w:pStyle w:val="EndNoteBibliography"/>
      </w:pPr>
      <w:r w:rsidRPr="005E043A">
        <w:t>[3]</w:t>
      </w:r>
      <w:r w:rsidRPr="005E043A">
        <w:tab/>
        <w:t>Kristensen LV, Sandager-Nielsen K, Hansen HH. Kv7 (KCNQ) channel openers induce hypothermia in the mouse. Neuroscience letters</w:t>
      </w:r>
      <w:r w:rsidRPr="005E043A">
        <w:rPr>
          <w:i/>
        </w:rPr>
        <w:t>.</w:t>
      </w:r>
      <w:r w:rsidRPr="005E043A">
        <w:t xml:space="preserve"> 2011;488(2):178-82.</w:t>
      </w:r>
    </w:p>
    <w:p w14:paraId="684B7CA2" w14:textId="77777777" w:rsidR="005E043A" w:rsidRPr="005E043A" w:rsidRDefault="005E043A" w:rsidP="005E043A">
      <w:pPr>
        <w:pStyle w:val="EndNoteBibliography"/>
      </w:pPr>
      <w:r w:rsidRPr="005E043A">
        <w:t>[4]</w:t>
      </w:r>
      <w:r w:rsidRPr="005E043A">
        <w:tab/>
        <w:t>Dong M, Yang X, Lim S, Cao Z, Honek J, Lu H, et al. Cold exposure promotes atherosclerotic plaque growth and instability via UCP1-dependent lipolysis. Cell metabolism</w:t>
      </w:r>
      <w:r w:rsidRPr="005E043A">
        <w:rPr>
          <w:i/>
        </w:rPr>
        <w:t>.</w:t>
      </w:r>
      <w:r w:rsidRPr="005E043A">
        <w:t xml:space="preserve"> 2013;18(1):118-29.</w:t>
      </w:r>
    </w:p>
    <w:p w14:paraId="05B05993" w14:textId="13C42EFE" w:rsidR="00442AD1" w:rsidRDefault="000B00CC">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360" w:lineRule="auto"/>
        <w:jc w:val="both"/>
        <w:rPr>
          <w:rFonts w:asciiTheme="minorEastAsia" w:eastAsiaTheme="minorEastAsia" w:hAnsiTheme="minorEastAsia" w:hint="eastAsia"/>
        </w:rPr>
      </w:pPr>
      <w:r>
        <w:rPr>
          <w:rFonts w:asciiTheme="minorEastAsia" w:eastAsiaTheme="minorEastAsia" w:hAnsiTheme="minorEastAsia" w:hint="eastAsia"/>
        </w:rPr>
        <w:fldChar w:fldCharType="end"/>
      </w:r>
    </w:p>
    <w:p w14:paraId="60F47D81" w14:textId="77777777" w:rsidR="00622F68" w:rsidRDefault="00622F68">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360" w:lineRule="auto"/>
        <w:jc w:val="both"/>
        <w:rPr>
          <w:rFonts w:asciiTheme="minorEastAsia" w:eastAsiaTheme="minorEastAsia" w:hAnsiTheme="minorEastAsia" w:hint="eastAsia"/>
        </w:rPr>
      </w:pPr>
    </w:p>
    <w:p w14:paraId="22E283EC" w14:textId="77777777" w:rsidR="00622F68" w:rsidRDefault="00622F68">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360" w:lineRule="auto"/>
        <w:jc w:val="both"/>
        <w:rPr>
          <w:rFonts w:asciiTheme="minorEastAsia" w:eastAsiaTheme="minorEastAsia" w:hAnsiTheme="minorEastAsia" w:hint="eastAsia"/>
        </w:rPr>
      </w:pPr>
    </w:p>
    <w:p w14:paraId="62E6AE10" w14:textId="77777777" w:rsidR="00622F68" w:rsidRPr="009C164F" w:rsidRDefault="00622F68" w:rsidP="00622F68">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360" w:lineRule="auto"/>
        <w:jc w:val="both"/>
        <w:rPr>
          <w:rFonts w:eastAsiaTheme="minorEastAsia" w:hint="eastAsia"/>
        </w:rPr>
      </w:pPr>
    </w:p>
    <w:p w14:paraId="46B09605" w14:textId="77777777" w:rsidR="00622F68" w:rsidRPr="00342F47" w:rsidRDefault="00622F68" w:rsidP="00622F68">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360" w:lineRule="auto"/>
        <w:jc w:val="both"/>
        <w:rPr>
          <w:rFonts w:eastAsiaTheme="minorEastAsia" w:hint="eastAsia"/>
        </w:rPr>
      </w:pPr>
      <w:r>
        <w:rPr>
          <w:noProof/>
        </w:rPr>
        <w:lastRenderedPageBreak/>
        <w:drawing>
          <wp:inline distT="0" distB="0" distL="0" distR="0" wp14:anchorId="7F782178" wp14:editId="3EA8E8C3">
            <wp:extent cx="6096000" cy="4876800"/>
            <wp:effectExtent l="0" t="0" r="0" b="0"/>
            <wp:docPr id="52680795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4876800"/>
                    </a:xfrm>
                    <a:prstGeom prst="rect">
                      <a:avLst/>
                    </a:prstGeom>
                    <a:noFill/>
                    <a:ln>
                      <a:noFill/>
                    </a:ln>
                  </pic:spPr>
                </pic:pic>
              </a:graphicData>
            </a:graphic>
          </wp:inline>
        </w:drawing>
      </w:r>
      <w:r w:rsidRPr="00761956">
        <w:rPr>
          <w:rFonts w:ascii="Times New Roman" w:eastAsia="Times New Roman" w:hAnsi="Times New Roman" w:cs="Times New Roman"/>
          <w:snapToGrid w:val="0"/>
          <w:w w:val="0"/>
          <w:sz w:val="0"/>
          <w:szCs w:val="0"/>
          <w:bdr w:val="none" w:sz="0" w:space="0" w:color="000000"/>
          <w:shd w:val="clear" w:color="000000" w:fill="000000"/>
          <w:lang w:val="x-none" w:eastAsia="x-none" w:bidi="x-none"/>
        </w:rPr>
        <w:t xml:space="preserve"> </w:t>
      </w:r>
      <w:r w:rsidRPr="00761956">
        <w:rPr>
          <w:noProof/>
        </w:rPr>
        <w:lastRenderedPageBreak/>
        <w:drawing>
          <wp:inline distT="0" distB="0" distL="0" distR="0" wp14:anchorId="70F65787" wp14:editId="3588DC51">
            <wp:extent cx="6096000" cy="4876800"/>
            <wp:effectExtent l="0" t="0" r="0" b="0"/>
            <wp:docPr id="49817527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4876800"/>
                    </a:xfrm>
                    <a:prstGeom prst="rect">
                      <a:avLst/>
                    </a:prstGeom>
                    <a:noFill/>
                    <a:ln>
                      <a:noFill/>
                    </a:ln>
                  </pic:spPr>
                </pic:pic>
              </a:graphicData>
            </a:graphic>
          </wp:inline>
        </w:drawing>
      </w:r>
      <w:r>
        <w:rPr>
          <w:noProof/>
        </w:rPr>
        <w:lastRenderedPageBreak/>
        <w:drawing>
          <wp:inline distT="0" distB="0" distL="0" distR="0" wp14:anchorId="5E78D615" wp14:editId="5CB9C87B">
            <wp:extent cx="6096000" cy="4876800"/>
            <wp:effectExtent l="0" t="0" r="0" b="0"/>
            <wp:docPr id="10631416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0" cy="4876800"/>
                    </a:xfrm>
                    <a:prstGeom prst="rect">
                      <a:avLst/>
                    </a:prstGeom>
                    <a:noFill/>
                    <a:ln>
                      <a:noFill/>
                    </a:ln>
                  </pic:spPr>
                </pic:pic>
              </a:graphicData>
            </a:graphic>
          </wp:inline>
        </w:drawing>
      </w:r>
      <w:r>
        <w:rPr>
          <w:noProof/>
        </w:rPr>
        <w:lastRenderedPageBreak/>
        <w:drawing>
          <wp:inline distT="0" distB="0" distL="0" distR="0" wp14:anchorId="5E4D0341" wp14:editId="6902DEBF">
            <wp:extent cx="6116320" cy="7645400"/>
            <wp:effectExtent l="0" t="0" r="0" b="0"/>
            <wp:docPr id="160929107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16320" cy="7645400"/>
                    </a:xfrm>
                    <a:prstGeom prst="rect">
                      <a:avLst/>
                    </a:prstGeom>
                    <a:noFill/>
                    <a:ln>
                      <a:noFill/>
                    </a:ln>
                  </pic:spPr>
                </pic:pic>
              </a:graphicData>
            </a:graphic>
          </wp:inline>
        </w:drawing>
      </w:r>
      <w:r>
        <w:rPr>
          <w:noProof/>
        </w:rPr>
        <w:lastRenderedPageBreak/>
        <w:drawing>
          <wp:inline distT="0" distB="0" distL="0" distR="0" wp14:anchorId="708DBCBF" wp14:editId="088EF0EA">
            <wp:extent cx="6116320" cy="4587240"/>
            <wp:effectExtent l="0" t="0" r="0" b="3810"/>
            <wp:docPr id="183360127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16320" cy="4587240"/>
                    </a:xfrm>
                    <a:prstGeom prst="rect">
                      <a:avLst/>
                    </a:prstGeom>
                    <a:noFill/>
                    <a:ln>
                      <a:noFill/>
                    </a:ln>
                  </pic:spPr>
                </pic:pic>
              </a:graphicData>
            </a:graphic>
          </wp:inline>
        </w:drawing>
      </w:r>
      <w:r>
        <w:rPr>
          <w:noProof/>
        </w:rPr>
        <w:drawing>
          <wp:inline distT="0" distB="0" distL="0" distR="0" wp14:anchorId="6EBCE87E" wp14:editId="60301F69">
            <wp:extent cx="6116320" cy="4077335"/>
            <wp:effectExtent l="0" t="0" r="0" b="0"/>
            <wp:docPr id="13585459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16320" cy="4077335"/>
                    </a:xfrm>
                    <a:prstGeom prst="rect">
                      <a:avLst/>
                    </a:prstGeom>
                    <a:noFill/>
                    <a:ln>
                      <a:noFill/>
                    </a:ln>
                  </pic:spPr>
                </pic:pic>
              </a:graphicData>
            </a:graphic>
          </wp:inline>
        </w:drawing>
      </w:r>
      <w:r>
        <w:rPr>
          <w:noProof/>
        </w:rPr>
        <w:lastRenderedPageBreak/>
        <w:drawing>
          <wp:inline distT="0" distB="0" distL="0" distR="0" wp14:anchorId="3131DFE1" wp14:editId="61668152">
            <wp:extent cx="6116320" cy="3058160"/>
            <wp:effectExtent l="0" t="0" r="0" b="8890"/>
            <wp:docPr id="237577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16320" cy="3058160"/>
                    </a:xfrm>
                    <a:prstGeom prst="rect">
                      <a:avLst/>
                    </a:prstGeom>
                    <a:noFill/>
                    <a:ln>
                      <a:noFill/>
                    </a:ln>
                  </pic:spPr>
                </pic:pic>
              </a:graphicData>
            </a:graphic>
          </wp:inline>
        </w:drawing>
      </w:r>
    </w:p>
    <w:p w14:paraId="7D3E87A5" w14:textId="77777777" w:rsidR="00622F68" w:rsidRDefault="00622F68">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360" w:lineRule="auto"/>
        <w:jc w:val="both"/>
        <w:rPr>
          <w:rFonts w:asciiTheme="minorEastAsia" w:eastAsiaTheme="minorEastAsia" w:hAnsiTheme="minorEastAsia" w:hint="eastAsia"/>
        </w:rPr>
      </w:pPr>
    </w:p>
    <w:sectPr w:rsidR="00622F68">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1935E4" w14:textId="77777777" w:rsidR="004A58AE" w:rsidRDefault="004A58AE">
      <w:r>
        <w:separator/>
      </w:r>
    </w:p>
  </w:endnote>
  <w:endnote w:type="continuationSeparator" w:id="0">
    <w:p w14:paraId="3A5C44A9" w14:textId="77777777" w:rsidR="004A58AE" w:rsidRDefault="004A58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PingFang SC Regular">
    <w:altName w:val="Cambria"/>
    <w:charset w:val="00"/>
    <w:family w:val="roman"/>
    <w:pitch w:val="default"/>
  </w:font>
  <w:font w:name="Arial Unicode MS">
    <w:altName w:val="Arial"/>
    <w:panose1 w:val="020B0604020202020204"/>
    <w:charset w:val="00"/>
    <w:family w:val="roman"/>
    <w:pitch w:val="default"/>
  </w:font>
  <w:font w:name="Cambria Math">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PingFang SC Semibold">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3D76AA" w14:textId="77777777" w:rsidR="004A58AE" w:rsidRDefault="004A58AE">
      <w:r>
        <w:separator/>
      </w:r>
    </w:p>
  </w:footnote>
  <w:footnote w:type="continuationSeparator" w:id="0">
    <w:p w14:paraId="5A8DFA17" w14:textId="77777777" w:rsidR="004A58AE" w:rsidRDefault="004A58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isplayBackgroundShape/>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mer J Emerg Med&lt;/Style&gt;&lt;LeftDelim&gt;{&lt;/LeftDelim&gt;&lt;RightDelim&gt;}&lt;/RightDelim&gt;&lt;FontName&gt;PingFang SC Regular&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wfww92pwfxxehedev4xvdpm9drd5txwv2rt&quot;&gt;My EndNote Library&lt;record-ids&gt;&lt;item&gt;228&lt;/item&gt;&lt;item&gt;229&lt;/item&gt;&lt;item&gt;230&lt;/item&gt;&lt;item&gt;231&lt;/item&gt;&lt;/record-ids&gt;&lt;/item&gt;&lt;/Libraries&gt;"/>
  </w:docVars>
  <w:rsids>
    <w:rsidRoot w:val="00972F09"/>
    <w:rsid w:val="00003906"/>
    <w:rsid w:val="00031887"/>
    <w:rsid w:val="000431CD"/>
    <w:rsid w:val="00043580"/>
    <w:rsid w:val="000538F5"/>
    <w:rsid w:val="000A3EA4"/>
    <w:rsid w:val="000B00CC"/>
    <w:rsid w:val="000B110A"/>
    <w:rsid w:val="000D321D"/>
    <w:rsid w:val="000D703E"/>
    <w:rsid w:val="0012430A"/>
    <w:rsid w:val="001275EC"/>
    <w:rsid w:val="0014360F"/>
    <w:rsid w:val="001611DD"/>
    <w:rsid w:val="00177DE7"/>
    <w:rsid w:val="0018397A"/>
    <w:rsid w:val="001857AD"/>
    <w:rsid w:val="001D188B"/>
    <w:rsid w:val="001E57B2"/>
    <w:rsid w:val="00206CA4"/>
    <w:rsid w:val="00275CCB"/>
    <w:rsid w:val="002A77E0"/>
    <w:rsid w:val="002B70A9"/>
    <w:rsid w:val="00316D75"/>
    <w:rsid w:val="00337893"/>
    <w:rsid w:val="00342F47"/>
    <w:rsid w:val="00356B6C"/>
    <w:rsid w:val="0036279A"/>
    <w:rsid w:val="003825B1"/>
    <w:rsid w:val="003B0B16"/>
    <w:rsid w:val="003F1CAF"/>
    <w:rsid w:val="00423234"/>
    <w:rsid w:val="00442AD1"/>
    <w:rsid w:val="00470180"/>
    <w:rsid w:val="004A58AE"/>
    <w:rsid w:val="004D2FD6"/>
    <w:rsid w:val="004D79F8"/>
    <w:rsid w:val="004F73A6"/>
    <w:rsid w:val="00514EB2"/>
    <w:rsid w:val="00522DEE"/>
    <w:rsid w:val="0052745C"/>
    <w:rsid w:val="00545920"/>
    <w:rsid w:val="00552CBC"/>
    <w:rsid w:val="00567504"/>
    <w:rsid w:val="005919FB"/>
    <w:rsid w:val="005D502E"/>
    <w:rsid w:val="005E043A"/>
    <w:rsid w:val="00611E27"/>
    <w:rsid w:val="00622F68"/>
    <w:rsid w:val="00623BC1"/>
    <w:rsid w:val="006771D2"/>
    <w:rsid w:val="0068609D"/>
    <w:rsid w:val="0069390B"/>
    <w:rsid w:val="006B54A3"/>
    <w:rsid w:val="00761956"/>
    <w:rsid w:val="007623B3"/>
    <w:rsid w:val="00781ACC"/>
    <w:rsid w:val="007E6F6F"/>
    <w:rsid w:val="0083685B"/>
    <w:rsid w:val="0084704F"/>
    <w:rsid w:val="00854348"/>
    <w:rsid w:val="008A5964"/>
    <w:rsid w:val="008C472A"/>
    <w:rsid w:val="008D1FA4"/>
    <w:rsid w:val="008D7EEF"/>
    <w:rsid w:val="008F0A11"/>
    <w:rsid w:val="008F34A3"/>
    <w:rsid w:val="008F5AEA"/>
    <w:rsid w:val="00904550"/>
    <w:rsid w:val="0091165E"/>
    <w:rsid w:val="009166A9"/>
    <w:rsid w:val="00925F3A"/>
    <w:rsid w:val="009554D4"/>
    <w:rsid w:val="00972F09"/>
    <w:rsid w:val="00973F53"/>
    <w:rsid w:val="00991469"/>
    <w:rsid w:val="00995338"/>
    <w:rsid w:val="009A75C8"/>
    <w:rsid w:val="009C164F"/>
    <w:rsid w:val="00A256DD"/>
    <w:rsid w:val="00A348F8"/>
    <w:rsid w:val="00A568CA"/>
    <w:rsid w:val="00A8349B"/>
    <w:rsid w:val="00A85DBF"/>
    <w:rsid w:val="00A91D21"/>
    <w:rsid w:val="00A96465"/>
    <w:rsid w:val="00AB4FDF"/>
    <w:rsid w:val="00AF00D8"/>
    <w:rsid w:val="00B03EB2"/>
    <w:rsid w:val="00B20576"/>
    <w:rsid w:val="00B34668"/>
    <w:rsid w:val="00B649E7"/>
    <w:rsid w:val="00B91270"/>
    <w:rsid w:val="00BC7AE1"/>
    <w:rsid w:val="00BF1CE4"/>
    <w:rsid w:val="00C25E0D"/>
    <w:rsid w:val="00C606E3"/>
    <w:rsid w:val="00CA6A63"/>
    <w:rsid w:val="00CA742D"/>
    <w:rsid w:val="00CC04EC"/>
    <w:rsid w:val="00CF5ACE"/>
    <w:rsid w:val="00D04AD1"/>
    <w:rsid w:val="00D17C01"/>
    <w:rsid w:val="00D322BA"/>
    <w:rsid w:val="00D328B6"/>
    <w:rsid w:val="00D5235D"/>
    <w:rsid w:val="00D532FC"/>
    <w:rsid w:val="00D70200"/>
    <w:rsid w:val="00D71C0F"/>
    <w:rsid w:val="00DB711E"/>
    <w:rsid w:val="00DB72D6"/>
    <w:rsid w:val="00DD036A"/>
    <w:rsid w:val="00E339FA"/>
    <w:rsid w:val="00E440B0"/>
    <w:rsid w:val="00E86BDB"/>
    <w:rsid w:val="00EB3077"/>
    <w:rsid w:val="00EF626F"/>
    <w:rsid w:val="00F125DE"/>
    <w:rsid w:val="00F21616"/>
    <w:rsid w:val="00F37233"/>
    <w:rsid w:val="00F854A2"/>
    <w:rsid w:val="00FA4DAD"/>
    <w:rsid w:val="00FB204B"/>
    <w:rsid w:val="00FE46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9414C2"/>
  <w15:docId w15:val="{3159E6F7-6932-4FB5-AEDB-17C1680D6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PingFang SC Regular" w:eastAsia="Arial Unicode MS" w:hAnsi="PingFang SC Regular" w:cs="Arial Unicode MS"/>
      <w:color w:val="000000"/>
      <w:sz w:val="24"/>
      <w:szCs w:val="24"/>
      <w14:textOutline w14:w="0" w14:cap="flat" w14:cmpd="sng" w14:algn="ctr">
        <w14:noFill/>
        <w14:prstDash w14:val="solid"/>
        <w14:bevel/>
      </w14:textOutline>
    </w:rPr>
  </w:style>
  <w:style w:type="paragraph" w:customStyle="1" w:styleId="a5">
    <w:name w:val="默认"/>
    <w:link w:val="a6"/>
    <w:pPr>
      <w:spacing w:before="160" w:line="288" w:lineRule="auto"/>
    </w:pPr>
    <w:rPr>
      <w:rFonts w:ascii="PingFang SC Regular" w:eastAsia="Arial Unicode MS" w:hAnsi="PingFang SC Regular" w:cs="Arial Unicode MS"/>
      <w:color w:val="000000"/>
      <w:sz w:val="24"/>
      <w:szCs w:val="24"/>
      <w:u w:color="000000"/>
      <w14:textOutline w14:w="12700" w14:cap="flat" w14:cmpd="sng" w14:algn="ctr">
        <w14:noFill/>
        <w14:prstDash w14:val="solid"/>
        <w14:miter w14:lim="400000"/>
      </w14:textOutline>
    </w:rPr>
  </w:style>
  <w:style w:type="table" w:styleId="a7">
    <w:name w:val="Table Grid"/>
    <w:basedOn w:val="a1"/>
    <w:uiPriority w:val="39"/>
    <w:rsid w:val="00342F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Plain Table 2"/>
    <w:basedOn w:val="a1"/>
    <w:uiPriority w:val="42"/>
    <w:rsid w:val="00F854A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8">
    <w:name w:val="Unresolved Mention"/>
    <w:basedOn w:val="a0"/>
    <w:uiPriority w:val="99"/>
    <w:semiHidden/>
    <w:unhideWhenUsed/>
    <w:rsid w:val="003B0B16"/>
    <w:rPr>
      <w:color w:val="605E5C"/>
      <w:shd w:val="clear" w:color="auto" w:fill="E1DFDD"/>
    </w:rPr>
  </w:style>
  <w:style w:type="paragraph" w:styleId="a9">
    <w:name w:val="header"/>
    <w:basedOn w:val="a"/>
    <w:link w:val="aa"/>
    <w:uiPriority w:val="99"/>
    <w:unhideWhenUsed/>
    <w:rsid w:val="008A5964"/>
    <w:pPr>
      <w:tabs>
        <w:tab w:val="center" w:pos="4153"/>
        <w:tab w:val="right" w:pos="8306"/>
      </w:tabs>
      <w:snapToGrid w:val="0"/>
      <w:jc w:val="center"/>
    </w:pPr>
    <w:rPr>
      <w:sz w:val="18"/>
      <w:szCs w:val="18"/>
    </w:rPr>
  </w:style>
  <w:style w:type="character" w:customStyle="1" w:styleId="aa">
    <w:name w:val="页眉 字符"/>
    <w:basedOn w:val="a0"/>
    <w:link w:val="a9"/>
    <w:uiPriority w:val="99"/>
    <w:rsid w:val="008A5964"/>
    <w:rPr>
      <w:sz w:val="18"/>
      <w:szCs w:val="18"/>
      <w:lang w:eastAsia="en-US"/>
    </w:rPr>
  </w:style>
  <w:style w:type="paragraph" w:styleId="ab">
    <w:name w:val="footer"/>
    <w:basedOn w:val="a"/>
    <w:link w:val="ac"/>
    <w:uiPriority w:val="99"/>
    <w:unhideWhenUsed/>
    <w:rsid w:val="008A5964"/>
    <w:pPr>
      <w:tabs>
        <w:tab w:val="center" w:pos="4153"/>
        <w:tab w:val="right" w:pos="8306"/>
      </w:tabs>
      <w:snapToGrid w:val="0"/>
    </w:pPr>
    <w:rPr>
      <w:sz w:val="18"/>
      <w:szCs w:val="18"/>
    </w:rPr>
  </w:style>
  <w:style w:type="character" w:customStyle="1" w:styleId="ac">
    <w:name w:val="页脚 字符"/>
    <w:basedOn w:val="a0"/>
    <w:link w:val="ab"/>
    <w:uiPriority w:val="99"/>
    <w:rsid w:val="008A5964"/>
    <w:rPr>
      <w:sz w:val="18"/>
      <w:szCs w:val="18"/>
      <w:lang w:eastAsia="en-US"/>
    </w:rPr>
  </w:style>
  <w:style w:type="paragraph" w:customStyle="1" w:styleId="EndNoteBibliographyTitle">
    <w:name w:val="EndNote Bibliography Title"/>
    <w:basedOn w:val="a"/>
    <w:link w:val="EndNoteBibliographyTitle0"/>
    <w:rsid w:val="000B00CC"/>
    <w:pPr>
      <w:jc w:val="center"/>
    </w:pPr>
    <w:rPr>
      <w:rFonts w:ascii="PingFang SC Regular" w:hAnsi="PingFang SC Regular"/>
      <w:noProof/>
    </w:rPr>
  </w:style>
  <w:style w:type="character" w:customStyle="1" w:styleId="a6">
    <w:name w:val="默认 字符"/>
    <w:basedOn w:val="a0"/>
    <w:link w:val="a5"/>
    <w:rsid w:val="000B00CC"/>
    <w:rPr>
      <w:rFonts w:ascii="PingFang SC Regular" w:eastAsia="Arial Unicode MS" w:hAnsi="PingFang SC Regular" w:cs="Arial Unicode MS"/>
      <w:color w:val="000000"/>
      <w:sz w:val="24"/>
      <w:szCs w:val="24"/>
      <w:u w:color="000000"/>
      <w14:textOutline w14:w="12700" w14:cap="flat" w14:cmpd="sng" w14:algn="ctr">
        <w14:noFill/>
        <w14:prstDash w14:val="solid"/>
        <w14:miter w14:lim="400000"/>
      </w14:textOutline>
    </w:rPr>
  </w:style>
  <w:style w:type="character" w:customStyle="1" w:styleId="EndNoteBibliographyTitle0">
    <w:name w:val="EndNote Bibliography Title 字符"/>
    <w:basedOn w:val="a6"/>
    <w:link w:val="EndNoteBibliographyTitle"/>
    <w:rsid w:val="000B00CC"/>
    <w:rPr>
      <w:rFonts w:ascii="PingFang SC Regular" w:eastAsia="Arial Unicode MS" w:hAnsi="PingFang SC Regular" w:cs="Arial Unicode MS"/>
      <w:noProof/>
      <w:color w:val="000000"/>
      <w:sz w:val="24"/>
      <w:szCs w:val="24"/>
      <w:u w:color="000000"/>
      <w:lang w:eastAsia="en-US"/>
      <w14:textOutline w14:w="12700" w14:cap="flat" w14:cmpd="sng" w14:algn="ctr">
        <w14:noFill/>
        <w14:prstDash w14:val="solid"/>
        <w14:miter w14:lim="400000"/>
      </w14:textOutline>
    </w:rPr>
  </w:style>
  <w:style w:type="paragraph" w:customStyle="1" w:styleId="EndNoteBibliography">
    <w:name w:val="EndNote Bibliography"/>
    <w:basedOn w:val="a"/>
    <w:link w:val="EndNoteBibliography0"/>
    <w:rsid w:val="000B00CC"/>
    <w:pPr>
      <w:jc w:val="both"/>
    </w:pPr>
    <w:rPr>
      <w:rFonts w:ascii="PingFang SC Regular" w:hAnsi="PingFang SC Regular"/>
      <w:noProof/>
    </w:rPr>
  </w:style>
  <w:style w:type="character" w:customStyle="1" w:styleId="EndNoteBibliography0">
    <w:name w:val="EndNote Bibliography 字符"/>
    <w:basedOn w:val="a6"/>
    <w:link w:val="EndNoteBibliography"/>
    <w:rsid w:val="000B00CC"/>
    <w:rPr>
      <w:rFonts w:ascii="PingFang SC Regular" w:eastAsia="Arial Unicode MS" w:hAnsi="PingFang SC Regular" w:cs="Arial Unicode MS"/>
      <w:noProof/>
      <w:color w:val="000000"/>
      <w:sz w:val="24"/>
      <w:szCs w:val="24"/>
      <w:u w:color="000000"/>
      <w:lang w:eastAsia="en-US"/>
      <w14:textOutline w14:w="12700" w14:cap="flat" w14:cmpd="sng" w14:algn="ctr">
        <w14:noFill/>
        <w14:prstDash w14:val="solid"/>
        <w14:miter w14:lim="400000"/>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PingFang SC Semibold"/>
        <a:ea typeface="黑体"/>
        <a:cs typeface="PingFang SC Semibold"/>
      </a:majorFont>
      <a:minorFont>
        <a:latin typeface="PingFang SC Regular"/>
        <a:ea typeface="宋体"/>
        <a:cs typeface="PingFang SC Regula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PingFang SC Regular"/>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PingFang SC Regular"/>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1919</TotalTime>
  <Pages>10</Pages>
  <Words>2311</Words>
  <Characters>5408</Characters>
  <Application>Microsoft Office Word</Application>
  <DocSecurity>0</DocSecurity>
  <Lines>257</Lines>
  <Paragraphs>96</Paragraphs>
  <ScaleCrop>false</ScaleCrop>
  <Company/>
  <LinksUpToDate>false</LinksUpToDate>
  <CharactersWithSpaces>7623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Yoruichi</dc:creator>
  <cp:keywords/>
  <dc:description/>
  <cp:lastModifiedBy>yz peng</cp:lastModifiedBy>
  <cp:revision>65</cp:revision>
  <cp:lastPrinted>2025-08-08T13:43:00Z</cp:lastPrinted>
  <dcterms:created xsi:type="dcterms:W3CDTF">2025-08-07T08:45:00Z</dcterms:created>
  <dcterms:modified xsi:type="dcterms:W3CDTF">2025-08-23T14:52:00Z</dcterms:modified>
</cp:coreProperties>
</file>