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BAETE Criterion 10 - Documents to Create (Index)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Read first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These are official-format, ready-to-use documents for the evidence that is missing. They are NOT records of past events. Each one becomes evidence only when it is actually used: filled with what really happened, signed and dated on that day, and then annexed.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Never back-date, never re-sign or edit an old record, never paste stored signature images. Correct errors in old records with a dated corrigendum (10.2-02).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Where a past activity really happened but was not documented, collect the genuine originals (e-mails, registration lists, platform logs, result sheets). If they do not exist, disclose the gap in the SAR with a dated action 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Yellow </w:t>
      </w:r>
      <w:r>
        <w:rPr>
          <w:rFonts w:ascii="Times New Roman" w:cs="Times New Roman" w:eastAsia="Times New Roman" w:hAnsi="Times New Roman"/>
          <w:highlight w:val="yellow"/>
        </w:rPr>
        <w:t xml:space="preserve">[brackets]</w:t>
      </w:r>
      <w:r>
        <w:rPr>
          <w:rFonts w:ascii="Times New Roman" w:cs="Times New Roman" w:eastAsia="Times New Roman" w:hAnsi="Times New Roman"/>
        </w:rPr>
        <w:t xml:space="preserve"> are blanks to fill or confirm; remove the highlight when filled. If DIU or the Faculty already has an official form for the same purpose (e.g. a central internship or capstone form), use that form and keep its number.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</w:rPr>
        <w:t xml:space="preserve">Suggested order: (1) 00-05 and 10.2-01 requests for official records; (2) 10.1-01 memorandum and ToR, 00-04 approvals; (3) 10.1-03 to 10.1-05 first IAP meeting with a curriculum review (10.3-02); (4) surveys 10.3-01 and 10.2-05; (5) registers 10.4.2-06 and 10.4.3-05; (6) SAR text 00-02.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Documents</w:t>
      </w:r>
    </w:p>
    <w:tbl>
      <w:tblPr>
        <w:tblW w:type="dxa" w:w="14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3"/>
        <w:gridCol w:w="2704"/>
        <w:gridCol w:w="3659"/>
        <w:gridCol w:w="1909"/>
        <w:gridCol w:w="1431"/>
        <w:gridCol w:w="2072"/>
      </w:tblGrid>
      <w:tr>
        <w:trPr>
          <w:cantSplit/>
          <w:tblHeader/>
        </w:trPr>
        <w:tc>
          <w:tcPr>
            <w:tcW w:type="dxa" w:w="2863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File</w:t>
            </w:r>
          </w:p>
        </w:tc>
        <w:tc>
          <w:tcPr>
            <w:tcW w:type="dxa" w:w="2704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Purpose</w:t>
            </w:r>
          </w:p>
        </w:tc>
        <w:tc>
          <w:tcPr>
            <w:tcW w:type="dxa" w:w="3659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How to use</w:t>
            </w:r>
          </w:p>
        </w:tc>
        <w:tc>
          <w:tcPr>
            <w:tcW w:type="dxa" w:w="1909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Who fills / signs</w:t>
            </w:r>
          </w:p>
        </w:tc>
        <w:tc>
          <w:tcPr>
            <w:tcW w:type="dxa" w:w="1431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When</w:t>
            </w:r>
          </w:p>
        </w:tc>
        <w:tc>
          <w:tcPr>
            <w:tcW w:type="dxa" w:w="2072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Closes (gap / IQAC point)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00_General\00-02_SAR_Criterion10_Narrative_Skeleton.docx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Structure for the Criterion 10 SAR text: policy, practice, improvement, data, challenges, gaps (Manual 7.2).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For every section write three short parts (Manual 7.2): (a) the policy/process, (b) how it is practised, with numbers and real examples, (c) how it is improved. Add the challenges you faced.</w:t>
            </w:r>
          </w:p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Cite every claim as </w:t>
            </w:r>
            <w:r>
              <w:rPr>
                <w:rFonts w:ascii="Times New Roman" w:cs="Times New Roman" w:eastAsia="Times New Roman" w:hAnsi="Times New Roman"/>
                <w:sz w:val="16"/>
                <w:szCs w:val="16"/>
                <w:highlight w:val="yellow"/>
              </w:rPr>
              <w:t xml:space="preserve">[Annex ID, page]</w:t>
            </w: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. Use only facts that the annexes prove.</w:t>
            </w:r>
          </w:p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Where something is missing, say so plainly and give the dated action plan. BAETE asks the SAR to identify deviations proactively (Manual 7.2 point 3).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C10 Lead drafts; Head approves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Before submission to IQAC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IQAC overall observation; all sections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00_General\00-03_Table_of_Annexures_C10.docx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Index of Criterion 10 annexes with page numbers (Manual 7.4: all pages consecutively numbered).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List each annex once, in SAR order. Fill page numbers only after the final annex volume is numbered.</w:t>
            </w:r>
          </w:p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Remove from the annex: mehedi_testCase.xlsx (contains a password), both.eps (logo file), the link-only Word file - see the file audit.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C10 Lead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After the annex volume is assembled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IQAC 10.1 'properly indexed annexures'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00_General\00-04_Department_Committee_Approval_Minutes.docx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Minutes to approve the IAP ToR, rubrics (training, capstone, visits), guidelines and revised forms.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Use for the meeting that approves the new documents in this folder. Attach the approved versions to the minutes.</w:t>
            </w:r>
          </w:p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Use the attendance sheet of the meeting itself (wet-ink signatures).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Head chairs; Coordination Officer records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At the next department meeting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IQAC 10.4.1 rubric approval; 10.1 ToR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00_General\00-05_Request_to_Registrar_for_Official_Records.docx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Obtain copies of official documents that the annex needs but the department does not hold.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Tick only the items you actually need; add the reference numbers you know.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Head signs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Now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ETE-ICE history; AA approval; rubric memo; calendars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10.1_Industrial_Advisory_Panel\10.1-01_IAP_Office_Memorandum_and_Terms_of_Reference.docx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Formally notifies the VC-approved panel and its terms of reference.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Issue with today's date. It refers to the existing VC approval of 23/07/2025; it does not replace or back-date it.</w:t>
            </w:r>
          </w:p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Confirm each member's current designation and consent (form 10.1-02) before issuing. Add or remove members only with approval.</w:t>
            </w:r>
          </w:p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Items marked </w:t>
            </w:r>
            <w:r>
              <w:rPr>
                <w:rFonts w:ascii="Times New Roman" w:cs="Times New Roman" w:eastAsia="Times New Roman" w:hAnsi="Times New Roman"/>
                <w:sz w:val="16"/>
                <w:szCs w:val="16"/>
                <w:highlight w:val="yellow"/>
              </w:rPr>
              <w:t xml:space="preserve">[proposed]</w:t>
            </w: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 are suggestions for the Head to decide.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Issued by </w:t>
            </w:r>
            <w:r>
              <w:rPr>
                <w:rFonts w:ascii="Times New Roman" w:cs="Times New Roman" w:eastAsia="Times New Roman" w:hAnsi="Times New Roman"/>
                <w:sz w:val="16"/>
                <w:szCs w:val="16"/>
                <w:highlight w:val="yellow"/>
              </w:rPr>
              <w:t xml:space="preserve">[Registrar or Head - per DIU practice]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Now (dated on the day of issue)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IQAC 10.1 'Memorandum'; ToR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10.1_Industrial_Advisory_Panel\10.1-02_IAP_Member_Consent_and_Profile_Form.docx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Collects each member's designation, professional qualifications and consent (template 10.1).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Send one copy to each member. Use the details exactly as the member gives them in the SAR.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Each IAP member fills and signs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Before or at the first meeting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Template 10.1 qualifications; designation consistency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10.1_Industrial_Advisory_Panel\10.1-03_IAP_Meeting_Notice.docx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Notice of each IAP meeting (template 10.1 asks for copies of notices).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One notice per meeting, numbered in sequence (1st, 2nd, ...). The first genuine meeting is the 1st meeting.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Member-Secretary issues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At least 7 days before each meeting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IQAC 10.1 meeting notices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10.1_Industrial_Advisory_Panel\10.1-04_IAP_Meeting_Attendance_Sheet.docx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Attendee list of each IAP meeting (template 10.1).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In-person attendees sign in ink. For online attendees write the joining time and attach the meeting platform's attendance export or a dated screenshot. Never insert or copy signature images.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Each attendee signs in person; Member-Secretary certifies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At each meeting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IQAC 10.1 attendance records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10.1_Industrial_Advisory_Panel\10.1-05_IAP_Meeting_Minutes.docx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Records recommendations and the department's response for each IAP meeting.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Names under 'Present' must match the signed attendance sheet (or the online attendance export).</w:t>
            </w:r>
          </w:p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Write recommendations in the members' own words where possible and record who made them.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Member-Secretary prepares; Chair approves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Within 7 days of each meeting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IQAC 10.1 minutes; 10.3 industry participation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10.1_Industrial_Advisory_Panel\10.1-06_IAP_Action_Taken_Report.docx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Closes the loop: what happened to each IAP recommendation (improvement mechanism, Manual 7.2).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One row per recommendation from the minutes. 'Not accepted' is a valid status - give the reason.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Member-Secretary prepares; Head signs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Before each IAP meeting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10.1 'what happened next'; 10.3 chain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10.2_Alumni_Association\10.2-01_Request_for_ICE_Alumni_Election_Result_and_Recognition.docx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Obtains the official approval/affiliation document for the ICE alumni committee.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Send to the DIU Alumni Association Election Commission (or the office named by the Registrar).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Head signs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Now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IQAC 10.2 'no official approval'; 'without verified institutional affiliation'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10.2_Alumni_Association\10.2-02_Corrigendum_for_Alumni_Records.docx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Honest, dated correction of errors in the 2026 alumni notices/minutes without altering the originals.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The 'Original text' column is copied from the existing documents. Fill 'Corrected text' only with what is true, and confirm it with the people concerned.</w:t>
            </w:r>
          </w:p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Keep the original documents unchanged; file this corrigendum with them.</w:t>
            </w:r>
          </w:p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Describe truthfully how attendance was recorded at each meeting (e.g. stored signature images were placed on the sheet). Do not sign the old sheets now.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General Secretary prepares; President and Head sign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Now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IQAC 10.2 records; integrity findings on alumni records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10.2_Alumni_Association\10.2-03_Alumni_Meeting_Attendance_Sheet.docx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Genuine attendance record for alumni association meetings (wet ink or online log).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In person: each member signs in ink on the day. Online: record joining time and attach the platform attendance export. Never paste stored signature images.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Attendees sign; General Secretary certifies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At each meeting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IQAC 10.2 'digital signatures'; systematic records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10.2_Alumni_Association\10.2-04_Alumni_Department_Feedback_Meeting_Notice_and_Minutes.docx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Alumni give feedback to the department on PEOs and the curriculum (Manual 4.10(ii); C9.3.1).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Part A is the notice; Part B the minutes. Use attendance sheet 10.2-03.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Head and AA President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Once per semester </w:t>
            </w:r>
            <w:r>
              <w:rPr>
                <w:rFonts w:ascii="Times New Roman" w:cs="Times New Roman" w:eastAsia="Times New Roman" w:hAnsi="Times New Roman"/>
                <w:sz w:val="16"/>
                <w:szCs w:val="16"/>
                <w:highlight w:val="yellow"/>
              </w:rPr>
              <w:t xml:space="preserve">[proposed]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10.2 operating process; 9.3.1 alumni feedback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10.2_Alumni_Association\10.2-05_Alumni_Survey_Form.docx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Alumni feedback on PEO/PO achievement and curriculum (also SAR 9.3.1).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Copy the PEO statements exactly from SAR 7.2. Keep all raw responses (paper or online export) and write a short analysis.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Alumni respond; C10 Lead analyses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Once per year </w:t>
            </w:r>
            <w:r>
              <w:rPr>
                <w:rFonts w:ascii="Times New Roman" w:cs="Times New Roman" w:eastAsia="Times New Roman" w:hAnsi="Times New Roman"/>
                <w:sz w:val="16"/>
                <w:szCs w:val="16"/>
                <w:highlight w:val="yellow"/>
              </w:rPr>
              <w:t xml:space="preserve">[proposed]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10.2 feedback; 9.3.1; 10.3 inputs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10.2_Alumni_Association\10.2-06_Alumni_Membership_Register.xlsx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Membership register (template 10.2 'membership').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Fill only from real membership records (DIUAA portal, forms, receipts).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General Secretary / Alumni focal faculty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Ongoing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Template 10.2 membership information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10.3_Industry_in_Curriculum\10.3-01_Employer_Industry_Feedback_Survey.docx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Industry feedback on graduates and curriculum (Manual 4.10 preamble; SAR 9.3.2).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Send to employers of ICE graduates and to IAP members. Keep every raw response (paper or online export) and a short analysis with the number of responses.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Employers respond; C10 Lead analyses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Once per year </w:t>
            </w:r>
            <w:r>
              <w:rPr>
                <w:rFonts w:ascii="Times New Roman" w:cs="Times New Roman" w:eastAsia="Times New Roman" w:hAnsi="Times New Roman"/>
                <w:sz w:val="16"/>
                <w:szCs w:val="16"/>
                <w:highlight w:val="yellow"/>
              </w:rPr>
              <w:t xml:space="preserve">[proposed]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IQAC 10.3 industry participation; 9.3.2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10.3_Industry_in_Curriculum\10.3-02_Curriculum_Review_Form_for_Industry_Experts.docx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Course-by-course written comments from IAP/industry experts on the curriculum.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Attach the current approved syllabus and state its version. Take the completed forms to the Syllabus Modification Committee and record the decisions in 10.3-03.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IAP member / industry expert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At each curriculum review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IQAC 10.3 'participation of industry experts in curriculum review'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10.3_Industry_in_Curriculum\10.3-03_Curriculum_Change_Trace_Record.docx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Shows the full chain for each industry-driven change: input -&gt; minutes -&gt; decision -&gt; approval -&gt; syllabus version -&gt; review.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One row per change. Every column must point to a real document (Annex ID and page). Leave a column blank until that step has really happened.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Syllabus Modification Committee convener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Updated after each review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IQAC 10.3; Manual 4.10(i)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10.3_Industry_in_Curriculum\10.3-04_MoU_Addendum.docx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Records validity, signatories and agreed activities for an existing MoU (e.g. undated Daffodil Online MoU; Atova renewal).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Each party dates its own signature on the day it signs. The addendum does not change the date of the original MoU.</w:t>
            </w:r>
          </w:p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Use for: the Daffodil Online MoU (date line blank, signatory unnamed); renewal of the Atova MoU (dated 25/08/2021, check expiry).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Head and company's authorised signatory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Now, dated on signing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IQAC 10.3 'role of MoU-based collaboration'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10.3_Industry_in_Curriculum\10.3-05_MoU_Activity_Log.docx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Shows what each MoU actually delivered.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Add a row only for activities that took place, with evidence.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Industrial Convener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After each activity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IQAC 10.3 MoU role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10.4.1_Internship_Industrial_Training\10.4.1-01_Industrial_Training_Internship_Guideline_DRAFT.docx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States requirement, nature, duration, supervision and assessment (template 10.4.1).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Copy course codes, titles, credits and duration exactly from the approved curriculum. Do not change them here.</w:t>
            </w:r>
          </w:p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Note: IQAC's '4-8 weeks / 8-12 weeks' is IQAC's benchmark, not a BAETE Manual v2.1 rule; state the duration the approved curriculum sets.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Industrial Convener drafts; department approves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Approve at the next department meeting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IQAC 10.4.1 duration; rubric approval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10.4.1_Internship_Industrial_Training\10.4.1-02_Industrial_Training_Rubric_CO-PO_DRAFT.docx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Existing 50-mark rubric with level descriptors and proposed CO/PO mapping, for approval.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Criteria and marks are taken from the existing rubric (A10.4.1-01, total 50). The PO mapping is a PROPOSAL; fill the CO column from the approved course outline.</w:t>
            </w:r>
          </w:p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Attendance is a condition of eligibility rather than a learning outcome. Consider moving its 10 marks to outcome-based criteria before approval.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Industrial Convener drafts; department approves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Approve before the next offering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IQAC 10.4.1 rubric approval; outcome assessment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10.4.1_Internship_Industrial_Training\10.4.1-03_Host_Organisation_Supervisor_Evaluation_Form.docx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Industry supervisor's assessment of each trainee (direct evidence from industry).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The host fills this in, then signs, stamps and dates it. Keep the original; do not complete it on the host's behalf.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Host supervisor fills, signs and stamps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At the end of each placement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10.4.1 performance assessment; Manual 4.10(iii)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10.4.1_Internship_Industrial_Training\10.4.1-04_Placement_Request_Letter.docx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Department's request for placements and the host's acceptance (placement evidence).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Attach the list of students (name, ID). File the returned acceptance slip with this letter.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Head signs; host returns the acceptance slip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Before each placement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10.4.1 supporting documents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10.4.2_Final_Year_Design_Project\10.4.2-01_Final_Year_Project_Proposal_Form_ICE.docx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Same layout as the department's existing proposal form (Capstone Project/Thesis/Internship Proposal Form), with industry partner, co-supervisor and complex-problem fields added; no ETE headings.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Program: B.Sc. in Information and Communication Engineering. Use for new proposals only; do not refill or re-sign old forms.</w:t>
            </w:r>
          </w:p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Keep the existing serial-number system (e.g. SP25001).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Students fill; supervisor, committee and Head sign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From the next semester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IQAC 10.4.2 topic selection / supervision; ETE leftovers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10.4.2_Final_Year_Design_Project\10.4.2-02_Industry_Topic_Proposal_Form.docx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Evidence that a company proposed a project topic.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Filled and signed by the company. File with the student group's proposal form.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Company representative signs and stamps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Before topic allocation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IQAC 10.4.2 'project topic selection'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10.4.2_Final_Year_Design_Project\10.4.2-03_Industry_Co-Supervisor_Appointment_Letter.docx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Formal appointment, consent and meeting log for industry co-supervision.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Keep the signed consent and the meeting log with the project file.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Head signs; co-supervisor accepts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At project start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IQAC 10.4.2 'supervision of project activities'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10.4.2_Final_Year_Design_Project\10.4.2-04_Capstone_Rubric_Full_CO-PO_DRAFT.docx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Completes the existing 30/30/40 split with rubrics for the report and defence, a proposed PO mapping and an industry examiner role.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Part A keeps the existing supervisor rubric (A10.4.2-01: Teamwork 10, Communication 10, Time Management 10). Parts B and C, and all PO mappings, are PROPOSALS to approve or edit.</w:t>
            </w:r>
          </w:p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Where the board includes an industry examiner, that examiner scores Part C on the evaluation sheet 10.4.2-05.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Capstone Coordinator drafts; department approves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Approve before the next defence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IQAC 10.4.2 'project assessment'; capstone rubric gaps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10.4.2_Final_Year_Design_Project\10.4.2-05_Defence_Evaluation_Sheet.docx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Dated, signed board record with examiner names, roles and marks (replaces undated, unsigned sheets).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Write examiner names and roles in full. Each examiner signs and dates on the day. Students sign their own attendance.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Each board member signs; coordinator files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At each pre-defence/defence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IQAC 10.4.2 assessment; integrity findings on pre-defence sheets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10.4.2_Final_Year_Design_Project\10.4.2-06_Project_List_Spring2023-Fall2025.xlsx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Semester-wise list of final-year projects in SAR 6.3 format, with industry involvement.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Two rows are pre-filled from the reports in the annex folder; fill the rest from registration and result records.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Capstone Coordinator (from registration records)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Now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SAR 6.3; 10.4.2 numbers per semester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10.4.3_Industry_Visits\10.4.3-01_Visit_Permission_Request_Letter.docx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Request with learning objectives and named faculty in charge.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File the company's reply with this letter. Every visit in the visit register needs a letter and a reply.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Head signs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At least 2 weeks before each visit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IQAC 10.4.3 faculty involvement; visit letters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10.4.3_Industry_Visits\10.4.3-02_Visit_Notice_and_Attendance.docx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Notice to students plus a departure/return attendance sheet.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Students sign in ink at departure and return.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Faculty in charge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Before and on the visit day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10.4.3 nature of visits; supporting documents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10.4.3_Industry_Visits\10.4.3-03_Faculty_Visit_Report.docx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Faculty-signed record of each visit (planning, supervision, documentation).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Attach the permission letter, the company's reply, the attendance sheet and the photo file names.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Faculty in charge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Within 7 days of the visit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IQAC 10.4.3 'limited involvement of the faculty'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10.4.3_Industry_Visits\10.4.3-04_Student_Visit_Report_and_Assessment_Rubric.docx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Report template plus a marked rubric mapped to POs (how learning is assessed).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Students write sections 1-6. Faculty fill in the assessment box. The PO mapping is a PROPOSAL for department approval.</w:t>
            </w:r>
          </w:p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Do not attach unrelated certificates (e.g. online-course certificates) to visit reports.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Student writes; faculty marks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After each visit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IQAC 10.4.3 'how student learning and outcome achievement ... are assessed'</w:t>
            </w:r>
          </w:p>
        </w:tc>
      </w:tr>
      <w:tr>
        <w:trPr>
          <w:cantSplit/>
          <w:tblHeader w:val="off"/>
        </w:trPr>
        <w:tc>
          <w:tcPr>
            <w:tcW w:type="dxa" w:w="286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10.4.3_Industry_Visits\10.4.3-05_Industry_Visit_Register_Spring2023-Fall2025.xlsx</w:t>
            </w:r>
          </w:p>
        </w:tc>
        <w:tc>
          <w:tcPr>
            <w:tcW w:type="dxa" w:w="2704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Register of every industry visit with its letter, attendance, faculty report and assessment.</w:t>
            </w:r>
          </w:p>
        </w:tc>
        <w:tc>
          <w:tcPr>
            <w:tcW w:type="dxa" w:w="365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- Four rows are pre-filled from the annex folder; confirm 'Took place?' from real records.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Industrial Visit Coordinator (from real records)</w:t>
            </w:r>
          </w:p>
        </w:tc>
        <w:tc>
          <w:tcPr>
            <w:tcW w:type="dxa" w:w="1431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Now, then after each visit</w:t>
            </w:r>
          </w:p>
        </w:tc>
        <w:tc>
          <w:tcPr>
            <w:tcW w:type="dxa" w:w="2072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10.4.3 nature of visits; faculty involvement</w:t>
            </w:r>
          </w:p>
        </w:tc>
      </w:tr>
    </w:tbl>
    <w:sectPr>
      <w:headerReference w:type="default" r:id="rId6"/>
      <w:headerReference w:type="first" r:id="rId7"/>
      <w:footerReference w:type="default" r:id="rId8"/>
      <w:footerReference w:type="first" r:id="rId9"/>
      <w:pgSz w:w="16838" w:h="11906" w:orient="landscape"/>
      <w:pgMar w:top="1450" w:right="1100" w:bottom="1100" w:left="1100" w:header="420" w:footer="400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F7F7F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F7F7F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drawing>
        <wp:inline distT="0" distB="0" distL="0" distR="0">
          <wp:extent cx="495300" cy="495300"/>
          <wp:effectExtent t="0" r="0" b="0" l="0"/>
          <wp:docPr id="68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95300" cy="4953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20"/>
      <w:jc w:val="center"/>
    </w:pPr>
    <w:r>
      <w:drawing>
        <wp:inline distT="0" distB="0" distL="0" distR="0">
          <wp:extent cx="628650" cy="619125"/>
          <wp:effectExtent t="0" r="0" b="0" l="0"/>
          <wp:docPr id="67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8650" cy="6191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after="0" w:line="240"/>
      <w:jc w:val="center"/>
    </w:pPr>
    <w:r>
      <w:rPr>
        <w:rFonts w:ascii="Times New Roman" w:cs="Times New Roman" w:eastAsia="Times New Roman" w:hAnsi="Times New Roman"/>
        <w:b/>
        <w:bCs/>
        <w:sz w:val="40"/>
        <w:szCs w:val="40"/>
      </w:rPr>
      <w:t xml:space="preserve">Daffodil International University</w:t>
    </w:r>
  </w:p>
  <w:p>
    <w:pPr>
      <w:spacing w:after="0" w:line="240"/>
      <w:jc w:val="center"/>
    </w:pPr>
    <w:r>
      <w:rPr>
        <w:rFonts w:ascii="Times New Roman" w:cs="Times New Roman" w:eastAsia="Times New Roman" w:hAnsi="Times New Roman"/>
        <w:b/>
        <w:bCs/>
        <w:sz w:val="27"/>
        <w:szCs w:val="27"/>
      </w:rPr>
      <w:t xml:space="preserve">Faculty of Engineering</w:t>
    </w:r>
  </w:p>
  <w:p>
    <w:pPr>
      <w:spacing w:after="0" w:line="240"/>
      <w:jc w:val="center"/>
    </w:pPr>
    <w:r>
      <w:rPr>
        <w:rFonts w:ascii="Times New Roman" w:cs="Times New Roman" w:eastAsia="Times New Roman" w:hAnsi="Times New Roman"/>
        <w:b/>
        <w:bCs/>
        <w:sz w:val="27"/>
        <w:szCs w:val="27"/>
      </w:rPr>
      <w:t xml:space="preserve">Department of Information and Communication Engineering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3"/>
        <w:szCs w:val="23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00" w:before="220"/>
      <w:outlineLvl w:val="0"/>
    </w:pPr>
    <w:rPr>
      <w:rFonts w:ascii="Times New Roman" w:cs="Times New Roman" w:eastAsia="Times New Roman" w:hAnsi="Times New Roman"/>
      <w:b/>
      <w:bCs/>
      <w:color w:val="1F3864"/>
      <w:sz w:val="25"/>
      <w:szCs w:val="25"/>
    </w:rPr>
  </w:style>
  <w:style w:type="paragraph" w:styleId="Heading2">
    <w:name w:val="Heading 2"/>
    <w:basedOn w:val="Normal"/>
    <w:next w:val="Normal"/>
    <w:qFormat/>
    <w:pPr>
      <w:keepNext/>
      <w:spacing w:after="80" w:before="160"/>
      <w:outlineLvl w:val="1"/>
    </w:pPr>
    <w:rPr>
      <w:rFonts w:ascii="Times New Roman" w:cs="Times New Roman" w:eastAsia="Times New Roman" w:hAnsi="Times New Roman"/>
      <w:b/>
      <w:bCs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fa9cee192ad8ea879a72df295ecf9a1e2ab106a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d93ed29da1cce15608dc7bf15d6cba688ea913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Index of Criterion 10 documents</dc:title>
  <dc:creator>Department of ICE, Daffodil International University</dc:creator>
  <dc:description>BAETE Criterion 10 document (template)</dc:description>
  <cp:lastModifiedBy>Un-named</cp:lastModifiedBy>
  <cp:revision>1</cp:revision>
  <dcterms:created xsi:type="dcterms:W3CDTF">2026-10-11T19:12:46.607Z</dcterms:created>
  <dcterms:modified xsi:type="dcterms:W3CDTF">2026-10-11T19:12:46.607Z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