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Self-Assessment Report - Criterion 10: Interactions with the Industry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</w:rPr>
        <w:t xml:space="preserve">Program: B.Sc. in Information and Communication Engineering   |   Period covered: Spring 2023 - Fall 2025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Summary against the Chapter-4 sub-criteria (Manual 4.10)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2426"/>
        <w:gridCol w:w="4045"/>
      </w:tblGrid>
      <w:tr>
        <w:trPr>
          <w:cantSplit/>
          <w:tblHeader/>
        </w:trPr>
        <w:tc>
          <w:tcPr>
            <w:tcW w:type="dxa" w:w="32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Sub-criterion (Manual 4.10)</w:t>
            </w:r>
          </w:p>
        </w:tc>
        <w:tc>
          <w:tcPr>
            <w:tcW w:type="dxa" w:w="242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SAR sections</w:t>
            </w:r>
          </w:p>
        </w:tc>
        <w:tc>
          <w:tcPr>
            <w:tcW w:type="dxa" w:w="404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Main annexes</w:t>
            </w:r>
          </w:p>
        </w:tc>
      </w:tr>
      <w:tr>
        <w:trPr>
          <w:cantSplit/>
          <w:tblHeader w:val="off"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(i) Industry must take part in developing the curriculum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10.3 (and 7.3, 9.3, 9.4)</w:t>
            </w:r>
          </w:p>
        </w:tc>
        <w:tc>
          <w:tcPr>
            <w:tcW w:type="dxa" w:w="4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[Annex IDs]</w:t>
            </w:r>
          </w:p>
        </w:tc>
      </w:tr>
      <w:tr>
        <w:trPr>
          <w:cantSplit/>
          <w:tblHeader w:val="off"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(ii) Program should have an IAP and an Alumni Association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10.1, 10.2</w:t>
            </w:r>
          </w:p>
        </w:tc>
        <w:tc>
          <w:tcPr>
            <w:tcW w:type="dxa" w:w="4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[Annex IDs]</w:t>
            </w:r>
          </w:p>
        </w:tc>
      </w:tr>
      <w:tr>
        <w:trPr>
          <w:cantSplit/>
          <w:tblHeader w:val="off"/>
        </w:trPr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(iii) Students must have the opportunity to gain industrial experience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10.4.1, 10.4.2, 10.4.3</w:t>
            </w:r>
          </w:p>
        </w:tc>
        <w:tc>
          <w:tcPr>
            <w:tcW w:type="dxa" w:w="404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[Annex IDs]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10.1 Industrial advisory panel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Policy / process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The Department's Industry Advisory Panel (IAP) works under the terms of reference issued by Office Memorandum </w:t>
      </w:r>
      <w:r>
        <w:rPr>
          <w:rFonts w:ascii="Times New Roman" w:cs="Times New Roman" w:eastAsia="Times New Roman" w:hAnsi="Times New Roman"/>
          <w:highlight w:val="yellow"/>
        </w:rPr>
        <w:t xml:space="preserve">[No.]</w:t>
      </w:r>
      <w:r>
        <w:rPr>
          <w:rFonts w:ascii="Times New Roman" w:cs="Times New Roman" w:eastAsia="Times New Roman" w:hAnsi="Times New Roman"/>
        </w:rPr>
        <w:t xml:space="preserve"> dated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ID, page]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Establishment (facts from the annexes)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IAP constituted by departmental decision on 05/02/2023 </w:t>
      </w:r>
      <w:r>
        <w:rPr>
          <w:rFonts w:ascii="Times New Roman" w:cs="Times New Roman" w:eastAsia="Times New Roman" w:hAnsi="Times New Roman"/>
          <w:highlight w:val="yellow"/>
        </w:rPr>
        <w:t xml:space="preserve">[A10.1-01, p.]</w:t>
      </w:r>
      <w:r>
        <w:rPr>
          <w:rFonts w:ascii="Times New Roman" w:cs="Times New Roman" w:eastAsia="Times New Roman" w:hAnsi="Times New Roman"/>
        </w:rPr>
        <w:t xml:space="preserve">; noted by the Faculty Committee on 11/03/2023 </w:t>
      </w:r>
      <w:r>
        <w:rPr>
          <w:rFonts w:ascii="Times New Roman" w:cs="Times New Roman" w:eastAsia="Times New Roman" w:hAnsi="Times New Roman"/>
          <w:highlight w:val="yellow"/>
        </w:rPr>
        <w:t xml:space="preserve">[A10.1-04, p.]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Reconstituted on 08/04/2024 </w:t>
      </w:r>
      <w:r>
        <w:rPr>
          <w:rFonts w:ascii="Times New Roman" w:cs="Times New Roman" w:eastAsia="Times New Roman" w:hAnsi="Times New Roman"/>
          <w:highlight w:val="yellow"/>
        </w:rPr>
        <w:t xml:space="preserve">[A10.1-02, p.]</w:t>
      </w:r>
      <w:r>
        <w:rPr>
          <w:rFonts w:ascii="Times New Roman" w:cs="Times New Roman" w:eastAsia="Times New Roman" w:hAnsi="Times New Roman"/>
        </w:rPr>
        <w:t xml:space="preserve"> and 08/01/2025 </w:t>
      </w:r>
      <w:r>
        <w:rPr>
          <w:rFonts w:ascii="Times New Roman" w:cs="Times New Roman" w:eastAsia="Times New Roman" w:hAnsi="Times New Roman"/>
          <w:highlight w:val="yellow"/>
        </w:rPr>
        <w:t xml:space="preserve">[A10.1-03, p.]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Approved by the Vice Chancellor on 23/07/2025 </w:t>
      </w:r>
      <w:r>
        <w:rPr>
          <w:rFonts w:ascii="Times New Roman" w:cs="Times New Roman" w:eastAsia="Times New Roman" w:hAnsi="Times New Roman"/>
          <w:highlight w:val="yellow"/>
        </w:rPr>
        <w:t xml:space="preserve">[A10.1-05, p.]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Office memorandum with terms of reference issued on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ID, p.]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</w:rPr>
        <w:t xml:space="preserve">First meeting of the panel with industry members held on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ID, p.]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Members (template 10.1: names, designations, professional qualifications)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"/>
        <w:gridCol w:w="2141"/>
        <w:gridCol w:w="2854"/>
        <w:gridCol w:w="2141"/>
        <w:gridCol w:w="2142"/>
      </w:tblGrid>
      <w:tr>
        <w:trPr>
          <w:cantSplit/>
          <w:tblHeader/>
        </w:trPr>
        <w:tc>
          <w:tcPr>
            <w:tcW w:type="dxa" w:w="428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SL</w:t>
            </w:r>
          </w:p>
        </w:tc>
        <w:tc>
          <w:tcPr>
            <w:tcW w:type="dxa" w:w="214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285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Designation</w:t>
            </w:r>
          </w:p>
        </w:tc>
        <w:tc>
          <w:tcPr>
            <w:tcW w:type="dxa" w:w="214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Organisation</w:t>
            </w:r>
          </w:p>
        </w:tc>
        <w:tc>
          <w:tcPr>
            <w:tcW w:type="dxa" w:w="214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Professional qualifications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Ohidul Hoque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Circle HR Lead (Rajshahi), Strategic HR Partner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Grameenphone Ltd.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Saleh Uddin Joni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Deputy General Manager, Regional Implementation &amp; Operation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Summit Communications Ltd.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Mahbub Hasan Pavel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Senior Manager (Core Network Administration); MikroTik Certified Trainer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Amber IT Ltd.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Ferdous Alam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CEO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Atova Technology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Sifatullah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Manager, Regional Implementation &amp; Operation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Summit Communications Ltd.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Sadia Shahnewaz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Manager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BRAC Bank Plc.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Kazi Mahbubul Alam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Deputy General Manager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Daffodil Online Ltd.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Irad Sakib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System Engineer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Nagad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Md. Hasan Ali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Senior AI Engineer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ACME AI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  <w:tr>
        <w:trPr>
          <w:cantSplit/>
          <w:tblHeader w:val="off"/>
        </w:trPr>
        <w:tc>
          <w:tcPr>
            <w:tcW w:type="dxa" w:w="428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Rakib Hossain</w:t>
            </w:r>
          </w:p>
        </w:tc>
        <w:tc>
          <w:tcPr>
            <w:tcW w:type="dxa" w:w="285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IC Layout Design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[confirm current]</w:t>
            </w:r>
          </w:p>
        </w:tc>
        <w:tc>
          <w:tcPr>
            <w:tcW w:type="dxa" w:w="214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Ulkasemi</w:t>
            </w:r>
          </w:p>
        </w:tc>
        <w:tc>
          <w:tcPr>
            <w:tcW w:type="dxa" w:w="214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[degree, certifications, years of experience]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Practice: meetings held (notices and attendee lists annexed)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9"/>
        <w:gridCol w:w="1733"/>
        <w:gridCol w:w="1733"/>
        <w:gridCol w:w="3466"/>
        <w:gridCol w:w="1735"/>
      </w:tblGrid>
      <w:tr>
        <w:trPr>
          <w:cantSplit/>
          <w:tblHeader/>
        </w:trPr>
        <w:tc>
          <w:tcPr>
            <w:tcW w:type="dxa" w:w="10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Meeting no.</w:t>
            </w:r>
          </w:p>
        </w:tc>
        <w:tc>
          <w:tcPr>
            <w:tcW w:type="dxa" w:w="173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173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members present</w:t>
            </w:r>
          </w:p>
        </w:tc>
        <w:tc>
          <w:tcPr>
            <w:tcW w:type="dxa" w:w="34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Main recommendations</w:t>
            </w:r>
          </w:p>
        </w:tc>
        <w:tc>
          <w:tcPr>
            <w:tcW w:type="dxa" w:w="17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Notice / attendance / minutes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4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4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4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0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4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Improvement, challenges and known gaps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[Improvement mechanism, e.g. action-taken report reviewed at each meeting.]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[Honest statement, e.g. 'Before [date]</w:t>
      </w:r>
      <w:r>
        <w:rPr>
          <w:rFonts w:ascii="Times New Roman" w:cs="Times New Roman" w:eastAsia="Times New Roman" w:hAnsi="Times New Roman"/>
        </w:rPr>
        <w:t xml:space="preserve"> the panel had been constituted but had not met; meetings started on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.']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10.2 Alumni association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Formation: </w:t>
      </w:r>
      <w:r>
        <w:rPr>
          <w:rFonts w:ascii="Times New Roman" w:cs="Times New Roman" w:eastAsia="Times New Roman" w:hAnsi="Times New Roman"/>
          <w:highlight w:val="yellow"/>
        </w:rPr>
        <w:t xml:space="preserve">[ICE departmental alumni association formed/elected under the DIU Departmental Alumni Association Election Rules 2025-2026 (Version 2), approved as per Registrar memo DIU/Reg/Memo/03/2025/3687-233 dated 29/10/2025 [A10.2-02]</w:t>
      </w:r>
      <w:r>
        <w:rPr>
          <w:rFonts w:ascii="Times New Roman" w:cs="Times New Roman" w:eastAsia="Times New Roman" w:hAnsi="Times New Roman"/>
        </w:rPr>
        <w:t xml:space="preserve">; ICE election result dated </w:t>
      </w:r>
      <w:r>
        <w:rPr>
          <w:rFonts w:ascii="Times New Roman" w:cs="Times New Roman" w:eastAsia="Times New Roman" w:hAnsi="Times New Roman"/>
          <w:highlight w:val="yellow"/>
        </w:rPr>
        <w:t xml:space="preserve">[date]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ID]</w:t>
      </w:r>
      <w:r>
        <w:rPr>
          <w:rFonts w:ascii="Times New Roman" w:cs="Times New Roman" w:eastAsia="Times New Roman" w:hAnsi="Times New Roman"/>
        </w:rPr>
        <w:t xml:space="preserve">].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</w:rPr>
        <w:t xml:space="preserve">Official name: </w:t>
      </w:r>
      <w:r>
        <w:rPr>
          <w:rFonts w:ascii="Times New Roman" w:cs="Times New Roman" w:eastAsia="Times New Roman" w:hAnsi="Times New Roman"/>
          <w:highlight w:val="yellow"/>
        </w:rPr>
        <w:t xml:space="preserve">[one name only]</w:t>
      </w:r>
      <w:r>
        <w:rPr>
          <w:rFonts w:ascii="Times New Roman" w:cs="Times New Roman" w:eastAsia="Times New Roman" w:hAnsi="Times New Roman"/>
        </w:rPr>
        <w:t xml:space="preserve">. Membership: </w:t>
      </w:r>
      <w:r>
        <w:rPr>
          <w:rFonts w:ascii="Times New Roman" w:cs="Times New Roman" w:eastAsia="Times New Roman" w:hAnsi="Times New Roman"/>
          <w:highlight w:val="yellow"/>
        </w:rPr>
        <w:t xml:space="preserve">[numbers]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ID]</w:t>
      </w:r>
      <w:r>
        <w:rPr>
          <w:rFonts w:ascii="Times New Roman" w:cs="Times New Roman" w:eastAsia="Times New Roman" w:hAnsi="Times New Roman"/>
        </w:rPr>
        <w:t xml:space="preserve">. Operating process: </w:t>
      </w:r>
      <w:r>
        <w:rPr>
          <w:rFonts w:ascii="Times New Roman" w:cs="Times New Roman" w:eastAsia="Times New Roman" w:hAnsi="Times New Roman"/>
          <w:highlight w:val="yellow"/>
        </w:rPr>
        <w:t xml:space="preserve">[constitution / rules]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[Annex ID]</w:t>
      </w:r>
      <w:r>
        <w:rPr>
          <w:rFonts w:ascii="Times New Roman" w:cs="Times New Roman" w:eastAsia="Times New Roman" w:hAnsi="Times New Roman"/>
        </w:rPr>
        <w:t xml:space="preserve">. Web link: </w:t>
      </w:r>
      <w:r>
        <w:rPr>
          <w:rFonts w:ascii="Times New Roman" w:cs="Times New Roman" w:eastAsia="Times New Roman" w:hAnsi="Times New Roman"/>
          <w:highlight w:val="yellow"/>
        </w:rPr>
        <w:t xml:space="preserve">[URL]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Times New Roman" w:cs="Times New Roman" w:eastAsia="Times New Roman" w:hAnsi="Times New Roman"/>
          <w:highlight w:val="yellow"/>
        </w:rPr>
        <w:t xml:space="preserve">[screenshot Annex ID]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3235"/>
        <w:gridCol w:w="3235"/>
        <w:gridCol w:w="1619"/>
      </w:tblGrid>
      <w:tr>
        <w:trPr>
          <w:cantSplit/>
          <w:tblHeader/>
        </w:trPr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</w:t>
            </w:r>
          </w:p>
        </w:tc>
        <w:tc>
          <w:tcPr>
            <w:tcW w:type="dxa" w:w="32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Meeting / activity</w:t>
            </w:r>
          </w:p>
        </w:tc>
        <w:tc>
          <w:tcPr>
            <w:tcW w:type="dxa" w:w="323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Feedback given to the Department</w:t>
            </w:r>
          </w:p>
        </w:tc>
        <w:tc>
          <w:tcPr>
            <w:tcW w:type="dxa" w:w="161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32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61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10.3 Participation of the industry in academic updates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[Explain how industry takes part in establishing and updating PEOs, POs and the curriculum. Keep this consistent with SAR 7.3.]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9"/>
        <w:gridCol w:w="1866"/>
        <w:gridCol w:w="1866"/>
        <w:gridCol w:w="1866"/>
        <w:gridCol w:w="1869"/>
      </w:tblGrid>
      <w:tr>
        <w:trPr>
          <w:cantSplit/>
          <w:tblHeader/>
        </w:trPr>
        <w:tc>
          <w:tcPr>
            <w:tcW w:type="dxa" w:w="223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input (source, date)</w:t>
            </w:r>
          </w:p>
        </w:tc>
        <w:tc>
          <w:tcPr>
            <w:tcW w:type="dxa" w:w="18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Discussed at (minutes)</w:t>
            </w:r>
          </w:p>
        </w:tc>
        <w:tc>
          <w:tcPr>
            <w:tcW w:type="dxa" w:w="18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18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Approved by (body, date)</w:t>
            </w:r>
          </w:p>
        </w:tc>
        <w:tc>
          <w:tcPr>
            <w:tcW w:type="dxa" w:w="186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Syllabus version / semester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223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86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10.4 Students' opportunities to gain industrial experience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10.4.1 Internships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[State whether internship/industrial training is required, its nature and duration as in the approved curriculum (course codes, credits, weeks), and how performance and outcome achievement are assessed (rubric mapped to COs/POs).]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2426"/>
        <w:gridCol w:w="1617"/>
        <w:gridCol w:w="1617"/>
        <w:gridCol w:w="2429"/>
      </w:tblGrid>
      <w:tr>
        <w:trPr>
          <w:cantSplit/>
          <w:tblHeader/>
        </w:trPr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dxa" w:w="242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Host organisations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Students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Assessed (Y/N)</w:t>
            </w:r>
          </w:p>
        </w:tc>
        <w:tc>
          <w:tcPr>
            <w:tcW w:type="dxa" w:w="242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10.4.2 Final-year design project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[State the factual position on industry involvement in topic selection, supervision and assessment, with numbers per semester.]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1617"/>
        <w:gridCol w:w="1617"/>
        <w:gridCol w:w="1617"/>
        <w:gridCol w:w="1617"/>
        <w:gridCol w:w="1621"/>
      </w:tblGrid>
      <w:tr>
        <w:trPr>
          <w:cantSplit/>
          <w:tblHeader/>
        </w:trPr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Projects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topic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co-supervisor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Industry examiner</w:t>
            </w:r>
          </w:p>
        </w:tc>
        <w:tc>
          <w:tcPr>
            <w:tcW w:type="dxa" w:w="162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Annex ID</w:t>
            </w: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2023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2023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2023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2024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2024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2024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2025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2025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2025</w:t>
            </w: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10.4.3 Industry visits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highlight w:val="yellow"/>
        </w:rPr>
        <w:t xml:space="preserve">[State whether visits are required, their nature, and how learning and outcome achievement are assessed.]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2426"/>
        <w:gridCol w:w="1617"/>
        <w:gridCol w:w="2426"/>
        <w:gridCol w:w="1620"/>
      </w:tblGrid>
      <w:tr>
        <w:trPr>
          <w:cantSplit/>
          <w:tblHeader/>
        </w:trPr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Semester</w:t>
            </w:r>
          </w:p>
        </w:tc>
        <w:tc>
          <w:tcPr>
            <w:tcW w:type="dxa" w:w="242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Company and date</w:t>
            </w:r>
          </w:p>
        </w:tc>
        <w:tc>
          <w:tcPr>
            <w:tcW w:type="dxa" w:w="161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Students</w:t>
            </w:r>
          </w:p>
        </w:tc>
        <w:tc>
          <w:tcPr>
            <w:tcW w:type="dxa" w:w="242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Faculty in charge</w:t>
            </w:r>
          </w:p>
        </w:tc>
        <w:tc>
          <w:tcPr>
            <w:tcW w:type="dxa" w:w="162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Assessed (Y/N)</w:t>
            </w: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2023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2024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Spring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Summer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  <w:tr>
        <w:trPr>
          <w:cantSplit/>
          <w:tblHeader w:val="off"/>
        </w:trPr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Fall 2025</w:t>
            </w: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1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242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  <w:tc>
          <w:tcPr>
            <w:tcW w:type="dxa" w:w="162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</w:p>
        </w:tc>
      </w:tr>
    </w:tbl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Known gaps and dated action plan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9"/>
        <w:gridCol w:w="2647"/>
        <w:gridCol w:w="1764"/>
        <w:gridCol w:w="1766"/>
      </w:tblGrid>
      <w:tr>
        <w:trPr>
          <w:cantSplit/>
          <w:tblHeader/>
        </w:trPr>
        <w:tc>
          <w:tcPr>
            <w:tcW w:type="dxa" w:w="352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Gap</w:t>
            </w:r>
          </w:p>
        </w:tc>
        <w:tc>
          <w:tcPr>
            <w:tcW w:type="dxa" w:w="2647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Action</w:t>
            </w:r>
          </w:p>
        </w:tc>
        <w:tc>
          <w:tcPr>
            <w:tcW w:type="dxa" w:w="176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Owner</w:t>
            </w:r>
          </w:p>
        </w:tc>
        <w:tc>
          <w:tcPr>
            <w:tcW w:type="dxa" w:w="1766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Target date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352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2647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  <w:tc>
          <w:tcPr>
            <w:tcW w:type="dxa" w:w="1766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