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Guideline for Industrial Training / Internship (Draft for Approval)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Scope: this guideline applies to </w:t>
      </w:r>
      <w:r>
        <w:rPr>
          <w:rFonts w:ascii="Times New Roman" w:cs="Times New Roman" w:eastAsia="Times New Roman" w:hAnsi="Times New Roman"/>
          <w:highlight w:val="yellow"/>
        </w:rPr>
        <w:t xml:space="preserve">[ICE 496 Industrial Training I and ICE 498 Industrial Training II - confirm codes and titles]</w:t>
      </w:r>
      <w:r>
        <w:rPr>
          <w:rFonts w:ascii="Times New Roman" w:cs="Times New Roman" w:eastAsia="Times New Roman" w:hAnsi="Times New Roman"/>
        </w:rPr>
        <w:t xml:space="preserve"> of the B.Sc. in Information and Communication Engineering.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Requirement: </w:t>
      </w:r>
      <w:r>
        <w:rPr>
          <w:rFonts w:ascii="Times New Roman" w:cs="Times New Roman" w:eastAsia="Times New Roman" w:hAnsi="Times New Roman"/>
          <w:highlight w:val="yellow"/>
        </w:rPr>
        <w:t xml:space="preserve">[compulsory / optional]</w:t>
      </w:r>
      <w:r>
        <w:rPr>
          <w:rFonts w:ascii="Times New Roman" w:cs="Times New Roman" w:eastAsia="Times New Roman" w:hAnsi="Times New Roman"/>
        </w:rPr>
        <w:t xml:space="preserve"> for students in </w:t>
      </w:r>
      <w:r>
        <w:rPr>
          <w:rFonts w:ascii="Times New Roman" w:cs="Times New Roman" w:eastAsia="Times New Roman" w:hAnsi="Times New Roman"/>
          <w:highlight w:val="yellow"/>
        </w:rPr>
        <w:t xml:space="preserve">[level/term]</w:t>
      </w:r>
      <w:r>
        <w:rPr>
          <w:rFonts w:ascii="Times New Roman" w:cs="Times New Roman" w:eastAsia="Times New Roman" w:hAnsi="Times New Roman"/>
        </w:rPr>
        <w:t xml:space="preserve">; credits: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Nature: supervised work at an approved organisation in </w:t>
      </w:r>
      <w:r>
        <w:rPr>
          <w:rFonts w:ascii="Times New Roman" w:cs="Times New Roman" w:eastAsia="Times New Roman" w:hAnsi="Times New Roman"/>
          <w:highlight w:val="yellow"/>
        </w:rPr>
        <w:t xml:space="preserve">[areas, e.g. networking, software testing, telecom operations]</w:t>
      </w:r>
      <w:r>
        <w:rPr>
          <w:rFonts w:ascii="Times New Roman" w:cs="Times New Roman" w:eastAsia="Times New Roman" w:hAnsi="Times New Roman"/>
        </w:rPr>
        <w:t xml:space="preserve">, including </w:t>
      </w:r>
      <w:r>
        <w:rPr>
          <w:rFonts w:ascii="Times New Roman" w:cs="Times New Roman" w:eastAsia="Times New Roman" w:hAnsi="Times New Roman"/>
          <w:highlight w:val="yellow"/>
        </w:rPr>
        <w:t xml:space="preserve">[activities]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Duration: </w:t>
      </w:r>
      <w:r>
        <w:rPr>
          <w:rFonts w:ascii="Times New Roman" w:cs="Times New Roman" w:eastAsia="Times New Roman" w:hAnsi="Times New Roman"/>
          <w:highlight w:val="yellow"/>
        </w:rPr>
        <w:t xml:space="preserve">[__ weeks / __ contact hours]</w:t>
      </w:r>
      <w:r>
        <w:rPr>
          <w:rFonts w:ascii="Times New Roman" w:cs="Times New Roman" w:eastAsia="Times New Roman" w:hAnsi="Times New Roman"/>
        </w:rPr>
        <w:t xml:space="preserve"> as in the approved curriculum.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Placement: student application -&gt; department placement letter (10.4.1-04) -&gt; host acceptance letter -&gt; joining report.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Supervision: a host supervisor and a faculty supervisor for each student; weekly log book; at least </w:t>
      </w:r>
      <w:r>
        <w:rPr>
          <w:rFonts w:ascii="Times New Roman" w:cs="Times New Roman" w:eastAsia="Times New Roman" w:hAnsi="Times New Roman"/>
          <w:highlight w:val="yellow"/>
        </w:rPr>
        <w:t xml:space="preserve">[one]</w:t>
      </w:r>
      <w:r>
        <w:rPr>
          <w:rFonts w:ascii="Times New Roman" w:cs="Times New Roman" w:eastAsia="Times New Roman" w:hAnsi="Times New Roman"/>
        </w:rPr>
        <w:t xml:space="preserve"> faculty contact with the host.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Assessment: host supervisor evaluation (10.4.1-03) </w:t>
      </w:r>
      <w:r>
        <w:rPr>
          <w:rFonts w:ascii="Times New Roman" w:cs="Times New Roman" w:eastAsia="Times New Roman" w:hAnsi="Times New Roman"/>
          <w:highlight w:val="yellow"/>
        </w:rPr>
        <w:t xml:space="preserve">[__%]</w:t>
      </w:r>
      <w:r>
        <w:rPr>
          <w:rFonts w:ascii="Times New Roman" w:cs="Times New Roman" w:eastAsia="Times New Roman" w:hAnsi="Times New Roman"/>
        </w:rPr>
        <w:t xml:space="preserve"> and faculty assessment of the report and presentation </w:t>
      </w:r>
      <w:r>
        <w:rPr>
          <w:rFonts w:ascii="Times New Roman" w:cs="Times New Roman" w:eastAsia="Times New Roman" w:hAnsi="Times New Roman"/>
          <w:highlight w:val="yellow"/>
        </w:rPr>
        <w:t xml:space="preserve">[__%]</w:t>
      </w:r>
      <w:r>
        <w:rPr>
          <w:rFonts w:ascii="Times New Roman" w:cs="Times New Roman" w:eastAsia="Times New Roman" w:hAnsi="Times New Roman"/>
        </w:rPr>
        <w:t xml:space="preserve">, using the approved rubric mapped to COs/POs (10.4.1-02). Marks are entered in the result sheet and CO attainment is calculated.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Academic integrity: identical or copied submissions are dealt with under DIU's academic integrity policy and recorded.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Records kept for each student: placement and acceptance letters, log book, host evaluation, report, marks, CO attainment.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Review: the guideline is reviewed every year using student, host and IAP feedback.</w:t>
      </w:r>
    </w:p>
    <w:p>
      <w:pPr>
        <w:spacing w:after="60"/>
      </w:pP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Prepared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Engr. Md. Zahirul Islam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Assistant Professor &amp; Industrial Convener, Department of ICE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Approved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Dr. Md. Taslim Arefin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Professor &amp; Head, Department of ICE (meeting no.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</w:rPr>
              <w:t xml:space="preserve">, date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</w:rPr>
              <w:t xml:space="preserve">)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4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4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Industrial training / internship guideline (draft)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2026-10-11T19:12:45.880Z</dcterms:created>
  <dcterms:modified xsi:type="dcterms:W3CDTF">2026-10-11T19:12:45.880Z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