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 w:line="240"/>
        <w:jc w:val="center"/>
      </w:pPr>
      <w:r>
        <w:rPr>
          <w:rFonts w:ascii="Times New Roman" w:cs="Times New Roman" w:eastAsia="Times New Roman" w:hAnsi="Times New Roman"/>
          <w:b/>
          <w:bCs/>
          <w:sz w:val="28"/>
          <w:szCs w:val="28"/>
          <w:u w:val="single"/>
        </w:rPr>
        <w:t xml:space="preserve">Criterion 10 - Corrective Action Plan</w:t>
      </w:r>
    </w:p>
    <w:tbl>
      <w:tblPr>
        <w:tblW w:type="dxa" w:w="14638"/>
        <w:tblBorders>
          <w:top w:val="none" w:color="FFFFFF" w:sz="0"/>
          <w:left w:val="none" w:color="FFFFFF" w:sz="0"/>
          <w:bottom w:val="none" w:color="FFFFFF" w:sz="0"/>
          <w:right w:val="none" w:color="FFFFFF" w:sz="0"/>
          <w:insideH w:val="none" w:color="FFFFFF" w:sz="0"/>
          <w:insideV w:val="none" w:color="FFFFFF" w:sz="0"/>
        </w:tblBorders>
      </w:tblPr>
      <w:tblGrid>
        <w:gridCol w:w="2342"/>
        <w:gridCol w:w="12296"/>
      </w:tblGrid>
      <w:tr>
        <w:tc>
          <w:tcPr>
            <w:tcW w:type="dxa" w:w="2342"/>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Program</w:t>
            </w:r>
          </w:p>
        </w:tc>
        <w:tc>
          <w:tcPr>
            <w:tcW w:type="dxa" w:w="12296"/>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 </w:t>
            </w:r>
            <w:r>
              <w:rPr>
                <w:rFonts w:ascii="Times New Roman" w:cs="Times New Roman" w:eastAsia="Times New Roman" w:hAnsi="Times New Roman"/>
                <w:b/>
                <w:bCs/>
              </w:rPr>
              <w:t xml:space="preserve">B.Sc. in Information and Communication Engineering</w:t>
            </w:r>
          </w:p>
        </w:tc>
      </w:tr>
      <w:tr>
        <w:tc>
          <w:tcPr>
            <w:tcW w:type="dxa" w:w="2342"/>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Period covered</w:t>
            </w:r>
          </w:p>
        </w:tc>
        <w:tc>
          <w:tcPr>
            <w:tcW w:type="dxa" w:w="12296"/>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 </w:t>
            </w:r>
            <w:r>
              <w:rPr>
                <w:rFonts w:ascii="Times New Roman" w:cs="Times New Roman" w:eastAsia="Times New Roman" w:hAnsi="Times New Roman"/>
                <w:b/>
                <w:bCs/>
              </w:rPr>
              <w:t xml:space="preserve">Spring 2023 - Fall 2025</w:t>
            </w:r>
          </w:p>
        </w:tc>
      </w:tr>
      <w:tr>
        <w:tc>
          <w:tcPr>
            <w:tcW w:type="dxa" w:w="2342"/>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Based on</w:t>
            </w:r>
          </w:p>
        </w:tc>
        <w:tc>
          <w:tcPr>
            <w:tcW w:type="dxa" w:w="12296"/>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 </w:t>
            </w:r>
            <w:r>
              <w:rPr>
                <w:rFonts w:ascii="Times New Roman" w:cs="Times New Roman" w:eastAsia="Times New Roman" w:hAnsi="Times New Roman"/>
                <w:b/>
                <w:bCs/>
              </w:rPr>
              <w:t xml:space="preserve">IQAC review of SAR Criterion 10; Criterion 10 tracker (version 4, 17/10/2026)</w:t>
            </w:r>
          </w:p>
        </w:tc>
      </w:tr>
      <w:tr>
        <w:tc>
          <w:tcPr>
            <w:tcW w:type="dxa" w:w="2342"/>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Plan date / revision</w:t>
            </w:r>
          </w:p>
        </w:tc>
        <w:tc>
          <w:tcPr>
            <w:tcW w:type="dxa" w:w="12296"/>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rPr>
              <w:t xml:space="preserve">: </w:t>
            </w:r>
            <w:r>
              <w:rPr>
                <w:rFonts w:ascii="Times New Roman" w:cs="Times New Roman" w:eastAsia="Times New Roman" w:hAnsi="Times New Roman"/>
                <w:b/>
                <w:bCs/>
                <w:highlight w:val="yellow"/>
              </w:rPr>
              <w:t xml:space="preserve">[dd/mm/yyyy]</w:t>
            </w:r>
            <w:r>
              <w:rPr>
                <w:rFonts w:ascii="Times New Roman" w:cs="Times New Roman" w:eastAsia="Times New Roman" w:hAnsi="Times New Roman"/>
                <w:b/>
                <w:bCs/>
              </w:rPr>
              <w:t xml:space="preserve"> / Rev. </w:t>
            </w:r>
            <w:r>
              <w:rPr>
                <w:rFonts w:ascii="Times New Roman" w:cs="Times New Roman" w:eastAsia="Times New Roman" w:hAnsi="Times New Roman"/>
                <w:b/>
                <w:bCs/>
                <w:highlight w:val="yellow"/>
              </w:rPr>
              <w:t xml:space="preserve">[0]</w:t>
            </w:r>
          </w:p>
        </w:tc>
      </w:tr>
    </w:tbl>
    <w:p>
      <w:pPr>
        <w:spacing w:after="120" w:before="0" w:line="276"/>
        <w:jc w:val="both"/>
      </w:pPr>
      <w:r>
        <w:rPr>
          <w:rFonts w:ascii="Times New Roman" w:cs="Times New Roman" w:eastAsia="Times New Roman" w:hAnsi="Times New Roman"/>
        </w:rPr>
        <w:t xml:space="preserve">This plan lists every open gap in the Criterion 10 evidence, the action that closes it, the person responsible and the target date. It is the dated action plan that the SAR gives for deviations it has identified (BAETE Manual v2.1, 7.2). Status is updated from the tracker at each review; an item is closed only when the signed document is in the annex with its page number.</w:t>
      </w:r>
    </w:p>
    <w:p>
      <w:pPr>
        <w:pStyle w:val="Heading2"/>
      </w:pPr>
      <w:r>
        <w:rPr>
          <w:rFonts w:ascii="Times New Roman" w:cs="Times New Roman" w:eastAsia="Times New Roman" w:hAnsi="Times New Roman"/>
        </w:rPr>
        <w:t xml:space="preserve">A. Actions</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448"/>
        <w:gridCol w:w="945"/>
        <w:gridCol w:w="3485"/>
        <w:gridCol w:w="4082"/>
        <w:gridCol w:w="2190"/>
        <w:gridCol w:w="1194"/>
        <w:gridCol w:w="995"/>
        <w:gridCol w:w="1299"/>
      </w:tblGrid>
      <w:tr>
        <w:trPr>
          <w:cantSplit/>
          <w:tblHeader/>
        </w:trPr>
        <w:tc>
          <w:tcPr>
            <w:tcW w:type="dxa" w:w="448"/>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No.</w:t>
            </w:r>
          </w:p>
        </w:tc>
        <w:tc>
          <w:tcPr>
            <w:tcW w:type="dxa" w:w="945"/>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Section</w:t>
            </w:r>
          </w:p>
        </w:tc>
        <w:tc>
          <w:tcPr>
            <w:tcW w:type="dxa" w:w="3485"/>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Gap</w:t>
            </w:r>
          </w:p>
        </w:tc>
        <w:tc>
          <w:tcPr>
            <w:tcW w:type="dxa" w:w="4082"/>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Action (document)</w:t>
            </w:r>
          </w:p>
        </w:tc>
        <w:tc>
          <w:tcPr>
            <w:tcW w:type="dxa" w:w="219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IQAC point</w:t>
            </w:r>
          </w:p>
        </w:tc>
        <w:tc>
          <w:tcPr>
            <w:tcW w:type="dxa" w:w="1194"/>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Owner</w:t>
            </w:r>
          </w:p>
        </w:tc>
        <w:tc>
          <w:tcPr>
            <w:tcW w:type="dxa" w:w="995"/>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Target date</w:t>
            </w:r>
          </w:p>
        </w:tc>
        <w:tc>
          <w:tcPr>
            <w:tcW w:type="dxa" w:w="1299"/>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Status</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10.1</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Professional qualifications of IAP members are not on file. Designations differ between documents (e.g. Ohidul Hoque: 'Employee Touchpoint Specialist' in the 2023-2025 minutes; 'Circle HR Lead (Rajshahi), Strategic HR Partner' in the letter of 21/07/2025).</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Collect the profile and consent form (10.1-02) from each member; record in the IAP member register (10.1-07); use the designation each member confirms in all new documents and the SAR.</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C10 Lead</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15/11/2026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 Collecting evidence</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2</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10.1</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IAP meeting with industry members has been held. Department meetings that formed the panel are not IAP meetings.</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Hold the 1st IAP meeting: notice (10.1-03), attendance (10.1-04), minutes (10.1-05), photographs (00-10), action-taken report (10.1-06). Describe the 2023-2025 department meetings as IAP formation records (10.1-08).</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 notices, attendance records and photographs not annexed</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Head</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31/10/2026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 Not started</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3</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10.1</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office memorandum or terms of reference; establishment date not stated in the SAR; VC letter says the panel was 'finalized' in January 2025.</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Issue the memorandum and ToR (10.1-01) dated on the day of issue; approve the ToR (00-04); state the establishment chronology (10.1-08) in the SAR.</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 establishment date not mentioned; memorandum asked for</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Head</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31/10/2026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 Collecting evidence</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4</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10.2</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ICE-specific election result or approval; constitution unsigned and undated; association named differently across documents.</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Request the official result and recognition (10.2-01); adopt one name, a signed and dated constitution and the committee composition by resolution (10.2-07).</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 inconsistent name; no official approval; no verified affiliation</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Alumni focal faculty</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31/10/2026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 Collecting evidence</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5</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10.2</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membership information.</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Fill the membership register (10.2-06) from the DIUAA portal, forms and receipts only.</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Alumni focal faculty</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15/11/2026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 Not started</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6</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10.2</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Meeting records (Jan-May 2026) reuse the same pasted signatures; date and title errors; committee has 10 posts but DIU rules need 11; no alumni feedback to the department; no records before 2026.</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Corrigendum (10.2-02); genuine attendance from now on (10.2-03); committee composition (10.2-07); alumni-department feedback meeting (10.2-04); search for earlier records (00-11).</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 2026 minutes only, digital signatures; no regular meeting records</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Alumni focal faculty</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31/10/2026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3 Evidence has problems</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7</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10.2</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working web link to the association.</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Record the link with a dated screenshot (10.2-08).</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Alumni focal faculty</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15/11/2026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 Not started</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8</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10.3</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record of industry input -&gt; meeting -&gt; decision -&gt; approval -&gt; syllabus change; no curriculum review with IAP members; no employer survey.</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Curriculum review forms (10.3-02) at the 1st IAP meeting; employer survey (10.3-01) and analysis (10.3-06); change trace record (10.3-03); before/after syllabus comparison (10.3-07).</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 no evidence of industry experts in curriculum review; MoU role unclear</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Head</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15/11/2026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 Not started</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9</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10.3</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Only MoUs are annexed. Atova MoU dated 25/08/2021 (5-year term); Daffodil Online MoU undated.</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MoU addenda (10.3-04); MoU activity log (10.3-05); annex the minutes, feedback and approvals produced under items 2 and 8.</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 include supporting documents in the annex</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Head</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15/11/2026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 Collecting evidence</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10.4.1</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approved course outline for industrial training (ICE 496/498): credits, duration and activities not stated.</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Course outline (10.4.1-05) and guideline (10.4.1-01) approved at the department meeting (00-04).</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CN: updated curriculum documents on duration</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Industrial Convener</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31/10/2026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 Collecting evidence</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11</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10.4.1</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Rubric not approved and not mapped to COs/POs; student work has no marks; identical submissions by two pairs of students.</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Approve the rubric (10.4.1-02); enter marks and CO/PO attainment (10.4.1-06); screen samples and keep identical work out of the annex (00-09).</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CN: approval copies of internship rubrics missing</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Industrial Convener</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31/10/2026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3 Evidence has problems</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12</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10.4.2</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evidence of industry involvement in topic selection, supervision or assessment; Report_1 approval page (industry examiner) unsigned.</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From the next semester: industry topic form (10.4.2-02), co-supervisor letter (10.4.2-03), industry examiner invitation (10.4.2-07) and signed evaluation sheets (10.4.2-05). Search for the signed Report_1 page (00-11).</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 industry involvement clearly absent</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Capstone coordinator</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15/11/2026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 Collecting evidence</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13</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10.4.2</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Project list incomplete for most semesters; old 'Department of ETE' forms in the scan.</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Complete the project list (10.4.2-06) from registration and result records; leave ETE forms out of the samples (00-09).</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Capstone coordinator</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15/11/2026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2 Collecting evidence</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14</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10.4.3</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visit register; no permission letter matches a visit report; no faculty named.</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Visit register (10.4.3-05); permission letter (10.4.3-01), notice and attendance (10.4.3-02) and faculty report (10.4.3-03) for every visit; verify the Somoy TV and Walton visits (00-11).</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CN: limited faculty involvement in visits</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Visit coordinator</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15/11/2026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3 Evidence has problems</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15</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10.4.3</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visit has been assessed; unrelated Cisco certificates attached to visit reports.</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Approve the visit rubric (10.4.3-04); record marks and PO attainment (10.4.3-06); remove the certificates (00-09).</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CN: how learning from visits is assessed</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Visit coordinator</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31/10/2026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 Not started</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16</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General</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No industry feedback on teaching-learning (also needed for SAR 9.3.2).</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Employer/industry survey (10.3-01); keep raw responses; analysis report (10.3-06).</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C10 Lead</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15/11/2026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 Not started</w:t>
            </w:r>
          </w:p>
        </w:tc>
      </w:tr>
      <w:tr>
        <w:trPr>
          <w:cantSplit/>
        </w:trPr>
        <w:tc>
          <w:tcPr>
            <w:tcW w:type="dxa" w:w="448"/>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17</w:t>
            </w:r>
          </w:p>
        </w:tc>
        <w:tc>
          <w:tcPr>
            <w:tcW w:type="dxa" w:w="94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General</w:t>
            </w:r>
          </w:p>
        </w:tc>
        <w:tc>
          <w:tcPr>
            <w:tcW w:type="dxa" w:w="3485"/>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SAR text not in the folder; merged annex (131 MB) has no index or page numbers; folders 10.5 and 10.6 do not match SAR numbering.</w:t>
            </w:r>
          </w:p>
        </w:tc>
        <w:tc>
          <w:tcPr>
            <w:tcW w:type="dxa" w:w="408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SAR text (00-02); table of annexures (00-03); annex cover sheets (00-08); number all annex pages consecutively; use 10.4.2 and 10.4.3 for the folders now named 10.5 and 10.6.</w:t>
            </w:r>
          </w:p>
        </w:tc>
        <w:tc>
          <w:tcPr>
            <w:tcW w:type="dxa" w:w="219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Overall: major revision needed</w:t>
            </w:r>
          </w:p>
        </w:tc>
        <w:tc>
          <w:tcPr>
            <w:tcW w:type="dxa" w:w="119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C10 Lead</w:t>
            </w:r>
          </w:p>
        </w:tc>
        <w:tc>
          <w:tcPr>
            <w:tcW w:type="dxa" w:w="99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31/10/2026</w:t>
            </w:r>
          </w:p>
        </w:tc>
        <w:tc>
          <w:tcPr>
            <w:tcW w:type="dxa" w:w="1299"/>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3 Evidence has problems</w:t>
            </w:r>
          </w:p>
        </w:tc>
      </w:tr>
    </w:tbl>
    <w:p>
      <w:pPr>
        <w:spacing w:after="60" w:before="0" w:line="276"/>
        <w:jc w:val="both"/>
      </w:pPr>
      <w:r>
        <w:rPr>
          <w:rFonts w:ascii="Times New Roman" w:cs="Times New Roman" w:eastAsia="Times New Roman" w:hAnsi="Times New Roman"/>
        </w:rPr>
        <w:t xml:space="preserve">Status: 1 Not started / 2 Collecting evidence / 3 Evidence has problems / 4 Complete (signed/approved) / 5 In annex (page no.) / 6 Checked by IQAC. W = Weakness, CN = Concern (IQAC).</w:t>
      </w:r>
    </w:p>
    <w:p>
      <w:pPr>
        <w:pStyle w:val="Heading2"/>
      </w:pPr>
      <w:r>
        <w:rPr>
          <w:rFonts w:ascii="Times New Roman" w:cs="Times New Roman" w:eastAsia="Times New Roman" w:hAnsi="Times New Roman"/>
        </w:rPr>
        <w:t xml:space="preserve">B. Semester coverage of recurring evidence (Yes / Part / No; one-time items not shown)</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4013"/>
        <w:gridCol w:w="1180"/>
        <w:gridCol w:w="1180"/>
        <w:gridCol w:w="1180"/>
        <w:gridCol w:w="1180"/>
        <w:gridCol w:w="1180"/>
        <w:gridCol w:w="1180"/>
        <w:gridCol w:w="1180"/>
        <w:gridCol w:w="1180"/>
        <w:gridCol w:w="1185"/>
      </w:tblGrid>
      <w:tr>
        <w:trPr>
          <w:cantSplit/>
          <w:tblHeader/>
        </w:trPr>
        <w:tc>
          <w:tcPr>
            <w:tcW w:type="dxa" w:w="4013"/>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Evidence</w:t>
            </w:r>
          </w:p>
        </w:tc>
        <w:tc>
          <w:tcPr>
            <w:tcW w:type="dxa" w:w="118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Spring 2023</w:t>
            </w:r>
          </w:p>
        </w:tc>
        <w:tc>
          <w:tcPr>
            <w:tcW w:type="dxa" w:w="118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Summer 2023</w:t>
            </w:r>
          </w:p>
        </w:tc>
        <w:tc>
          <w:tcPr>
            <w:tcW w:type="dxa" w:w="118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Fall 2023</w:t>
            </w:r>
          </w:p>
        </w:tc>
        <w:tc>
          <w:tcPr>
            <w:tcW w:type="dxa" w:w="118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Spring 2024</w:t>
            </w:r>
          </w:p>
        </w:tc>
        <w:tc>
          <w:tcPr>
            <w:tcW w:type="dxa" w:w="118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Summer 2024</w:t>
            </w:r>
          </w:p>
        </w:tc>
        <w:tc>
          <w:tcPr>
            <w:tcW w:type="dxa" w:w="118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Fall 2024</w:t>
            </w:r>
          </w:p>
        </w:tc>
        <w:tc>
          <w:tcPr>
            <w:tcW w:type="dxa" w:w="118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Spring 2025</w:t>
            </w:r>
          </w:p>
        </w:tc>
        <w:tc>
          <w:tcPr>
            <w:tcW w:type="dxa" w:w="118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Summer 2025</w:t>
            </w:r>
          </w:p>
        </w:tc>
        <w:tc>
          <w:tcPr>
            <w:tcW w:type="dxa" w:w="1185"/>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Fall 2025</w:t>
            </w:r>
          </w:p>
        </w:tc>
      </w:tr>
      <w:tr>
        <w:trPr>
          <w:cantSplit/>
        </w:trPr>
        <w:tc>
          <w:tcPr>
            <w:tcW w:type="dxa" w:w="401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IAP meetings with industry members (10.1)</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r>
      <w:tr>
        <w:trPr>
          <w:cantSplit/>
        </w:trPr>
        <w:tc>
          <w:tcPr>
            <w:tcW w:type="dxa" w:w="401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Alumni association meetings and feedback (10.2)</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r>
      <w:tr>
        <w:trPr>
          <w:cantSplit/>
        </w:trPr>
        <w:tc>
          <w:tcPr>
            <w:tcW w:type="dxa" w:w="401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Industry input to the curriculum (10.3)</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r>
      <w:tr>
        <w:trPr>
          <w:cantSplit/>
        </w:trPr>
        <w:tc>
          <w:tcPr>
            <w:tcW w:type="dxa" w:w="401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Industrial experience / internship (10.4.1)</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Part</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Part</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Part</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r>
      <w:tr>
        <w:trPr>
          <w:cantSplit/>
        </w:trPr>
        <w:tc>
          <w:tcPr>
            <w:tcW w:type="dxa" w:w="401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Internship assessment (10.4.1)</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Part</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r>
      <w:tr>
        <w:trPr>
          <w:cantSplit/>
        </w:trPr>
        <w:tc>
          <w:tcPr>
            <w:tcW w:type="dxa" w:w="401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Industry involvement in final-year projects (10.4.2)</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Part</w:t>
            </w:r>
          </w:p>
        </w:tc>
      </w:tr>
      <w:tr>
        <w:trPr>
          <w:cantSplit/>
        </w:trPr>
        <w:tc>
          <w:tcPr>
            <w:tcW w:type="dxa" w:w="401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Final-year project list (10.4.2)</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Part</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Part</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Part</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Part</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Part</w:t>
            </w:r>
          </w:p>
        </w:tc>
        <w:tc>
          <w:tcPr>
            <w:tcW w:type="dxa" w:w="118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Part</w:t>
            </w:r>
          </w:p>
        </w:tc>
      </w:tr>
      <w:tr>
        <w:trPr>
          <w:cantSplit/>
        </w:trPr>
        <w:tc>
          <w:tcPr>
            <w:tcW w:type="dxa" w:w="401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Industry visits (10.4.3)</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Part</w:t>
            </w:r>
          </w:p>
        </w:tc>
        <w:tc>
          <w:tcPr>
            <w:tcW w:type="dxa" w:w="118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r>
      <w:tr>
        <w:trPr>
          <w:cantSplit/>
        </w:trPr>
        <w:tc>
          <w:tcPr>
            <w:tcW w:type="dxa" w:w="401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Assessment of industry visits (10.4.3)</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r>
      <w:tr>
        <w:trPr>
          <w:cantSplit/>
        </w:trPr>
        <w:tc>
          <w:tcPr>
            <w:tcW w:type="dxa" w:w="401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Employer / industry feedback (General)</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c>
          <w:tcPr>
            <w:tcW w:type="dxa" w:w="1185"/>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No</w:t>
            </w:r>
          </w:p>
        </w:tc>
      </w:tr>
    </w:tbl>
    <w:p>
      <w:pPr>
        <w:spacing w:after="60" w:before="0" w:line="276"/>
        <w:jc w:val="both"/>
      </w:pPr>
      <w:r>
        <w:rPr>
          <w:rFonts w:ascii="Times New Roman" w:cs="Times New Roman" w:eastAsia="Times New Roman" w:hAnsi="Times New Roman"/>
        </w:rPr>
        <w:t xml:space="preserve">Where a semester stays "No" after the search for genuine records (00-11), the SAR states the gap and the date from which the evidence exists. Past records are never created after the event.</w:t>
      </w:r>
    </w:p>
    <w:p>
      <w:pPr>
        <w:spacing w:after="60"/>
      </w:pPr>
    </w:p>
    <w:tbl>
      <w:tblPr>
        <w:tblW w:type="dxa" w:w="14638"/>
        <w:tblBorders>
          <w:top w:val="none" w:color="FFFFFF" w:sz="0"/>
          <w:left w:val="none" w:color="FFFFFF" w:sz="0"/>
          <w:bottom w:val="none" w:color="FFFFFF" w:sz="0"/>
          <w:right w:val="none" w:color="FFFFFF" w:sz="0"/>
          <w:insideH w:val="none" w:color="FFFFFF" w:sz="0"/>
          <w:insideV w:val="none" w:color="FFFFFF" w:sz="0"/>
        </w:tblBorders>
      </w:tblPr>
      <w:tblGrid>
        <w:gridCol w:w="7319"/>
        <w:gridCol w:w="7319"/>
      </w:tblGrid>
      <w:tr>
        <w:trPr>
          <w:cantSplit/>
        </w:trPr>
        <w:tc>
          <w:tcPr>
            <w:tcW w:type="dxa" w:w="7319"/>
            <w:tcBorders>
              <w:top w:val="none" w:color="FFFFFF" w:sz="0"/>
              <w:left w:val="none" w:color="FFFFFF" w:sz="0"/>
              <w:bottom w:val="none" w:color="FFFFFF" w:sz="0"/>
              <w:right w:val="none" w:color="FFFFFF" w:sz="0"/>
            </w:tcBorders>
            <w:vAlign w:val="top"/>
          </w:tcPr>
          <w:p>
            <w:pPr>
              <w:spacing w:after="500" w:before="0" w:line="276"/>
              <w:jc w:val="center"/>
            </w:pPr>
            <w:r>
              <w:rPr>
                <w:rFonts w:ascii="Times New Roman" w:cs="Times New Roman" w:eastAsia="Times New Roman" w:hAnsi="Times New Roman"/>
                <w:b/>
                <w:bCs/>
              </w:rPr>
              <w:t xml:space="preserve">Prepared by</w:t>
            </w:r>
          </w:p>
          <w:p>
            <w:pPr>
              <w:spacing w:after="20" w:before="0" w:line="276"/>
              <w:jc w:val="center"/>
            </w:pPr>
            <w:r>
              <w:rPr>
                <w:rFonts w:ascii="Times New Roman" w:cs="Times New Roman" w:eastAsia="Times New Roman" w:hAnsi="Times New Roman"/>
              </w:rPr>
              <w:t xml:space="preserve">______________________________</w:t>
            </w:r>
          </w:p>
          <w:p>
            <w:pPr>
              <w:spacing w:after="0" w:before="0" w:line="276"/>
              <w:jc w:val="center"/>
            </w:pPr>
            <w:r>
              <w:rPr>
                <w:rFonts w:ascii="Times New Roman" w:cs="Times New Roman" w:eastAsia="Times New Roman" w:hAnsi="Times New Roman"/>
                <w:b/>
                <w:bCs/>
                <w:highlight w:val="yellow"/>
              </w:rPr>
              <w:t xml:space="preserve">[Name]</w:t>
            </w:r>
          </w:p>
          <w:p>
            <w:pPr>
              <w:spacing w:after="0" w:before="0" w:line="276"/>
              <w:jc w:val="center"/>
            </w:pPr>
            <w:r>
              <w:rPr>
                <w:rFonts w:ascii="Times New Roman" w:cs="Times New Roman" w:eastAsia="Times New Roman" w:hAnsi="Times New Roman"/>
              </w:rPr>
              <w:t xml:space="preserve">Criterion 10 Lead, Department of ICE</w:t>
            </w:r>
          </w:p>
          <w:p>
            <w:pPr>
              <w:spacing w:after="0" w:before="0" w:line="276"/>
              <w:jc w:val="center"/>
            </w:pPr>
            <w:r>
              <w:rPr>
                <w:rFonts w:ascii="Times New Roman" w:cs="Times New Roman" w:eastAsia="Times New Roman" w:hAnsi="Times New Roman"/>
              </w:rPr>
              <w:t xml:space="preserve">Daffodil International University</w:t>
            </w:r>
          </w:p>
          <w:p>
            <w:pPr>
              <w:spacing w:after="0" w:before="0" w:line="276"/>
              <w:jc w:val="center"/>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[dd/mm/yyyy]</w:t>
            </w:r>
          </w:p>
        </w:tc>
        <w:tc>
          <w:tcPr>
            <w:tcW w:type="dxa" w:w="7319"/>
            <w:tcBorders>
              <w:top w:val="none" w:color="FFFFFF" w:sz="0"/>
              <w:left w:val="none" w:color="FFFFFF" w:sz="0"/>
              <w:bottom w:val="none" w:color="FFFFFF" w:sz="0"/>
              <w:right w:val="none" w:color="FFFFFF" w:sz="0"/>
            </w:tcBorders>
            <w:vAlign w:val="top"/>
          </w:tcPr>
          <w:p>
            <w:pPr>
              <w:spacing w:after="500" w:before="0" w:line="276"/>
              <w:jc w:val="center"/>
            </w:pPr>
            <w:r>
              <w:rPr>
                <w:rFonts w:ascii="Times New Roman" w:cs="Times New Roman" w:eastAsia="Times New Roman" w:hAnsi="Times New Roman"/>
                <w:b/>
                <w:bCs/>
              </w:rPr>
              <w:t xml:space="preserve">Approved by</w:t>
            </w:r>
          </w:p>
          <w:p>
            <w:pPr>
              <w:spacing w:after="20" w:before="0" w:line="276"/>
              <w:jc w:val="center"/>
            </w:pPr>
            <w:r>
              <w:rPr>
                <w:rFonts w:ascii="Times New Roman" w:cs="Times New Roman" w:eastAsia="Times New Roman" w:hAnsi="Times New Roman"/>
              </w:rPr>
              <w:t xml:space="preserve">______________________________</w:t>
            </w:r>
          </w:p>
          <w:p>
            <w:pPr>
              <w:spacing w:after="0" w:before="0" w:line="276"/>
              <w:jc w:val="center"/>
            </w:pPr>
            <w:r>
              <w:rPr>
                <w:rFonts w:ascii="Times New Roman" w:cs="Times New Roman" w:eastAsia="Times New Roman" w:hAnsi="Times New Roman"/>
                <w:b/>
                <w:bCs/>
              </w:rPr>
              <w:t xml:space="preserve">Dr. Md. Taslim Arefin</w:t>
            </w:r>
          </w:p>
          <w:p>
            <w:pPr>
              <w:spacing w:after="0" w:before="0" w:line="276"/>
              <w:jc w:val="center"/>
            </w:pPr>
            <w:r>
              <w:rPr>
                <w:rFonts w:ascii="Times New Roman" w:cs="Times New Roman" w:eastAsia="Times New Roman" w:hAnsi="Times New Roman"/>
              </w:rPr>
              <w:t xml:space="preserve">Professor &amp; Head, Department of ICE</w:t>
            </w:r>
          </w:p>
          <w:p>
            <w:pPr>
              <w:spacing w:after="0" w:before="0" w:line="276"/>
              <w:jc w:val="center"/>
            </w:pPr>
            <w:r>
              <w:rPr>
                <w:rFonts w:ascii="Times New Roman" w:cs="Times New Roman" w:eastAsia="Times New Roman" w:hAnsi="Times New Roman"/>
              </w:rPr>
              <w:t xml:space="preserve">Daffodil International University</w:t>
            </w:r>
          </w:p>
          <w:p>
            <w:pPr>
              <w:spacing w:after="0" w:before="0" w:line="276"/>
              <w:jc w:val="center"/>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[dd/mm/yyyy]</w:t>
            </w:r>
          </w:p>
        </w:tc>
      </w:tr>
    </w:tbl>
    <w:sectPr>
      <w:headerReference w:type="default" r:id="rId6"/>
      <w:headerReference w:type="first" r:id="rId7"/>
      <w:footerReference w:type="default" r:id="rId8"/>
      <w:footerReference w:type="first" r:id="rId9"/>
      <w:pgSz w:w="16838" w:h="11906" w:orient="landscape"/>
      <w:pgMar w:top="1450" w:right="1100" w:bottom="1100" w:left="1100" w:header="420" w:footer="4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495300" cy="495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4953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jc w:val="center"/>
    </w:pPr>
    <w:r>
      <w:drawing>
        <wp:inline distT="0" distB="0" distL="0" distR="0">
          <wp:extent cx="6286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619125"/>
                  </a:xfrm>
                  <a:prstGeom prst="rect">
                    <a:avLst/>
                  </a:prstGeom>
                </pic:spPr>
              </pic:pic>
            </a:graphicData>
          </a:graphic>
        </wp:inline>
      </w:drawing>
    </w:r>
  </w:p>
  <w:p>
    <w:pPr>
      <w:spacing w:after="0" w:line="240"/>
      <w:jc w:val="center"/>
    </w:pPr>
    <w:r>
      <w:rPr>
        <w:rFonts w:ascii="Times New Roman" w:cs="Times New Roman" w:eastAsia="Times New Roman" w:hAnsi="Times New Roman"/>
        <w:b/>
        <w:bCs/>
        <w:sz w:val="40"/>
        <w:szCs w:val="40"/>
      </w:rPr>
      <w:t xml:space="preserve">Daffodil International University</w:t>
    </w:r>
  </w:p>
  <w:p>
    <w:pPr>
      <w:spacing w:after="0" w:line="240"/>
      <w:jc w:val="center"/>
    </w:pPr>
    <w:r>
      <w:rPr>
        <w:rFonts w:ascii="Times New Roman" w:cs="Times New Roman" w:eastAsia="Times New Roman" w:hAnsi="Times New Roman"/>
        <w:b/>
        <w:bCs/>
        <w:sz w:val="27"/>
        <w:szCs w:val="27"/>
      </w:rPr>
      <w:t xml:space="preserve">Faculty of Engineering</w:t>
    </w:r>
  </w:p>
  <w:p>
    <w:pPr>
      <w:spacing w:after="0" w:line="240"/>
      <w:jc w:val="center"/>
    </w:pPr>
    <w:r>
      <w:rPr>
        <w:rFonts w:ascii="Times New Roman" w:cs="Times New Roman" w:eastAsia="Times New Roman" w:hAnsi="Times New Roman"/>
        <w:b/>
        <w:bCs/>
        <w:sz w:val="27"/>
        <w:szCs w:val="27"/>
      </w:rPr>
      <w:t xml:space="preserve">Department of Information and Communication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20"/>
      <w:outlineLvl w:val="0"/>
    </w:pPr>
    <w:rPr>
      <w:rFonts w:ascii="Times New Roman" w:cs="Times New Roman" w:eastAsia="Times New Roman" w:hAnsi="Times New Roman"/>
      <w:b/>
      <w:bCs/>
      <w:color w:val="1F3864"/>
      <w:sz w:val="25"/>
      <w:szCs w:val="25"/>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6fa9cee192ad8ea879a72df295ecf9a1e2ab106a.png"/></Relationships>
</file>

<file path=word/_rels/header2.xml.rels><?xml version='1.0' encoding='UTF-8' standalone='yes'?>
<Relationships xmlns="http://schemas.openxmlformats.org/package/2006/relationships"><Relationship Id="rId0" Type="http://schemas.openxmlformats.org/officeDocument/2006/relationships/image" Target="media/d93ed29da1cce15608dc7bf15d6cba688ea913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 Criterion 10 narrative skeleton</dc:title>
  <dc:creator>Department of ICE, DIU</dc:creator>
  <dc:description>BAETE Criterion 10 document (template)</dc:description>
  <cp:lastModifiedBy>Department of ICE, DIU</cp:lastModifiedBy>
  <cp:revision>1</cp:revision>
  <dcterms:created xsi:type="dcterms:W3CDTF">2026-10-11T19:12:44.723Z</dcterms:created>
  <dcterms:modified xsi:type="dcterms:W3CDTF">2026-10-11T19:12:44.724Z</dcterms:modified>
</cp:coreProperties>
</file>

<file path=docProps/custom.xml><?xml version="1.0" encoding="utf-8"?>
<Properties xmlns="http://schemas.openxmlformats.org/officeDocument/2006/custom-properties" xmlns:vt="http://schemas.openxmlformats.org/officeDocument/2006/docPropsVTypes"/>
</file>